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Default Extension="jpeg" ContentType="image/jpeg"/>
  <Default Extension="png" ContentType="image/png"/>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421" w:right="2425"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江苏中南建设集团股份有限公司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421"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42"/>
        <w:jc w:val="left"/>
        <w:rPr>
          <w:b w:val="0"/>
          <w:bCs w:val="0"/>
        </w:rPr>
      </w:pPr>
      <w:bookmarkStart w:name="_TOC_250011"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3"/>
        <w:ind w:left="714" w:right="14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1,167,839,226</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1.00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不以公</w:t>
      </w:r>
      <w:r>
        <w:rPr>
          <w:rFonts w:ascii="宋体" w:hAnsi="宋体" w:cs="宋体" w:eastAsia="宋体" w:hint="default"/>
          <w:sz w:val="28"/>
          <w:szCs w:val="28"/>
        </w:rPr>
      </w:r>
    </w:p>
    <w:p>
      <w:pPr>
        <w:spacing w:line="472" w:lineRule="auto" w:before="236"/>
        <w:ind w:left="714" w:right="142" w:hanging="563"/>
        <w:jc w:val="left"/>
        <w:rPr>
          <w:rFonts w:ascii="宋体" w:hAnsi="宋体" w:cs="宋体" w:eastAsia="宋体" w:hint="default"/>
          <w:sz w:val="28"/>
          <w:szCs w:val="28"/>
        </w:rPr>
      </w:pPr>
      <w:r>
        <w:rPr>
          <w:rFonts w:ascii="宋体" w:hAnsi="宋体" w:cs="宋体" w:eastAsia="宋体" w:hint="default"/>
          <w:b/>
          <w:bCs/>
          <w:sz w:val="28"/>
          <w:szCs w:val="28"/>
        </w:rPr>
        <w:t>积金转增股本。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公司负责人陈锦石、主管会计工作负责人茅振华及会计机构负责人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2" w:right="142"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钱军声明：保证年度报告中财务报告的真实、准确、完整。</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本报告中所涉及的未来计划、发展战略等前瞻性描述，受宏观经济形势变</w:t>
      </w:r>
      <w:r>
        <w:rPr>
          <w:rFonts w:ascii="宋体" w:hAnsi="宋体" w:cs="宋体" w:eastAsia="宋体" w:hint="default"/>
          <w:b/>
          <w:bCs/>
          <w:w w:val="99"/>
          <w:sz w:val="28"/>
          <w:szCs w:val="28"/>
        </w:rPr>
        <w:t> </w:t>
      </w:r>
      <w:r>
        <w:rPr>
          <w:rFonts w:ascii="宋体" w:hAnsi="宋体" w:cs="宋体" w:eastAsia="宋体" w:hint="default"/>
          <w:b/>
          <w:bCs/>
          <w:spacing w:val="2"/>
          <w:sz w:val="28"/>
          <w:szCs w:val="28"/>
        </w:rPr>
        <w:t>化及国家政策调整等因素的影响，可能发生一定程度的变化，因此上述计划不</w:t>
      </w:r>
      <w:r>
        <w:rPr>
          <w:rFonts w:ascii="宋体" w:hAnsi="宋体" w:cs="宋体" w:eastAsia="宋体" w:hint="default"/>
          <w:b/>
          <w:bCs/>
          <w:w w:val="99"/>
          <w:sz w:val="28"/>
          <w:szCs w:val="28"/>
        </w:rPr>
        <w:t> </w:t>
      </w:r>
      <w:r>
        <w:rPr>
          <w:rFonts w:ascii="宋体" w:hAnsi="宋体" w:cs="宋体" w:eastAsia="宋体" w:hint="default"/>
          <w:b/>
          <w:bCs/>
          <w:sz w:val="28"/>
          <w:szCs w:val="28"/>
        </w:rPr>
        <w:t>构成公司对投资者的实质承诺，敬请投资者注意投资风险。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7"/>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10">
            <w:r>
              <w:rPr/>
              <w:t>第二节</w:t>
            </w:r>
            <w:r>
              <w:rPr>
                <w:spacing w:val="-18"/>
              </w:rPr>
              <w:t> </w:t>
            </w:r>
            <w:r>
              <w:rPr/>
              <w:t>公司简介</w:t>
            </w:r>
            <w:r>
              <w:rPr>
                <w:rFonts w:ascii="宋体" w:hAnsi="宋体" w:cs="宋体" w:eastAsia="宋体" w:hint="default"/>
              </w:rPr>
              <w:tab/>
              <w:t>6</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9">
            <w:r>
              <w:rPr/>
              <w:t>第三节</w:t>
            </w:r>
            <w:r>
              <w:rPr>
                <w:spacing w:val="-18"/>
              </w:rPr>
              <w:t> </w:t>
            </w:r>
            <w:r>
              <w:rPr/>
              <w:t>会计数据和财务指标摘要</w:t>
            </w:r>
            <w:r>
              <w:rPr>
                <w:rFonts w:ascii="宋体" w:hAnsi="宋体" w:cs="宋体" w:eastAsia="宋体" w:hint="default"/>
              </w:rPr>
              <w:tab/>
              <w:t>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8">
            <w:r>
              <w:rPr/>
              <w:t>第四节</w:t>
            </w:r>
            <w:r>
              <w:rPr>
                <w:spacing w:val="-17"/>
              </w:rPr>
              <w:t> </w:t>
            </w:r>
            <w:r>
              <w:rPr/>
              <w:t>董事会报告</w:t>
            </w:r>
            <w:r>
              <w:rPr>
                <w:rFonts w:ascii="宋体" w:hAnsi="宋体" w:cs="宋体" w:eastAsia="宋体" w:hint="default"/>
              </w:rPr>
              <w:tab/>
              <w:t>10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7">
            <w:r>
              <w:rPr/>
              <w:t>第五节</w:t>
            </w:r>
            <w:r>
              <w:rPr>
                <w:spacing w:val="-17"/>
              </w:rPr>
              <w:t> </w:t>
            </w:r>
            <w:r>
              <w:rPr/>
              <w:t>重要事项</w:t>
            </w:r>
            <w:r>
              <w:rPr>
                <w:rFonts w:ascii="宋体" w:hAnsi="宋体" w:cs="宋体" w:eastAsia="宋体" w:hint="default"/>
              </w:rPr>
              <w:tab/>
              <w:t>29</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6">
            <w:r>
              <w:rPr/>
              <w:t>第六节</w:t>
            </w:r>
            <w:r>
              <w:rPr>
                <w:spacing w:val="-17"/>
              </w:rPr>
              <w:t> </w:t>
            </w:r>
            <w:r>
              <w:rPr/>
              <w:t>股份变动及股东情况</w:t>
            </w:r>
            <w:r>
              <w:rPr>
                <w:rFonts w:ascii="宋体" w:hAnsi="宋体" w:cs="宋体" w:eastAsia="宋体" w:hint="default"/>
              </w:rPr>
              <w:tab/>
              <w:t>42</w:t>
            </w:r>
            <w:r>
              <w:rPr>
                <w:rFonts w:ascii="宋体" w:hAnsi="宋体" w:cs="宋体" w:eastAsia="宋体" w:hint="default"/>
                <w:b w:val="0"/>
                <w:bCs w:val="0"/>
              </w:rPr>
            </w:r>
          </w:hyperlink>
        </w:p>
        <w:p>
          <w:pPr>
            <w:pStyle w:val="TOC1"/>
            <w:tabs>
              <w:tab w:pos="9785" w:val="right" w:leader="dot"/>
            </w:tabs>
            <w:spacing w:line="240" w:lineRule="auto" w:before="160"/>
            <w:ind w:right="0"/>
            <w:jc w:val="left"/>
            <w:rPr>
              <w:rFonts w:ascii="宋体" w:hAnsi="宋体" w:cs="宋体" w:eastAsia="宋体" w:hint="default"/>
              <w:b w:val="0"/>
              <w:bCs w:val="0"/>
            </w:rPr>
          </w:pPr>
          <w:hyperlink w:history="true" w:anchor="_TOC_250005">
            <w:r>
              <w:rPr/>
              <w:t>第七节</w:t>
            </w:r>
            <w:r>
              <w:rPr>
                <w:spacing w:val="-17"/>
              </w:rPr>
              <w:t> </w:t>
            </w:r>
            <w:r>
              <w:rPr/>
              <w:t>优先股相关情况</w:t>
            </w:r>
            <w:r>
              <w:rPr>
                <w:rFonts w:ascii="宋体" w:hAnsi="宋体" w:cs="宋体" w:eastAsia="宋体" w:hint="default"/>
              </w:rPr>
              <w:tab/>
              <w:t>48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4">
            <w:r>
              <w:rPr/>
              <w:t>第八节</w:t>
            </w:r>
            <w:r>
              <w:rPr>
                <w:spacing w:val="-18"/>
              </w:rPr>
              <w:t> </w:t>
            </w:r>
            <w:r>
              <w:rPr/>
              <w:t>董事、监事、高级管理人员和员工情况</w:t>
            </w:r>
            <w:r>
              <w:rPr>
                <w:rFonts w:ascii="宋体" w:hAnsi="宋体" w:cs="宋体" w:eastAsia="宋体" w:hint="default"/>
              </w:rPr>
              <w:tab/>
              <w:t>49</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3">
            <w:r>
              <w:rPr/>
              <w:t>第九节</w:t>
            </w:r>
            <w:r>
              <w:rPr>
                <w:spacing w:val="-17"/>
              </w:rPr>
              <w:t> </w:t>
            </w:r>
            <w:r>
              <w:rPr/>
              <w:t>公司治理</w:t>
            </w:r>
            <w:r>
              <w:rPr>
                <w:rFonts w:ascii="宋体" w:hAnsi="宋体" w:cs="宋体" w:eastAsia="宋体" w:hint="default"/>
              </w:rPr>
              <w:tab/>
              <w:t>56</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2">
            <w:r>
              <w:rPr/>
              <w:t>第十节</w:t>
            </w:r>
            <w:r>
              <w:rPr>
                <w:spacing w:val="-17"/>
              </w:rPr>
              <w:t> </w:t>
            </w:r>
            <w:r>
              <w:rPr/>
              <w:t>内部控制</w:t>
            </w:r>
            <w:r>
              <w:rPr>
                <w:rFonts w:ascii="宋体" w:hAnsi="宋体" w:cs="宋体" w:eastAsia="宋体" w:hint="default"/>
              </w:rPr>
              <w:tab/>
              <w:t>63</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1">
            <w:r>
              <w:rPr/>
              <w:t>第十一节</w:t>
            </w:r>
            <w:r>
              <w:rPr>
                <w:spacing w:val="-17"/>
              </w:rPr>
              <w:t> </w:t>
            </w:r>
            <w:r>
              <w:rPr/>
              <w:t>财务报告</w:t>
            </w:r>
            <w:r>
              <w:rPr>
                <w:rFonts w:ascii="宋体" w:hAnsi="宋体" w:cs="宋体" w:eastAsia="宋体" w:hint="default"/>
              </w:rPr>
              <w:tab/>
              <w:t>65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0">
            <w:r>
              <w:rPr/>
              <w:t>第十二节</w:t>
            </w:r>
            <w:r>
              <w:rPr>
                <w:spacing w:val="-18"/>
              </w:rPr>
              <w:t> </w:t>
            </w:r>
            <w:r>
              <w:rPr/>
              <w:t>备查文件目录</w:t>
            </w:r>
            <w:r>
              <w:rPr>
                <w:rFonts w:ascii="宋体" w:hAnsi="宋体" w:cs="宋体" w:eastAsia="宋体" w:hint="default"/>
              </w:rPr>
              <w:tab/>
              <w:t>183</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5" w:footer="979" w:top="1060" w:bottom="1160" w:left="980" w:right="980"/>
        </w:sectPr>
      </w:pPr>
    </w:p>
    <w:p>
      <w:pPr>
        <w:spacing w:before="945"/>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中南建设、本公司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161"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一家专业从事预制装配研发、设计、生产、施工的企业，为住建部认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定的国家住宅产业化基地</w:t>
            </w:r>
          </w:p>
        </w:tc>
      </w:tr>
      <w:tr>
        <w:trPr>
          <w:trHeight w:val="394" w:hRule="exact"/>
        </w:trPr>
        <w:tc>
          <w:tcPr>
            <w:tcW w:w="3524" w:type="dxa"/>
            <w:vMerge/>
            <w:tcBorders>
              <w:left w:val="single" w:sz="4" w:space="0" w:color="000000"/>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629"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PPP</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4" w:lineRule="auto" w:before="49"/>
              <w:ind w:left="17"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Private</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Partnership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的字母缩写，是指政府与私人组织之间， 为了合作建设城市基础设施项目，或是为了提供某种公共物品和服 务，以特许权协议为基础，彼此之间形成一种伙伴式的合作关系，并 通过签署合同来明确双方的权利和义务，以确保合作的顺利完成，最 终使合作各方达到比预期单独行动更为有利的结果。</w:t>
            </w:r>
          </w:p>
        </w:tc>
      </w:tr>
      <w:tr>
        <w:trPr>
          <w:trHeight w:val="391" w:hRule="exact"/>
        </w:trPr>
        <w:tc>
          <w:tcPr>
            <w:tcW w:w="3524" w:type="dxa"/>
            <w:vMerge/>
            <w:tcBorders>
              <w:left w:val="single" w:sz="4" w:space="0" w:color="000000"/>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629" w:hRule="exact"/>
        </w:trPr>
        <w:tc>
          <w:tcPr>
            <w:tcW w:w="3524" w:type="dxa"/>
            <w:vMerge/>
            <w:tcBorders>
              <w:left w:val="single" w:sz="4" w:space="0" w:color="000000"/>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本报告中所涉及的未来计划、发展战略等前瞻性描述，受宏观经济形势变</w:t>
      </w:r>
      <w:r>
        <w:rPr>
          <w:rFonts w:ascii="宋体" w:hAnsi="宋体" w:cs="宋体" w:eastAsia="宋体" w:hint="default"/>
          <w:b/>
          <w:bCs/>
          <w:w w:val="99"/>
          <w:sz w:val="28"/>
          <w:szCs w:val="28"/>
        </w:rPr>
        <w:t> </w:t>
      </w:r>
      <w:r>
        <w:rPr>
          <w:rFonts w:ascii="宋体" w:hAnsi="宋体" w:cs="宋体" w:eastAsia="宋体" w:hint="default"/>
          <w:b/>
          <w:bCs/>
          <w:spacing w:val="2"/>
          <w:sz w:val="28"/>
          <w:szCs w:val="28"/>
        </w:rPr>
        <w:t>化及国家政策调整等因素的影响，可能发生一定程度的变化，因此上述计划不</w:t>
      </w:r>
      <w:r>
        <w:rPr>
          <w:rFonts w:ascii="宋体" w:hAnsi="宋体" w:cs="宋体" w:eastAsia="宋体" w:hint="default"/>
          <w:b/>
          <w:bCs/>
          <w:w w:val="99"/>
          <w:sz w:val="28"/>
          <w:szCs w:val="28"/>
        </w:rPr>
        <w:t> </w:t>
      </w:r>
      <w:r>
        <w:rPr>
          <w:rFonts w:ascii="宋体" w:hAnsi="宋体" w:cs="宋体" w:eastAsia="宋体" w:hint="default"/>
          <w:b/>
          <w:bCs/>
          <w:sz w:val="28"/>
          <w:szCs w:val="28"/>
        </w:rPr>
        <w:t>构成公司对投资者的实质承诺，敬请投资者注意投资风险。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69.809998pt;width:361.55pt;height:19.6pt;mso-position-horizontal-relative:page;mso-position-vertical-relative:page;z-index:-1131736" coordorigin="3447,5396" coordsize="7231,392">
            <v:shape style="position:absolute;left:3447;top:5396;width:7231;height:392" coordorigin="3447,5396" coordsize="7231,392" path="m3447,5787l10677,5787,10677,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2420"/>
        <w:jc w:val="center"/>
        <w:rPr>
          <w:b w:val="0"/>
          <w:bCs w:val="0"/>
        </w:rPr>
      </w:pPr>
      <w:bookmarkStart w:name="_TOC_250010"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中南建设</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000961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中南建设</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 Zhongnan Construction Group</w:t>
            </w:r>
            <w:r>
              <w:rPr>
                <w:rFonts w:ascii="Times New Roman"/>
                <w:spacing w:val="-11"/>
                <w:sz w:val="18"/>
              </w:rPr>
              <w:t> </w:t>
            </w:r>
            <w:r>
              <w:rPr>
                <w:rFonts w:ascii="Times New Roman"/>
                <w:spacing w:val="-3"/>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Zhongnan</w:t>
            </w:r>
            <w:r>
              <w:rPr>
                <w:rFonts w:ascii="Times New Roman"/>
                <w:spacing w:val="-7"/>
                <w:sz w:val="18"/>
              </w:rPr>
              <w:t> </w:t>
            </w:r>
            <w:r>
              <w:rPr>
                <w:rFonts w:ascii="Times New Roman"/>
                <w:sz w:val="18"/>
              </w:rPr>
              <w:t>Construction</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陈锦石</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江苏省海门市常乐镇</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226124</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江苏省海门市上海路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899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226124</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www.zhongnanconstruction.cn</w:t>
              </w:r>
            </w:hyperlink>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2"/>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张伟</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江苏省海门市上海路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江苏省海门市上海路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899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0513-68702888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0513-68702888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0513-68702889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0513-68702889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2"/>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2"/>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21020011035276-29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210211711341725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71134172-5</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江苏南通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320600000241314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4"/>
              <w:jc w:val="right"/>
              <w:rPr>
                <w:rFonts w:ascii="Times New Roman" w:hAnsi="Times New Roman" w:cs="Times New Roman" w:eastAsia="Times New Roman" w:hint="default"/>
                <w:sz w:val="18"/>
                <w:szCs w:val="18"/>
              </w:rPr>
            </w:pPr>
            <w:r>
              <w:rPr>
                <w:rFonts w:ascii="Times New Roman"/>
                <w:spacing w:val="-1"/>
                <w:sz w:val="18"/>
              </w:rPr>
              <w:t>320684711341725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71134172-5</w:t>
            </w:r>
          </w:p>
        </w:tc>
      </w:tr>
      <w:tr>
        <w:trPr>
          <w:trHeight w:val="161"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09" w:lineRule="auto" w:before="49"/>
              <w:ind w:left="16" w:right="22"/>
              <w:jc w:val="both"/>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年公司重大资产重组，公司原铁合金冶炼业务置出工作，中南城市建设投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资有限公司及陈昱含将所持有的十家标的公司股权置入上市公司。公司主营业务 由原铁合金冶炼转型为土木工程建筑和房地产开发。</w:t>
            </w:r>
          </w:p>
        </w:tc>
      </w:tr>
      <w:tr>
        <w:trPr>
          <w:trHeight w:val="706" w:hRule="exact"/>
        </w:trPr>
        <w:tc>
          <w:tcPr>
            <w:tcW w:w="3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10" w:space="0" w:color="D2D2D2"/>
              <w:right w:val="single" w:sz="4" w:space="0" w:color="000000"/>
            </w:tcBorders>
          </w:tcPr>
          <w:p>
            <w:pPr/>
          </w:p>
        </w:tc>
      </w:tr>
      <w:tr>
        <w:trPr>
          <w:trHeight w:val="161"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r>
        <w:trPr>
          <w:trHeight w:val="2813"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07" w:lineRule="auto" w:before="49"/>
              <w:ind w:left="16" w:right="20"/>
              <w:jc w:val="both"/>
              <w:rPr>
                <w:rFonts w:ascii="宋体" w:hAnsi="宋体" w:cs="宋体" w:eastAsia="宋体" w:hint="default"/>
                <w:sz w:val="18"/>
                <w:szCs w:val="18"/>
              </w:rPr>
            </w:pPr>
            <w:r>
              <w:rPr>
                <w:rFonts w:ascii="宋体" w:hAnsi="宋体" w:cs="宋体" w:eastAsia="宋体" w:hint="default"/>
                <w:sz w:val="18"/>
                <w:szCs w:val="18"/>
              </w:rPr>
              <w:t>江苏中南建设集团股份有限公司（以下简称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）原名称为大连金牛股份有 </w:t>
            </w:r>
            <w:r>
              <w:rPr>
                <w:rFonts w:ascii="宋体" w:hAnsi="宋体" w:cs="宋体" w:eastAsia="宋体" w:hint="default"/>
                <w:spacing w:val="-4"/>
                <w:w w:val="99"/>
                <w:sz w:val="18"/>
                <w:szCs w:val="18"/>
              </w:rPr>
              <w:t>限公司（以下简称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大连金牛</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），大连金牛为东北特殊钢集团有限责任公司（以下</w:t>
            </w:r>
            <w:r>
              <w:rPr>
                <w:rFonts w:ascii="宋体" w:hAnsi="宋体" w:cs="宋体" w:eastAsia="宋体" w:hint="default"/>
                <w:spacing w:val="-72"/>
                <w:w w:val="99"/>
                <w:sz w:val="18"/>
                <w:szCs w:val="18"/>
              </w:rPr>
              <w:t> </w:t>
            </w:r>
            <w:r>
              <w:rPr>
                <w:rFonts w:ascii="宋体" w:hAnsi="宋体" w:cs="宋体" w:eastAsia="宋体" w:hint="default"/>
                <w:spacing w:val="-72"/>
                <w:w w:val="99"/>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东北特钢集团</w:t>
            </w:r>
            <w:r>
              <w:rPr>
                <w:rFonts w:ascii="Times New Roman" w:hAnsi="Times New Roman" w:cs="Times New Roman" w:eastAsia="Times New Roman" w:hint="default"/>
                <w:sz w:val="18"/>
                <w:szCs w:val="18"/>
              </w:rPr>
              <w:t>"</w:t>
            </w:r>
            <w:r>
              <w:rPr>
                <w:rFonts w:ascii="宋体" w:hAnsi="宋体" w:cs="宋体" w:eastAsia="宋体" w:hint="default"/>
                <w:sz w:val="18"/>
                <w:szCs w:val="18"/>
              </w:rPr>
              <w:t>）旗下的一家上市公司。是经大连市人民政府（</w:t>
            </w:r>
            <w:r>
              <w:rPr>
                <w:rFonts w:ascii="Times New Roman" w:hAnsi="Times New Roman" w:cs="Times New Roman" w:eastAsia="Times New Roman" w:hint="default"/>
                <w:sz w:val="18"/>
                <w:szCs w:val="18"/>
              </w:rPr>
              <w:t>1998</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文件批准，由东北特钢集团、吉林炭素股份有限公司、瓦房店轴承集团有限责任 公司、兰州炭素（集团）有限公司、大连华信信托投资股份有限公司和吉林铁合 金集团有限责任公司共同发起，于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日取得大连市工商局核发的</w:t>
            </w:r>
          </w:p>
          <w:p>
            <w:pPr>
              <w:pStyle w:val="TableParagraph"/>
              <w:spacing w:line="240" w:lineRule="auto" w:before="7"/>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21020011035276-2916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号企业法人营业执照，注册资本为人民币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17,053.00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304" w:lineRule="auto" w:before="63"/>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日，经中国证券监督管理委员会《关于核准大连金牛股份有限公 </w:t>
            </w:r>
            <w:r>
              <w:rPr>
                <w:rFonts w:ascii="宋体" w:hAnsi="宋体" w:cs="宋体" w:eastAsia="宋体" w:hint="default"/>
                <w:spacing w:val="-5"/>
                <w:sz w:val="18"/>
                <w:szCs w:val="18"/>
              </w:rPr>
              <w:t>司重大资产重组及向中南房地产业有限公司等发行股份购买资产的批复》（证监许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可</w:t>
            </w:r>
            <w:r>
              <w:rPr>
                <w:rFonts w:ascii="Times New Roman" w:hAnsi="Times New Roman" w:cs="Times New Roman" w:eastAsia="Times New Roman" w:hint="default"/>
                <w:spacing w:val="-1"/>
                <w:sz w:val="18"/>
                <w:szCs w:val="18"/>
              </w:rPr>
              <w:t>[2009]418</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号）及《关于核准豁免中南房产业有限公司及一致行动人公告大连金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牛股份有限公司收购报告书并豁免其要约收购义务的批复》（证监许可</w:t>
            </w:r>
            <w:r>
              <w:rPr>
                <w:rFonts w:ascii="Times New Roman" w:hAnsi="Times New Roman" w:cs="Times New Roman" w:eastAsia="Times New Roman" w:hint="default"/>
                <w:spacing w:val="-3"/>
                <w:sz w:val="18"/>
                <w:szCs w:val="18"/>
              </w:rPr>
              <w:t>[2009]419</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pacing w:val="-18"/>
                <w:sz w:val="18"/>
                <w:szCs w:val="18"/>
              </w:rPr>
            </w:r>
            <w:r>
              <w:rPr>
                <w:rFonts w:ascii="宋体" w:hAnsi="宋体" w:cs="宋体" w:eastAsia="宋体" w:hint="default"/>
                <w:sz w:val="18"/>
                <w:szCs w:val="18"/>
              </w:rPr>
              <w:t>号）核准批复，</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日本公司向东北特钢集团大连特殊钢有限责任公</w:t>
            </w:r>
          </w:p>
          <w:p>
            <w:pPr>
              <w:pStyle w:val="TableParagraph"/>
              <w:spacing w:line="240" w:lineRule="auto" w:before="9"/>
              <w:ind w:left="16"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司出售了全部资产、负债。作为重大资产重组主要组成部分之一，</w:t>
            </w:r>
            <w:r>
              <w:rPr>
                <w:rFonts w:ascii="Times New Roman" w:hAnsi="Times New Roman" w:cs="Times New Roman" w:eastAsia="Times New Roman" w:hint="default"/>
                <w:spacing w:val="-3"/>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307" w:lineRule="auto" w:before="63"/>
              <w:ind w:left="16" w:right="18"/>
              <w:jc w:val="both"/>
              <w:rPr>
                <w:rFonts w:ascii="宋体" w:hAnsi="宋体" w:cs="宋体" w:eastAsia="宋体" w:hint="default"/>
                <w:sz w:val="18"/>
                <w:szCs w:val="18"/>
              </w:rPr>
            </w:pPr>
            <w:r>
              <w:rPr>
                <w:rFonts w:ascii="宋体" w:hAnsi="宋体" w:cs="宋体" w:eastAsia="宋体" w:hint="default"/>
                <w:sz w:val="18"/>
                <w:szCs w:val="18"/>
              </w:rPr>
              <w:t>日，中南房地产业有限公司受让东北特殊钢集团有限责任公司持有的本公司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9000 </w:t>
            </w:r>
            <w:r>
              <w:rPr>
                <w:rFonts w:ascii="宋体" w:hAnsi="宋体" w:cs="宋体" w:eastAsia="宋体" w:hint="default"/>
                <w:sz w:val="18"/>
                <w:szCs w:val="18"/>
              </w:rPr>
              <w:t>万股，持有公司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29.9471%</w:t>
            </w:r>
            <w:r>
              <w:rPr>
                <w:rFonts w:ascii="宋体" w:hAnsi="宋体" w:cs="宋体" w:eastAsia="宋体" w:hint="default"/>
                <w:sz w:val="18"/>
                <w:szCs w:val="18"/>
              </w:rPr>
              <w:t>股权，每股转让价格为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元，过户手续办理完毕， </w:t>
            </w:r>
            <w:r>
              <w:rPr>
                <w:rFonts w:ascii="宋体" w:hAnsi="宋体" w:cs="宋体" w:eastAsia="宋体" w:hint="default"/>
                <w:spacing w:val="-5"/>
                <w:sz w:val="18"/>
                <w:szCs w:val="18"/>
              </w:rPr>
              <w:t>并取得《中国证券登记结算有限责任公司深圳分公司证券过户登记确认书》，本次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股权转让过户完成后，中南房地产业有限公司成为本公司第一大股东。</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月中南房地产业有限公司名称变更为中南城市建设投资有限公司。本公司实质控 制人为陈锦石。</w:t>
            </w:r>
          </w:p>
        </w:tc>
      </w:tr>
      <w:tr>
        <w:trPr>
          <w:trHeight w:val="391" w:hRule="exact"/>
        </w:trPr>
        <w:tc>
          <w:tcPr>
            <w:tcW w:w="3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10" w:space="0" w:color="D2D2D2"/>
              <w:right w:val="single" w:sz="4" w:space="0" w:color="000000"/>
            </w:tcBorders>
          </w:tcPr>
          <w:p>
            <w:pPr/>
          </w:p>
        </w:tc>
      </w:tr>
      <w:tr>
        <w:trPr>
          <w:trHeight w:val="2813"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42"/>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2"/>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北京市朝阳区八里庄西里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号住邦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一号楼东区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王晶、赵玥</w:t>
            </w:r>
          </w:p>
        </w:tc>
      </w:tr>
    </w:tbl>
    <w:p>
      <w:pPr>
        <w:pStyle w:val="BodyText"/>
        <w:spacing w:line="240" w:lineRule="auto" w:before="49"/>
        <w:ind w:right="142"/>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42"/>
        <w:jc w:val="left"/>
        <w:rPr>
          <w:b w:val="0"/>
          <w:bCs w:val="0"/>
        </w:rPr>
      </w:pPr>
      <w:bookmarkStart w:name="_TOC_250009" w:id="3"/>
      <w:r>
        <w:rPr/>
        <w:t>第三节</w:t>
      </w:r>
      <w:r>
        <w:rPr>
          <w:spacing w:val="-6"/>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2"/>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公司是否因会计政策变更及会计差错更正等追溯调整或重述以前年度会计数据</w:t>
      </w:r>
    </w:p>
    <w:p>
      <w:pPr>
        <w:pStyle w:val="BodyText"/>
        <w:spacing w:line="240" w:lineRule="auto" w:before="117"/>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21,792,094,179.35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18,326,408,442.63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13,034,564,226.07</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959,187,133.29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1,209,382,865.66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1,032,157,935.59</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900,887,718.61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1,172,457,563.61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1,015,582,543.23</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-5,867,585,035.55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-4,179,169,987.63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-277,819,117.37</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0.88</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0.88</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84,280,299,980.50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65,112,103,499.09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47,838,182,667.86</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8,816,235,779.18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7,736,538,226.64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6,473,554,549.81</w:t>
            </w:r>
          </w:p>
        </w:tc>
      </w:tr>
    </w:tbl>
    <w:p>
      <w:pPr>
        <w:spacing w:line="240" w:lineRule="auto" w:before="1"/>
        <w:rPr>
          <w:rFonts w:ascii="宋体" w:hAnsi="宋体" w:cs="宋体" w:eastAsia="宋体" w:hint="default"/>
          <w:sz w:val="18"/>
          <w:szCs w:val="18"/>
        </w:rPr>
      </w:pPr>
    </w:p>
    <w:p>
      <w:pPr>
        <w:pStyle w:val="Heading2"/>
        <w:spacing w:line="240" w:lineRule="auto" w:before="26"/>
        <w:ind w:right="142"/>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-920,663.01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6,350,677.39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11,143,737.65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80,471,848.50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47,853,389.41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14,072,700.00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965,327.33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508,706.63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595,325.97</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-28,672,861.35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-20,787,659.95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-6,892,296.01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-6,636,533.94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2,428,851.77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2,093,655.98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180,770.73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-5,429,040.34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250,419.27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58,299,414.68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36,925,302.05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16,575,392.36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4"/>
        <w:ind w:right="134" w:firstLine="360"/>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89" w:right="3630"/>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（一）房地产形势分析</w:t>
      </w:r>
    </w:p>
    <w:p>
      <w:pPr>
        <w:pStyle w:val="BodyText"/>
        <w:spacing w:line="304" w:lineRule="auto" w:before="76"/>
        <w:ind w:right="186"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t>月份，全国商品房销售面积合计</w:t>
      </w:r>
      <w:r>
        <w:rPr>
          <w:rFonts w:ascii="Times New Roman" w:hAnsi="Times New Roman" w:cs="Times New Roman" w:eastAsia="Times New Roman" w:hint="default"/>
        </w:rPr>
        <w:t>120649</w:t>
      </w:r>
      <w:r>
        <w:rPr/>
        <w:t>万平方米，其中住宅销售面积</w:t>
      </w:r>
      <w:r>
        <w:rPr>
          <w:rFonts w:ascii="Times New Roman" w:hAnsi="Times New Roman" w:cs="Times New Roman" w:eastAsia="Times New Roman" w:hint="default"/>
        </w:rPr>
        <w:t>105182</w:t>
      </w:r>
      <w:r>
        <w:rPr/>
        <w:t>万平方米，同比</w:t>
      </w:r>
      <w:r>
        <w:rPr>
          <w:rFonts w:ascii="Times New Roman" w:hAnsi="Times New Roman" w:cs="Times New Roman" w:eastAsia="Times New Roman" w:hint="default"/>
        </w:rPr>
        <w:t>13</w:t>
      </w:r>
      <w:r>
        <w:rPr/>
        <w:t>年全年销售 分别下降</w:t>
      </w:r>
      <w:r>
        <w:rPr>
          <w:rFonts w:ascii="Times New Roman" w:hAnsi="Times New Roman" w:cs="Times New Roman" w:eastAsia="Times New Roman" w:hint="default"/>
        </w:rPr>
        <w:t>7.6%</w:t>
      </w:r>
      <w:r>
        <w:rPr/>
        <w:t>和下降</w:t>
      </w:r>
      <w:r>
        <w:rPr>
          <w:rFonts w:ascii="Times New Roman" w:hAnsi="Times New Roman" w:cs="Times New Roman" w:eastAsia="Times New Roman" w:hint="default"/>
        </w:rPr>
        <w:t>9.1%</w:t>
      </w:r>
      <w:r>
        <w:rPr/>
        <w:t>，降幅较前几个月有所收窄。商品房销售额合计</w:t>
      </w:r>
      <w:r>
        <w:rPr>
          <w:rFonts w:ascii="Times New Roman" w:hAnsi="Times New Roman" w:cs="Times New Roman" w:eastAsia="Times New Roman" w:hint="default"/>
        </w:rPr>
        <w:t>76292</w:t>
      </w:r>
      <w:r>
        <w:rPr/>
        <w:t>亿，商品住宅销售额合计</w:t>
      </w:r>
      <w:r>
        <w:rPr>
          <w:rFonts w:ascii="Times New Roman" w:hAnsi="Times New Roman" w:cs="Times New Roman" w:eastAsia="Times New Roman" w:hint="default"/>
        </w:rPr>
        <w:t>62396</w:t>
      </w:r>
      <w:r>
        <w:rPr/>
        <w:t>亿，同比</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年则分别下降</w:t>
      </w:r>
      <w:r>
        <w:rPr>
          <w:rFonts w:ascii="Times New Roman" w:hAnsi="Times New Roman" w:cs="Times New Roman" w:eastAsia="Times New Roman" w:hint="default"/>
        </w:rPr>
        <w:t>6.3%</w:t>
      </w:r>
      <w:r>
        <w:rPr/>
        <w:t>和下降</w:t>
      </w:r>
      <w:r>
        <w:rPr>
          <w:rFonts w:ascii="Times New Roman" w:hAnsi="Times New Roman" w:cs="Times New Roman" w:eastAsia="Times New Roman" w:hint="default"/>
        </w:rPr>
        <w:t>7.8%</w:t>
      </w:r>
      <w:r>
        <w:rPr/>
        <w:t>，降幅同样有所收窄。整体看，</w:t>
      </w:r>
      <w:r>
        <w:rPr>
          <w:rFonts w:ascii="Times New Roman" w:hAnsi="Times New Roman" w:cs="Times New Roman" w:eastAsia="Times New Roman" w:hint="default"/>
        </w:rPr>
        <w:t>14</w:t>
      </w:r>
      <w:r>
        <w:rPr/>
        <w:t>年前三季度楼市销售持续低迷，累计同比降幅不断扩大。</w:t>
      </w:r>
      <w:r>
        <w:rPr>
          <w:spacing w:val="-34"/>
        </w:rPr>
        <w:t> </w:t>
      </w:r>
      <w:r>
        <w:rPr>
          <w:spacing w:val="-34"/>
        </w:rPr>
      </w:r>
      <w:r>
        <w:rPr/>
        <w:t>四季度政府救市政策叠加资金面改善，带动销售有一定的回升，而全年累计销售增长约</w:t>
      </w:r>
      <w:r>
        <w:rPr>
          <w:rFonts w:ascii="Times New Roman" w:hAnsi="Times New Roman" w:cs="Times New Roman" w:eastAsia="Times New Roman" w:hint="default"/>
        </w:rPr>
        <w:t>7%</w:t>
      </w:r>
      <w:r>
        <w:rPr/>
        <w:t>的跌幅。</w:t>
      </w:r>
      <w:r>
        <w:rPr>
          <w:rFonts w:ascii="Times New Roman" w:hAnsi="Times New Roman" w:cs="Times New Roman" w:eastAsia="Times New Roman" w:hint="default"/>
        </w:rPr>
        <w:t>14</w:t>
      </w:r>
      <w:r>
        <w:rPr/>
        <w:t>年全年销售额为除</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spacing w:val="-2"/>
        </w:rPr>
        <w:t>年外历史次高年份。我们认为，从长周期来看，楼市销售的高点或已经出现，预判未来几年楼市整体销售将更趋于平缓，较</w:t>
      </w:r>
      <w:r>
        <w:rPr>
          <w:spacing w:val="-67"/>
        </w:rPr>
        <w:t> </w:t>
      </w:r>
      <w:r>
        <w:rPr>
          <w:spacing w:val="-67"/>
        </w:rPr>
      </w:r>
      <w:r>
        <w:rPr/>
        <w:t>大幅度的增长或萎缩可能性也不大。</w:t>
      </w:r>
    </w:p>
    <w:p>
      <w:pPr>
        <w:pStyle w:val="BodyText"/>
        <w:spacing w:line="300" w:lineRule="auto" w:before="28"/>
        <w:ind w:right="94" w:firstLine="360"/>
        <w:jc w:val="left"/>
      </w:pPr>
      <w:r>
        <w:rPr>
          <w:spacing w:val="-2"/>
        </w:rPr>
        <w:t>单月情况看，</w:t>
      </w:r>
      <w:r>
        <w:rPr>
          <w:rFonts w:ascii="Times New Roman" w:hAnsi="Times New Roman" w:cs="Times New Roman" w:eastAsia="Times New Roman" w:hint="default"/>
          <w:spacing w:val="-2"/>
        </w:rPr>
        <w:t>12</w:t>
      </w:r>
      <w:r>
        <w:rPr>
          <w:spacing w:val="-2"/>
        </w:rPr>
        <w:t>月份全国商品房销售面积为</w:t>
      </w:r>
      <w:r>
        <w:rPr>
          <w:rFonts w:ascii="Times New Roman" w:hAnsi="Times New Roman" w:cs="Times New Roman" w:eastAsia="Times New Roman" w:hint="default"/>
          <w:spacing w:val="-2"/>
        </w:rPr>
        <w:t>18932</w:t>
      </w:r>
      <w:r>
        <w:rPr>
          <w:spacing w:val="-2"/>
        </w:rPr>
        <w:t>万平方米，同比下降</w:t>
      </w:r>
      <w:r>
        <w:rPr>
          <w:rFonts w:ascii="Times New Roman" w:hAnsi="Times New Roman" w:cs="Times New Roman" w:eastAsia="Times New Roman" w:hint="default"/>
          <w:spacing w:val="-2"/>
        </w:rPr>
        <w:t>4.11%</w:t>
      </w:r>
      <w:r>
        <w:rPr>
          <w:spacing w:val="-2"/>
        </w:rPr>
        <w:t>，环比</w:t>
      </w:r>
      <w:r>
        <w:rPr>
          <w:rFonts w:ascii="Times New Roman" w:hAnsi="Times New Roman" w:cs="Times New Roman" w:eastAsia="Times New Roman" w:hint="default"/>
          <w:spacing w:val="-2"/>
        </w:rPr>
        <w:t>11</w:t>
      </w:r>
      <w:r>
        <w:rPr>
          <w:spacing w:val="-2"/>
        </w:rPr>
        <w:t>月单月销售则大幅回升</w:t>
      </w:r>
      <w:r>
        <w:rPr>
          <w:rFonts w:ascii="Times New Roman" w:hAnsi="Times New Roman" w:cs="Times New Roman" w:eastAsia="Times New Roman" w:hint="default"/>
          <w:spacing w:val="-2"/>
        </w:rPr>
        <w:t>43%</w:t>
      </w:r>
      <w:r>
        <w:rPr>
          <w:spacing w:val="-2"/>
        </w:rPr>
        <w:t>；商品</w:t>
      </w:r>
      <w:r>
        <w:rPr/>
        <w:t> 住宅销售面积</w:t>
      </w:r>
      <w:r>
        <w:rPr>
          <w:rFonts w:ascii="Times New Roman" w:hAnsi="Times New Roman" w:cs="Times New Roman" w:eastAsia="Times New Roman" w:hint="default"/>
        </w:rPr>
        <w:t>16168</w:t>
      </w:r>
      <w:r>
        <w:rPr/>
        <w:t>万平米，同比下降</w:t>
      </w:r>
      <w:r>
        <w:rPr>
          <w:rFonts w:ascii="Times New Roman" w:hAnsi="Times New Roman" w:cs="Times New Roman" w:eastAsia="Times New Roman" w:hint="default"/>
        </w:rPr>
        <w:t>4.05%</w:t>
      </w:r>
      <w:r>
        <w:rPr/>
        <w:t>，环比也大幅上升</w:t>
      </w:r>
      <w:r>
        <w:rPr>
          <w:rFonts w:ascii="Times New Roman" w:hAnsi="Times New Roman" w:cs="Times New Roman" w:eastAsia="Times New Roman" w:hint="default"/>
        </w:rPr>
        <w:t>42%</w:t>
      </w:r>
      <w:r>
        <w:rPr/>
        <w:t>。可见，第四季度整体商品房销售量有明显的回升。 销</w:t>
      </w:r>
      <w:r>
        <w:rPr>
          <w:spacing w:val="-73"/>
        </w:rPr>
        <w:t> </w:t>
      </w:r>
      <w:r>
        <w:rPr>
          <w:spacing w:val="-73"/>
        </w:rPr>
      </w:r>
      <w:r>
        <w:rPr/>
        <w:t>售额方面，</w:t>
      </w:r>
      <w:r>
        <w:rPr>
          <w:rFonts w:ascii="Times New Roman" w:hAnsi="Times New Roman" w:cs="Times New Roman" w:eastAsia="Times New Roman" w:hint="default"/>
        </w:rPr>
        <w:t>12</w:t>
      </w:r>
      <w:r>
        <w:rPr/>
        <w:t>月份全国商品房销售额为</w:t>
      </w:r>
      <w:r>
        <w:rPr>
          <w:rFonts w:ascii="Times New Roman" w:hAnsi="Times New Roman" w:cs="Times New Roman" w:eastAsia="Times New Roman" w:hint="default"/>
        </w:rPr>
        <w:t>11811</w:t>
      </w:r>
      <w:r>
        <w:rPr/>
        <w:t>亿，同比上升</w:t>
      </w:r>
      <w:r>
        <w:rPr>
          <w:rFonts w:ascii="Times New Roman" w:hAnsi="Times New Roman" w:cs="Times New Roman" w:eastAsia="Times New Roman" w:hint="default"/>
        </w:rPr>
        <w:t>2.87%</w:t>
      </w:r>
      <w:r>
        <w:rPr/>
        <w:t>，环比则上升</w:t>
      </w:r>
      <w:r>
        <w:rPr>
          <w:rFonts w:ascii="Times New Roman" w:hAnsi="Times New Roman" w:cs="Times New Roman" w:eastAsia="Times New Roman" w:hint="default"/>
        </w:rPr>
        <w:t>46%</w:t>
      </w:r>
      <w:r>
        <w:rPr/>
        <w:t>； 商品住宅销售额</w:t>
      </w:r>
      <w:r>
        <w:rPr>
          <w:rFonts w:ascii="Times New Roman" w:hAnsi="Times New Roman" w:cs="Times New Roman" w:eastAsia="Times New Roman" w:hint="default"/>
        </w:rPr>
        <w:t>9384</w:t>
      </w:r>
      <w:r>
        <w:rPr/>
        <w:t>亿，同比也上升</w:t>
      </w:r>
      <w:r>
        <w:rPr>
          <w:spacing w:val="-74"/>
        </w:rPr>
        <w:t> </w:t>
      </w:r>
      <w:r>
        <w:rPr>
          <w:spacing w:val="-74"/>
        </w:rPr>
      </w:r>
      <w:r>
        <w:rPr>
          <w:rFonts w:ascii="Times New Roman" w:hAnsi="Times New Roman" w:cs="Times New Roman" w:eastAsia="Times New Roman" w:hint="default"/>
          <w:spacing w:val="-2"/>
        </w:rPr>
        <w:t>4.20%</w:t>
      </w:r>
      <w:r>
        <w:rPr>
          <w:spacing w:val="-2"/>
        </w:rPr>
        <w:t>，同比由跌转升；环比则大幅上涨</w:t>
      </w:r>
      <w:r>
        <w:rPr>
          <w:rFonts w:ascii="Times New Roman" w:hAnsi="Times New Roman" w:cs="Times New Roman" w:eastAsia="Times New Roman" w:hint="default"/>
          <w:spacing w:val="-2"/>
        </w:rPr>
        <w:t>41%</w:t>
      </w:r>
      <w:r>
        <w:rPr>
          <w:spacing w:val="-2"/>
        </w:rPr>
        <w:t>。</w:t>
      </w:r>
      <w:r>
        <w:rPr>
          <w:rFonts w:ascii="Times New Roman" w:hAnsi="Times New Roman" w:cs="Times New Roman" w:eastAsia="Times New Roman" w:hint="default"/>
          <w:spacing w:val="-2"/>
        </w:rPr>
        <w:t>12</w:t>
      </w:r>
      <w:r>
        <w:rPr>
          <w:spacing w:val="-2"/>
        </w:rPr>
        <w:t>月份销售额较前几个月均有明显的回升，显示年底楼市销售回暖。整体看，</w:t>
      </w:r>
      <w:r>
        <w:rPr>
          <w:spacing w:val="-46"/>
        </w:rPr>
        <w:t> </w:t>
      </w:r>
      <w:r>
        <w:rPr>
          <w:spacing w:val="-46"/>
        </w:rPr>
      </w:r>
      <w:r>
        <w:rPr/>
        <w:t>楼市销售在四季度回升态势相当明显，而相信楼市景气度的回升在</w:t>
      </w:r>
      <w:r>
        <w:rPr>
          <w:rFonts w:ascii="Times New Roman" w:hAnsi="Times New Roman" w:cs="Times New Roman" w:eastAsia="Times New Roman" w:hint="default"/>
        </w:rPr>
        <w:t>15</w:t>
      </w:r>
      <w:r>
        <w:rPr/>
        <w:t>年上半年将会延续。</w:t>
      </w:r>
    </w:p>
    <w:p>
      <w:pPr>
        <w:pStyle w:val="BodyText"/>
        <w:spacing w:line="240" w:lineRule="auto" w:before="13"/>
        <w:ind w:right="0"/>
        <w:jc w:val="both"/>
      </w:pPr>
      <w:r>
        <w:rPr/>
        <w:t>（二）公司年度取得主要成绩</w:t>
      </w:r>
    </w:p>
    <w:p>
      <w:pPr>
        <w:pStyle w:val="BodyText"/>
        <w:spacing w:line="300" w:lineRule="auto" w:before="76"/>
        <w:ind w:right="194" w:firstLine="288"/>
        <w:jc w:val="both"/>
      </w:pPr>
      <w:r>
        <w:rPr>
          <w:rFonts w:ascii="Times New Roman" w:hAnsi="Times New Roman" w:cs="Times New Roman" w:eastAsia="Times New Roman" w:hint="default"/>
          <w:spacing w:val="-1"/>
        </w:rPr>
        <w:t>2014</w:t>
      </w:r>
      <w:r>
        <w:rPr>
          <w:spacing w:val="-1"/>
        </w:rPr>
        <w:t>年中国经济发展进入新常态，受经济下滑、结构调整、前期政策等因素影响，导致房地产市场形势急转直下。公司</w:t>
      </w:r>
      <w:r>
        <w:rPr/>
        <w:t> 在董事会的带领下，仍较好的完成了全年的经营目标：</w:t>
      </w:r>
    </w:p>
    <w:p>
      <w:pPr>
        <w:pStyle w:val="BodyText"/>
        <w:spacing w:line="240" w:lineRule="auto" w:before="32"/>
        <w:ind w:left="513" w:right="94"/>
        <w:jc w:val="left"/>
      </w:pPr>
      <w:r>
        <w:rPr>
          <w:rFonts w:ascii="Times New Roman" w:hAnsi="Times New Roman" w:cs="Times New Roman" w:eastAsia="Times New Roman" w:hint="default"/>
        </w:rPr>
        <w:t>1</w:t>
      </w:r>
      <w:r>
        <w:rPr/>
        <w:t>、房地产全年实现预售收入</w:t>
      </w:r>
      <w:r>
        <w:rPr>
          <w:rFonts w:ascii="Times New Roman" w:hAnsi="Times New Roman" w:cs="Times New Roman" w:eastAsia="Times New Roman" w:hint="default"/>
        </w:rPr>
        <w:t>207.2</w:t>
      </w:r>
      <w:r>
        <w:rPr/>
        <w:t>亿元，同比增长</w:t>
      </w:r>
      <w:r>
        <w:rPr>
          <w:rFonts w:ascii="Times New Roman" w:hAnsi="Times New Roman" w:cs="Times New Roman" w:eastAsia="Times New Roman" w:hint="default"/>
        </w:rPr>
        <w:t>32.40%</w:t>
      </w:r>
      <w:r>
        <w:rPr/>
        <w:t>。建筑施工业务完成收入</w:t>
      </w:r>
      <w:r>
        <w:rPr>
          <w:rFonts w:ascii="Times New Roman" w:hAnsi="Times New Roman" w:cs="Times New Roman" w:eastAsia="Times New Roman" w:hint="default"/>
        </w:rPr>
        <w:t>122.5</w:t>
      </w:r>
      <w:r>
        <w:rPr/>
        <w:t>亿元，同比增长</w:t>
      </w:r>
      <w:r>
        <w:rPr>
          <w:rFonts w:ascii="Times New Roman" w:hAnsi="Times New Roman" w:cs="Times New Roman" w:eastAsia="Times New Roman" w:hint="default"/>
        </w:rPr>
        <w:t>13.67%</w:t>
      </w:r>
      <w:r>
        <w:rPr/>
        <w:t>。</w:t>
      </w:r>
    </w:p>
    <w:p>
      <w:pPr>
        <w:pStyle w:val="BodyText"/>
        <w:spacing w:line="300" w:lineRule="auto" w:before="63"/>
        <w:ind w:right="100"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w:t>
      </w:r>
      <w:r>
        <w:rPr>
          <w:spacing w:val="-1"/>
        </w:rPr>
        <w:t>三先六快</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高周转</w:t>
      </w:r>
      <w:r>
        <w:rPr>
          <w:rFonts w:ascii="Times New Roman" w:hAnsi="Times New Roman" w:cs="Times New Roman" w:eastAsia="Times New Roman" w:hint="default"/>
          <w:spacing w:val="-1"/>
        </w:rPr>
        <w:t>”</w:t>
      </w:r>
      <w:r>
        <w:rPr>
          <w:spacing w:val="-1"/>
        </w:rPr>
        <w:t>运作机制日趋成熟，凭借</w:t>
      </w:r>
      <w:r>
        <w:rPr>
          <w:rFonts w:ascii="Times New Roman" w:hAnsi="Times New Roman" w:cs="Times New Roman" w:eastAsia="Times New Roman" w:hint="default"/>
          <w:spacing w:val="-1"/>
        </w:rPr>
        <w:t>“</w:t>
      </w:r>
      <w:r>
        <w:rPr>
          <w:spacing w:val="-1"/>
        </w:rPr>
        <w:t>三先六快</w:t>
      </w:r>
      <w:r>
        <w:rPr>
          <w:rFonts w:ascii="Times New Roman" w:hAnsi="Times New Roman" w:cs="Times New Roman" w:eastAsia="Times New Roman" w:hint="default"/>
          <w:spacing w:val="-1"/>
        </w:rPr>
        <w:t>”</w:t>
      </w:r>
      <w:r>
        <w:rPr>
          <w:spacing w:val="-1"/>
        </w:rPr>
        <w:t>模式，苏州、常熟、太仓、泰兴、南京等项目快速周转，</w:t>
      </w:r>
      <w:r>
        <w:rPr/>
        <w:t> 迅速抢占市场，创造了巨大效益，为确保全年销售指标的实现起了关键性作用。</w:t>
      </w:r>
    </w:p>
    <w:p>
      <w:pPr>
        <w:pStyle w:val="BodyText"/>
        <w:spacing w:line="300" w:lineRule="auto" w:before="31"/>
        <w:ind w:right="191" w:firstLine="360"/>
        <w:jc w:val="both"/>
      </w:pPr>
      <w:r>
        <w:rPr>
          <w:rFonts w:ascii="Times New Roman" w:hAnsi="Times New Roman" w:cs="Times New Roman" w:eastAsia="Times New Roman" w:hint="default"/>
        </w:rPr>
        <w:t>3</w:t>
      </w:r>
      <w:r>
        <w:rPr/>
        <w:t>、建筑工业化、建设产业化进一步提速，继沈阳中南</w:t>
      </w:r>
      <w:r>
        <w:rPr>
          <w:rFonts w:ascii="Times New Roman" w:hAnsi="Times New Roman" w:cs="Times New Roman" w:eastAsia="Times New Roman" w:hint="default"/>
        </w:rPr>
        <w:t>NPC</w:t>
      </w:r>
      <w:r>
        <w:rPr/>
        <w:t>成为国家级</w:t>
      </w:r>
      <w:r>
        <w:rPr>
          <w:rFonts w:ascii="Times New Roman" w:hAnsi="Times New Roman" w:cs="Times New Roman" w:eastAsia="Times New Roman" w:hint="default"/>
        </w:rPr>
        <w:t>“</w:t>
      </w:r>
      <w:r>
        <w:rPr/>
        <w:t>可装配式关键部品产业化技术研究与示范</w:t>
      </w:r>
      <w:r>
        <w:rPr>
          <w:rFonts w:ascii="Times New Roman" w:hAnsi="Times New Roman" w:cs="Times New Roman" w:eastAsia="Times New Roman" w:hint="default"/>
        </w:rPr>
        <w:t>”</w:t>
      </w:r>
      <w:r>
        <w:rPr/>
        <w:t>生产 基地之后，</w:t>
      </w:r>
      <w:r>
        <w:rPr>
          <w:rFonts w:ascii="Times New Roman" w:hAnsi="Times New Roman" w:cs="Times New Roman" w:eastAsia="Times New Roman" w:hint="default"/>
        </w:rPr>
        <w:t>NPC</w:t>
      </w:r>
      <w:r>
        <w:rPr/>
        <w:t>技术在上海嘉定、苏州、南京等地成功推广运用，公司</w:t>
      </w:r>
      <w:r>
        <w:rPr>
          <w:rFonts w:ascii="Times New Roman" w:hAnsi="Times New Roman" w:cs="Times New Roman" w:eastAsia="Times New Roman" w:hint="default"/>
        </w:rPr>
        <w:t>NPC</w:t>
      </w:r>
      <w:r>
        <w:rPr/>
        <w:t>装配生产外销规模逐步扩大。</w:t>
      </w:r>
    </w:p>
    <w:p>
      <w:pPr>
        <w:pStyle w:val="BodyText"/>
        <w:spacing w:line="300" w:lineRule="auto" w:before="13"/>
        <w:ind w:right="192" w:firstLine="360"/>
        <w:jc w:val="both"/>
      </w:pPr>
      <w:r>
        <w:rPr>
          <w:rFonts w:ascii="Times New Roman" w:hAnsi="Times New Roman" w:cs="Times New Roman" w:eastAsia="Times New Roman" w:hint="default"/>
        </w:rPr>
        <w:t>4</w:t>
      </w:r>
      <w:r>
        <w:rPr/>
        <w:t>、公司立体化融资稳步推进，融资渠道不断拓宽，</w:t>
      </w:r>
      <w:r>
        <w:rPr>
          <w:rFonts w:ascii="Times New Roman" w:hAnsi="Times New Roman" w:cs="Times New Roman" w:eastAsia="Times New Roman" w:hint="default"/>
        </w:rPr>
        <w:t>2014</w:t>
      </w:r>
      <w:r>
        <w:rPr/>
        <w:t>年公司成功运用了短期融资券、银行间私募债等新融资工具， 并积极申报了中期票据融资，公司低成本融资体系打造初见雏型。</w:t>
      </w:r>
    </w:p>
    <w:p>
      <w:pPr>
        <w:pStyle w:val="BodyText"/>
        <w:spacing w:line="240" w:lineRule="auto" w:before="31"/>
        <w:ind w:left="513" w:right="94"/>
        <w:jc w:val="left"/>
      </w:pPr>
      <w:r>
        <w:rPr>
          <w:rFonts w:ascii="Times New Roman" w:hAnsi="Times New Roman" w:cs="Times New Roman" w:eastAsia="Times New Roman" w:hint="default"/>
        </w:rPr>
        <w:t>5</w:t>
      </w:r>
      <w:r>
        <w:rPr/>
        <w:t>、公司社会声誉稳步提升，</w:t>
      </w:r>
      <w:r>
        <w:rPr>
          <w:rFonts w:ascii="Times New Roman" w:hAnsi="Times New Roman" w:cs="Times New Roman" w:eastAsia="Times New Roman" w:hint="default"/>
        </w:rPr>
        <w:t>“</w:t>
      </w:r>
      <w:r>
        <w:rPr/>
        <w:t>中南建设</w:t>
      </w:r>
      <w:r>
        <w:rPr>
          <w:rFonts w:ascii="Times New Roman" w:hAnsi="Times New Roman" w:cs="Times New Roman" w:eastAsia="Times New Roman" w:hint="default"/>
        </w:rPr>
        <w:t>”</w:t>
      </w:r>
      <w:r>
        <w:rPr/>
        <w:t>获得江苏省著名商标称号、中南建设荣获江苏省百强企业前</w:t>
      </w:r>
      <w:r>
        <w:rPr>
          <w:rFonts w:ascii="Times New Roman" w:hAnsi="Times New Roman" w:cs="Times New Roman" w:eastAsia="Times New Roman" w:hint="default"/>
        </w:rPr>
        <w:t>20</w:t>
      </w:r>
      <w:r>
        <w:rPr/>
        <w:t>名、房地产荣获</w:t>
      </w:r>
    </w:p>
    <w:p>
      <w:pPr>
        <w:pStyle w:val="BodyText"/>
        <w:spacing w:line="240" w:lineRule="auto" w:before="63"/>
        <w:ind w:right="0"/>
        <w:jc w:val="both"/>
      </w:pPr>
      <w:r>
        <w:rPr>
          <w:rFonts w:ascii="Times New Roman" w:hAnsi="Times New Roman" w:cs="Times New Roman" w:eastAsia="Times New Roman" w:hint="default"/>
        </w:rPr>
        <w:t>2014</w:t>
      </w:r>
      <w:r>
        <w:rPr/>
        <w:t>中国城市运营商百强暨中国城市运营商领袖</w:t>
      </w:r>
      <w:r>
        <w:rPr>
          <w:rFonts w:ascii="Times New Roman" w:hAnsi="Times New Roman" w:cs="Times New Roman" w:eastAsia="Times New Roman" w:hint="default"/>
        </w:rPr>
        <w:t>TOP50</w:t>
      </w:r>
      <w:r>
        <w:rPr/>
        <w:t>。</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3" w:firstLine="360"/>
        <w:jc w:val="both"/>
      </w:pPr>
      <w:r>
        <w:rPr/>
        <w:t>报告期内，公司实现营业收入</w:t>
      </w:r>
      <w:r>
        <w:rPr>
          <w:rFonts w:ascii="Times New Roman" w:hAnsi="Times New Roman" w:cs="Times New Roman" w:eastAsia="Times New Roman" w:hint="default"/>
        </w:rPr>
        <w:t>217.92</w:t>
      </w:r>
      <w:r>
        <w:rPr/>
        <w:t>亿元， 同比增长</w:t>
      </w:r>
      <w:r>
        <w:rPr>
          <w:rFonts w:ascii="Times New Roman" w:hAnsi="Times New Roman" w:cs="Times New Roman" w:eastAsia="Times New Roman" w:hint="default"/>
        </w:rPr>
        <w:t>18.91% </w:t>
      </w:r>
      <w:r>
        <w:rPr/>
        <w:t>，</w:t>
      </w:r>
      <w:r>
        <w:rPr>
          <w:spacing w:val="-56"/>
        </w:rPr>
        <w:t> </w:t>
      </w:r>
      <w:r>
        <w:rPr/>
        <w:t>营业利润</w:t>
      </w:r>
      <w:r>
        <w:rPr>
          <w:rFonts w:ascii="Times New Roman" w:hAnsi="Times New Roman" w:cs="Times New Roman" w:eastAsia="Times New Roman" w:hint="default"/>
        </w:rPr>
        <w:t>14.22</w:t>
      </w:r>
      <w:r>
        <w:rPr/>
        <w:t>亿元，同比减少</w:t>
      </w:r>
      <w:r>
        <w:rPr>
          <w:rFonts w:ascii="Times New Roman" w:hAnsi="Times New Roman" w:cs="Times New Roman" w:eastAsia="Times New Roman" w:hint="default"/>
        </w:rPr>
        <w:t>32.27%</w:t>
      </w:r>
      <w:r>
        <w:rPr/>
        <w:t>，归属于母公司 </w:t>
      </w:r>
      <w:r>
        <w:rPr>
          <w:spacing w:val="-1"/>
        </w:rPr>
        <w:t>所有者净利润</w:t>
      </w:r>
      <w:r>
        <w:rPr>
          <w:rFonts w:ascii="Times New Roman" w:hAnsi="Times New Roman" w:cs="Times New Roman" w:eastAsia="Times New Roman" w:hint="default"/>
          <w:spacing w:val="-1"/>
        </w:rPr>
        <w:t>9.59</w:t>
      </w:r>
      <w:r>
        <w:rPr>
          <w:spacing w:val="-1"/>
        </w:rPr>
        <w:t>亿元，同比减少</w:t>
      </w:r>
      <w:r>
        <w:rPr>
          <w:rFonts w:ascii="Times New Roman" w:hAnsi="Times New Roman" w:cs="Times New Roman" w:eastAsia="Times New Roman" w:hint="default"/>
          <w:spacing w:val="-1"/>
        </w:rPr>
        <w:t>20.69%</w:t>
      </w: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日，公司总资产</w:t>
      </w:r>
      <w:r>
        <w:rPr>
          <w:rFonts w:ascii="Times New Roman" w:hAnsi="Times New Roman" w:cs="Times New Roman" w:eastAsia="Times New Roman" w:hint="default"/>
          <w:spacing w:val="-1"/>
        </w:rPr>
        <w:t>842.80</w:t>
      </w:r>
      <w:r>
        <w:rPr>
          <w:spacing w:val="-1"/>
        </w:rPr>
        <w:t>亿元，同比增长</w:t>
      </w:r>
      <w:r>
        <w:rPr>
          <w:rFonts w:ascii="Times New Roman" w:hAnsi="Times New Roman" w:cs="Times New Roman" w:eastAsia="Times New Roman" w:hint="default"/>
          <w:spacing w:val="-1"/>
        </w:rPr>
        <w:t>29.44</w:t>
      </w:r>
      <w:r>
        <w:rPr>
          <w:spacing w:val="-1"/>
        </w:rPr>
        <w:t>％；归属于上市公</w:t>
      </w:r>
      <w:r>
        <w:rPr/>
        <w:t> 司股东的所有者权益</w:t>
      </w:r>
      <w:r>
        <w:rPr>
          <w:rFonts w:ascii="Times New Roman" w:hAnsi="Times New Roman" w:cs="Times New Roman" w:eastAsia="Times New Roman" w:hint="default"/>
        </w:rPr>
        <w:t>88.16</w:t>
      </w:r>
      <w:r>
        <w:rPr/>
        <w:t>亿元，同比增长</w:t>
      </w:r>
      <w:r>
        <w:rPr>
          <w:rFonts w:ascii="Times New Roman" w:hAnsi="Times New Roman" w:cs="Times New Roman" w:eastAsia="Times New Roman" w:hint="default"/>
        </w:rPr>
        <w:t>13.96</w:t>
      </w:r>
      <w:r>
        <w:rPr/>
        <w:t>％。公司各项成本、费用及现金流变动情况请见主营业务分析第</w:t>
      </w:r>
      <w:r>
        <w:rPr>
          <w:rFonts w:ascii="Times New Roman" w:hAnsi="Times New Roman" w:cs="Times New Roman" w:eastAsia="Times New Roman" w:hint="default"/>
        </w:rPr>
        <w:t>2-6</w:t>
      </w:r>
      <w:r>
        <w:rPr/>
        <w:t>部分。</w:t>
      </w:r>
    </w:p>
    <w:p>
      <w:pPr>
        <w:pStyle w:val="BodyText"/>
        <w:spacing w:line="357" w:lineRule="auto" w:before="53"/>
        <w:ind w:left="513" w:right="94" w:hanging="361"/>
        <w:jc w:val="left"/>
      </w:pPr>
      <w:r>
        <w:rPr/>
        <w:t>公司回顾总结前期披露的发展战略和经营计划在报告期内的进展情况 </w:t>
      </w:r>
      <w:r>
        <w:rPr>
          <w:spacing w:val="-2"/>
        </w:rPr>
        <w:t>报告期内，市场形势出现重大变化，经公司全体员工的共同努力，仍较好地完成了年初制定的各项生产经营计划。公司</w:t>
      </w:r>
    </w:p>
    <w:p>
      <w:pPr>
        <w:pStyle w:val="BodyText"/>
        <w:spacing w:line="237" w:lineRule="exact"/>
        <w:ind w:right="0"/>
        <w:jc w:val="both"/>
        <w:rPr>
          <w:rFonts w:ascii="Times New Roman" w:hAnsi="Times New Roman" w:cs="Times New Roman" w:eastAsia="Times New Roman" w:hint="default"/>
        </w:rPr>
      </w:pPr>
      <w:r>
        <w:rPr>
          <w:spacing w:val="-3"/>
        </w:rPr>
        <w:t>计划签约金额</w:t>
      </w:r>
      <w:r>
        <w:rPr>
          <w:rFonts w:ascii="Times New Roman" w:hAnsi="Times New Roman" w:cs="Times New Roman" w:eastAsia="Times New Roman" w:hint="default"/>
          <w:spacing w:val="-3"/>
        </w:rPr>
        <w:t>220</w:t>
      </w:r>
      <w:r>
        <w:rPr>
          <w:spacing w:val="-3"/>
        </w:rPr>
        <w:t>亿元，实际完成签约金额</w:t>
      </w:r>
      <w:r>
        <w:rPr>
          <w:rFonts w:ascii="Times New Roman" w:hAnsi="Times New Roman" w:cs="Times New Roman" w:eastAsia="Times New Roman" w:hint="default"/>
          <w:spacing w:val="-3"/>
        </w:rPr>
        <w:t>207.2</w:t>
      </w:r>
      <w:r>
        <w:rPr>
          <w:spacing w:val="-3"/>
        </w:rPr>
        <w:t>亿元；建筑工程业务计划实现业务收入</w:t>
      </w:r>
      <w:r>
        <w:rPr>
          <w:rFonts w:ascii="Times New Roman" w:hAnsi="Times New Roman" w:cs="Times New Roman" w:eastAsia="Times New Roman" w:hint="default"/>
          <w:spacing w:val="-3"/>
        </w:rPr>
        <w:t>120</w:t>
      </w:r>
      <w:r>
        <w:rPr>
          <w:spacing w:val="-3"/>
        </w:rPr>
        <w:t>亿元，实际完成施工业务收入</w:t>
      </w:r>
      <w:r>
        <w:rPr>
          <w:rFonts w:ascii="Times New Roman" w:hAnsi="Times New Roman" w:cs="Times New Roman" w:eastAsia="Times New Roman" w:hint="default"/>
          <w:spacing w:val="-3"/>
        </w:rPr>
        <w:t>122.5</w:t>
      </w:r>
    </w:p>
    <w:p>
      <w:pPr>
        <w:pStyle w:val="BodyText"/>
        <w:spacing w:line="319" w:lineRule="auto" w:before="63"/>
        <w:ind w:right="190"/>
        <w:jc w:val="both"/>
      </w:pPr>
      <w:r>
        <w:rPr>
          <w:spacing w:val="-2"/>
        </w:rPr>
        <w:t>亿元；公司土地获取方面，计划对现有房地产销售较好，市场美誉度高的地区如南通、青岛、苏州、沈阳、海南等地区进行</w:t>
      </w:r>
      <w:r>
        <w:rPr>
          <w:spacing w:val="-72"/>
        </w:rPr>
        <w:t> </w:t>
      </w:r>
      <w:r>
        <w:rPr>
          <w:spacing w:val="-72"/>
        </w:rPr>
      </w:r>
      <w:r>
        <w:rPr>
          <w:spacing w:val="-2"/>
        </w:rPr>
        <w:t>城市深耕，针对上海、北京等大城市周边县市、郊区市场有新突破，实际完成了昆山、常熟、海门、泰兴、南京等多个项目</w:t>
      </w:r>
      <w:r>
        <w:rPr>
          <w:spacing w:val="-65"/>
        </w:rPr>
        <w:t> </w:t>
      </w:r>
      <w:r>
        <w:rPr>
          <w:spacing w:val="-65"/>
        </w:rPr>
      </w:r>
      <w:r>
        <w:rPr/>
        <w:t>的获取。</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357" w:lineRule="auto" w:before="103"/>
        <w:ind w:right="7834"/>
        <w:jc w:val="left"/>
      </w:pPr>
      <w:r>
        <w:rPr/>
        <w:t>□ 适用 √</w:t>
      </w:r>
      <w:r>
        <w:rPr>
          <w:spacing w:val="3"/>
        </w:rPr>
        <w:t> </w:t>
      </w:r>
      <w:r>
        <w:rPr/>
        <w:t>不适用</w:t>
      </w:r>
      <w:r>
        <w:rPr/>
        <w:t> 主要经营模式的变化情况</w:t>
      </w:r>
    </w:p>
    <w:p>
      <w:pPr>
        <w:pStyle w:val="BodyText"/>
        <w:spacing w:line="240" w:lineRule="auto" w:before="29"/>
        <w:ind w:right="94"/>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t>说明</w:t>
      </w:r>
    </w:p>
    <w:p>
      <w:pPr>
        <w:pStyle w:val="BodyText"/>
        <w:spacing w:line="240" w:lineRule="auto" w:before="115"/>
        <w:ind w:left="513" w:right="94"/>
        <w:jc w:val="left"/>
      </w:pPr>
      <w:r>
        <w:rPr/>
        <w:t>报告期内，公司实现收入总额</w:t>
      </w:r>
      <w:r>
        <w:rPr>
          <w:rFonts w:ascii="Times New Roman" w:hAnsi="Times New Roman" w:cs="Times New Roman" w:eastAsia="Times New Roman" w:hint="default"/>
        </w:rPr>
        <w:t>217.92</w:t>
      </w:r>
      <w:r>
        <w:rPr/>
        <w:t>亿元，其中建筑工程业务实现收入</w:t>
      </w:r>
      <w:r>
        <w:rPr>
          <w:rFonts w:ascii="Times New Roman" w:hAnsi="Times New Roman" w:cs="Times New Roman" w:eastAsia="Times New Roman" w:hint="default"/>
        </w:rPr>
        <w:t>109.11</w:t>
      </w:r>
      <w:r>
        <w:rPr/>
        <w:t>亿元（不包括与内部房地产项目公司抵消</w:t>
      </w:r>
    </w:p>
    <w:p>
      <w:pPr>
        <w:pStyle w:val="BodyText"/>
        <w:spacing w:line="300" w:lineRule="auto" w:before="63"/>
        <w:ind w:right="94"/>
        <w:jc w:val="left"/>
      </w:pPr>
      <w:r>
        <w:rPr>
          <w:spacing w:val="-3"/>
        </w:rPr>
        <w:t>的关联交易约</w:t>
      </w:r>
      <w:r>
        <w:rPr>
          <w:rFonts w:ascii="Times New Roman" w:hAnsi="Times New Roman" w:cs="Times New Roman" w:eastAsia="Times New Roman" w:hint="default"/>
          <w:spacing w:val="-3"/>
        </w:rPr>
        <w:t>13</w:t>
      </w:r>
      <w:r>
        <w:rPr>
          <w:spacing w:val="-3"/>
        </w:rPr>
        <w:t>亿元），房地产开发结算金额</w:t>
      </w:r>
      <w:r>
        <w:rPr>
          <w:rFonts w:ascii="Times New Roman" w:hAnsi="Times New Roman" w:cs="Times New Roman" w:eastAsia="Times New Roman" w:hint="default"/>
          <w:spacing w:val="-3"/>
        </w:rPr>
        <w:t>105.08</w:t>
      </w:r>
      <w:r>
        <w:rPr>
          <w:spacing w:val="-3"/>
        </w:rPr>
        <w:t>亿元，主要结算项目有常熟中南世纪城、文昌森海湾、青岛中南世纪城、</w:t>
      </w:r>
      <w:r>
        <w:rPr>
          <w:spacing w:val="-45"/>
        </w:rPr>
        <w:t> </w:t>
      </w:r>
      <w:r>
        <w:rPr>
          <w:spacing w:val="-45"/>
        </w:rPr>
      </w:r>
      <w:r>
        <w:rPr/>
        <w:t>海门中南世纪城、盐城中南世纪城、淮安中南世纪城等项目。</w:t>
      </w:r>
    </w:p>
    <w:p>
      <w:pPr>
        <w:pStyle w:val="BodyText"/>
        <w:spacing w:line="240" w:lineRule="auto" w:before="73"/>
        <w:ind w:right="94"/>
        <w:jc w:val="left"/>
      </w:pPr>
      <w:r>
        <w:rPr/>
        <w:t>公司实物销售收入是否大于劳务收入</w:t>
      </w:r>
    </w:p>
    <w:p>
      <w:pPr>
        <w:pStyle w:val="BodyText"/>
        <w:spacing w:line="338" w:lineRule="auto" w:before="117"/>
        <w:ind w:right="78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pStyle w:val="BodyText"/>
        <w:spacing w:line="340" w:lineRule="auto" w:before="43"/>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340" w:lineRule="auto" w:before="39"/>
        <w:ind w:right="8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1,553,916,870.22</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w:t>
            </w:r>
          </w:p>
        </w:tc>
      </w:tr>
    </w:tbl>
    <w:p>
      <w:pPr>
        <w:pStyle w:val="BodyText"/>
        <w:spacing w:line="240" w:lineRule="auto" w:before="49"/>
        <w:ind w:right="9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376,785,403.70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340,189,425.40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322,069,590.00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267,047,850.00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247,824,601.12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1,553,916,870.22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r>
    </w:tbl>
    <w:p>
      <w:pPr>
        <w:pStyle w:val="BodyText"/>
        <w:spacing w:line="240" w:lineRule="auto" w:before="49"/>
        <w:ind w:right="94"/>
        <w:jc w:val="left"/>
      </w:pPr>
      <w:r>
        <w:rPr/>
        <w:t>主要客户其他情况说明</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t>行业分类</w:t>
      </w:r>
    </w:p>
    <w:p>
      <w:pPr>
        <w:pStyle w:val="BodyText"/>
        <w:spacing w:line="240" w:lineRule="auto" w:before="117"/>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房产开发成本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7,200,749,402.73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5,419,478,603.29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建筑施工成本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8,974,676,432.10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7,358,801,821.99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物业收入及其他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197,206,948.79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109,789,582.94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r>
    </w:tbl>
    <w:p>
      <w:pPr>
        <w:pStyle w:val="BodyText"/>
        <w:spacing w:line="240" w:lineRule="auto" w:before="49"/>
        <w:ind w:right="142"/>
        <w:jc w:val="left"/>
      </w:pPr>
      <w:r>
        <w:rPr/>
        <w:t>产品分类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房产开发成本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7,200,749,402.73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5,419,478,603.29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建筑施工成本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8,974,676,432.10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7,358,801,821.99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物业收入及其他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197,206,948.79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109,789,582.94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r>
    </w:tbl>
    <w:p>
      <w:pPr>
        <w:pStyle w:val="BodyText"/>
        <w:spacing w:line="240" w:lineRule="auto" w:before="49"/>
        <w:ind w:right="142"/>
        <w:jc w:val="left"/>
      </w:pPr>
      <w:r>
        <w:rPr/>
        <w:t>说明</w:t>
      </w:r>
    </w:p>
    <w:p>
      <w:pPr>
        <w:pStyle w:val="BodyText"/>
        <w:spacing w:line="240" w:lineRule="auto" w:before="117"/>
        <w:ind w:left="513" w:right="0"/>
        <w:jc w:val="left"/>
      </w:pPr>
      <w:r>
        <w:rPr/>
        <w:t>本年度房地产结算金额大幅增加，导致房地产开发成本比重增加。本年度营业成本中土地成本约占</w:t>
      </w:r>
      <w:r>
        <w:rPr>
          <w:rFonts w:ascii="Times New Roman" w:hAnsi="Times New Roman" w:cs="Times New Roman" w:eastAsia="Times New Roman" w:hint="default"/>
        </w:rPr>
        <w:t>33%</w:t>
      </w:r>
      <w:r>
        <w:rPr/>
        <w:t>，建筑工程成本</w:t>
      </w:r>
    </w:p>
    <w:p>
      <w:pPr>
        <w:pStyle w:val="BodyText"/>
        <w:spacing w:line="340" w:lineRule="auto" w:before="63"/>
        <w:ind w:right="5274"/>
        <w:jc w:val="left"/>
      </w:pPr>
      <w:r>
        <w:rPr/>
        <w:t>约占</w:t>
      </w:r>
      <w:r>
        <w:rPr>
          <w:rFonts w:ascii="Times New Roman" w:hAnsi="Times New Roman" w:cs="Times New Roman" w:eastAsia="Times New Roman" w:hint="default"/>
        </w:rPr>
        <w:t>46%</w:t>
      </w:r>
      <w:r>
        <w:rPr/>
        <w:t>，人工成本约占</w:t>
      </w:r>
      <w:r>
        <w:rPr>
          <w:rFonts w:ascii="Times New Roman" w:hAnsi="Times New Roman" w:cs="Times New Roman" w:eastAsia="Times New Roman" w:hint="default"/>
        </w:rPr>
        <w:t>8%</w:t>
      </w:r>
      <w:r>
        <w:rPr/>
        <w:t>，折旧及间接费用约占</w:t>
      </w:r>
      <w:r>
        <w:rPr>
          <w:rFonts w:ascii="Times New Roman" w:hAnsi="Times New Roman" w:cs="Times New Roman" w:eastAsia="Times New Roman" w:hint="default"/>
        </w:rPr>
        <w:t>13%</w:t>
      </w:r>
      <w:r>
        <w:rPr/>
        <w:t>。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7,078,022,804.46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15.20%</w:t>
            </w:r>
          </w:p>
        </w:tc>
      </w:tr>
    </w:tbl>
    <w:p>
      <w:pPr>
        <w:pStyle w:val="BodyText"/>
        <w:spacing w:line="240" w:lineRule="auto" w:before="49"/>
        <w:ind w:right="14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142"/>
        <w:jc w:val="left"/>
      </w:pPr>
      <w:r>
        <w:rPr/>
        <w:t>√ 适用 □</w:t>
      </w:r>
      <w:r>
        <w:rPr>
          <w:spacing w:val="3"/>
        </w:rPr>
        <w:t> </w:t>
      </w:r>
      <w:r>
        <w:rPr/>
        <w:t>不适用</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南京市财政局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2,606,691,697.47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常熟市财政局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2,058,762,782.04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苏州工业园区国库支付中心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1,299,836,577.85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上海斌峰建筑安装有限公司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579,990,763.62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昆山市市级非税收入财政汇缴专户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532,740,983.48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7,078,022,804.46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19.20%</w:t>
            </w:r>
          </w:p>
        </w:tc>
      </w:tr>
    </w:tbl>
    <w:p>
      <w:pPr>
        <w:pStyle w:val="BodyText"/>
        <w:spacing w:line="240" w:lineRule="auto" w:before="49"/>
        <w:ind w:right="142"/>
        <w:jc w:val="left"/>
      </w:pPr>
      <w:r>
        <w:rPr/>
        <w:t>主要供应商其他情况说明</w:t>
      </w:r>
    </w:p>
    <w:p>
      <w:pPr>
        <w:pStyle w:val="BodyText"/>
        <w:spacing w:line="240" w:lineRule="auto" w:before="115"/>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5" w:right="142"/>
        <w:jc w:val="left"/>
      </w:pPr>
      <w:r>
        <w:rPr/>
        <w:t>报告期内，公司费用增长情况如下：</w:t>
      </w:r>
    </w:p>
    <w:p>
      <w:pPr>
        <w:spacing w:line="240" w:lineRule="auto" w:before="6"/>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2288"/>
        <w:gridCol w:w="2533"/>
        <w:gridCol w:w="2412"/>
        <w:gridCol w:w="2269"/>
      </w:tblGrid>
      <w:tr>
        <w:trPr>
          <w:trHeight w:val="336" w:hRule="exact"/>
        </w:trPr>
        <w:tc>
          <w:tcPr>
            <w:tcW w:w="22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5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4" w:lineRule="exact"/>
              <w:ind w:left="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w:t>
            </w:r>
          </w:p>
        </w:tc>
        <w:tc>
          <w:tcPr>
            <w:tcW w:w="24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4" w:lineRule="exact"/>
              <w:ind w:left="7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年度</w:t>
            </w:r>
          </w:p>
        </w:tc>
        <w:tc>
          <w:tcPr>
            <w:tcW w:w="22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sz w:val="20"/>
                <w:szCs w:val="20"/>
              </w:rPr>
              <w:t>同比增减</w:t>
            </w:r>
          </w:p>
        </w:tc>
      </w:tr>
      <w:tr>
        <w:trPr>
          <w:trHeight w:val="432" w:hRule="exact"/>
        </w:trPr>
        <w:tc>
          <w:tcPr>
            <w:tcW w:w="22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253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3"/>
              <w:ind w:left="72" w:right="0"/>
              <w:jc w:val="center"/>
              <w:rPr>
                <w:rFonts w:ascii="Times New Roman" w:hAnsi="Times New Roman" w:cs="Times New Roman" w:eastAsia="Times New Roman" w:hint="default"/>
                <w:sz w:val="18"/>
                <w:szCs w:val="18"/>
              </w:rPr>
            </w:pPr>
            <w:r>
              <w:rPr>
                <w:rFonts w:ascii="Times New Roman"/>
                <w:sz w:val="18"/>
              </w:rPr>
              <w:t>624,678,121.62</w:t>
            </w:r>
          </w:p>
        </w:tc>
        <w:tc>
          <w:tcPr>
            <w:tcW w:w="241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3"/>
              <w:ind w:left="672" w:right="0"/>
              <w:jc w:val="left"/>
              <w:rPr>
                <w:rFonts w:ascii="Times New Roman" w:hAnsi="Times New Roman" w:cs="Times New Roman" w:eastAsia="Times New Roman" w:hint="default"/>
                <w:sz w:val="18"/>
                <w:szCs w:val="18"/>
              </w:rPr>
            </w:pPr>
            <w:r>
              <w:rPr>
                <w:rFonts w:ascii="Times New Roman"/>
                <w:sz w:val="18"/>
              </w:rPr>
              <w:t>432,955,003.95</w:t>
            </w:r>
          </w:p>
        </w:tc>
        <w:tc>
          <w:tcPr>
            <w:tcW w:w="226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44.28%</w:t>
            </w:r>
          </w:p>
        </w:tc>
      </w:tr>
      <w:tr>
        <w:trPr>
          <w:trHeight w:val="427" w:hRule="exact"/>
        </w:trPr>
        <w:tc>
          <w:tcPr>
            <w:tcW w:w="22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2" w:right="0"/>
              <w:jc w:val="center"/>
              <w:rPr>
                <w:rFonts w:ascii="Times New Roman" w:hAnsi="Times New Roman" w:cs="Times New Roman" w:eastAsia="Times New Roman" w:hint="default"/>
                <w:sz w:val="18"/>
                <w:szCs w:val="18"/>
              </w:rPr>
            </w:pPr>
            <w:r>
              <w:rPr>
                <w:rFonts w:ascii="Times New Roman"/>
                <w:sz w:val="18"/>
              </w:rPr>
              <w:t>1,459,897,504.01</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05" w:right="0"/>
              <w:jc w:val="left"/>
              <w:rPr>
                <w:rFonts w:ascii="Times New Roman" w:hAnsi="Times New Roman" w:cs="Times New Roman" w:eastAsia="Times New Roman" w:hint="default"/>
                <w:sz w:val="18"/>
                <w:szCs w:val="18"/>
              </w:rPr>
            </w:pPr>
            <w:r>
              <w:rPr>
                <w:rFonts w:ascii="Times New Roman"/>
                <w:sz w:val="18"/>
              </w:rPr>
              <w:t>1,149,481,595.63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27.00%</w:t>
            </w:r>
          </w:p>
        </w:tc>
      </w:tr>
      <w:tr>
        <w:trPr>
          <w:trHeight w:val="428" w:hRule="exact"/>
        </w:trPr>
        <w:tc>
          <w:tcPr>
            <w:tcW w:w="22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2" w:right="0"/>
              <w:jc w:val="center"/>
              <w:rPr>
                <w:rFonts w:ascii="Times New Roman" w:hAnsi="Times New Roman" w:cs="Times New Roman" w:eastAsia="Times New Roman" w:hint="default"/>
                <w:sz w:val="18"/>
                <w:szCs w:val="18"/>
              </w:rPr>
            </w:pPr>
            <w:r>
              <w:rPr>
                <w:rFonts w:ascii="Times New Roman"/>
                <w:sz w:val="18"/>
              </w:rPr>
              <w:t>413,473,142.82</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72" w:right="0"/>
              <w:jc w:val="left"/>
              <w:rPr>
                <w:rFonts w:ascii="Times New Roman" w:hAnsi="Times New Roman" w:cs="Times New Roman" w:eastAsia="Times New Roman" w:hint="default"/>
                <w:sz w:val="18"/>
                <w:szCs w:val="18"/>
              </w:rPr>
            </w:pPr>
            <w:r>
              <w:rPr>
                <w:rFonts w:ascii="Times New Roman"/>
                <w:sz w:val="18"/>
              </w:rPr>
              <w:t>425,110,435.59</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-2.74%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288"/>
        <w:gridCol w:w="2533"/>
        <w:gridCol w:w="2412"/>
        <w:gridCol w:w="2269"/>
      </w:tblGrid>
      <w:tr>
        <w:trPr>
          <w:trHeight w:val="428" w:hRule="exact"/>
        </w:trPr>
        <w:tc>
          <w:tcPr>
            <w:tcW w:w="22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left="638"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5" w:right="0"/>
              <w:jc w:val="left"/>
              <w:rPr>
                <w:rFonts w:ascii="Times New Roman" w:hAnsi="Times New Roman" w:cs="Times New Roman" w:eastAsia="Times New Roman" w:hint="default"/>
                <w:sz w:val="18"/>
                <w:szCs w:val="18"/>
              </w:rPr>
            </w:pPr>
            <w:r>
              <w:rPr>
                <w:rFonts w:ascii="Times New Roman"/>
                <w:sz w:val="18"/>
              </w:rPr>
              <w:t>536,128,955.44</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72" w:right="0"/>
              <w:jc w:val="left"/>
              <w:rPr>
                <w:rFonts w:ascii="Times New Roman" w:hAnsi="Times New Roman" w:cs="Times New Roman" w:eastAsia="Times New Roman" w:hint="default"/>
                <w:sz w:val="18"/>
                <w:szCs w:val="18"/>
              </w:rPr>
            </w:pPr>
            <w:r>
              <w:rPr>
                <w:rFonts w:ascii="Times New Roman"/>
                <w:sz w:val="18"/>
              </w:rPr>
              <w:t>716,932,023.24</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-25.22%</w:t>
            </w:r>
          </w:p>
        </w:tc>
      </w:tr>
    </w:tbl>
    <w:p>
      <w:pPr>
        <w:pStyle w:val="BodyText"/>
        <w:spacing w:line="240" w:lineRule="auto" w:before="8"/>
        <w:ind w:right="142"/>
        <w:jc w:val="left"/>
      </w:pPr>
      <w:r>
        <w:rPr/>
        <w:t>原因说明：</w:t>
      </w:r>
    </w:p>
    <w:p>
      <w:pPr>
        <w:pStyle w:val="BodyText"/>
        <w:spacing w:line="240" w:lineRule="auto" w:before="76"/>
        <w:ind w:left="513" w:right="142"/>
        <w:jc w:val="left"/>
      </w:pPr>
      <w:r>
        <w:rPr/>
        <w:t>（</w:t>
      </w:r>
      <w:r>
        <w:rPr>
          <w:rFonts w:ascii="Times New Roman" w:hAnsi="Times New Roman" w:cs="Times New Roman" w:eastAsia="Times New Roman" w:hint="default"/>
        </w:rPr>
        <w:t>1</w:t>
      </w:r>
      <w:r>
        <w:rPr/>
        <w:t>）销售费用同比增长主要是公司</w:t>
      </w:r>
      <w:r>
        <w:rPr>
          <w:rFonts w:ascii="Times New Roman" w:hAnsi="Times New Roman" w:cs="Times New Roman" w:eastAsia="Times New Roman" w:hint="default"/>
        </w:rPr>
        <w:t>2014</w:t>
      </w:r>
      <w:r>
        <w:rPr/>
        <w:t>年房地产市场疲软，公司采取多种销售手段导致销售费用大幅增加；</w:t>
      </w:r>
    </w:p>
    <w:p>
      <w:pPr>
        <w:pStyle w:val="BodyText"/>
        <w:spacing w:line="240" w:lineRule="auto" w:before="63"/>
        <w:ind w:left="513" w:right="142"/>
        <w:jc w:val="left"/>
      </w:pPr>
      <w:r>
        <w:rPr/>
        <w:t>（</w:t>
      </w:r>
      <w:r>
        <w:rPr>
          <w:rFonts w:ascii="Times New Roman" w:hAnsi="Times New Roman" w:cs="Times New Roman" w:eastAsia="Times New Roman" w:hint="default"/>
        </w:rPr>
        <w:t>2</w:t>
      </w:r>
      <w:r>
        <w:rPr/>
        <w:t>）管理费用同比增长主要是</w:t>
      </w:r>
      <w:r>
        <w:rPr>
          <w:rFonts w:ascii="Times New Roman" w:hAnsi="Times New Roman" w:cs="Times New Roman" w:eastAsia="Times New Roman" w:hint="default"/>
        </w:rPr>
        <w:t>2014</w:t>
      </w:r>
      <w:r>
        <w:rPr/>
        <w:t>年公司人工成本和管理成本相应增加；</w:t>
      </w:r>
    </w:p>
    <w:p>
      <w:pPr>
        <w:pStyle w:val="BodyText"/>
        <w:spacing w:line="240" w:lineRule="auto" w:before="63"/>
        <w:ind w:left="513" w:right="142"/>
        <w:jc w:val="left"/>
      </w:pPr>
      <w:r>
        <w:rPr/>
        <w:t>（</w:t>
      </w:r>
      <w:r>
        <w:rPr>
          <w:rFonts w:ascii="Times New Roman" w:hAnsi="Times New Roman" w:cs="Times New Roman" w:eastAsia="Times New Roman" w:hint="default"/>
        </w:rPr>
        <w:t>3</w:t>
      </w:r>
      <w:r>
        <w:rPr/>
        <w:t>）财务费用同比下降主要是本期借款财务费用资本化的原因；</w:t>
      </w:r>
    </w:p>
    <w:p>
      <w:pPr>
        <w:pStyle w:val="BodyText"/>
        <w:spacing w:line="240" w:lineRule="auto" w:before="63"/>
        <w:ind w:left="513" w:right="142"/>
        <w:jc w:val="left"/>
      </w:pPr>
      <w:r>
        <w:rPr/>
        <w:t>（</w:t>
      </w:r>
      <w:r>
        <w:rPr>
          <w:rFonts w:ascii="Times New Roman" w:hAnsi="Times New Roman" w:cs="Times New Roman" w:eastAsia="Times New Roman" w:hint="default"/>
        </w:rPr>
        <w:t>4</w:t>
      </w:r>
      <w:r>
        <w:rPr/>
        <w:t>）所得税费用同比下降主要是因为当期利润总额下降。</w:t>
      </w:r>
    </w:p>
    <w:p>
      <w:pPr>
        <w:spacing w:line="240" w:lineRule="auto" w:before="2"/>
        <w:rPr>
          <w:rFonts w:ascii="宋体" w:hAnsi="宋体" w:cs="宋体" w:eastAsia="宋体" w:hint="default"/>
          <w:sz w:val="26"/>
          <w:szCs w:val="26"/>
        </w:rPr>
      </w:pPr>
    </w:p>
    <w:p>
      <w:pPr>
        <w:pStyle w:val="Heading3"/>
        <w:spacing w:line="240" w:lineRule="auto"/>
        <w:ind w:right="142"/>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报告期内，公司无研发费用支出。</w:t>
      </w:r>
    </w:p>
    <w:p>
      <w:pPr>
        <w:spacing w:line="240" w:lineRule="auto" w:before="0"/>
        <w:rPr>
          <w:rFonts w:ascii="宋体" w:hAnsi="宋体" w:cs="宋体" w:eastAsia="宋体" w:hint="default"/>
          <w:sz w:val="18"/>
          <w:szCs w:val="18"/>
        </w:rPr>
      </w:pPr>
    </w:p>
    <w:p>
      <w:pPr>
        <w:pStyle w:val="Heading3"/>
        <w:spacing w:line="240" w:lineRule="auto" w:before="121"/>
        <w:ind w:right="142"/>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24,082,084,412.51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19,952,558,671.93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20.70%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29,949,669,448.06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24,131,728,659.56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-5,867,585,035.55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-4,179,169,987.63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48.49%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10,710,628,544.97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9,150,270.31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116,952.59%</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11,756,264,266.41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1,140,415,004.10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930.88%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-1,045,635,721.44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-1,131,264,733.79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-34.36%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22,100,493,757.87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19,968,318,267.35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10.68%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15,317,750,267.41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13,570,155,889.25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6,782,743,490.46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6,398,162,378.10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-134,435,602.39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1,087,726,174.46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-112.36%</w:t>
            </w:r>
            <w:r>
              <w:rPr>
                <w:rFonts w:ascii="Times New Roman"/>
                <w:spacing w:val="-1"/>
                <w:sz w:val="18"/>
              </w:rPr>
            </w:r>
          </w:p>
        </w:tc>
      </w:tr>
    </w:tbl>
    <w:p>
      <w:pPr>
        <w:pStyle w:val="BodyText"/>
        <w:spacing w:line="240" w:lineRule="auto" w:before="49"/>
        <w:ind w:right="142"/>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2"/>
        <w:ind w:left="407" w:right="4299" w:hanging="25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经营活动现金流入同比增长主要是因为本期房地产销售回款增加；</w:t>
      </w:r>
    </w:p>
    <w:p>
      <w:pPr>
        <w:pStyle w:val="BodyText"/>
        <w:spacing w:line="316" w:lineRule="auto" w:before="1"/>
        <w:ind w:left="369" w:right="142"/>
        <w:jc w:val="left"/>
      </w:pPr>
      <w:r>
        <w:rPr/>
        <w:t>经营活动现金流出小计同比增长是由于本期土地购置、工程投入、人工费用以及支付税费增加； 经营活动产生的现金流量净额同比增加主要是因为本期上半年土地购置款支付增加较多； 投资活动现金流入小计同比增加主要是公司循环购买银行固定收益的短期理财产品所致； 投资活动现金流出小计同比增加主要是公司循环购买银行固定收益的短期理财产品所致； 投资活动现金流量净额同比减少主要是本期投资活动的结构主要为短期理财，上期主要为回购信托所持有项目公司股权</w:t>
      </w:r>
    </w:p>
    <w:p>
      <w:pPr>
        <w:pStyle w:val="BodyText"/>
        <w:spacing w:line="240" w:lineRule="auto" w:before="19"/>
        <w:ind w:right="142"/>
        <w:jc w:val="left"/>
      </w:pPr>
      <w:r>
        <w:rPr/>
        <w:t>导致；</w:t>
      </w:r>
    </w:p>
    <w:p>
      <w:pPr>
        <w:pStyle w:val="BodyText"/>
        <w:spacing w:line="316" w:lineRule="auto" w:before="76"/>
        <w:ind w:right="142" w:firstLine="216"/>
        <w:jc w:val="left"/>
      </w:pPr>
      <w:r>
        <w:rPr/>
        <w:t>现金及现金等价物净增加额同比减少是因为公司规模扩张，导致土地购置和工程支出增加较快，而房款因按揭等原因回 收滞后导致。</w:t>
      </w:r>
    </w:p>
    <w:p>
      <w:pPr>
        <w:pStyle w:val="BodyText"/>
        <w:spacing w:line="240" w:lineRule="auto" w:before="60"/>
        <w:ind w:right="142"/>
        <w:jc w:val="left"/>
      </w:pPr>
      <w:r>
        <w:rPr/>
        <w:t>报告期内公司经营活动的现金流量与本年度净利润存在重大差异的原因说明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40" w:lineRule="auto" w:before="44"/>
        <w:ind w:left="513" w:right="30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主要原因有：（</w:t>
      </w:r>
      <w:r>
        <w:rPr>
          <w:rFonts w:ascii="Times New Roman" w:hAnsi="Times New Roman" w:cs="Times New Roman" w:eastAsia="Times New Roman" w:hint="default"/>
        </w:rPr>
        <w:t>1</w:t>
      </w:r>
      <w:r>
        <w:rPr/>
        <w:t>）本公司房地产业务利润是来源于公司</w:t>
      </w:r>
      <w:r>
        <w:rPr>
          <w:rFonts w:ascii="Times New Roman" w:hAnsi="Times New Roman" w:cs="Times New Roman" w:eastAsia="Times New Roman" w:hint="default"/>
        </w:rPr>
        <w:t>2012</w:t>
      </w:r>
      <w:r>
        <w:rPr/>
        <w:t>年出售的房地产项目交房结算，而现金流是</w:t>
      </w:r>
      <w:r>
        <w:rPr>
          <w:rFonts w:ascii="Times New Roman" w:hAnsi="Times New Roman" w:cs="Times New Roman" w:eastAsia="Times New Roman" w:hint="default"/>
        </w:rPr>
        <w:t>2014</w:t>
      </w:r>
      <w:r>
        <w:rPr/>
        <w:t>年经营现</w:t>
      </w:r>
    </w:p>
    <w:p>
      <w:pPr>
        <w:pStyle w:val="BodyText"/>
        <w:spacing w:line="228" w:lineRule="exact"/>
        <w:ind w:right="0"/>
        <w:jc w:val="left"/>
      </w:pPr>
      <w:r>
        <w:rPr/>
        <w:t>金流的反映；（</w:t>
      </w:r>
      <w:r>
        <w:rPr>
          <w:rFonts w:ascii="Times New Roman" w:hAnsi="Times New Roman" w:cs="Times New Roman" w:eastAsia="Times New Roman" w:hint="default"/>
        </w:rPr>
        <w:t>2</w:t>
      </w:r>
      <w:r>
        <w:rPr/>
        <w:t>）公司在建房地产项目施工投入较大及公司土地获取需要资金支付导致经营性现金流为负；（</w:t>
      </w:r>
      <w:r>
        <w:rPr>
          <w:rFonts w:ascii="Times New Roman" w:hAnsi="Times New Roman" w:cs="Times New Roman" w:eastAsia="Times New Roman" w:hint="default"/>
        </w:rPr>
        <w:t>3</w:t>
      </w:r>
      <w:r>
        <w:rPr/>
        <w:t>）公司施工</w:t>
      </w:r>
    </w:p>
    <w:p>
      <w:pPr>
        <w:pStyle w:val="BodyText"/>
        <w:spacing w:line="240" w:lineRule="auto" w:before="63"/>
        <w:ind w:right="303"/>
        <w:jc w:val="left"/>
      </w:pPr>
      <w:r>
        <w:rPr/>
        <w:t>业务产生利润，但多数工程根据施工合同需要前期投入施工款项，形成应收账款较大，对经营性现金流入造成一定影响。</w:t>
      </w:r>
    </w:p>
    <w:p>
      <w:pPr>
        <w:spacing w:line="240" w:lineRule="auto" w:before="3"/>
        <w:rPr>
          <w:rFonts w:ascii="宋体" w:hAnsi="宋体" w:cs="宋体" w:eastAsia="宋体" w:hint="default"/>
          <w:sz w:val="25"/>
          <w:szCs w:val="25"/>
        </w:rPr>
      </w:pPr>
    </w:p>
    <w:p>
      <w:pPr>
        <w:pStyle w:val="Heading2"/>
        <w:spacing w:line="240" w:lineRule="auto"/>
        <w:ind w:right="303"/>
        <w:jc w:val="left"/>
        <w:rPr>
          <w:b w:val="0"/>
          <w:bCs w:val="0"/>
        </w:rPr>
      </w:pPr>
      <w:r>
        <w:rPr/>
        <w:t>三、主营业务构成情况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31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513"/>
        <w:gridCol w:w="1368"/>
        <w:gridCol w:w="1366"/>
        <w:gridCol w:w="1366"/>
        <w:gridCol w:w="1366"/>
        <w:gridCol w:w="1371"/>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71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房屋销售收入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10,508,657,413.07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7,200,749,402.73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32.87%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建筑施工收入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10,911,705,179.31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8,974,676,432.10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物业酒店及其他</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267,408,806.42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197,206,948.79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w:t>
            </w:r>
          </w:p>
        </w:tc>
      </w:tr>
      <w:tr>
        <w:trPr>
          <w:trHeight w:val="402" w:hRule="exact"/>
        </w:trPr>
        <w:tc>
          <w:tcPr>
            <w:tcW w:w="971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房屋销售收入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10,508,657,413.07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7,200,749,402.73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32.87%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建筑施工收入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10,911,705,179.31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8,974,676,432.10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物业酒店及其他</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267,408,806.42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197,206,948.79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w:t>
            </w:r>
          </w:p>
        </w:tc>
      </w:tr>
      <w:tr>
        <w:trPr>
          <w:trHeight w:val="402" w:hRule="exact"/>
        </w:trPr>
        <w:tc>
          <w:tcPr>
            <w:tcW w:w="971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江苏省内</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11,172,353,579.78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7,598,437,528.17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其他省份</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10,515,417,819.02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8,774,195,255.45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41.81%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-13.96%</w:t>
            </w:r>
          </w:p>
        </w:tc>
      </w:tr>
    </w:tbl>
    <w:p>
      <w:pPr>
        <w:pStyle w:val="BodyText"/>
        <w:spacing w:line="240" w:lineRule="auto" w:before="49"/>
        <w:ind w:right="30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30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0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1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513"/>
        <w:gridCol w:w="900"/>
        <w:gridCol w:w="1440"/>
        <w:gridCol w:w="900"/>
        <w:gridCol w:w="931"/>
        <w:gridCol w:w="2785"/>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5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84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5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278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513"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278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5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2785"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6,642,865,551.86</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7.88%</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6,424,066,771.28</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9.87%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-1.99%</w:t>
            </w:r>
          </w:p>
        </w:tc>
        <w:tc>
          <w:tcPr>
            <w:tcW w:w="278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主要原因是销售回款及筹资活动净 流量增加，虽绝对值有所增长，但 总资产增加较多使得占比下降</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13"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3"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r>
        <w:trPr>
          <w:trHeight w:val="473"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6,112,825,352.42</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7.25%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6,016,407,453.86</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9.24%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-1.99%</w:t>
            </w:r>
          </w:p>
        </w:tc>
        <w:tc>
          <w:tcPr>
            <w:tcW w:w="278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主要原因是工程合同对工程款的回 收时间与工程施工完工百分比法核 算存在差异所致，而公司本年度工 程产值绝对数额上升</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3"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47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3"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8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513"/>
        <w:gridCol w:w="900"/>
        <w:gridCol w:w="1440"/>
        <w:gridCol w:w="900"/>
        <w:gridCol w:w="931"/>
        <w:gridCol w:w="2785"/>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57,211,824,994.37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38,836,094,793.38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主要原因是报告期内土地投入及工 程投入增加及房地产去化率下降导 致未售房源增加</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1,300,152,404.49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587,428,370.84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主要原因是盐城中南购物中心完工 计入投资性房地产</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35,533,907.55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2,159,123.20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主要原因是增加国信中南股权投资 及子公司海门中南国际顾问公司进 入清算期</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2,205,545,636.45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1,643,756,492.03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主要原因是在建工程中总部办公大 楼完工</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67,155,146.49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198,912,143.13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主要原因是在建工程中总部办公大 楼完工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513"/>
        <w:gridCol w:w="1063"/>
        <w:gridCol w:w="1196"/>
        <w:gridCol w:w="1063"/>
        <w:gridCol w:w="797"/>
        <w:gridCol w:w="2919"/>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576"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5"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513"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5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51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5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4,198,500,000.00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6.30%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-1.32%</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主要原因是本年度总资产规模增长</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3"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3"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3"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10,139,950,000.00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12.03%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14,014,607,083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21.52%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-9.49%</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主要原因是长期借款归还</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3"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3"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5"/>
        <w:ind w:left="0" w:right="3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6"/>
        <w:gridCol w:w="1213"/>
        <w:gridCol w:w="1190"/>
        <w:gridCol w:w="1195"/>
        <w:gridCol w:w="1191"/>
        <w:gridCol w:w="1201"/>
        <w:gridCol w:w="1196"/>
        <w:gridCol w:w="1195"/>
      </w:tblGrid>
      <w:tr>
        <w:trPr>
          <w:trHeight w:val="161" w:hRule="exact"/>
        </w:trPr>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6"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27" w:right="51" w:hanging="181"/>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01"/>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6"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176"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432"/>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8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1"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的金融资（不 含衍生金融资 产）</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2,794,245.22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965,327.33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3,759,572.55</w:t>
            </w:r>
          </w:p>
        </w:tc>
      </w:tr>
      <w:tr>
        <w:trPr>
          <w:trHeight w:val="403"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2"/>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2,794,245.22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965,327.33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3,759,572.55</w:t>
            </w:r>
          </w:p>
        </w:tc>
      </w:tr>
      <w:tr>
        <w:trPr>
          <w:trHeight w:val="404"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2"/>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740"/>
        </w:sectPr>
      </w:pPr>
    </w:p>
    <w:p>
      <w:pPr>
        <w:spacing w:line="240" w:lineRule="auto" w:before="10"/>
        <w:rPr>
          <w:rFonts w:ascii="宋体" w:hAnsi="宋体" w:cs="宋体" w:eastAsia="宋体" w:hint="default"/>
          <w:sz w:val="25"/>
          <w:szCs w:val="25"/>
        </w:rPr>
      </w:pPr>
    </w:p>
    <w:p>
      <w:pPr>
        <w:pStyle w:val="BodyText"/>
        <w:spacing w:line="240" w:lineRule="auto" w:before="44"/>
        <w:ind w:right="142"/>
        <w:jc w:val="left"/>
      </w:pPr>
      <w:r>
        <w:rPr/>
        <w:t>报告期内公司主要资产计量属性是否发生重大变化</w:t>
      </w:r>
    </w:p>
    <w:p>
      <w:pPr>
        <w:pStyle w:val="BodyText"/>
        <w:spacing w:line="240" w:lineRule="auto" w:before="117"/>
        <w:ind w:right="142"/>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Times New Roman" w:hAnsi="Times New Roman" w:cs="Times New Roman" w:eastAsia="Times New Roman" w:hint="default"/>
        </w:rPr>
        <w:t>4</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42" w:firstLine="360"/>
        <w:jc w:val="left"/>
      </w:pPr>
      <w:r>
        <w:rPr>
          <w:spacing w:val="-2"/>
        </w:rPr>
        <w:t>公司发展于具有</w:t>
      </w:r>
      <w:r>
        <w:rPr>
          <w:rFonts w:ascii="Times New Roman" w:hAnsi="Times New Roman" w:cs="Times New Roman" w:eastAsia="Times New Roman" w:hint="default"/>
          <w:spacing w:val="-2"/>
        </w:rPr>
        <w:t>25</w:t>
      </w:r>
      <w:r>
        <w:rPr>
          <w:spacing w:val="-2"/>
        </w:rPr>
        <w:t>年建筑施工实践的工程总承包企业，在进入房地产行业后，公司将建筑施工与房地产开发相结合，逐</w:t>
      </w:r>
      <w:r>
        <w:rPr/>
        <w:t> 步探索形成了中南建设核心竞争优势：</w:t>
      </w:r>
    </w:p>
    <w:p>
      <w:pPr>
        <w:pStyle w:val="BodyText"/>
        <w:spacing w:line="300" w:lineRule="auto" w:before="32"/>
        <w:ind w:left="513" w:right="142" w:hanging="60"/>
        <w:jc w:val="left"/>
      </w:pPr>
      <w:r>
        <w:rPr/>
        <w:t>（</w:t>
      </w:r>
      <w:r>
        <w:rPr>
          <w:rFonts w:ascii="Times New Roman" w:hAnsi="Times New Roman" w:cs="Times New Roman" w:eastAsia="Times New Roman" w:hint="default"/>
        </w:rPr>
        <w:t>1</w:t>
      </w:r>
      <w:r>
        <w:rPr/>
        <w:t>）建筑特一级资质企业 </w:t>
      </w:r>
      <w:r>
        <w:rPr>
          <w:spacing w:val="-1"/>
        </w:rPr>
        <w:t>公司下属的南通建筑工程总承包有限公司是目前全国为数不多的具有建筑施工特级资质</w:t>
      </w:r>
      <w:r>
        <w:rPr>
          <w:rFonts w:ascii="Times New Roman" w:hAnsi="Times New Roman" w:cs="Times New Roman" w:eastAsia="Times New Roman" w:hint="default"/>
          <w:spacing w:val="-1"/>
        </w:rPr>
        <w:t>+</w:t>
      </w:r>
      <w:r>
        <w:rPr>
          <w:spacing w:val="-1"/>
        </w:rPr>
        <w:t>设计甲级资质（业内称：建筑</w:t>
      </w:r>
    </w:p>
    <w:p>
      <w:pPr>
        <w:pStyle w:val="BodyText"/>
        <w:spacing w:line="316" w:lineRule="auto" w:before="13"/>
        <w:ind w:right="142"/>
        <w:jc w:val="left"/>
      </w:pPr>
      <w:r>
        <w:rPr>
          <w:spacing w:val="-2"/>
        </w:rPr>
        <w:t>施工特一级资质）。公司获此殊荣，为公司加快从住宅施工向公共建筑施工转型，对外投标承接国家重大建筑工程提供了条</w:t>
      </w:r>
      <w:r>
        <w:rPr>
          <w:spacing w:val="-64"/>
        </w:rPr>
        <w:t> </w:t>
      </w:r>
      <w:r>
        <w:rPr>
          <w:spacing w:val="-64"/>
        </w:rPr>
      </w:r>
      <w:r>
        <w:rPr/>
        <w:t>件，避免了建筑市场恶性竞争。</w:t>
      </w:r>
    </w:p>
    <w:p>
      <w:pPr>
        <w:pStyle w:val="BodyText"/>
        <w:spacing w:line="240" w:lineRule="auto" w:before="19"/>
        <w:ind w:left="453" w:right="142"/>
        <w:jc w:val="left"/>
      </w:pPr>
      <w:r>
        <w:rPr/>
        <w:t>（</w:t>
      </w:r>
      <w:r>
        <w:rPr>
          <w:rFonts w:ascii="Times New Roman" w:hAnsi="Times New Roman" w:cs="Times New Roman" w:eastAsia="Times New Roman" w:hint="default"/>
        </w:rPr>
        <w:t>2</w:t>
      </w:r>
      <w:r>
        <w:rPr/>
        <w:t>）房地产快周转的开发模式</w:t>
      </w:r>
    </w:p>
    <w:p>
      <w:pPr>
        <w:pStyle w:val="BodyText"/>
        <w:spacing w:line="300" w:lineRule="auto" w:before="63"/>
        <w:ind w:right="227" w:firstLine="360"/>
        <w:jc w:val="left"/>
      </w:pPr>
      <w:r>
        <w:rPr/>
        <w:t>公司近两年通过房地产开发节点流程优化，形成了独特的</w:t>
      </w:r>
      <w:r>
        <w:rPr>
          <w:spacing w:val="-22"/>
        </w:rPr>
        <w:t> </w:t>
      </w:r>
      <w:r>
        <w:rPr>
          <w:rFonts w:ascii="Times New Roman" w:hAnsi="Times New Roman" w:cs="Times New Roman" w:eastAsia="Times New Roman" w:hint="default"/>
        </w:rPr>
        <w:t>“</w:t>
      </w:r>
      <w:r>
        <w:rPr/>
        <w:t>三先六快</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三三制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七个结合</w:t>
      </w:r>
      <w:r>
        <w:rPr>
          <w:rFonts w:ascii="Times New Roman" w:hAnsi="Times New Roman" w:cs="Times New Roman" w:eastAsia="Times New Roman" w:hint="default"/>
        </w:rPr>
        <w:t>”</w:t>
      </w:r>
      <w:r>
        <w:rPr/>
        <w:t>等一系列快速推盘销售 理念，全面实现</w:t>
      </w:r>
      <w:r>
        <w:rPr>
          <w:rFonts w:ascii="Times New Roman" w:hAnsi="Times New Roman" w:cs="Times New Roman" w:eastAsia="Times New Roman" w:hint="default"/>
        </w:rPr>
        <w:t>“</w:t>
      </w:r>
      <w:r>
        <w:rPr/>
        <w:t>招牌挂</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4</w:t>
      </w:r>
      <w:r>
        <w:rPr/>
        <w:t>个月内开盘。</w:t>
      </w:r>
    </w:p>
    <w:p>
      <w:pPr>
        <w:pStyle w:val="BodyText"/>
        <w:spacing w:line="300" w:lineRule="auto" w:before="13"/>
        <w:ind w:left="513" w:right="143"/>
        <w:jc w:val="left"/>
      </w:pPr>
      <w:r>
        <w:rPr/>
        <w:t>（</w:t>
      </w:r>
      <w:r>
        <w:rPr>
          <w:rFonts w:ascii="Times New Roman" w:hAnsi="Times New Roman" w:cs="Times New Roman" w:eastAsia="Times New Roman" w:hint="default"/>
        </w:rPr>
        <w:t>3</w:t>
      </w:r>
      <w:r>
        <w:rPr/>
        <w:t>）土地储备优势 公司从</w:t>
      </w:r>
      <w:r>
        <w:rPr>
          <w:rFonts w:ascii="Times New Roman" w:hAnsi="Times New Roman" w:cs="Times New Roman" w:eastAsia="Times New Roman" w:hint="default"/>
        </w:rPr>
        <w:t>2005</w:t>
      </w:r>
      <w:r>
        <w:rPr/>
        <w:t>年开始建设南通中央商务区</w:t>
      </w:r>
      <w:r>
        <w:rPr>
          <w:rFonts w:ascii="Times New Roman" w:hAnsi="Times New Roman" w:cs="Times New Roman" w:eastAsia="Times New Roman" w:hint="default"/>
        </w:rPr>
        <w:t>250</w:t>
      </w:r>
      <w:r>
        <w:rPr/>
        <w:t>万平方米的城市综合体以来，共同时开发百万平方米以上的大盘有</w:t>
      </w:r>
      <w:r>
        <w:rPr>
          <w:rFonts w:ascii="Times New Roman" w:hAnsi="Times New Roman" w:cs="Times New Roman" w:eastAsia="Times New Roman" w:hint="default"/>
        </w:rPr>
        <w:t>10</w:t>
      </w:r>
      <w:r>
        <w:rPr/>
        <w:t>余个，</w:t>
      </w:r>
    </w:p>
    <w:p>
      <w:pPr>
        <w:pStyle w:val="BodyText"/>
        <w:spacing w:line="316" w:lineRule="auto" w:before="13"/>
        <w:ind w:right="142"/>
        <w:jc w:val="left"/>
      </w:pPr>
      <w:r>
        <w:rPr>
          <w:spacing w:val="-2"/>
        </w:rPr>
        <w:t>在多年的大盘开发过程中，在江苏省、山东省内积累了丰富的土地储备。尽管三线城市暂时处于房地产市场的低谷，随着城</w:t>
      </w:r>
      <w:r>
        <w:rPr>
          <w:spacing w:val="-65"/>
        </w:rPr>
        <w:t> </w:t>
      </w:r>
      <w:r>
        <w:rPr>
          <w:spacing w:val="-65"/>
        </w:rPr>
      </w:r>
      <w:r>
        <w:rPr/>
        <w:t>市库存去化及土地市场供应的减少，公司土地储备未来仍有巨大盈利空间。</w:t>
      </w:r>
    </w:p>
    <w:p>
      <w:pPr>
        <w:pStyle w:val="BodyText"/>
        <w:spacing w:line="300" w:lineRule="auto" w:before="19"/>
        <w:ind w:left="513" w:right="142" w:hanging="72"/>
        <w:jc w:val="left"/>
      </w:pPr>
      <w:r>
        <w:rPr/>
        <w:t>（</w:t>
      </w:r>
      <w:r>
        <w:rPr>
          <w:rFonts w:ascii="Times New Roman" w:hAnsi="Times New Roman" w:cs="Times New Roman" w:eastAsia="Times New Roman" w:hint="default"/>
        </w:rPr>
        <w:t>4</w:t>
      </w:r>
      <w:r>
        <w:rPr/>
        <w:t>）中南建设品牌影响力 </w:t>
      </w:r>
      <w:r>
        <w:rPr>
          <w:spacing w:val="-2"/>
        </w:rPr>
        <w:t>中南建设始终秉承</w:t>
      </w:r>
      <w:r>
        <w:rPr>
          <w:rFonts w:ascii="Times New Roman" w:hAnsi="Times New Roman" w:cs="Times New Roman" w:eastAsia="Times New Roman" w:hint="default"/>
          <w:spacing w:val="-2"/>
        </w:rPr>
        <w:t>“</w:t>
      </w:r>
      <w:r>
        <w:rPr>
          <w:spacing w:val="-2"/>
        </w:rPr>
        <w:t>铸就百年基业</w:t>
      </w:r>
      <w:r>
        <w:rPr>
          <w:rFonts w:ascii="Times New Roman" w:hAnsi="Times New Roman" w:cs="Times New Roman" w:eastAsia="Times New Roman" w:hint="default"/>
          <w:spacing w:val="-2"/>
        </w:rPr>
        <w:t>”</w:t>
      </w:r>
      <w:r>
        <w:rPr>
          <w:spacing w:val="-2"/>
        </w:rPr>
        <w:t>的理念打造品牌，在产品品质和服务品质上重点打造企业品牌，中南建设凭借企业形</w:t>
      </w:r>
    </w:p>
    <w:p>
      <w:pPr>
        <w:pStyle w:val="BodyText"/>
        <w:spacing w:line="240" w:lineRule="auto" w:before="13"/>
        <w:ind w:right="142"/>
        <w:jc w:val="left"/>
      </w:pPr>
      <w:r>
        <w:rPr/>
        <w:t>象和综合实力荣膺</w:t>
      </w:r>
      <w:r>
        <w:rPr>
          <w:rFonts w:ascii="Times New Roman" w:hAnsi="Times New Roman" w:cs="Times New Roman" w:eastAsia="Times New Roman" w:hint="default"/>
        </w:rPr>
        <w:t>“2014</w:t>
      </w:r>
      <w:r>
        <w:rPr/>
        <w:t>中国房地产上市公司综合实力</w:t>
      </w:r>
      <w:r>
        <w:rPr>
          <w:rFonts w:ascii="Times New Roman" w:hAnsi="Times New Roman" w:cs="Times New Roman" w:eastAsia="Times New Roman" w:hint="default"/>
        </w:rPr>
        <w:t>50</w:t>
      </w:r>
      <w:r>
        <w:rPr/>
        <w:t>强第</w:t>
      </w:r>
      <w:r>
        <w:rPr>
          <w:rFonts w:ascii="Times New Roman" w:hAnsi="Times New Roman" w:cs="Times New Roman" w:eastAsia="Times New Roman" w:hint="default"/>
        </w:rPr>
        <w:t>27</w:t>
      </w:r>
      <w:r>
        <w:rPr/>
        <w:t>位，同时获得中国房地产企业品牌价值</w:t>
      </w:r>
      <w:r>
        <w:rPr>
          <w:rFonts w:ascii="Times New Roman" w:hAnsi="Times New Roman" w:cs="Times New Roman" w:eastAsia="Times New Roman" w:hint="default"/>
        </w:rPr>
        <w:t>28</w:t>
      </w:r>
      <w:r>
        <w:rPr/>
        <w:t>强称号。</w:t>
      </w:r>
    </w:p>
    <w:p>
      <w:pPr>
        <w:spacing w:line="240" w:lineRule="auto" w:before="3"/>
        <w:rPr>
          <w:rFonts w:ascii="宋体" w:hAnsi="宋体" w:cs="宋体" w:eastAsia="宋体" w:hint="default"/>
          <w:sz w:val="24"/>
          <w:szCs w:val="24"/>
        </w:rPr>
      </w:pPr>
    </w:p>
    <w:p>
      <w:pPr>
        <w:pStyle w:val="Heading2"/>
        <w:spacing w:line="240" w:lineRule="auto"/>
        <w:ind w:right="142"/>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1,346,100,000.00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2,534,258,749.25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-46.88%</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常熟中南锦苑房地产开发有限公司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如皋中南世纪城开发有限公司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江苏中南一德文化旅游产业发展有限公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旅游产业规划、咨询、投资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南京中南新锦城房地产开发有限公司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苏州中南锦城房地产开发有限公司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菏泽中南花成置业有限公司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太仓中南世纪城房地产开发有限公司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上海纳铭国际贸易有限公司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从事货物进出口业务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潜江中南雅苑房地产开发有限公司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江苏中南建筑科技发展有限公司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建筑新技术研发、咨询服务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C&amp;S </w:t>
            </w:r>
            <w:r>
              <w:rPr>
                <w:rFonts w:ascii="宋体" w:hAnsi="宋体" w:cs="宋体" w:eastAsia="宋体" w:hint="default"/>
                <w:sz w:val="18"/>
                <w:szCs w:val="18"/>
              </w:rPr>
              <w:t>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无锡中南城发城市建设投资有限公司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074"/>
        <w:jc w:val="left"/>
      </w:pPr>
      <w:r>
        <w:rPr/>
        <w:t>□ 适用 √</w:t>
      </w:r>
      <w:r>
        <w:rPr>
          <w:spacing w:val="3"/>
        </w:rPr>
        <w:t> </w:t>
      </w:r>
      <w:r>
        <w:rPr/>
        <w:t>不适用</w:t>
      </w:r>
      <w:r>
        <w:rPr/>
        <w:t> 公司报告期未持有金融企业股权。</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434"/>
        <w:jc w:val="left"/>
      </w:pPr>
      <w:r>
        <w:rPr/>
        <w:t>□ 适用 √</w:t>
      </w:r>
      <w:r>
        <w:rPr>
          <w:spacing w:val="3"/>
        </w:rPr>
        <w:t> </w:t>
      </w:r>
      <w:r>
        <w:rPr/>
        <w:t>不适用</w:t>
      </w:r>
      <w:r>
        <w:rPr/>
        <w:t> 公司报告期不存在证券投资。</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814"/>
        <w:jc w:val="left"/>
      </w:pPr>
      <w:r>
        <w:rPr/>
        <w:t>□ 适用 √</w:t>
      </w:r>
      <w:r>
        <w:rPr>
          <w:spacing w:val="3"/>
        </w:rPr>
        <w:t> </w:t>
      </w:r>
      <w:r>
        <w:rPr/>
        <w:t>不适用</w:t>
      </w:r>
      <w:r>
        <w:rPr/>
        <w:t> 公司报告期未持有其他上市公司股权。</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434"/>
        <w:jc w:val="left"/>
      </w:pPr>
      <w:r>
        <w:rPr/>
        <w:t>□ 适用 √</w:t>
      </w:r>
      <w:r>
        <w:rPr>
          <w:spacing w:val="3"/>
        </w:rPr>
        <w:t> </w:t>
      </w:r>
      <w:r>
        <w:rPr/>
        <w:t>不适用</w:t>
      </w:r>
      <w:r>
        <w:rPr/>
        <w:t> 公司报告期不存在委托理财。</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254"/>
        <w:jc w:val="left"/>
      </w:pPr>
      <w:r>
        <w:rPr/>
        <w:t>□ 适用 √</w:t>
      </w:r>
      <w:r>
        <w:rPr>
          <w:spacing w:val="3"/>
        </w:rPr>
        <w:t> </w:t>
      </w:r>
      <w:r>
        <w:rPr/>
        <w:t>不适用</w:t>
      </w:r>
      <w:r>
        <w:rPr/>
        <w:t> 公司报告期不存在衍生品投资。</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t>□ 适用 √</w:t>
      </w:r>
      <w:r>
        <w:rPr>
          <w:spacing w:val="3"/>
        </w:rPr>
        <w:t> </w:t>
      </w:r>
      <w:r>
        <w:rPr/>
        <w:t>不适用</w:t>
      </w:r>
      <w:r>
        <w:rPr/>
        <w:t> 公司报告期不存在委托贷款。</w:t>
      </w:r>
    </w:p>
    <w:p>
      <w:pPr>
        <w:spacing w:after="0" w:line="35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2"/>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074"/>
        <w:jc w:val="left"/>
      </w:pPr>
      <w:r>
        <w:rPr/>
        <w:t>□ 适用 √</w:t>
      </w:r>
      <w:r>
        <w:rPr>
          <w:spacing w:val="3"/>
        </w:rPr>
        <w:t> </w:t>
      </w:r>
      <w:r>
        <w:rPr/>
        <w:t>不适用</w:t>
      </w:r>
      <w:r>
        <w:rPr/>
        <w:t> 公司报告期无募集资金使用情况。</w:t>
      </w:r>
    </w:p>
    <w:p>
      <w:pPr>
        <w:spacing w:after="0" w:line="357" w:lineRule="auto"/>
        <w:jc w:val="left"/>
        <w:sectPr>
          <w:pgSz w:w="11910" w:h="16840"/>
          <w:pgMar w:header="745" w:footer="979" w:top="106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11"/>
          <w:footerReference w:type="default" r:id="rId12"/>
          <w:pgSz w:w="16840" w:h="11910" w:orient="landscape"/>
          <w:pgMar w:header="867" w:footer="979" w:top="1060" w:bottom="1160" w:left="1300" w:right="1300"/>
          <w:pgNumType w:start="19"/>
        </w:sectPr>
      </w:pPr>
    </w:p>
    <w:p>
      <w:pPr>
        <w:pStyle w:val="BodyText"/>
        <w:spacing w:line="360" w:lineRule="auto" w:before="44"/>
        <w:ind w:left="140" w:right="-20"/>
        <w:jc w:val="left"/>
      </w:pPr>
      <w:r>
        <w:rPr/>
        <w:t>√ 适用 □</w:t>
      </w:r>
      <w:r>
        <w:rPr>
          <w:spacing w:val="3"/>
        </w:rPr>
        <w:t> </w:t>
      </w:r>
      <w:r>
        <w:rPr/>
        <w:t>不适用</w:t>
      </w:r>
      <w:r>
        <w:rPr/>
        <w:t>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160" w:left="1300" w:right="1300"/>
          <w:cols w:num="2" w:equalWidth="0">
            <w:col w:w="2301" w:space="10841"/>
            <w:col w:w="1098"/>
          </w:cols>
        </w:sectPr>
      </w:pPr>
    </w:p>
    <w:p>
      <w:pPr>
        <w:spacing w:line="240" w:lineRule="auto" w:before="3"/>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340"/>
        <w:gridCol w:w="1078"/>
        <w:gridCol w:w="1263"/>
        <w:gridCol w:w="943"/>
        <w:gridCol w:w="1217"/>
        <w:gridCol w:w="1440"/>
        <w:gridCol w:w="1440"/>
        <w:gridCol w:w="1441"/>
        <w:gridCol w:w="1440"/>
        <w:gridCol w:w="1260"/>
      </w:tblGrid>
      <w:tr>
        <w:trPr>
          <w:trHeight w:val="715"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6" w:right="107"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文昌中南房地产开发有限公 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出售商品 住宅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150,000,000.00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2,034,486,732.93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513,678,094.86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572,694,624.13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199,044,714.16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142,452,903.62</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淮安中南世纪城房地产开发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7"/>
              <w:jc w:val="left"/>
              <w:rPr>
                <w:rFonts w:ascii="宋体" w:hAnsi="宋体" w:cs="宋体" w:eastAsia="宋体" w:hint="default"/>
                <w:sz w:val="18"/>
                <w:szCs w:val="18"/>
              </w:rPr>
            </w:pPr>
            <w:r>
              <w:rPr>
                <w:rFonts w:ascii="宋体" w:hAnsi="宋体" w:cs="宋体" w:eastAsia="宋体" w:hint="default"/>
                <w:sz w:val="18"/>
                <w:szCs w:val="18"/>
              </w:rPr>
              <w:t>出售商品 住宅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520,000,000.00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2,927,400,823.15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557,377,062.62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776,352,201.22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137,821,320.86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111,717,996.23</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出售商品 住宅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1,020,000,000.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4,950,600,050.24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945,646,391.17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458,129,808.60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-89,298,576.70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-70,989,771.36</w:t>
            </w: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寿光中南世纪城房地产开发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7"/>
              <w:jc w:val="left"/>
              <w:rPr>
                <w:rFonts w:ascii="宋体" w:hAnsi="宋体" w:cs="宋体" w:eastAsia="宋体" w:hint="default"/>
                <w:sz w:val="18"/>
                <w:szCs w:val="18"/>
              </w:rPr>
            </w:pPr>
            <w:r>
              <w:rPr>
                <w:rFonts w:ascii="宋体" w:hAnsi="宋体" w:cs="宋体" w:eastAsia="宋体" w:hint="default"/>
                <w:sz w:val="18"/>
                <w:szCs w:val="18"/>
              </w:rPr>
              <w:t>出售商品 住宅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150,000,000.00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3,695,862,658.67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165,277,644.45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502,595,626.00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-41,987,308.55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-36,656,627.96</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出售商品 住宅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495,050,000.00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5,549,627,979.59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436,373,668.36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542,881,752.00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-9,889,582.75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-10,234,667.79</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常熟中南世纪城房地产开发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7"/>
              <w:jc w:val="left"/>
              <w:rPr>
                <w:rFonts w:ascii="宋体" w:hAnsi="宋体" w:cs="宋体" w:eastAsia="宋体" w:hint="default"/>
                <w:sz w:val="18"/>
                <w:szCs w:val="18"/>
              </w:rPr>
            </w:pPr>
            <w:r>
              <w:rPr>
                <w:rFonts w:ascii="宋体" w:hAnsi="宋体" w:cs="宋体" w:eastAsia="宋体" w:hint="default"/>
                <w:sz w:val="18"/>
                <w:szCs w:val="18"/>
              </w:rPr>
              <w:t>出售商品 住宅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300,000,000.00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5,638,376,612.65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1,763,891,044.25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2,201,647,035.00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909,972,791.97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669,379,847.22</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江苏中南园林工程有限公司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园林施工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7"/>
              <w:jc w:val="center"/>
              <w:rPr>
                <w:rFonts w:ascii="Times New Roman" w:hAnsi="Times New Roman" w:cs="Times New Roman" w:eastAsia="Times New Roman" w:hint="default"/>
                <w:sz w:val="18"/>
                <w:szCs w:val="18"/>
              </w:rPr>
            </w:pPr>
            <w:r>
              <w:rPr>
                <w:rFonts w:ascii="Times New Roman"/>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47,317,596.27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14,282,071.58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45,845,400.00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3,160,195.62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2,161,570.85</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江苏中南建筑防水工程有限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7"/>
              <w:jc w:val="left"/>
              <w:rPr>
                <w:rFonts w:ascii="宋体" w:hAnsi="宋体" w:cs="宋体" w:eastAsia="宋体" w:hint="default"/>
                <w:sz w:val="18"/>
                <w:szCs w:val="18"/>
              </w:rPr>
            </w:pPr>
            <w:r>
              <w:rPr>
                <w:rFonts w:ascii="宋体" w:hAnsi="宋体" w:cs="宋体" w:eastAsia="宋体" w:hint="default"/>
                <w:sz w:val="18"/>
                <w:szCs w:val="18"/>
              </w:rPr>
              <w:t>防水工程 施工所</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6"/>
              <w:jc w:val="center"/>
              <w:rPr>
                <w:rFonts w:ascii="Times New Roman" w:hAnsi="Times New Roman" w:cs="Times New Roman" w:eastAsia="Times New Roman" w:hint="default"/>
                <w:sz w:val="18"/>
                <w:szCs w:val="18"/>
              </w:rPr>
            </w:pPr>
            <w:r>
              <w:rPr>
                <w:rFonts w:ascii="Times New Roman"/>
                <w:sz w:val="18"/>
              </w:rPr>
              <w:t>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41,769,538.21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6,851,488.01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58,738,216.75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837,653.10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619,069.48</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南通中南世纪花城投资有限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出售商品 住宅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200,000,000.00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4,921,289,909.89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1,270,832,474.01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884,968,252.02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370,561,401.43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274,271,481.81</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江苏中南建筑产业集团有限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7"/>
              <w:jc w:val="left"/>
              <w:rPr>
                <w:rFonts w:ascii="宋体" w:hAnsi="宋体" w:cs="宋体" w:eastAsia="宋体" w:hint="default"/>
                <w:sz w:val="18"/>
                <w:szCs w:val="18"/>
              </w:rPr>
            </w:pPr>
            <w:r>
              <w:rPr>
                <w:rFonts w:ascii="宋体" w:hAnsi="宋体" w:cs="宋体" w:eastAsia="宋体" w:hint="default"/>
                <w:sz w:val="18"/>
                <w:szCs w:val="18"/>
              </w:rPr>
              <w:t>民用建筑 工程施工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1,400,000,000.</w:t>
            </w:r>
          </w:p>
          <w:p>
            <w:pPr>
              <w:pStyle w:val="TableParagraph"/>
              <w:spacing w:line="240" w:lineRule="auto" w:before="102"/>
              <w:ind w:left="21" w:right="0"/>
              <w:jc w:val="left"/>
              <w:rPr>
                <w:rFonts w:ascii="Times New Roman" w:hAnsi="Times New Roman" w:cs="Times New Roman" w:eastAsia="Times New Roman" w:hint="default"/>
                <w:sz w:val="18"/>
                <w:szCs w:val="18"/>
              </w:rPr>
            </w:pPr>
            <w:r>
              <w:rPr>
                <w:rFonts w:ascii="Times New Roman"/>
                <w:sz w:val="18"/>
              </w:rPr>
              <w:t>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29,145,052,136.06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4,162,371,836.58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12,259,654,762.86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582,932,343.07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399,457,025.50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40"/>
        <w:gridCol w:w="1078"/>
        <w:gridCol w:w="1263"/>
        <w:gridCol w:w="943"/>
        <w:gridCol w:w="1217"/>
        <w:gridCol w:w="1440"/>
        <w:gridCol w:w="1440"/>
        <w:gridCol w:w="1441"/>
        <w:gridCol w:w="1440"/>
        <w:gridCol w:w="1260"/>
      </w:tblGrid>
      <w:tr>
        <w:trPr>
          <w:trHeight w:val="730" w:hRule="exact"/>
        </w:trPr>
        <w:tc>
          <w:tcPr>
            <w:tcW w:w="234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海门中南房地产经纪有限公 司</w:t>
            </w:r>
          </w:p>
        </w:tc>
        <w:tc>
          <w:tcPr>
            <w:tcW w:w="10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6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943"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4" w:right="187"/>
              <w:jc w:val="left"/>
              <w:rPr>
                <w:rFonts w:ascii="宋体" w:hAnsi="宋体" w:cs="宋体" w:eastAsia="宋体" w:hint="default"/>
                <w:sz w:val="18"/>
                <w:szCs w:val="18"/>
              </w:rPr>
            </w:pPr>
            <w:r>
              <w:rPr>
                <w:rFonts w:ascii="宋体" w:hAnsi="宋体" w:cs="宋体" w:eastAsia="宋体" w:hint="default"/>
                <w:sz w:val="18"/>
                <w:szCs w:val="18"/>
              </w:rPr>
              <w:t>房地产销 售</w:t>
            </w:r>
          </w:p>
        </w:tc>
        <w:tc>
          <w:tcPr>
            <w:tcW w:w="12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10,000,000.00</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240,143,800.66</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187,684,285.61</w:t>
            </w:r>
          </w:p>
        </w:tc>
        <w:tc>
          <w:tcPr>
            <w:tcW w:w="14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233,444,508.47</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50,716,497.04</w:t>
            </w:r>
          </w:p>
        </w:tc>
        <w:tc>
          <w:tcPr>
            <w:tcW w:w="12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39,147,966.17</w:t>
            </w:r>
          </w:p>
        </w:tc>
      </w:tr>
    </w:tbl>
    <w:p>
      <w:pPr>
        <w:pStyle w:val="BodyText"/>
        <w:spacing w:line="240" w:lineRule="auto" w:before="49"/>
        <w:ind w:left="120" w:right="98"/>
        <w:jc w:val="left"/>
      </w:pPr>
      <w:r>
        <w:rPr/>
        <w:t>主要子公司、参股公司情况说明</w:t>
      </w:r>
    </w:p>
    <w:p>
      <w:pPr>
        <w:pStyle w:val="BodyText"/>
        <w:spacing w:line="300" w:lineRule="auto" w:before="115"/>
        <w:ind w:left="120" w:right="98" w:firstLine="360"/>
        <w:jc w:val="left"/>
      </w:pPr>
      <w:r>
        <w:rPr>
          <w:rFonts w:ascii="Times New Roman" w:hAnsi="Times New Roman" w:cs="Times New Roman" w:eastAsia="Times New Roman" w:hint="default"/>
        </w:rPr>
        <w:t>1</w:t>
      </w:r>
      <w:r>
        <w:rPr/>
        <w:t>、江苏中南建筑产业集团有限公司（原名：南通建筑工程总承包有限公司）为公司下属从事建筑施工的大型企业集团，</w:t>
      </w:r>
      <w:r>
        <w:rPr>
          <w:rFonts w:ascii="Times New Roman" w:hAnsi="Times New Roman" w:cs="Times New Roman" w:eastAsia="Times New Roman" w:hint="default"/>
        </w:rPr>
        <w:t>2014</w:t>
      </w:r>
      <w:r>
        <w:rPr/>
        <w:t>年度营业收入增长</w:t>
      </w:r>
      <w:r>
        <w:rPr>
          <w:rFonts w:ascii="Times New Roman" w:hAnsi="Times New Roman" w:cs="Times New Roman" w:eastAsia="Times New Roman" w:hint="default"/>
        </w:rPr>
        <w:t>13.67%</w:t>
      </w:r>
      <w:r>
        <w:rPr/>
        <w:t>，净利润下降</w:t>
      </w:r>
      <w:r>
        <w:rPr>
          <w:rFonts w:ascii="Times New Roman" w:hAnsi="Times New Roman" w:cs="Times New Roman" w:eastAsia="Times New Roman" w:hint="default"/>
        </w:rPr>
        <w:t>22.53%</w:t>
      </w:r>
      <w:r>
        <w:rPr/>
        <w:t>， 主要是</w:t>
      </w:r>
      <w:r>
        <w:rPr>
          <w:rFonts w:ascii="Times New Roman" w:hAnsi="Times New Roman" w:cs="Times New Roman" w:eastAsia="Times New Roman" w:hint="default"/>
        </w:rPr>
        <w:t>2014</w:t>
      </w:r>
      <w:r>
        <w:rPr/>
        <w:t>年工程成本中人工成本增长较快所导致。</w:t>
      </w:r>
    </w:p>
    <w:p>
      <w:pPr>
        <w:pStyle w:val="BodyText"/>
        <w:spacing w:line="240" w:lineRule="auto" w:before="13"/>
        <w:ind w:left="480" w:right="98"/>
        <w:jc w:val="left"/>
      </w:pPr>
      <w:r>
        <w:rPr>
          <w:rFonts w:ascii="Times New Roman" w:hAnsi="Times New Roman" w:cs="Times New Roman" w:eastAsia="Times New Roman" w:hint="default"/>
        </w:rPr>
        <w:t>2</w:t>
      </w:r>
      <w:r>
        <w:rPr/>
        <w:t>、本年度房地产重点结算项目公司为常熟中南世纪城项目、南通中南世纪花城项目、文昌中南世纪城项目，三个项目共为公司提供净利润</w:t>
      </w:r>
      <w:r>
        <w:rPr>
          <w:rFonts w:ascii="Times New Roman" w:hAnsi="Times New Roman" w:cs="Times New Roman" w:eastAsia="Times New Roman" w:hint="default"/>
        </w:rPr>
        <w:t>10.85</w:t>
      </w:r>
      <w:r>
        <w:rPr/>
        <w:t>亿元。</w:t>
      </w:r>
    </w:p>
    <w:p>
      <w:pPr>
        <w:pStyle w:val="BodyText"/>
        <w:spacing w:line="240" w:lineRule="auto" w:before="63"/>
        <w:ind w:left="480" w:right="98"/>
        <w:jc w:val="left"/>
      </w:pPr>
      <w:r>
        <w:rPr>
          <w:rFonts w:ascii="Times New Roman" w:hAnsi="Times New Roman" w:cs="Times New Roman" w:eastAsia="Times New Roman" w:hint="default"/>
        </w:rPr>
        <w:t>3</w:t>
      </w:r>
      <w:r>
        <w:rPr/>
        <w:t>、海门中南国际房地产经纪有限公司为公司设立销售公司开发房地产项目的公司，该公司</w:t>
      </w:r>
      <w:r>
        <w:rPr>
          <w:rFonts w:ascii="Times New Roman" w:hAnsi="Times New Roman" w:cs="Times New Roman" w:eastAsia="Times New Roman" w:hint="default"/>
        </w:rPr>
        <w:t>2014</w:t>
      </w:r>
      <w:r>
        <w:rPr/>
        <w:t>年度销售佣金</w:t>
      </w:r>
      <w:r>
        <w:rPr>
          <w:rFonts w:ascii="Times New Roman" w:hAnsi="Times New Roman" w:cs="Times New Roman" w:eastAsia="Times New Roman" w:hint="default"/>
        </w:rPr>
        <w:t>2.33</w:t>
      </w:r>
      <w:r>
        <w:rPr/>
        <w:t>亿元，净利润</w:t>
      </w:r>
      <w:r>
        <w:rPr>
          <w:rFonts w:ascii="Times New Roman" w:hAnsi="Times New Roman" w:cs="Times New Roman" w:eastAsia="Times New Roman" w:hint="default"/>
        </w:rPr>
        <w:t>3914</w:t>
      </w:r>
      <w:r>
        <w:rPr/>
        <w:t>万元，在合并报表中予以抵消。</w:t>
      </w:r>
    </w:p>
    <w:p>
      <w:pPr>
        <w:pStyle w:val="BodyText"/>
        <w:spacing w:line="340" w:lineRule="auto" w:before="63"/>
        <w:ind w:left="120" w:right="848" w:firstLine="360"/>
        <w:jc w:val="left"/>
      </w:pPr>
      <w:r>
        <w:rPr>
          <w:rFonts w:ascii="Times New Roman" w:hAnsi="Times New Roman" w:cs="Times New Roman" w:eastAsia="Times New Roman" w:hint="default"/>
        </w:rPr>
        <w:t>4</w:t>
      </w:r>
      <w:r>
        <w:rPr/>
        <w:t>、江苏中南园林工程有限公司、江苏中南建筑防水工程有限公司为房地产业务关联公司，均由中南建设投资，未来主要以承接公司内部房地产项目专业工程为主。 报告期内取得和处置子公司的情况</w:t>
      </w:r>
    </w:p>
    <w:p>
      <w:pPr>
        <w:pStyle w:val="BodyText"/>
        <w:spacing w:line="240" w:lineRule="auto" w:before="41"/>
        <w:ind w:left="120"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79" w:top="1060" w:bottom="1160" w:left="1320" w:right="13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977"/>
        <w:gridCol w:w="1981"/>
        <w:gridCol w:w="1080"/>
        <w:gridCol w:w="900"/>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3" w:right="51" w:hanging="361"/>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6"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5" w:right="19" w:hanging="332"/>
              <w:jc w:val="left"/>
              <w:rPr>
                <w:rFonts w:ascii="宋体" w:hAnsi="宋体" w:cs="宋体" w:eastAsia="宋体" w:hint="default"/>
                <w:sz w:val="18"/>
                <w:szCs w:val="18"/>
              </w:rPr>
            </w:pPr>
            <w:r>
              <w:rPr>
                <w:rFonts w:ascii="宋体" w:hAnsi="宋体" w:cs="宋体" w:eastAsia="宋体" w:hint="default"/>
                <w:spacing w:val="-10"/>
                <w:sz w:val="18"/>
                <w:szCs w:val="18"/>
              </w:rPr>
              <w:t>披露日期（如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86"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南通中南世纪 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53,619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903,978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当年净利润为</w:t>
            </w:r>
            <w:r>
              <w:rPr>
                <w:rFonts w:ascii="Times New Roman" w:hAnsi="Times New Roman" w:cs="Times New Roman" w:eastAsia="Times New Roman" w:hint="default"/>
                <w:sz w:val="18"/>
                <w:szCs w:val="18"/>
              </w:rPr>
              <w:t>-1890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南通中南世纪 花城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66,281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380,813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当年净利润为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吴江中南世纪 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65,795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293,352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当年净利润为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盐城中南世纪 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90,483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452,572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当年净利润为</w:t>
            </w:r>
            <w:r>
              <w:rPr>
                <w:rFonts w:ascii="Times New Roman" w:hAnsi="Times New Roman" w:cs="Times New Roman" w:eastAsia="Times New Roman" w:hint="default"/>
                <w:sz w:val="18"/>
                <w:szCs w:val="18"/>
              </w:rPr>
              <w:t>-1023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青岛中南世纪 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323,542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当年净利润为</w:t>
            </w:r>
            <w:r>
              <w:rPr>
                <w:rFonts w:ascii="Times New Roman" w:hAnsi="Times New Roman" w:cs="Times New Roman" w:eastAsia="Times New Roman" w:hint="default"/>
                <w:sz w:val="18"/>
                <w:szCs w:val="18"/>
              </w:rPr>
              <w:t>-7098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海门中南世纪 锦城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62,162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309,769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当年净利润为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文昌森海湾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30,361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135,630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当年净利润为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青岛海湾新城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180,546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当年净利润为</w:t>
            </w:r>
            <w:r>
              <w:rPr>
                <w:rFonts w:ascii="Times New Roman" w:hAnsi="Times New Roman" w:cs="Times New Roman" w:eastAsia="Times New Roman" w:hint="default"/>
                <w:sz w:val="18"/>
                <w:szCs w:val="18"/>
              </w:rPr>
              <w:t>-2630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镇江中南世纪 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33,430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254,062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当年实现收益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镇江新锦城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286,728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当年实现收益</w:t>
            </w:r>
            <w:r>
              <w:rPr>
                <w:rFonts w:ascii="Times New Roman" w:hAnsi="Times New Roman" w:cs="Times New Roman" w:eastAsia="Times New Roman" w:hint="default"/>
                <w:sz w:val="18"/>
                <w:szCs w:val="18"/>
              </w:rPr>
              <w:t>-6383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苏州中南中心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28,607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新项目，当年未结算</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海门中南锦苑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87,955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新项目，当年未结算</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泰兴中南世纪 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169,787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新项目，当年未结算</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昆山中南世纪 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246,212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新项目，当年未结算</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900,754</w:t>
            </w:r>
          </w:p>
        </w:tc>
        <w:tc>
          <w:tcPr>
            <w:tcW w:w="11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4,053,553</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月经营业绩的预计</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94"/>
        <w:jc w:val="left"/>
      </w:pPr>
      <w:r>
        <w:rPr/>
        <w:t>预测年初至下一报告期期末的累计净利润可能为亏损或者与上年同期相比发生大幅度变动的警示及原因说明</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13"/>
          <w:footerReference w:type="default" r:id="rId14"/>
          <w:pgSz w:w="11910" w:h="16840"/>
          <w:pgMar w:header="877" w:footer="979" w:top="1100" w:bottom="1160" w:left="980" w:right="940"/>
          <w:pgNumType w:start="21"/>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八、公司控制的特殊目的主体情况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4"/>
        <w:jc w:val="left"/>
      </w:pPr>
      <w:r>
        <w:rPr>
          <w:rFonts w:ascii="Times New Roman" w:hAnsi="Times New Roman" w:cs="Times New Roman" w:eastAsia="Times New Roman" w:hint="default"/>
        </w:rPr>
        <w:t>1</w:t>
      </w:r>
      <w:r>
        <w:rPr/>
        <w:t>、行业发展分析</w:t>
      </w:r>
    </w:p>
    <w:p>
      <w:pPr>
        <w:pStyle w:val="BodyText"/>
        <w:spacing w:line="300" w:lineRule="auto" w:before="63"/>
        <w:ind w:right="190" w:firstLine="360"/>
        <w:jc w:val="both"/>
      </w:pPr>
      <w:r>
        <w:rPr/>
        <w:t>展望未来，从基本供需结构来看，房地产市场供需平衡至少还需要新建</w:t>
      </w:r>
      <w:r>
        <w:rPr>
          <w:rFonts w:ascii="Times New Roman" w:hAnsi="Times New Roman" w:cs="Times New Roman" w:eastAsia="Times New Roman" w:hint="default"/>
        </w:rPr>
        <w:t>120-160</w:t>
      </w:r>
      <w:r>
        <w:rPr/>
        <w:t>亿平方米的住宅，因此，房地产还有至 </w:t>
      </w:r>
      <w:r>
        <w:rPr>
          <w:spacing w:val="-2"/>
        </w:rPr>
        <w:t>少</w:t>
      </w:r>
      <w:r>
        <w:rPr>
          <w:rFonts w:ascii="Times New Roman" w:hAnsi="Times New Roman" w:cs="Times New Roman" w:eastAsia="Times New Roman" w:hint="default"/>
          <w:spacing w:val="-2"/>
        </w:rPr>
        <w:t>10</w:t>
      </w:r>
      <w:r>
        <w:rPr>
          <w:spacing w:val="-2"/>
        </w:rPr>
        <w:t>年的基本稳定发展期，建筑业至</w:t>
      </w:r>
      <w:r>
        <w:rPr>
          <w:rFonts w:ascii="Times New Roman" w:hAnsi="Times New Roman" w:cs="Times New Roman" w:eastAsia="Times New Roman" w:hint="default"/>
          <w:spacing w:val="-2"/>
        </w:rPr>
        <w:t>2020</w:t>
      </w:r>
      <w:r>
        <w:rPr>
          <w:spacing w:val="-2"/>
        </w:rPr>
        <w:t>年之前都将会有较快的增长。因此，建筑配套工业、建筑工程及基础设施市场依旧</w:t>
      </w:r>
      <w:r>
        <w:rPr>
          <w:spacing w:val="-60"/>
        </w:rPr>
        <w:t> </w:t>
      </w:r>
      <w:r>
        <w:rPr>
          <w:spacing w:val="-60"/>
        </w:rPr>
      </w:r>
      <w:r>
        <w:rPr/>
        <w:t>存在巨大的市场机遇。</w:t>
      </w:r>
    </w:p>
    <w:p>
      <w:pPr>
        <w:pStyle w:val="BodyText"/>
        <w:spacing w:line="240" w:lineRule="auto" w:before="31"/>
        <w:ind w:left="513" w:right="9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年公司发展展望及年度计划</w:t>
      </w:r>
    </w:p>
    <w:p>
      <w:pPr>
        <w:pStyle w:val="BodyText"/>
        <w:spacing w:line="309" w:lineRule="auto" w:before="63"/>
        <w:ind w:right="94" w:firstLine="360"/>
        <w:jc w:val="left"/>
      </w:pPr>
      <w:r>
        <w:rPr>
          <w:rFonts w:ascii="Times New Roman" w:hAnsi="Times New Roman" w:cs="Times New Roman" w:eastAsia="Times New Roman" w:hint="default"/>
          <w:spacing w:val="-3"/>
        </w:rPr>
        <w:t>2015</w:t>
      </w:r>
      <w:r>
        <w:rPr>
          <w:spacing w:val="-3"/>
        </w:rPr>
        <w:t>年公司坚持</w:t>
      </w:r>
      <w:r>
        <w:rPr>
          <w:rFonts w:ascii="Times New Roman" w:hAnsi="Times New Roman" w:cs="Times New Roman" w:eastAsia="Times New Roman" w:hint="default"/>
          <w:spacing w:val="-3"/>
        </w:rPr>
        <w:t>“</w:t>
      </w:r>
      <w:r>
        <w:rPr>
          <w:spacing w:val="-3"/>
        </w:rPr>
        <w:t>精准化、精细化、经济型、均好型</w:t>
      </w:r>
      <w:r>
        <w:rPr>
          <w:rFonts w:ascii="Times New Roman" w:hAnsi="Times New Roman" w:cs="Times New Roman" w:eastAsia="Times New Roman" w:hint="default"/>
          <w:spacing w:val="-3"/>
        </w:rPr>
        <w:t>”</w:t>
      </w:r>
      <w:r>
        <w:rPr>
          <w:spacing w:val="-3"/>
        </w:rPr>
        <w:t>的经营思路，紧抓长江经济带、</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等国家性战略发展机遇，</w:t>
      </w:r>
      <w:r>
        <w:rPr/>
        <w:t> </w:t>
      </w:r>
      <w:r>
        <w:rPr>
          <w:spacing w:val="-2"/>
        </w:rPr>
        <w:t>统筹考虑经济发展周期和行业发展规律等因素，加快调整商业模式和产业结构，优化体制机制及各项制度，推进主流市场布</w:t>
      </w:r>
      <w:r>
        <w:rPr>
          <w:spacing w:val="-63"/>
        </w:rPr>
        <w:t> </w:t>
      </w:r>
      <w:r>
        <w:rPr>
          <w:spacing w:val="-63"/>
        </w:rPr>
      </w:r>
      <w:r>
        <w:rPr/>
        <w:t>局，提升市场地位。</w:t>
      </w:r>
    </w:p>
    <w:p>
      <w:pPr>
        <w:pStyle w:val="BodyText"/>
        <w:spacing w:line="300" w:lineRule="auto" w:before="24"/>
        <w:ind w:right="183" w:firstLine="27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年，公司房地产业务计划实现销售面积</w:t>
      </w:r>
      <w:r>
        <w:rPr>
          <w:rFonts w:ascii="Times New Roman" w:hAnsi="Times New Roman" w:cs="Times New Roman" w:eastAsia="Times New Roman" w:hint="default"/>
        </w:rPr>
        <w:t>300</w:t>
      </w:r>
      <w:r>
        <w:rPr/>
        <w:t>万平方米，销售金额</w:t>
      </w:r>
      <w:r>
        <w:rPr>
          <w:rFonts w:ascii="Times New Roman" w:hAnsi="Times New Roman" w:cs="Times New Roman" w:eastAsia="Times New Roman" w:hint="default"/>
        </w:rPr>
        <w:t>240</w:t>
      </w:r>
      <w:r>
        <w:rPr/>
        <w:t>亿元。建筑施工业务计划实现业务收入</w:t>
      </w:r>
      <w:r>
        <w:rPr>
          <w:rFonts w:ascii="Times New Roman" w:hAnsi="Times New Roman" w:cs="Times New Roman" w:eastAsia="Times New Roman" w:hint="default"/>
        </w:rPr>
        <w:t>130</w:t>
      </w:r>
      <w:r>
        <w:rPr>
          <w:rFonts w:ascii="Times New Roman" w:hAnsi="Times New Roman" w:cs="Times New Roman" w:eastAsia="Times New Roman" w:hint="default"/>
          <w:spacing w:val="1"/>
        </w:rPr>
        <w:t> </w:t>
      </w:r>
      <w:r>
        <w:rPr/>
        <w:t>亿元。</w:t>
      </w:r>
    </w:p>
    <w:p>
      <w:pPr>
        <w:pStyle w:val="BodyText"/>
        <w:spacing w:line="240" w:lineRule="auto" w:before="31"/>
        <w:ind w:left="424" w:right="9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年，公司确保在产业结构转型取得实质性突破，并建立良好、有序的发展途径。</w:t>
      </w:r>
    </w:p>
    <w:p>
      <w:pPr>
        <w:pStyle w:val="BodyText"/>
        <w:spacing w:line="240" w:lineRule="auto" w:before="63"/>
        <w:ind w:left="424" w:right="9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年，以上市公司为平台，做好股权、债权融资工作，优化公司资本结构，有效降低公司融资成本。</w:t>
      </w:r>
    </w:p>
    <w:p>
      <w:pPr>
        <w:pStyle w:val="BodyText"/>
        <w:spacing w:line="300" w:lineRule="auto" w:before="63"/>
        <w:ind w:right="94" w:firstLine="271"/>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2015</w:t>
      </w:r>
      <w:r>
        <w:rPr>
          <w:spacing w:val="-2"/>
        </w:rPr>
        <w:t>年，建筑产业公司要抓住</w:t>
      </w:r>
      <w:r>
        <w:rPr>
          <w:rFonts w:ascii="Times New Roman" w:hAnsi="Times New Roman" w:cs="Times New Roman" w:eastAsia="Times New Roman" w:hint="default"/>
          <w:spacing w:val="-2"/>
        </w:rPr>
        <w:t>NPC</w:t>
      </w:r>
      <w:r>
        <w:rPr>
          <w:spacing w:val="-2"/>
        </w:rPr>
        <w:t>技术领先优势，实现传统施工向建筑现代化转型，确保</w:t>
      </w:r>
      <w:r>
        <w:rPr>
          <w:rFonts w:ascii="Times New Roman" w:hAnsi="Times New Roman" w:cs="Times New Roman" w:eastAsia="Times New Roman" w:hint="default"/>
          <w:spacing w:val="-2"/>
        </w:rPr>
        <w:t>NPC</w:t>
      </w:r>
      <w:r>
        <w:rPr>
          <w:spacing w:val="-2"/>
        </w:rPr>
        <w:t>方式承接外部业务不</w:t>
      </w:r>
      <w:r>
        <w:rPr/>
        <w:t> 少于</w:t>
      </w:r>
      <w:r>
        <w:rPr>
          <w:rFonts w:ascii="Times New Roman" w:hAnsi="Times New Roman" w:cs="Times New Roman" w:eastAsia="Times New Roman" w:hint="default"/>
        </w:rPr>
        <w:t>20</w:t>
      </w:r>
      <w:r>
        <w:rPr/>
        <w:t>亿元，并组建新商业模式项目小组，加快在</w:t>
      </w:r>
      <w:r>
        <w:rPr>
          <w:rFonts w:ascii="Times New Roman" w:hAnsi="Times New Roman" w:cs="Times New Roman" w:eastAsia="Times New Roman" w:hint="default"/>
        </w:rPr>
        <w:t>BT</w:t>
      </w:r>
      <w:r>
        <w:rPr/>
        <w:t>、</w:t>
      </w:r>
      <w:r>
        <w:rPr>
          <w:rFonts w:ascii="Times New Roman" w:hAnsi="Times New Roman" w:cs="Times New Roman" w:eastAsia="Times New Roman" w:hint="default"/>
        </w:rPr>
        <w:t>PPP</w:t>
      </w:r>
      <w:r>
        <w:rPr/>
        <w:t>商业模式承接工程上有突破。</w:t>
      </w:r>
    </w:p>
    <w:p>
      <w:pPr>
        <w:pStyle w:val="BodyText"/>
        <w:spacing w:line="300" w:lineRule="auto" w:before="13"/>
        <w:ind w:left="657" w:right="180" w:hanging="233"/>
        <w:jc w:val="left"/>
      </w:pPr>
      <w:r>
        <w:rPr>
          <w:rFonts w:ascii="Times New Roman" w:hAnsi="Times New Roman" w:cs="Times New Roman" w:eastAsia="Times New Roman" w:hint="default"/>
        </w:rPr>
        <w:t>3</w:t>
      </w:r>
      <w:r>
        <w:rPr/>
        <w:t>、未来面临的风险和对策 </w:t>
      </w:r>
      <w:r>
        <w:rPr>
          <w:spacing w:val="-1"/>
        </w:rPr>
        <w:t>报告期内，公司正在开发建设的房地产项目预售情况较为良好，但公司主营业务经营中的风险因素仍然存在，公司未</w:t>
      </w:r>
    </w:p>
    <w:p>
      <w:pPr>
        <w:pStyle w:val="BodyText"/>
        <w:spacing w:line="240" w:lineRule="auto" w:before="32"/>
        <w:ind w:right="94"/>
        <w:jc w:val="left"/>
      </w:pPr>
      <w:r>
        <w:rPr/>
        <w:t>来发展面临的主要风险如下：</w:t>
      </w:r>
    </w:p>
    <w:p>
      <w:pPr>
        <w:pStyle w:val="BodyText"/>
        <w:spacing w:line="300" w:lineRule="auto" w:before="76"/>
        <w:ind w:right="194" w:firstLine="432"/>
        <w:jc w:val="both"/>
      </w:pPr>
      <w:r>
        <w:rPr/>
        <w:t>（</w:t>
      </w:r>
      <w:r>
        <w:rPr>
          <w:rFonts w:ascii="Times New Roman" w:hAnsi="Times New Roman" w:cs="Times New Roman" w:eastAsia="Times New Roman" w:hint="default"/>
        </w:rPr>
        <w:t>1</w:t>
      </w:r>
      <w:r>
        <w:rPr/>
        <w:t>）政策风险</w:t>
      </w:r>
      <w:r>
        <w:rPr>
          <w:spacing w:val="16"/>
        </w:rPr>
        <w:t> </w:t>
      </w:r>
      <w:r>
        <w:rPr/>
        <w:t>房地产和金融投资均与国家宏观经济形势及政策具有高度相关性，受到相关部门较为严厉的监管，并</w:t>
      </w:r>
      <w:r>
        <w:rPr/>
        <w:t> 且相关政策具有一定的不确定性，可能对公司的经营环境和经营成果带来较大影响。</w:t>
      </w:r>
    </w:p>
    <w:p>
      <w:pPr>
        <w:pStyle w:val="BodyText"/>
        <w:spacing w:line="316" w:lineRule="auto" w:before="31"/>
        <w:ind w:right="193" w:firstLine="504"/>
        <w:jc w:val="both"/>
      </w:pPr>
      <w:r>
        <w:rPr>
          <w:spacing w:val="-1"/>
        </w:rPr>
        <w:t>应对措施：公司将密切关注宏观形势，坚持顺应地产调控政策的要求，坚持主流市场，产品以适应调控政策的刚性需</w:t>
      </w:r>
      <w:r>
        <w:rPr/>
        <w:t> 求产品为主。</w:t>
      </w:r>
    </w:p>
    <w:p>
      <w:pPr>
        <w:pStyle w:val="BodyText"/>
        <w:spacing w:line="309" w:lineRule="auto" w:before="19"/>
        <w:ind w:right="190" w:firstLine="432"/>
        <w:jc w:val="both"/>
      </w:pPr>
      <w:r>
        <w:rPr/>
        <w:t>（</w:t>
      </w:r>
      <w:r>
        <w:rPr>
          <w:rFonts w:ascii="Times New Roman" w:hAnsi="Times New Roman" w:cs="Times New Roman" w:eastAsia="Times New Roman" w:hint="default"/>
        </w:rPr>
        <w:t>2</w:t>
      </w:r>
      <w:r>
        <w:rPr/>
        <w:t>）市场风险</w:t>
      </w:r>
      <w:r>
        <w:rPr>
          <w:spacing w:val="14"/>
        </w:rPr>
        <w:t> </w:t>
      </w:r>
      <w:r>
        <w:rPr/>
        <w:t>房地产市场现已进入专业化、规模化、品牌化等综合实力竞争阶段，加之政策调控的不确定风险，加</w:t>
      </w:r>
      <w:r>
        <w:rPr/>
        <w:t> </w:t>
      </w:r>
      <w:r>
        <w:rPr>
          <w:spacing w:val="-2"/>
        </w:rPr>
        <w:t>剧了行业竞争和市场大幅波动的风险，会对市场形成一定程度的冲击，未来房地产市场的竞争越来越激烈，从而加剧了市场</w:t>
      </w:r>
      <w:r>
        <w:rPr>
          <w:spacing w:val="-63"/>
        </w:rPr>
        <w:t> </w:t>
      </w:r>
      <w:r>
        <w:rPr>
          <w:spacing w:val="-63"/>
        </w:rPr>
      </w:r>
      <w:r>
        <w:rPr/>
        <w:t>风险。</w:t>
      </w:r>
    </w:p>
    <w:p>
      <w:pPr>
        <w:pStyle w:val="BodyText"/>
        <w:spacing w:line="309" w:lineRule="auto" w:before="24"/>
        <w:ind w:right="94" w:firstLine="432"/>
        <w:jc w:val="left"/>
      </w:pPr>
      <w:r>
        <w:rPr/>
        <w:t>应对措施：公司将加强市场监测，适时调整营销策略，继续以</w:t>
      </w:r>
      <w:r>
        <w:rPr>
          <w:rFonts w:ascii="Times New Roman" w:hAnsi="Times New Roman" w:cs="Times New Roman" w:eastAsia="Times New Roman" w:hint="default"/>
        </w:rPr>
        <w:t>“</w:t>
      </w:r>
      <w:r>
        <w:rPr/>
        <w:t>高周转</w:t>
      </w:r>
      <w:r>
        <w:rPr>
          <w:rFonts w:ascii="Times New Roman" w:hAnsi="Times New Roman" w:cs="Times New Roman" w:eastAsia="Times New Roman" w:hint="default"/>
        </w:rPr>
        <w:t>”</w:t>
      </w:r>
      <w:r>
        <w:rPr/>
        <w:t>为原则，从项目设计、成本控制、产品质量、 工程进度、市场营销等全方面提升公司综合经营能力，提高企业的核心竞争力，有针对性的开发区域市场，提高市场份额， 以应对激烈的市场竞争。</w:t>
      </w:r>
    </w:p>
    <w:p>
      <w:pPr>
        <w:pStyle w:val="BodyText"/>
        <w:spacing w:line="309" w:lineRule="auto" w:before="24"/>
        <w:ind w:right="193" w:firstLine="432"/>
        <w:jc w:val="both"/>
      </w:pPr>
      <w:r>
        <w:rPr/>
        <w:t>（</w:t>
      </w:r>
      <w:r>
        <w:rPr>
          <w:rFonts w:ascii="Times New Roman" w:hAnsi="Times New Roman" w:cs="Times New Roman" w:eastAsia="Times New Roman" w:hint="default"/>
        </w:rPr>
        <w:t>3</w:t>
      </w:r>
      <w:r>
        <w:rPr/>
        <w:t>）业务经营风险</w:t>
      </w:r>
      <w:r>
        <w:rPr>
          <w:spacing w:val="15"/>
        </w:rPr>
        <w:t> </w:t>
      </w:r>
      <w:r>
        <w:rPr/>
        <w:t>房地产项目的开发周期较长，开发流程复杂，涉及合作方多，项目开发、设计、销售、工程质量</w:t>
      </w:r>
      <w:r>
        <w:rPr/>
        <w:t> </w:t>
      </w:r>
      <w:r>
        <w:rPr>
          <w:spacing w:val="-2"/>
        </w:rPr>
        <w:t>等各环节都蕴藏着一定的经营风险。任何环节出现问题，可能会直接或间接地导致项目开发周期延长、成本上升，造成项目</w:t>
      </w:r>
      <w:r>
        <w:rPr>
          <w:spacing w:val="-66"/>
        </w:rPr>
        <w:t> </w:t>
      </w:r>
      <w:r>
        <w:rPr>
          <w:spacing w:val="-66"/>
        </w:rPr>
      </w:r>
      <w:r>
        <w:rPr/>
        <w:t>预期经营目标难以如期实现。</w:t>
      </w:r>
    </w:p>
    <w:p>
      <w:pPr>
        <w:pStyle w:val="BodyText"/>
        <w:spacing w:line="309" w:lineRule="auto" w:before="24"/>
        <w:ind w:right="190" w:firstLine="432"/>
        <w:jc w:val="both"/>
      </w:pPr>
      <w:r>
        <w:rPr/>
        <w:t>应对措施：公司将继续坚定</w:t>
      </w:r>
      <w:r>
        <w:rPr>
          <w:rFonts w:ascii="Times New Roman" w:hAnsi="Times New Roman" w:cs="Times New Roman" w:eastAsia="Times New Roman" w:hint="default"/>
        </w:rPr>
        <w:t>“</w:t>
      </w:r>
      <w:r>
        <w:rPr/>
        <w:t>高周转、低成本</w:t>
      </w:r>
      <w:r>
        <w:rPr>
          <w:rFonts w:ascii="Times New Roman" w:hAnsi="Times New Roman" w:cs="Times New Roman" w:eastAsia="Times New Roman" w:hint="default"/>
        </w:rPr>
        <w:t>”</w:t>
      </w:r>
      <w:r>
        <w:rPr/>
        <w:t>的运营策略：通过不同类型产品线复制，减少设计规划时间；通过预算 </w:t>
      </w:r>
      <w:r>
        <w:rPr>
          <w:spacing w:val="-2"/>
        </w:rPr>
        <w:t>管控，严控开发成本；通过销售回笼和多元化融资渠道，实现资金的合理配置；通过质量检查体系，严守产品质量；公司通</w:t>
      </w:r>
      <w:r>
        <w:rPr>
          <w:spacing w:val="-68"/>
        </w:rPr>
        <w:t> </w:t>
      </w:r>
      <w:r>
        <w:rPr>
          <w:spacing w:val="-68"/>
        </w:rPr>
      </w:r>
      <w:r>
        <w:rPr/>
        <w:t>过合理管控，全面提高项目经营能力和管理水平，提升产品品质，降低业务经营风险。</w:t>
      </w:r>
    </w:p>
    <w:p>
      <w:pPr>
        <w:pStyle w:val="BodyText"/>
        <w:spacing w:line="309" w:lineRule="auto" w:before="24"/>
        <w:ind w:right="192" w:firstLine="360"/>
        <w:jc w:val="both"/>
      </w:pPr>
      <w:r>
        <w:rPr>
          <w:spacing w:val="-3"/>
        </w:rPr>
        <w:t>（</w:t>
      </w:r>
      <w:r>
        <w:rPr>
          <w:rFonts w:ascii="Times New Roman" w:hAnsi="Times New Roman" w:cs="Times New Roman" w:eastAsia="Times New Roman" w:hint="default"/>
          <w:spacing w:val="-3"/>
        </w:rPr>
        <w:t>4</w:t>
      </w:r>
      <w:r>
        <w:rPr>
          <w:spacing w:val="-3"/>
        </w:rPr>
        <w:t>）管理风险</w:t>
      </w:r>
      <w:r>
        <w:rPr>
          <w:spacing w:val="-58"/>
        </w:rPr>
        <w:t> </w:t>
      </w:r>
      <w:r>
        <w:rPr/>
        <w:t>公司房地产开发经营业务特点是项目均为大盘开发，对投资开发团队的综合能力要求高，且公司在项目</w:t>
      </w:r>
      <w:r>
        <w:rPr/>
        <w:t> </w:t>
      </w:r>
      <w:r>
        <w:rPr>
          <w:spacing w:val="-2"/>
        </w:rPr>
        <w:t>高速增长阶段，管理半径增大，如果公司人力资源储备、风险控制、项目管理等方面不能及时跟进，公司将面临一定的管理</w:t>
      </w:r>
      <w:r>
        <w:rPr>
          <w:spacing w:val="-67"/>
        </w:rPr>
        <w:t> </w:t>
      </w:r>
      <w:r>
        <w:rPr>
          <w:spacing w:val="-67"/>
        </w:rPr>
      </w:r>
      <w:r>
        <w:rPr/>
        <w:t>风险。</w:t>
      </w:r>
    </w:p>
    <w:p>
      <w:pPr>
        <w:pStyle w:val="BodyText"/>
        <w:spacing w:line="319" w:lineRule="auto" w:before="24"/>
        <w:ind w:right="192" w:firstLine="504"/>
        <w:jc w:val="both"/>
      </w:pPr>
      <w:r>
        <w:rPr>
          <w:spacing w:val="-1"/>
        </w:rPr>
        <w:t>应对措施：公司将继续招聘、培养适合企业发展的专业人才，进一步充实公司的运营团队，并提升经营团队对项目运</w:t>
      </w:r>
      <w:r>
        <w:rPr/>
        <w:t> 营的管理能力，降低管理风险。</w:t>
      </w:r>
    </w:p>
    <w:p>
      <w:pPr>
        <w:spacing w:after="0" w:line="319" w:lineRule="auto"/>
        <w:jc w:val="both"/>
        <w:sectPr>
          <w:pgSz w:w="11910" w:h="16840"/>
          <w:pgMar w:header="877" w:footer="979" w:top="1100" w:bottom="1160" w:left="980" w:right="940"/>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十、董事会、监事会对会计师事务所本报告期“非标准审计报告”的说明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十一、与上年度财务报告相比，会计政策、会计估计和核算方法发生变化的情况说明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pStyle w:val="Heading3"/>
        <w:spacing w:line="240" w:lineRule="auto" w:before="96"/>
        <w:ind w:left="575" w:right="94"/>
        <w:jc w:val="left"/>
        <w:rPr>
          <w:b w:val="0"/>
          <w:bCs w:val="0"/>
        </w:rPr>
      </w:pPr>
      <w:r>
        <w:rPr>
          <w:rFonts w:ascii="Times New Roman" w:hAnsi="Times New Roman" w:cs="Times New Roman" w:eastAsia="Times New Roman" w:hint="default"/>
        </w:rPr>
        <w:t>1</w:t>
      </w:r>
      <w:r>
        <w:rPr/>
        <w:t>、会计政策变更</w:t>
      </w:r>
      <w:r>
        <w:rPr>
          <w:b w:val="0"/>
          <w:bCs w:val="0"/>
        </w:rPr>
      </w:r>
    </w:p>
    <w:p>
      <w:pPr>
        <w:pStyle w:val="BodyText"/>
        <w:spacing w:line="240" w:lineRule="auto" w:before="42"/>
        <w:ind w:left="573" w:right="94"/>
        <w:jc w:val="left"/>
      </w:pPr>
      <w:r>
        <w:rPr/>
        <w:t>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63"/>
        <w:ind w:left="573" w:right="94"/>
        <w:jc w:val="left"/>
        <w:rPr>
          <w:rFonts w:ascii="Times New Roman" w:hAnsi="Times New Roman" w:cs="Times New Roman" w:eastAsia="Times New Roman" w:hint="default"/>
        </w:rPr>
      </w:pPr>
      <w:r>
        <w:rPr>
          <w:spacing w:val="-6"/>
        </w:rPr>
        <w:t>《企业会计准则</w:t>
      </w:r>
      <w:r>
        <w:rPr>
          <w:rFonts w:ascii="Times New Roman" w:hAnsi="Times New Roman" w:cs="Times New Roman" w:eastAsia="Times New Roman" w:hint="default"/>
          <w:spacing w:val="-6"/>
        </w:rPr>
        <w:t>——</w:t>
      </w:r>
      <w:r>
        <w:rPr>
          <w:spacing w:val="-6"/>
        </w:rPr>
        <w:t>基本准则（修订）》、《企业会计准则第 </w:t>
      </w:r>
      <w:r>
        <w:rPr>
          <w:rFonts w:ascii="Times New Roman" w:hAnsi="Times New Roman" w:cs="Times New Roman" w:eastAsia="Times New Roman" w:hint="default"/>
        </w:rPr>
        <w:t>39  </w:t>
      </w:r>
      <w:r>
        <w:rPr>
          <w:spacing w:val="-6"/>
        </w:rPr>
        <w:t>号</w:t>
      </w:r>
      <w:r>
        <w:rPr>
          <w:rFonts w:ascii="Times New Roman" w:hAnsi="Times New Roman" w:cs="Times New Roman" w:eastAsia="Times New Roman" w:hint="default"/>
          <w:spacing w:val="-6"/>
        </w:rPr>
        <w:t>——</w:t>
      </w:r>
      <w:r>
        <w:rPr>
          <w:spacing w:val="-6"/>
        </w:rPr>
        <w:t>公允价值计量》、《企业会计准则第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p>
    <w:p>
      <w:pPr>
        <w:pStyle w:val="BodyText"/>
        <w:spacing w:line="240" w:lineRule="auto" w:before="63"/>
        <w:ind w:right="94"/>
        <w:jc w:val="left"/>
      </w:pPr>
      <w:r>
        <w:rPr/>
        <w:t>财务报表列报（修订）》、《企业会计准则第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职工薪酬（修订）》、 《企业会计准则第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合并财务报表</w:t>
      </w:r>
    </w:p>
    <w:p>
      <w:pPr>
        <w:pStyle w:val="BodyText"/>
        <w:spacing w:line="240" w:lineRule="auto" w:before="63"/>
        <w:ind w:right="94"/>
        <w:jc w:val="left"/>
      </w:pPr>
      <w:r>
        <w:rPr/>
        <w:t>（修订）》、《企业会计准则第 </w:t>
      </w:r>
      <w:r>
        <w:rPr>
          <w:rFonts w:ascii="Times New Roman" w:hAnsi="Times New Roman" w:cs="Times New Roman" w:eastAsia="Times New Roman" w:hint="default"/>
        </w:rPr>
        <w:t>40 </w:t>
      </w:r>
      <w:r>
        <w:rPr/>
        <w:t>号 </w:t>
      </w:r>
      <w:r>
        <w:rPr>
          <w:rFonts w:ascii="Times New Roman" w:hAnsi="Times New Roman" w:cs="Times New Roman" w:eastAsia="Times New Roman" w:hint="default"/>
        </w:rPr>
        <w:t>——</w:t>
      </w:r>
      <w:r>
        <w:rPr/>
        <w:t>合营安排》、《企业会计准则第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长期股权投资（修订）》、《企业会</w:t>
      </w:r>
    </w:p>
    <w:p>
      <w:pPr>
        <w:pStyle w:val="BodyText"/>
        <w:spacing w:line="240" w:lineRule="auto" w:before="63"/>
        <w:ind w:right="94"/>
        <w:jc w:val="left"/>
      </w:pPr>
      <w:r>
        <w:rPr/>
        <w:t>计准则第 </w:t>
      </w:r>
      <w:r>
        <w:rPr>
          <w:rFonts w:ascii="Times New Roman" w:hAnsi="Times New Roman" w:cs="Times New Roman" w:eastAsia="Times New Roman" w:hint="default"/>
        </w:rPr>
        <w:t>41 </w:t>
      </w:r>
      <w:r>
        <w:rPr/>
        <w:t>号</w:t>
      </w:r>
      <w:r>
        <w:rPr>
          <w:rFonts w:ascii="Times New Roman" w:hAnsi="Times New Roman" w:cs="Times New Roman" w:eastAsia="Times New Roman" w:hint="default"/>
        </w:rPr>
        <w:t>——</w:t>
      </w:r>
      <w:r>
        <w:rPr/>
        <w:t>在其他主体中权益的披露》及《企业会计准则第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w:t>
      </w:r>
      <w:r>
        <w:rPr/>
        <w:t>金融工具列报（修订）》。</w:t>
      </w:r>
    </w:p>
    <w:p>
      <w:pPr>
        <w:pStyle w:val="BodyText"/>
        <w:spacing w:line="240" w:lineRule="auto" w:before="63"/>
        <w:ind w:left="573" w:right="94"/>
        <w:jc w:val="left"/>
      </w:pPr>
      <w:r>
        <w:rPr/>
        <w:t>本公司在编制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年度报告时，执行了相关会计准则，并对比较报表进行了重述：</w:t>
      </w:r>
    </w:p>
    <w:p>
      <w:pPr>
        <w:pStyle w:val="BodyText"/>
        <w:spacing w:line="300" w:lineRule="auto" w:before="63"/>
        <w:ind w:right="186" w:firstLine="420"/>
        <w:jc w:val="both"/>
      </w:pPr>
      <w:r>
        <w:rPr/>
        <w:t>（</w:t>
      </w:r>
      <w:r>
        <w:rPr>
          <w:rFonts w:ascii="宋体" w:hAnsi="宋体" w:cs="宋体" w:eastAsia="宋体" w:hint="default"/>
        </w:rPr>
        <w:t>1</w:t>
      </w:r>
      <w:r>
        <w:rPr/>
        <w:t>）根据修订的《企业会计准则第 </w:t>
      </w:r>
      <w:r>
        <w:rPr>
          <w:rFonts w:ascii="宋体" w:hAnsi="宋体" w:cs="宋体" w:eastAsia="宋体" w:hint="default"/>
        </w:rPr>
        <w:t>30</w:t>
      </w:r>
      <w:r>
        <w:rPr>
          <w:rFonts w:ascii="宋体" w:hAnsi="宋体" w:cs="宋体" w:eastAsia="宋体" w:hint="default"/>
          <w:spacing w:val="-51"/>
        </w:rPr>
        <w:t> </w:t>
      </w:r>
      <w:r>
        <w:rPr/>
        <w:t>号</w:t>
      </w:r>
      <w:r>
        <w:rPr>
          <w:rFonts w:ascii="Times New Roman" w:hAnsi="Times New Roman" w:cs="Times New Roman" w:eastAsia="Times New Roman" w:hint="default"/>
        </w:rPr>
        <w:t>——</w:t>
      </w:r>
      <w:r>
        <w:rPr/>
        <w:t>财务报表列报》规定，财务报告中资产负债表新增递延收益项目，本公 司采用追溯调整法，</w:t>
      </w:r>
      <w:r>
        <w:rPr>
          <w:rFonts w:ascii="宋体" w:hAnsi="宋体" w:cs="宋体" w:eastAsia="宋体" w:hint="default"/>
        </w:rPr>
        <w:t>2014</w:t>
      </w:r>
      <w:r>
        <w:rPr>
          <w:rFonts w:ascii="宋体" w:hAnsi="宋体" w:cs="宋体" w:eastAsia="宋体" w:hint="default"/>
          <w:spacing w:val="9"/>
        </w:rPr>
        <w:t> </w:t>
      </w:r>
      <w:r>
        <w:rPr/>
        <w:t>年比较报表已重新表述，</w:t>
      </w:r>
      <w:r>
        <w:rPr>
          <w:rFonts w:ascii="宋体" w:hAnsi="宋体" w:cs="宋体" w:eastAsia="宋体" w:hint="default"/>
        </w:rPr>
        <w:t>2013</w:t>
      </w:r>
      <w:r>
        <w:rPr>
          <w:rFonts w:ascii="宋体" w:hAnsi="宋体" w:cs="宋体" w:eastAsia="宋体" w:hint="default"/>
          <w:spacing w:val="9"/>
        </w:rPr>
        <w:t> </w:t>
      </w:r>
      <w:r>
        <w:rPr/>
        <w:t>年</w:t>
      </w:r>
      <w:r>
        <w:rPr>
          <w:rFonts w:ascii="宋体" w:hAnsi="宋体" w:cs="宋体" w:eastAsia="宋体" w:hint="default"/>
        </w:rPr>
        <w:t>12</w:t>
      </w:r>
      <w:r>
        <w:rPr/>
        <w:t>月</w:t>
      </w:r>
      <w:r>
        <w:rPr>
          <w:rFonts w:ascii="宋体" w:hAnsi="宋体" w:cs="宋体" w:eastAsia="宋体" w:hint="default"/>
        </w:rPr>
        <w:t>31</w:t>
      </w:r>
      <w:r>
        <w:rPr/>
        <w:t>日资产负债表调减其他非流动负债</w:t>
      </w:r>
      <w:r>
        <w:rPr>
          <w:spacing w:val="10"/>
        </w:rPr>
        <w:t> </w:t>
      </w:r>
      <w:r>
        <w:rPr>
          <w:rFonts w:ascii="Times New Roman" w:hAnsi="Times New Roman" w:cs="Times New Roman" w:eastAsia="Times New Roman" w:hint="default"/>
        </w:rPr>
        <w:t>8,198,500.00</w:t>
      </w:r>
      <w:r>
        <w:rPr>
          <w:rFonts w:ascii="Times New Roman" w:hAnsi="Times New Roman" w:cs="Times New Roman" w:eastAsia="Times New Roman" w:hint="default"/>
          <w:spacing w:val="10"/>
        </w:rPr>
        <w:t> </w:t>
      </w:r>
      <w:r>
        <w:rPr/>
        <w:t>元，调</w:t>
      </w:r>
      <w:r>
        <w:rPr>
          <w:spacing w:val="-88"/>
        </w:rPr>
        <w:t> </w:t>
      </w:r>
      <w:r>
        <w:rPr/>
        <w:t>增递延收益</w:t>
      </w:r>
      <w:r>
        <w:rPr>
          <w:rFonts w:ascii="Times New Roman" w:hAnsi="Times New Roman" w:cs="Times New Roman" w:eastAsia="Times New Roman" w:hint="default"/>
        </w:rPr>
        <w:t>8,198,500.00</w:t>
      </w:r>
      <w:r>
        <w:rPr>
          <w:rFonts w:ascii="Times New Roman" w:hAnsi="Times New Roman" w:cs="Times New Roman" w:eastAsia="Times New Roman" w:hint="default"/>
          <w:spacing w:val="31"/>
        </w:rPr>
        <w:t> </w:t>
      </w:r>
      <w:r>
        <w:rPr/>
        <w:t>元。</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日资产负债表调减其他非流动负债</w:t>
      </w:r>
      <w:r>
        <w:rPr>
          <w:rFonts w:ascii="Times New Roman" w:hAnsi="Times New Roman" w:cs="Times New Roman" w:eastAsia="Times New Roman" w:hint="default"/>
        </w:rPr>
        <w:t>8,630,000.00</w:t>
      </w:r>
      <w:r>
        <w:rPr/>
        <w:t>元，调增递延收益</w:t>
      </w:r>
      <w:r>
        <w:rPr>
          <w:rFonts w:ascii="Times New Roman" w:hAnsi="Times New Roman" w:cs="Times New Roman" w:eastAsia="Times New Roman" w:hint="default"/>
        </w:rPr>
        <w:t>8,630,000.00</w:t>
      </w:r>
      <w:r>
        <w:rPr/>
        <w:t>元。</w:t>
      </w:r>
      <w:r>
        <w:rPr>
          <w:spacing w:val="-82"/>
        </w:rPr>
        <w:t> </w:t>
      </w:r>
      <w:r>
        <w:rPr/>
        <w:t>负债总额无影响。</w:t>
      </w:r>
    </w:p>
    <w:p>
      <w:pPr>
        <w:pStyle w:val="BodyText"/>
        <w:spacing w:line="300" w:lineRule="auto" w:before="31"/>
        <w:ind w:right="175" w:firstLine="420"/>
        <w:jc w:val="both"/>
      </w:pPr>
      <w:r>
        <w:rPr/>
        <w:t>（</w:t>
      </w:r>
      <w:r>
        <w:rPr>
          <w:rFonts w:ascii="Times New Roman" w:hAnsi="Times New Roman" w:cs="Times New Roman" w:eastAsia="Times New Roman" w:hint="default"/>
        </w:rPr>
        <w:t>2</w:t>
      </w:r>
      <w:r>
        <w:rPr/>
        <w:t>）根据修订的《企业会计准则第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财务报表列报》规定，财务报告中资产负债表新增其他综合收益项目， 本公司采用追溯调整法，</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年比较报表已重新表述，将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日外币报表折算差额</w:t>
      </w:r>
      <w:r>
        <w:rPr>
          <w:rFonts w:ascii="Times New Roman" w:hAnsi="Times New Roman" w:cs="Times New Roman" w:eastAsia="Times New Roman" w:hint="default"/>
        </w:rPr>
        <w:t>-56,405.70</w:t>
      </w:r>
      <w:r>
        <w:rPr/>
        <w:t>列示为其他综合收益 明细项目。将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日外币报表折算差额</w:t>
      </w:r>
      <w:r>
        <w:rPr>
          <w:rFonts w:ascii="Times New Roman" w:hAnsi="Times New Roman" w:cs="Times New Roman" w:eastAsia="Times New Roman" w:hint="default"/>
        </w:rPr>
        <w:t>-34,652.96</w:t>
      </w:r>
      <w:r>
        <w:rPr/>
        <w:t>列示为其他综合收益明细项目。</w:t>
      </w:r>
    </w:p>
    <w:p>
      <w:pPr>
        <w:pStyle w:val="BodyText"/>
        <w:spacing w:line="307" w:lineRule="auto" w:before="13"/>
        <w:ind w:right="94" w:firstLine="420"/>
        <w:jc w:val="left"/>
      </w:pPr>
      <w:r>
        <w:rPr/>
        <w:t>（</w:t>
      </w:r>
      <w:r>
        <w:rPr>
          <w:rFonts w:ascii="Times New Roman" w:hAnsi="Times New Roman" w:cs="Times New Roman" w:eastAsia="Times New Roman" w:hint="default"/>
        </w:rPr>
        <w:t>3</w:t>
      </w:r>
      <w:r>
        <w:rPr/>
        <w:t>）根据修订的《企业会计准则第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长期股权投资》规定，将原成本法核算的对被投资单位不具有控制、共同 </w:t>
      </w:r>
      <w:r>
        <w:rPr>
          <w:spacing w:val="-2"/>
        </w:rPr>
        <w:t>控制或重大影响的权益性投资纳入可供出售金融资产核算，其中：在活跃市场中没有报价、公允价值不能可靠计量的权益工</w:t>
      </w:r>
      <w:r>
        <w:rPr>
          <w:spacing w:val="-63"/>
        </w:rPr>
        <w:t> </w:t>
      </w:r>
      <w:r>
        <w:rPr>
          <w:spacing w:val="-63"/>
        </w:rPr>
      </w:r>
      <w:r>
        <w:rPr>
          <w:spacing w:val="-2"/>
        </w:rPr>
        <w:t>具按照成本进行后续计量，其他权益工具按公允价值进行后续计量。本公司采用追溯调整法，</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2"/>
        </w:rPr>
        <w:t> </w:t>
      </w:r>
      <w:r>
        <w:rPr>
          <w:spacing w:val="-1"/>
        </w:rPr>
        <w:t>年比较报表已重新表述，</w:t>
      </w:r>
      <w:r>
        <w:rPr>
          <w:spacing w:val="-86"/>
        </w:rPr>
        <w:t> </w:t>
      </w:r>
      <w:r>
        <w:rPr>
          <w:spacing w:val="-86"/>
        </w:rPr>
      </w:r>
      <w:r>
        <w:rPr/>
        <w:t>由于被投资单位已经停业，本公司已于</w:t>
      </w:r>
      <w:r>
        <w:rPr>
          <w:rFonts w:ascii="Times New Roman" w:hAnsi="Times New Roman" w:cs="Times New Roman" w:eastAsia="Times New Roman" w:hint="default"/>
        </w:rPr>
        <w:t>2008</w:t>
      </w:r>
      <w:r>
        <w:rPr/>
        <w:t>年对其投资额</w:t>
      </w:r>
      <w:r>
        <w:rPr>
          <w:rFonts w:ascii="Times New Roman" w:hAnsi="Times New Roman" w:cs="Times New Roman" w:eastAsia="Times New Roman" w:hint="default"/>
        </w:rPr>
        <w:t>300,000.00</w:t>
      </w:r>
      <w:r>
        <w:rPr/>
        <w:t>元全额计提减值准备。</w:t>
      </w:r>
    </w:p>
    <w:p>
      <w:pPr>
        <w:pStyle w:val="BodyText"/>
        <w:spacing w:line="240" w:lineRule="auto" w:before="7"/>
        <w:ind w:left="573" w:right="94"/>
        <w:jc w:val="left"/>
      </w:pPr>
      <w:r>
        <w:rPr/>
        <w:t>上述可供出售金融资产与长期股权投资、递延收益与其他非流动负债，其他综合收益与外币报表折算差额的重分类对</w:t>
      </w:r>
    </w:p>
    <w:p>
      <w:pPr>
        <w:pStyle w:val="BodyText"/>
        <w:spacing w:line="240" w:lineRule="auto" w:before="76"/>
        <w:ind w:right="94"/>
        <w:jc w:val="left"/>
      </w:pP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t>日及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日的股东权益没有影响，对其他财务报表项目无重大影响。</w:t>
      </w:r>
    </w:p>
    <w:p>
      <w:pPr>
        <w:pStyle w:val="Heading3"/>
        <w:spacing w:line="240" w:lineRule="auto" w:before="42"/>
        <w:ind w:left="575" w:right="94"/>
        <w:jc w:val="left"/>
        <w:rPr>
          <w:b w:val="0"/>
          <w:bCs w:val="0"/>
        </w:rPr>
      </w:pPr>
      <w:r>
        <w:rPr>
          <w:rFonts w:ascii="Times New Roman" w:hAnsi="Times New Roman" w:cs="Times New Roman" w:eastAsia="Times New Roman" w:hint="default"/>
        </w:rPr>
        <w:t>2</w:t>
      </w:r>
      <w:r>
        <w:rPr/>
        <w:t>、会计估计变更</w:t>
      </w:r>
      <w:r>
        <w:rPr>
          <w:b w:val="0"/>
          <w:bCs w:val="0"/>
        </w:rPr>
      </w:r>
    </w:p>
    <w:p>
      <w:pPr>
        <w:pStyle w:val="BodyText"/>
        <w:spacing w:line="240" w:lineRule="auto" w:before="42"/>
        <w:ind w:left="573"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十二、报告期内发生重大会计差错更正需追溯重述的情况说明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94"/>
        <w:jc w:val="left"/>
        <w:rPr>
          <w:b w:val="0"/>
          <w:bCs w:val="0"/>
        </w:rPr>
      </w:pPr>
      <w:r>
        <w:rPr/>
        <w:t>十三、与上年度财务报告相比，合并报表范围发生变化的情况说明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8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与上年财务报告相比，本年度增长</w:t>
      </w:r>
      <w:r>
        <w:rPr>
          <w:rFonts w:ascii="Times New Roman" w:hAnsi="Times New Roman" w:cs="Times New Roman" w:eastAsia="Times New Roman" w:hint="default"/>
        </w:rPr>
        <w:t>12</w:t>
      </w:r>
      <w:r>
        <w:rPr/>
        <w:t>家子公司，具体包括</w:t>
      </w:r>
      <w:r>
        <w:rPr>
          <w:rFonts w:ascii="Times New Roman" w:hAnsi="Times New Roman" w:cs="Times New Roman" w:eastAsia="Times New Roman" w:hint="default"/>
        </w:rPr>
        <w:t>9</w:t>
      </w:r>
      <w:r>
        <w:rPr/>
        <w:t>家房地产开发公司，</w:t>
      </w:r>
      <w:r>
        <w:rPr>
          <w:rFonts w:ascii="Times New Roman" w:hAnsi="Times New Roman" w:cs="Times New Roman" w:eastAsia="Times New Roman" w:hint="default"/>
        </w:rPr>
        <w:t>1</w:t>
      </w:r>
      <w:r>
        <w:rPr/>
        <w:t>家工程技术公司，</w:t>
      </w:r>
      <w:r>
        <w:rPr>
          <w:rFonts w:ascii="Times New Roman" w:hAnsi="Times New Roman" w:cs="Times New Roman" w:eastAsia="Times New Roman" w:hint="default"/>
        </w:rPr>
        <w:t>1</w:t>
      </w:r>
      <w:r>
        <w:rPr/>
        <w:t>家旅游地产策划、</w:t>
      </w:r>
    </w:p>
    <w:p>
      <w:pPr>
        <w:pStyle w:val="BodyText"/>
        <w:spacing w:line="228" w:lineRule="exact"/>
        <w:ind w:right="94"/>
        <w:jc w:val="left"/>
      </w:pPr>
      <w:r>
        <w:rPr/>
        <w:t>咨询公司，</w:t>
      </w:r>
      <w:r>
        <w:rPr>
          <w:rFonts w:ascii="Times New Roman" w:hAnsi="Times New Roman" w:cs="Times New Roman" w:eastAsia="Times New Roman" w:hint="default"/>
        </w:rPr>
        <w:t>1</w:t>
      </w:r>
      <w:r>
        <w:rPr/>
        <w:t>家贸易公司。具体经营范围及设立目的详见公司</w:t>
      </w:r>
      <w:r>
        <w:rPr>
          <w:rFonts w:ascii="Times New Roman" w:hAnsi="Times New Roman" w:cs="Times New Roman" w:eastAsia="Times New Roman" w:hint="default"/>
        </w:rPr>
        <w:t>2014</w:t>
      </w:r>
      <w:r>
        <w:rPr/>
        <w:t>文之第四节董事会报告之六对外投资部分。</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十四、公司利润分配及分红派息情况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报告期内利润分配政策的制定、执行或调整情况</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9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00" w:lineRule="auto" w:before="101"/>
        <w:ind w:right="229" w:firstLine="360"/>
        <w:jc w:val="left"/>
      </w:pPr>
      <w:r>
        <w:rPr>
          <w:rFonts w:ascii="Times New Roman" w:hAnsi="Times New Roman" w:cs="Times New Roman" w:eastAsia="Times New Roman" w:hint="default"/>
        </w:rPr>
        <w:t>2014</w:t>
      </w:r>
      <w:r>
        <w:rPr/>
        <w:t>年度，公司以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1,167,839,226</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 进行分配，共计分配利润</w:t>
      </w:r>
      <w:r>
        <w:rPr>
          <w:rFonts w:ascii="Times New Roman" w:hAnsi="Times New Roman" w:cs="Times New Roman" w:eastAsia="Times New Roman" w:hint="default"/>
        </w:rPr>
        <w:t>116,783,922.60</w:t>
      </w:r>
      <w:r>
        <w:rPr/>
        <w:t>元，不进行资本公积金转增股本。</w:t>
      </w:r>
    </w:p>
    <w:p>
      <w:pPr>
        <w:pStyle w:val="BodyText"/>
        <w:spacing w:line="300" w:lineRule="auto" w:before="13"/>
        <w:ind w:right="94" w:firstLine="360"/>
        <w:jc w:val="left"/>
      </w:pPr>
      <w:r>
        <w:rPr>
          <w:rFonts w:ascii="Times New Roman" w:hAnsi="Times New Roman" w:cs="Times New Roman" w:eastAsia="Times New Roman" w:hint="default"/>
        </w:rPr>
        <w:t>2013</w:t>
      </w:r>
      <w:r>
        <w:rPr/>
        <w:t>年度，公司以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1,167,839,226</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1.2</w:t>
      </w:r>
      <w:r>
        <w:rPr/>
        <w:t>元（含税） 进行分配，共计分配利润</w:t>
      </w:r>
      <w:r>
        <w:rPr>
          <w:rFonts w:ascii="Times New Roman" w:hAnsi="Times New Roman" w:cs="Times New Roman" w:eastAsia="Times New Roman" w:hint="default"/>
        </w:rPr>
        <w:t>140,140,707.10</w:t>
      </w:r>
      <w:r>
        <w:rPr/>
        <w:t>元，不进行资本公积金转增股本。</w:t>
      </w:r>
    </w:p>
    <w:p>
      <w:pPr>
        <w:pStyle w:val="BodyText"/>
        <w:spacing w:line="300" w:lineRule="auto" w:before="13"/>
        <w:ind w:right="229" w:firstLine="360"/>
        <w:jc w:val="left"/>
      </w:pPr>
      <w:r>
        <w:rPr>
          <w:rFonts w:ascii="Times New Roman" w:hAnsi="Times New Roman" w:cs="Times New Roman" w:eastAsia="Times New Roman" w:hint="default"/>
        </w:rPr>
        <w:t>2012</w:t>
      </w:r>
      <w:r>
        <w:rPr/>
        <w:t>年度，公司以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1,167,839,226</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 进行分配，共计分配利润</w:t>
      </w:r>
      <w:r>
        <w:rPr>
          <w:rFonts w:ascii="Times New Roman" w:hAnsi="Times New Roman" w:cs="Times New Roman" w:eastAsia="Times New Roman" w:hint="default"/>
        </w:rPr>
        <w:t>116,783,922.60</w:t>
      </w:r>
      <w:r>
        <w:rPr/>
        <w:t>元，不进行资本公积金转增股本。</w:t>
      </w:r>
    </w:p>
    <w:p>
      <w:pPr>
        <w:pStyle w:val="BodyText"/>
        <w:spacing w:line="240" w:lineRule="auto" w:before="53"/>
        <w:ind w:right="94"/>
        <w:jc w:val="left"/>
      </w:pPr>
      <w:r>
        <w:rPr/>
        <w:t>公司近三年现金分红情况表</w:t>
      </w:r>
    </w:p>
    <w:p>
      <w:pPr>
        <w:pStyle w:val="BodyText"/>
        <w:spacing w:line="240" w:lineRule="auto" w:before="117"/>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7"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116,783,922.60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959,187,133.29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140,140,707.10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1,209,382,865.66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116,783,922.60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1,032,157,935.59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pPr>
      <w:r>
        <w:rPr/>
        <w:t>公司报告期内盈利且母公司未分配利润为正但未提出现金红利分配预案</w:t>
      </w:r>
    </w:p>
    <w:p>
      <w:pPr>
        <w:pStyle w:val="BodyText"/>
        <w:spacing w:line="240" w:lineRule="auto" w:before="117"/>
        <w:ind w:right="9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十五、本报告期利润分配及资本公积金转增股本预案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3"/>
        <w:gridCol w:w="5865"/>
      </w:tblGrid>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1,167,839,226</w:t>
            </w:r>
          </w:p>
        </w:tc>
      </w:tr>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w:t>
            </w:r>
          </w:p>
        </w:tc>
      </w:tr>
      <w:tr>
        <w:trPr>
          <w:trHeight w:val="401"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297,841,204.07</w:t>
            </w:r>
          </w:p>
        </w:tc>
      </w:tr>
      <w:tr>
        <w:trPr>
          <w:trHeight w:val="404"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年度，公司以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1,167,839,226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股为基数，向全体股东按每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税）进行分配，共计分配利润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116,783,922.60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元，不进行资本公积金转增股本。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十六、社会责任情况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pStyle w:val="BodyText"/>
        <w:spacing w:line="240" w:lineRule="auto" w:before="117"/>
        <w:ind w:left="496" w:right="0"/>
        <w:jc w:val="left"/>
      </w:pPr>
      <w:r>
        <w:rPr>
          <w:rFonts w:ascii="Times New Roman" w:hAnsi="Times New Roman" w:cs="Times New Roman" w:eastAsia="Times New Roman" w:hint="default"/>
          <w:spacing w:val="-3"/>
        </w:rPr>
        <w:t>2014</w:t>
      </w:r>
      <w:r>
        <w:rPr>
          <w:spacing w:val="-3"/>
        </w:rPr>
        <w:t>年，公司各项业务经济指标保持良好，各种制度建设日趋完善。公司在发展壮大的同时，没有忘记肩负的社会责任：</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t>支持国家和社会的全面可持续发展、防治污染、保护环境，维护债权人、员工、消费者和供应商等利益相关方的合法权益， 积极投身公益事业，实现公司的经济效益、社会效益相统一，公司的发展和社会的发展相和谐：</w:t>
      </w:r>
    </w:p>
    <w:p>
      <w:pPr>
        <w:pStyle w:val="BodyText"/>
        <w:spacing w:line="300" w:lineRule="auto" w:before="19"/>
        <w:ind w:right="256" w:firstLine="288"/>
        <w:jc w:val="left"/>
      </w:pPr>
      <w:r>
        <w:rPr/>
        <w:t>（</w:t>
      </w:r>
      <w:r>
        <w:rPr>
          <w:rFonts w:ascii="Times New Roman" w:hAnsi="Times New Roman" w:cs="Times New Roman" w:eastAsia="Times New Roman" w:hint="default"/>
        </w:rPr>
        <w:t>1</w:t>
      </w:r>
      <w:r>
        <w:rPr/>
        <w:t>）公司充分尊重各金融机构、合作供应商、承建商、员工和客户等其他利益相关者的合法权益，在经济活动中秉承 诚实守信、公平公正的原则，树立良好的企业形象，促进公司能够平稳持续地健康发展。</w:t>
      </w:r>
    </w:p>
    <w:p>
      <w:pPr>
        <w:pStyle w:val="BodyText"/>
        <w:spacing w:line="300" w:lineRule="auto" w:before="31"/>
        <w:ind w:right="256" w:firstLine="288"/>
        <w:jc w:val="left"/>
      </w:pPr>
      <w:r>
        <w:rPr/>
        <w:t>（</w:t>
      </w:r>
      <w:r>
        <w:rPr>
          <w:rFonts w:ascii="Times New Roman" w:hAnsi="Times New Roman" w:cs="Times New Roman" w:eastAsia="Times New Roman" w:hint="default"/>
        </w:rPr>
        <w:t>2</w:t>
      </w:r>
      <w:r>
        <w:rPr/>
        <w:t>）公司积极投身中国住宅产业化事业，在开发产品上加大对节能环保、低碳绿色的全预制混凝土装配技术的研发和 应用。</w:t>
      </w:r>
    </w:p>
    <w:p>
      <w:pPr>
        <w:pStyle w:val="BodyText"/>
        <w:spacing w:line="300" w:lineRule="auto" w:before="31"/>
        <w:ind w:right="94" w:firstLine="288"/>
        <w:jc w:val="left"/>
      </w:pPr>
      <w:r>
        <w:rPr>
          <w:spacing w:val="-2"/>
        </w:rPr>
        <w:t>（</w:t>
      </w:r>
      <w:r>
        <w:rPr>
          <w:rFonts w:ascii="Times New Roman" w:hAnsi="Times New Roman" w:cs="Times New Roman" w:eastAsia="Times New Roman" w:hint="default"/>
          <w:spacing w:val="-2"/>
        </w:rPr>
        <w:t>3</w:t>
      </w:r>
      <w:r>
        <w:rPr>
          <w:spacing w:val="-2"/>
        </w:rPr>
        <w:t>）公司建立并完善</w:t>
      </w:r>
      <w:r>
        <w:rPr>
          <w:rFonts w:ascii="Times New Roman" w:hAnsi="Times New Roman" w:cs="Times New Roman" w:eastAsia="Times New Roman" w:hint="default"/>
          <w:spacing w:val="-2"/>
        </w:rPr>
        <w:t>400</w:t>
      </w:r>
      <w:r>
        <w:rPr>
          <w:spacing w:val="-2"/>
        </w:rPr>
        <w:t>售后服务热线和中南会，定期对业主进行客户满意度调研、组织社区活动，对业主投诉、报修</w:t>
      </w:r>
      <w:r>
        <w:rPr/>
        <w:t> 等问题实现即时解决，并做到及时回访。</w:t>
      </w:r>
    </w:p>
    <w:p>
      <w:pPr>
        <w:pStyle w:val="BodyText"/>
        <w:spacing w:line="300" w:lineRule="auto" w:before="31"/>
        <w:ind w:right="256" w:firstLine="288"/>
        <w:jc w:val="left"/>
      </w:pPr>
      <w:r>
        <w:rPr/>
        <w:t>（</w:t>
      </w:r>
      <w:r>
        <w:rPr>
          <w:rFonts w:ascii="Times New Roman" w:hAnsi="Times New Roman" w:cs="Times New Roman" w:eastAsia="Times New Roman" w:hint="default"/>
        </w:rPr>
        <w:t>4</w:t>
      </w:r>
      <w:r>
        <w:rPr/>
        <w:t>）公司积极履行社会公益责任，热心社会公益事业，对社会弱势群体给予关心和支持，大力开展扶贫济困，关心教 育事业。</w:t>
      </w:r>
    </w:p>
    <w:p>
      <w:pPr>
        <w:pStyle w:val="BodyText"/>
        <w:spacing w:line="240" w:lineRule="auto" w:before="72"/>
        <w:ind w:right="94"/>
        <w:jc w:val="left"/>
      </w:pPr>
      <w:r>
        <w:rPr/>
        <w:t>上市公司及其子公司是否属于国家环境保护部门规定的重污染行业</w:t>
      </w:r>
    </w:p>
    <w:p>
      <w:pPr>
        <w:pStyle w:val="BodyText"/>
        <w:spacing w:line="340" w:lineRule="auto" w:before="115"/>
        <w:ind w:right="56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上市公司及其子公司是否存在其他重大社会安全问题</w:t>
      </w:r>
    </w:p>
    <w:p>
      <w:pPr>
        <w:pStyle w:val="BodyText"/>
        <w:spacing w:line="338" w:lineRule="auto" w:before="41"/>
        <w:ind w:right="78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报告期内是否被行政处罚</w:t>
      </w:r>
    </w:p>
    <w:p>
      <w:pPr>
        <w:pStyle w:val="BodyText"/>
        <w:spacing w:line="240" w:lineRule="auto" w:before="43"/>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十七、报告期内接待调研、沟通、采访等活动登记表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727"/>
        <w:gridCol w:w="770"/>
        <w:gridCol w:w="1498"/>
        <w:gridCol w:w="1498"/>
        <w:gridCol w:w="2086"/>
      </w:tblGrid>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南通金石大酒店</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广发证券等机构投 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公司对</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年市场看法及 公司年度房地产销售计 划，未提供资料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广发证券等机构投 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年年报说明电话 会</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国信策略会</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国信证券等机构投 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上半年房地产市场交流</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常熟</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了解三线城市房地产发展 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海门</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国泰君安证券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了解公司半年报情况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海门</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银河证券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了解政策放松后的三线城 市房地产情况</w:t>
            </w:r>
          </w:p>
        </w:tc>
      </w:tr>
      <w:tr>
        <w:trPr>
          <w:trHeight w:val="401" w:hRule="exact"/>
        </w:trPr>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未披露、透露或者泄露未公开重大信息。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2420"/>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2"/>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142"/>
        <w:jc w:val="left"/>
        <w:rPr>
          <w:b w:val="0"/>
          <w:bCs w:val="0"/>
        </w:rPr>
      </w:pPr>
      <w:r>
        <w:rPr/>
        <w:t>二、媒体质疑情况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本报告期公司无媒体普遍质疑事项。</w:t>
      </w:r>
    </w:p>
    <w:p>
      <w:pPr>
        <w:spacing w:line="240" w:lineRule="auto" w:before="6"/>
        <w:rPr>
          <w:rFonts w:ascii="宋体" w:hAnsi="宋体" w:cs="宋体" w:eastAsia="宋体" w:hint="default"/>
          <w:sz w:val="19"/>
          <w:szCs w:val="19"/>
        </w:rPr>
      </w:pPr>
    </w:p>
    <w:p>
      <w:pPr>
        <w:pStyle w:val="Heading2"/>
        <w:spacing w:line="240" w:lineRule="auto"/>
        <w:ind w:right="142"/>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42"/>
        <w:jc w:val="left"/>
        <w:rPr>
          <w:b w:val="0"/>
          <w:bCs w:val="0"/>
        </w:rPr>
      </w:pP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42"/>
        <w:jc w:val="left"/>
        <w:rPr>
          <w:b w:val="0"/>
          <w:bCs w:val="0"/>
        </w:rPr>
      </w:pPr>
      <w:r>
        <w:rPr/>
        <w:t>五、资产交易事项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公司报告期未收购资产。</w:t>
      </w:r>
    </w:p>
    <w:p>
      <w:pPr>
        <w:spacing w:line="240" w:lineRule="auto" w:before="5"/>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公司报告期未出售资产。</w:t>
      </w:r>
    </w:p>
    <w:p>
      <w:pPr>
        <w:spacing w:line="240" w:lineRule="auto" w:before="7"/>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公司报告期未发生企业合并情况。</w:t>
      </w:r>
    </w:p>
    <w:p>
      <w:pPr>
        <w:spacing w:line="240" w:lineRule="auto" w:before="4"/>
        <w:rPr>
          <w:rFonts w:ascii="宋体" w:hAnsi="宋体" w:cs="宋体" w:eastAsia="宋体" w:hint="default"/>
          <w:sz w:val="19"/>
          <w:szCs w:val="19"/>
        </w:rPr>
      </w:pPr>
    </w:p>
    <w:p>
      <w:pPr>
        <w:pStyle w:val="Heading2"/>
        <w:spacing w:line="240" w:lineRule="auto"/>
        <w:ind w:right="142"/>
        <w:jc w:val="left"/>
        <w:rPr>
          <w:b w:val="0"/>
          <w:bCs w:val="0"/>
        </w:rPr>
      </w:pPr>
      <w:r>
        <w:rPr/>
        <w:t>六、公司股权激励的实施情况及其影响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142"/>
        <w:jc w:val="left"/>
      </w:pPr>
      <w:r>
        <w:rPr/>
        <w:t>公司报告期无股权激励计划及其实施情况。</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805"/>
        <w:gridCol w:w="802"/>
        <w:gridCol w:w="794"/>
        <w:gridCol w:w="800"/>
        <w:gridCol w:w="797"/>
        <w:gridCol w:w="799"/>
        <w:gridCol w:w="797"/>
        <w:gridCol w:w="797"/>
        <w:gridCol w:w="78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5" w:right="34"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6"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4" w:hanging="181"/>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 w:right="35"/>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44"/>
              <w:jc w:val="left"/>
              <w:rPr>
                <w:rFonts w:ascii="宋体" w:hAnsi="宋体" w:cs="宋体" w:eastAsia="宋体" w:hint="default"/>
                <w:sz w:val="18"/>
                <w:szCs w:val="18"/>
              </w:rPr>
            </w:pPr>
            <w:r>
              <w:rPr>
                <w:rFonts w:ascii="宋体" w:hAnsi="宋体" w:cs="宋体" w:eastAsia="宋体" w:hint="default"/>
                <w:sz w:val="18"/>
                <w:szCs w:val="18"/>
              </w:rPr>
              <w:t>金丰环球 装饰工程</w:t>
            </w:r>
          </w:p>
          <w:p>
            <w:pPr>
              <w:pStyle w:val="TableParagraph"/>
              <w:spacing w:line="316" w:lineRule="auto" w:before="19"/>
              <w:ind w:left="24" w:right="44"/>
              <w:jc w:val="left"/>
              <w:rPr>
                <w:rFonts w:ascii="宋体" w:hAnsi="宋体" w:cs="宋体" w:eastAsia="宋体" w:hint="default"/>
                <w:sz w:val="18"/>
                <w:szCs w:val="18"/>
              </w:rPr>
            </w:pPr>
            <w:r>
              <w:rPr>
                <w:rFonts w:ascii="宋体" w:hAnsi="宋体" w:cs="宋体" w:eastAsia="宋体" w:hint="default"/>
                <w:sz w:val="18"/>
                <w:szCs w:val="18"/>
              </w:rPr>
              <w:t>（天津）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同一控制 方</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1"/>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装饰工程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7"/>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8"/>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23707.6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中国证券 报、上海 证券报、 证券时报 及巨潮资 讯网</w:t>
            </w:r>
          </w:p>
        </w:tc>
      </w:tr>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北京城建 中南土木 工程集团 有限公司 及其子公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同一控制 方</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1"/>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地基工程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7"/>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8"/>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16787.0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中国证券 报、上海 证券报、 证券时报 及巨潮资 讯网</w:t>
            </w:r>
          </w:p>
        </w:tc>
      </w:tr>
      <w:tr>
        <w:trPr>
          <w:trHeight w:val="196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青岛易辰 房地产代 理有限公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同一控制 方</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1"/>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销售代理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7"/>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8"/>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4041.70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中国证券 报、上海 证券报、 证券时报 及巨潮资 讯网</w:t>
            </w:r>
          </w:p>
        </w:tc>
      </w:tr>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青岛中南 物业管理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1"/>
              <w:jc w:val="right"/>
              <w:rPr>
                <w:rFonts w:ascii="宋体" w:hAnsi="宋体" w:cs="宋体" w:eastAsia="宋体" w:hint="default"/>
                <w:sz w:val="18"/>
                <w:szCs w:val="18"/>
              </w:rPr>
            </w:pPr>
            <w:r>
              <w:rPr>
                <w:rFonts w:ascii="宋体" w:hAnsi="宋体" w:cs="宋体" w:eastAsia="宋体" w:hint="default"/>
                <w:sz w:val="18"/>
                <w:szCs w:val="18"/>
              </w:rPr>
              <w:t>合营企业</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1"/>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7"/>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8"/>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3157.90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中国证券 报、上海 证券报、 证券时报 及巨潮资 讯网</w:t>
            </w:r>
          </w:p>
        </w:tc>
      </w:tr>
      <w:tr>
        <w:trPr>
          <w:trHeight w:val="196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中南控股 集团有限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公司控股 股东</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41"/>
              <w:jc w:val="left"/>
              <w:rPr>
                <w:rFonts w:ascii="宋体" w:hAnsi="宋体" w:cs="宋体" w:eastAsia="宋体" w:hint="default"/>
                <w:sz w:val="18"/>
                <w:szCs w:val="18"/>
              </w:rPr>
            </w:pPr>
            <w:r>
              <w:rPr>
                <w:rFonts w:ascii="宋体" w:hAnsi="宋体" w:cs="宋体" w:eastAsia="宋体" w:hint="default"/>
                <w:sz w:val="18"/>
                <w:szCs w:val="18"/>
              </w:rPr>
              <w:t>提供办公 场所</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z w:val="18"/>
                <w:szCs w:val="18"/>
              </w:rPr>
              <w:t>租赁办公 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7"/>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8"/>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中国证券 报、上海 证券报、 证券时报 及巨潮资 讯网</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44"/>
              <w:jc w:val="left"/>
              <w:rPr>
                <w:rFonts w:ascii="宋体" w:hAnsi="宋体" w:cs="宋体" w:eastAsia="宋体" w:hint="default"/>
                <w:sz w:val="18"/>
                <w:szCs w:val="18"/>
              </w:rPr>
            </w:pPr>
            <w:r>
              <w:rPr>
                <w:rFonts w:ascii="宋体" w:hAnsi="宋体" w:cs="宋体" w:eastAsia="宋体" w:hint="default"/>
                <w:sz w:val="18"/>
                <w:szCs w:val="18"/>
              </w:rPr>
              <w:t>中南控股 集团有限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公司控股 股东</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6" w:right="41"/>
              <w:jc w:val="left"/>
              <w:rPr>
                <w:rFonts w:ascii="宋体" w:hAnsi="宋体" w:cs="宋体" w:eastAsia="宋体" w:hint="default"/>
                <w:sz w:val="18"/>
                <w:szCs w:val="18"/>
              </w:rPr>
            </w:pPr>
            <w:r>
              <w:rPr>
                <w:rFonts w:ascii="宋体" w:hAnsi="宋体" w:cs="宋体" w:eastAsia="宋体" w:hint="default"/>
                <w:sz w:val="18"/>
                <w:szCs w:val="18"/>
              </w:rPr>
              <w:t>出售商 品、接受</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3" w:right="50"/>
              <w:jc w:val="left"/>
              <w:rPr>
                <w:rFonts w:ascii="宋体" w:hAnsi="宋体" w:cs="宋体" w:eastAsia="宋体" w:hint="default"/>
                <w:sz w:val="18"/>
                <w:szCs w:val="18"/>
              </w:rPr>
            </w:pPr>
            <w:r>
              <w:rPr>
                <w:rFonts w:ascii="宋体" w:hAnsi="宋体" w:cs="宋体" w:eastAsia="宋体" w:hint="default"/>
                <w:sz w:val="18"/>
                <w:szCs w:val="18"/>
              </w:rPr>
              <w:t>出售商 品、接受</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31"/>
              <w:jc w:val="left"/>
              <w:rPr>
                <w:rFonts w:ascii="宋体" w:hAnsi="宋体" w:cs="宋体" w:eastAsia="宋体" w:hint="default"/>
                <w:sz w:val="18"/>
                <w:szCs w:val="18"/>
              </w:rPr>
            </w:pPr>
            <w:r>
              <w:rPr>
                <w:rFonts w:ascii="宋体" w:hAnsi="宋体" w:cs="宋体" w:eastAsia="宋体" w:hint="default"/>
                <w:sz w:val="18"/>
                <w:szCs w:val="18"/>
              </w:rPr>
              <w:t>中国证券 报、上海</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788"/>
        <w:gridCol w:w="797"/>
        <w:gridCol w:w="799"/>
        <w:gridCol w:w="794"/>
        <w:gridCol w:w="812"/>
        <w:gridCol w:w="794"/>
        <w:gridCol w:w="800"/>
        <w:gridCol w:w="797"/>
        <w:gridCol w:w="799"/>
        <w:gridCol w:w="797"/>
        <w:gridCol w:w="797"/>
        <w:gridCol w:w="787"/>
      </w:tblGrid>
      <w:tr>
        <w:trPr>
          <w:trHeight w:val="1299"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 w:right="44"/>
              <w:jc w:val="left"/>
              <w:rPr>
                <w:rFonts w:ascii="宋体" w:hAnsi="宋体" w:cs="宋体" w:eastAsia="宋体" w:hint="default"/>
                <w:sz w:val="18"/>
                <w:szCs w:val="18"/>
              </w:rPr>
            </w:pPr>
            <w:r>
              <w:rPr>
                <w:rFonts w:ascii="宋体" w:hAnsi="宋体" w:cs="宋体" w:eastAsia="宋体" w:hint="default"/>
                <w:sz w:val="18"/>
                <w:szCs w:val="18"/>
              </w:rPr>
              <w:t>公司及其 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41"/>
              <w:jc w:val="left"/>
              <w:rPr>
                <w:rFonts w:ascii="宋体" w:hAnsi="宋体" w:cs="宋体" w:eastAsia="宋体" w:hint="default"/>
                <w:sz w:val="18"/>
                <w:szCs w:val="18"/>
              </w:rPr>
            </w:pPr>
            <w:r>
              <w:rPr>
                <w:rFonts w:ascii="宋体" w:hAnsi="宋体" w:cs="宋体" w:eastAsia="宋体" w:hint="default"/>
                <w:sz w:val="18"/>
                <w:szCs w:val="18"/>
              </w:rPr>
              <w:t>工程劳务 等</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8"/>
              <w:jc w:val="left"/>
              <w:rPr>
                <w:rFonts w:ascii="宋体" w:hAnsi="宋体" w:cs="宋体" w:eastAsia="宋体" w:hint="default"/>
                <w:sz w:val="18"/>
                <w:szCs w:val="18"/>
              </w:rPr>
            </w:pPr>
            <w:r>
              <w:rPr>
                <w:rFonts w:ascii="宋体" w:hAnsi="宋体" w:cs="宋体" w:eastAsia="宋体" w:hint="default"/>
                <w:sz w:val="18"/>
                <w:szCs w:val="18"/>
              </w:rPr>
              <w:t>工程劳务 等</w:t>
            </w:r>
          </w:p>
        </w:tc>
        <w:tc>
          <w:tcPr>
            <w:tcW w:w="81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1"/>
              <w:jc w:val="both"/>
              <w:rPr>
                <w:rFonts w:ascii="宋体" w:hAnsi="宋体" w:cs="宋体" w:eastAsia="宋体" w:hint="default"/>
                <w:sz w:val="18"/>
                <w:szCs w:val="18"/>
              </w:rPr>
            </w:pPr>
            <w:r>
              <w:rPr>
                <w:rFonts w:ascii="宋体" w:hAnsi="宋体" w:cs="宋体" w:eastAsia="宋体" w:hint="default"/>
                <w:sz w:val="18"/>
                <w:szCs w:val="18"/>
              </w:rPr>
              <w:t>证券报、 证券时报 及巨潮资 讯网</w:t>
            </w:r>
          </w:p>
        </w:tc>
      </w:tr>
      <w:tr>
        <w:trPr>
          <w:trHeight w:val="401" w:hRule="exact"/>
        </w:trPr>
        <w:tc>
          <w:tcPr>
            <w:tcW w:w="31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48,814</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4"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31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3"/>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4"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 w:right="37"/>
              <w:jc w:val="left"/>
              <w:rPr>
                <w:rFonts w:ascii="宋体" w:hAnsi="宋体" w:cs="宋体" w:eastAsia="宋体" w:hint="default"/>
                <w:sz w:val="18"/>
                <w:szCs w:val="18"/>
              </w:rPr>
            </w:pPr>
            <w:r>
              <w:rPr>
                <w:rFonts w:ascii="宋体" w:hAnsi="宋体" w:cs="宋体" w:eastAsia="宋体" w:hint="default"/>
                <w:sz w:val="18"/>
                <w:szCs w:val="18"/>
              </w:rPr>
              <w:t>因业务合作而形成的日常持续性关联交易。交易有利于公司利用集团内部资源优 势，拓展公司业务。</w:t>
            </w:r>
          </w:p>
        </w:tc>
      </w:tr>
      <w:tr>
        <w:trPr>
          <w:trHeight w:val="404" w:hRule="exact"/>
        </w:trPr>
        <w:tc>
          <w:tcPr>
            <w:tcW w:w="31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4"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总体交易金额及比例较小，不影响公司独立性。</w:t>
            </w:r>
          </w:p>
        </w:tc>
      </w:tr>
      <w:tr>
        <w:trPr>
          <w:trHeight w:val="713" w:hRule="exact"/>
        </w:trPr>
        <w:tc>
          <w:tcPr>
            <w:tcW w:w="31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4"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存在充分竞争市场，不存在依赖关系。</w:t>
            </w:r>
          </w:p>
        </w:tc>
      </w:tr>
      <w:tr>
        <w:trPr>
          <w:trHeight w:val="161" w:hRule="exact"/>
        </w:trPr>
        <w:tc>
          <w:tcPr>
            <w:tcW w:w="317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4" w:type="dxa"/>
            <w:gridSpan w:val="8"/>
            <w:vMerge w:val="restart"/>
            <w:tcBorders>
              <w:top w:val="single" w:sz="4" w:space="0" w:color="000000"/>
              <w:left w:val="single" w:sz="10" w:space="0" w:color="D2D2D2"/>
              <w:right w:val="single" w:sz="4" w:space="0" w:color="000000"/>
            </w:tcBorders>
          </w:tcPr>
          <w:p>
            <w:pPr>
              <w:pStyle w:val="TableParagraph"/>
              <w:spacing w:line="307" w:lineRule="auto" w:before="49"/>
              <w:ind w:left="27" w:right="17"/>
              <w:jc w:val="both"/>
              <w:rPr>
                <w:rFonts w:ascii="宋体" w:hAnsi="宋体" w:cs="宋体" w:eastAsia="宋体" w:hint="default"/>
                <w:sz w:val="18"/>
                <w:szCs w:val="18"/>
              </w:rPr>
            </w:pPr>
            <w:r>
              <w:rPr>
                <w:rFonts w:ascii="宋体" w:hAnsi="宋体" w:cs="宋体" w:eastAsia="宋体" w:hint="default"/>
                <w:spacing w:val="-3"/>
                <w:sz w:val="18"/>
                <w:szCs w:val="18"/>
              </w:rPr>
              <w:t>上述日常关联交易预计已经公司六届董事会三次会议审议，公司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 会同意，本年度实际发生情况除青岛中南物业管理有限公司物业管理费超出预计 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1157.9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万元，易辰经纪公司销售代理超过预计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1541.7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万元外，其他均在年度</w:t>
            </w:r>
            <w:r>
              <w:rPr>
                <w:rFonts w:ascii="宋体" w:hAnsi="宋体" w:cs="宋体" w:eastAsia="宋体" w:hint="default"/>
                <w:sz w:val="18"/>
                <w:szCs w:val="18"/>
              </w:rPr>
              <w:t> 预计内。对于超出部分，本公司六届董事会第十三次审议通过。</w:t>
            </w:r>
          </w:p>
        </w:tc>
      </w:tr>
      <w:tr>
        <w:trPr>
          <w:trHeight w:val="1018" w:hRule="exact"/>
        </w:trPr>
        <w:tc>
          <w:tcPr>
            <w:tcW w:w="317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3"/>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4" w:type="dxa"/>
            <w:gridSpan w:val="8"/>
            <w:vMerge/>
            <w:tcBorders>
              <w:left w:val="single" w:sz="10" w:space="0" w:color="D2D2D2"/>
              <w:right w:val="single" w:sz="4" w:space="0" w:color="000000"/>
            </w:tcBorders>
          </w:tcPr>
          <w:p>
            <w:pPr/>
          </w:p>
        </w:tc>
      </w:tr>
      <w:tr>
        <w:trPr>
          <w:trHeight w:val="161" w:hRule="exact"/>
        </w:trPr>
        <w:tc>
          <w:tcPr>
            <w:tcW w:w="317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4" w:type="dxa"/>
            <w:gridSpan w:val="8"/>
            <w:vMerge/>
            <w:tcBorders>
              <w:left w:val="single" w:sz="10" w:space="0" w:color="D2D2D2"/>
              <w:bottom w:val="single" w:sz="4" w:space="0" w:color="000000"/>
              <w:right w:val="single" w:sz="4" w:space="0" w:color="000000"/>
            </w:tcBorders>
          </w:tcPr>
          <w:p>
            <w:pPr/>
          </w:p>
        </w:tc>
      </w:tr>
      <w:tr>
        <w:trPr>
          <w:trHeight w:val="713" w:hRule="exact"/>
        </w:trPr>
        <w:tc>
          <w:tcPr>
            <w:tcW w:w="31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84"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公司报告期未发生资产收购、出售的关联交易。</w:t>
      </w:r>
    </w:p>
    <w:p>
      <w:pPr>
        <w:spacing w:line="240" w:lineRule="auto" w:before="3"/>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6"/>
        <w:gridCol w:w="1066"/>
        <w:gridCol w:w="1066"/>
        <w:gridCol w:w="1061"/>
        <w:gridCol w:w="1063"/>
        <w:gridCol w:w="1056"/>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5"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29"/>
              <w:jc w:val="left"/>
              <w:rPr>
                <w:rFonts w:ascii="宋体" w:hAnsi="宋体" w:cs="宋体" w:eastAsia="宋体" w:hint="default"/>
                <w:sz w:val="18"/>
                <w:szCs w:val="18"/>
              </w:rPr>
            </w:pPr>
            <w:r>
              <w:rPr>
                <w:rFonts w:ascii="宋体" w:hAnsi="宋体" w:cs="宋体" w:eastAsia="宋体" w:hint="default"/>
                <w:sz w:val="18"/>
                <w:szCs w:val="18"/>
              </w:rPr>
              <w:t>中南控股集 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1"/>
              <w:jc w:val="both"/>
              <w:rPr>
                <w:rFonts w:ascii="宋体" w:hAnsi="宋体" w:cs="宋体" w:eastAsia="宋体" w:hint="default"/>
                <w:sz w:val="18"/>
                <w:szCs w:val="18"/>
              </w:rPr>
            </w:pPr>
            <w:r>
              <w:rPr>
                <w:rFonts w:ascii="宋体" w:hAnsi="宋体" w:cs="宋体" w:eastAsia="宋体" w:hint="default"/>
                <w:sz w:val="18"/>
                <w:szCs w:val="18"/>
              </w:rPr>
              <w:t>南京中南新 锦城房地产 开发有限公 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393,581.68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48,260.73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-1,739.27</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中南控股集 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both"/>
              <w:rPr>
                <w:rFonts w:ascii="宋体" w:hAnsi="宋体" w:cs="宋体" w:eastAsia="宋体" w:hint="default"/>
                <w:sz w:val="18"/>
                <w:szCs w:val="18"/>
              </w:rPr>
            </w:pPr>
            <w:r>
              <w:rPr>
                <w:rFonts w:ascii="宋体" w:hAnsi="宋体" w:cs="宋体" w:eastAsia="宋体" w:hint="default"/>
                <w:sz w:val="18"/>
                <w:szCs w:val="18"/>
              </w:rPr>
              <w:t>苏州中南锦 城房地产开 发有限公司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56200 </w:t>
            </w:r>
            <w:r>
              <w:rPr>
                <w:rFonts w:ascii="宋体" w:hAnsi="宋体" w:cs="宋体" w:eastAsia="宋体" w:hint="default"/>
                <w:sz w:val="18"/>
                <w:szCs w:val="18"/>
              </w:rPr>
              <w:t>万元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240,300.72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54,184.32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-2,015.68</w:t>
            </w:r>
          </w:p>
        </w:tc>
      </w:tr>
      <w:tr>
        <w:trPr>
          <w:trHeight w:val="715"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4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南京项目和苏州项目均已实现预售，南京项目截止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年底预售金额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亿元，苏州项目截止</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年底预售金额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亿元。</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240" w:lineRule="auto" w:before="43"/>
        <w:ind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8"/>
        <w:gridCol w:w="1119"/>
        <w:gridCol w:w="1118"/>
        <w:gridCol w:w="1121"/>
      </w:tblGrid>
      <w:tr>
        <w:trPr>
          <w:trHeight w:val="1025"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74" w:right="20"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4"/>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金丰环球装饰工程</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（天津）有限公司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3"/>
              <w:jc w:val="left"/>
              <w:rPr>
                <w:rFonts w:ascii="宋体" w:hAnsi="宋体" w:cs="宋体" w:eastAsia="宋体" w:hint="default"/>
                <w:sz w:val="18"/>
                <w:szCs w:val="18"/>
              </w:rPr>
            </w:pPr>
            <w:r>
              <w:rPr>
                <w:rFonts w:ascii="宋体" w:hAnsi="宋体" w:cs="宋体" w:eastAsia="宋体" w:hint="default"/>
                <w:sz w:val="18"/>
                <w:szCs w:val="18"/>
              </w:rPr>
              <w:t>提供工程施 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4,330.75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23,707.6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5,614.48</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北京城建中南土木工 程集团有限公司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83"/>
              <w:jc w:val="left"/>
              <w:rPr>
                <w:rFonts w:ascii="宋体" w:hAnsi="宋体" w:cs="宋体" w:eastAsia="宋体" w:hint="default"/>
                <w:sz w:val="18"/>
                <w:szCs w:val="18"/>
              </w:rPr>
            </w:pPr>
            <w:r>
              <w:rPr>
                <w:rFonts w:ascii="宋体" w:hAnsi="宋体" w:cs="宋体" w:eastAsia="宋体" w:hint="default"/>
                <w:sz w:val="18"/>
                <w:szCs w:val="18"/>
              </w:rPr>
              <w:t>提供工程施 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8,920.97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5,741.76</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中南控股集团及其子 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3"/>
              <w:jc w:val="left"/>
              <w:rPr>
                <w:rFonts w:ascii="宋体" w:hAnsi="宋体" w:cs="宋体" w:eastAsia="宋体" w:hint="default"/>
                <w:sz w:val="18"/>
                <w:szCs w:val="18"/>
              </w:rPr>
            </w:pPr>
            <w:r>
              <w:rPr>
                <w:rFonts w:ascii="宋体" w:hAnsi="宋体" w:cs="宋体" w:eastAsia="宋体" w:hint="default"/>
                <w:sz w:val="18"/>
                <w:szCs w:val="18"/>
              </w:rPr>
              <w:t>提供工程施 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825.8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229.92</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中南控股集团及其子 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宋体" w:hAnsi="宋体" w:cs="宋体" w:eastAsia="宋体" w:hint="default"/>
                <w:spacing w:val="-3"/>
                <w:sz w:val="18"/>
                <w:szCs w:val="18"/>
              </w:rPr>
              <w:t>接受劳务、商</w:t>
            </w:r>
            <w:r>
              <w:rPr>
                <w:rFonts w:ascii="宋体" w:hAnsi="宋体" w:cs="宋体" w:eastAsia="宋体" w:hint="default"/>
                <w:sz w:val="18"/>
                <w:szCs w:val="18"/>
              </w:rPr>
              <w:t> 品销售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1,007.67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825.8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582.03</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中南城市建设投资有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16,571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16,392.8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178.2</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3,299.94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30,235.76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53,536</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青岛中南物业管理有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3,157.9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755.25</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青岛易辰房地产代理 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销售代理费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1,013.34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4,041.7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-119.28</w:t>
            </w:r>
          </w:p>
        </w:tc>
      </w:tr>
      <w:tr>
        <w:trPr>
          <w:trHeight w:val="1027" w:hRule="exact"/>
        </w:trPr>
        <w:tc>
          <w:tcPr>
            <w:tcW w:w="2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6" w:type="dxa"/>
            <w:gridSpan w:val="6"/>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关联债权债务主要是日常关联交易形成的余款，金额较小，对公司经营无重大影响。 本年度中南城市建设投资有限公司及中南控股集团有限公司对本公司资金拆借约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元，属无息临时拆借。</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公司报告期无其他关联交易。</w:t>
      </w:r>
    </w:p>
    <w:p>
      <w:pPr>
        <w:spacing w:line="240" w:lineRule="auto" w:before="6"/>
        <w:rPr>
          <w:rFonts w:ascii="宋体" w:hAnsi="宋体" w:cs="宋体" w:eastAsia="宋体" w:hint="default"/>
          <w:sz w:val="19"/>
          <w:szCs w:val="19"/>
        </w:rPr>
      </w:pPr>
    </w:p>
    <w:p>
      <w:pPr>
        <w:pStyle w:val="Heading2"/>
        <w:spacing w:line="240" w:lineRule="auto"/>
        <w:ind w:right="142"/>
        <w:jc w:val="left"/>
        <w:rPr>
          <w:b w:val="0"/>
          <w:bCs w:val="0"/>
        </w:rPr>
      </w:pP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38"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4"/>
        <w:gridCol w:w="941"/>
        <w:gridCol w:w="934"/>
        <w:gridCol w:w="1212"/>
        <w:gridCol w:w="1176"/>
        <w:gridCol w:w="1094"/>
        <w:gridCol w:w="1016"/>
        <w:gridCol w:w="806"/>
        <w:gridCol w:w="787"/>
      </w:tblGrid>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5"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2"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1"/>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中南控股集团有限 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62,000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w:t>
            </w:r>
          </w:p>
        </w:tc>
      </w:tr>
      <w:tr>
        <w:trPr>
          <w:trHeight w:val="720"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9"/>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62,000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w:t>
            </w: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04" w:type="dxa"/>
            <w:vMerge w:val="restart"/>
            <w:tcBorders>
              <w:top w:val="single" w:sz="4" w:space="0" w:color="000000"/>
              <w:left w:val="single" w:sz="4" w:space="0" w:color="000000"/>
              <w:right w:val="single" w:sz="4" w:space="0" w:color="000000"/>
            </w:tcBorders>
            <w:shd w:val="clear" w:color="auto" w:fill="D2D2D2"/>
          </w:tcPr>
          <w:p>
            <w:pPr/>
          </w:p>
        </w:tc>
        <w:tc>
          <w:tcPr>
            <w:tcW w:w="9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2"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094" w:type="dxa"/>
            <w:vMerge w:val="restart"/>
            <w:tcBorders>
              <w:top w:val="single" w:sz="4" w:space="0" w:color="000000"/>
              <w:left w:val="single" w:sz="4" w:space="0" w:color="000000"/>
              <w:right w:val="single" w:sz="4" w:space="0" w:color="000000"/>
            </w:tcBorders>
            <w:shd w:val="clear" w:color="auto" w:fill="D2D2D2"/>
          </w:tcPr>
          <w:p>
            <w:pPr/>
          </w:p>
        </w:tc>
        <w:tc>
          <w:tcPr>
            <w:tcW w:w="1016" w:type="dxa"/>
            <w:vMerge w:val="restart"/>
            <w:tcBorders>
              <w:top w:val="single" w:sz="4" w:space="0" w:color="000000"/>
              <w:left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04" w:type="dxa"/>
            <w:vMerge/>
            <w:tcBorders>
              <w:left w:val="single" w:sz="4" w:space="0" w:color="000000"/>
              <w:bottom w:val="nil" w:sz="6" w:space="0" w:color="auto"/>
              <w:right w:val="single" w:sz="4" w:space="0" w:color="000000"/>
            </w:tcBorders>
            <w:shd w:val="clear" w:color="auto" w:fill="D2D2D2"/>
          </w:tcPr>
          <w:p>
            <w:pPr/>
          </w:p>
        </w:tc>
        <w:tc>
          <w:tcPr>
            <w:tcW w:w="941"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1016" w:type="dxa"/>
            <w:vMerge/>
            <w:tcBorders>
              <w:left w:val="single" w:sz="4" w:space="0" w:color="000000"/>
              <w:bottom w:val="nil" w:sz="6" w:space="0" w:color="auto"/>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6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vMerge/>
            <w:tcBorders>
              <w:left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vMerge/>
            <w:tcBorders>
              <w:left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1"/>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4" w:type="dxa"/>
            <w:vMerge w:val="restart"/>
            <w:tcBorders>
              <w:top w:val="nil" w:sz="6" w:space="0" w:color="auto"/>
              <w:left w:val="single" w:sz="4" w:space="0" w:color="000000"/>
              <w:right w:val="single" w:sz="4" w:space="0" w:color="000000"/>
            </w:tcBorders>
            <w:shd w:val="clear" w:color="auto" w:fill="D2D2D2"/>
          </w:tcPr>
          <w:p>
            <w:pPr/>
          </w:p>
        </w:tc>
        <w:tc>
          <w:tcPr>
            <w:tcW w:w="941"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
        </w:tc>
        <w:tc>
          <w:tcPr>
            <w:tcW w:w="1016" w:type="dxa"/>
            <w:vMerge w:val="restart"/>
            <w:tcBorders>
              <w:top w:val="nil" w:sz="6" w:space="0" w:color="auto"/>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04" w:type="dxa"/>
            <w:vMerge/>
            <w:tcBorders>
              <w:left w:val="single" w:sz="4" w:space="0" w:color="000000"/>
              <w:bottom w:val="single" w:sz="4" w:space="0" w:color="000000"/>
              <w:right w:val="single" w:sz="4" w:space="0" w:color="000000"/>
            </w:tcBorders>
            <w:shd w:val="clear" w:color="auto" w:fill="D2D2D2"/>
          </w:tcPr>
          <w:p>
            <w:pPr/>
          </w:p>
        </w:tc>
        <w:tc>
          <w:tcPr>
            <w:tcW w:w="941"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7"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南通中南新世界中 </w:t>
            </w:r>
            <w:r>
              <w:rPr>
                <w:rFonts w:ascii="宋体" w:hAnsi="宋体" w:cs="宋体" w:eastAsia="宋体" w:hint="default"/>
                <w:spacing w:val="-8"/>
                <w:sz w:val="18"/>
                <w:szCs w:val="18"/>
              </w:rPr>
              <w:t>心开发有限公司、青</w:t>
            </w:r>
            <w:r>
              <w:rPr>
                <w:rFonts w:ascii="宋体" w:hAnsi="宋体" w:cs="宋体" w:eastAsia="宋体" w:hint="default"/>
                <w:sz w:val="18"/>
                <w:szCs w:val="18"/>
              </w:rPr>
              <w:t> 岛海湾新城房地产 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5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南通建筑工程总承 </w:t>
            </w:r>
            <w:r>
              <w:rPr>
                <w:rFonts w:ascii="宋体" w:hAnsi="宋体" w:cs="宋体" w:eastAsia="宋体" w:hint="default"/>
                <w:spacing w:val="-8"/>
                <w:sz w:val="18"/>
                <w:szCs w:val="18"/>
              </w:rPr>
              <w:t>包有限公司、寿光中</w:t>
            </w:r>
            <w:r>
              <w:rPr>
                <w:rFonts w:ascii="宋体" w:hAnsi="宋体" w:cs="宋体" w:eastAsia="宋体" w:hint="default"/>
                <w:sz w:val="18"/>
                <w:szCs w:val="18"/>
              </w:rPr>
              <w:t> 南世纪城房地产开 </w:t>
            </w:r>
            <w:r>
              <w:rPr>
                <w:rFonts w:ascii="宋体" w:hAnsi="宋体" w:cs="宋体" w:eastAsia="宋体" w:hint="default"/>
                <w:spacing w:val="-8"/>
                <w:sz w:val="18"/>
                <w:szCs w:val="18"/>
              </w:rPr>
              <w:t>发有限公司、青岛中</w:t>
            </w:r>
            <w:r>
              <w:rPr>
                <w:rFonts w:ascii="宋体" w:hAnsi="宋体" w:cs="宋体" w:eastAsia="宋体" w:hint="default"/>
                <w:sz w:val="18"/>
                <w:szCs w:val="18"/>
              </w:rPr>
              <w:t> 南世纪城房地产业 投资有限公司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63,750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63,750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文昌中南房地产开 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5"/>
              <w:jc w:val="center"/>
              <w:rPr>
                <w:rFonts w:ascii="宋体" w:hAnsi="宋体" w:cs="宋体" w:eastAsia="宋体" w:hint="default"/>
                <w:sz w:val="18"/>
                <w:szCs w:val="18"/>
              </w:rPr>
            </w:pPr>
            <w:r>
              <w:rPr>
                <w:rFonts w:ascii="宋体" w:hAnsi="宋体" w:cs="宋体" w:eastAsia="宋体" w:hint="default"/>
                <w:sz w:val="18"/>
                <w:szCs w:val="18"/>
              </w:rPr>
              <w:t>淮安中南房地产开</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60,313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60,313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58"/>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04"/>
        <w:gridCol w:w="936"/>
        <w:gridCol w:w="939"/>
        <w:gridCol w:w="1212"/>
        <w:gridCol w:w="1176"/>
        <w:gridCol w:w="1088"/>
        <w:gridCol w:w="1022"/>
        <w:gridCol w:w="806"/>
        <w:gridCol w:w="787"/>
      </w:tblGrid>
      <w:tr>
        <w:trPr>
          <w:trHeight w:val="36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2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南通华城中南房地 产开发有限公司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东营中南城市建设 投资有限公司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淮安中南房地产开 发有限公司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60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常熟中南世纪城房 地产开发有限公司 常熟中南御锦城房 地产</w:t>
            </w:r>
          </w:p>
        </w:tc>
        <w:tc>
          <w:tcPr>
            <w:tcW w:w="9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2" w:right="86"/>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right="254"/>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广饶中南房地产有 </w:t>
            </w:r>
            <w:r>
              <w:rPr>
                <w:rFonts w:ascii="宋体" w:hAnsi="宋体" w:cs="宋体" w:eastAsia="宋体" w:hint="default"/>
                <w:spacing w:val="-8"/>
                <w:sz w:val="18"/>
                <w:szCs w:val="18"/>
              </w:rPr>
              <w:t>限公司、泰安中南投</w:t>
            </w:r>
            <w:r>
              <w:rPr>
                <w:rFonts w:ascii="宋体" w:hAnsi="宋体" w:cs="宋体" w:eastAsia="宋体" w:hint="default"/>
                <w:sz w:val="18"/>
                <w:szCs w:val="18"/>
              </w:rPr>
              <w:t> 资置业有限公司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南京中南新锦城房 地产开发有限公司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泰兴市中南世纪城 房地产发展有限公 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1"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562,663</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562,663</w:t>
            </w:r>
          </w:p>
        </w:tc>
      </w:tr>
      <w:tr>
        <w:trPr>
          <w:trHeight w:val="718"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1"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562,663</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562,663</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1"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624,663</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624,663</w:t>
            </w:r>
          </w:p>
        </w:tc>
      </w:tr>
      <w:tr>
        <w:trPr>
          <w:trHeight w:val="715"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1"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624,663</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624,663</w:t>
            </w:r>
          </w:p>
        </w:tc>
      </w:tr>
      <w:tr>
        <w:trPr>
          <w:trHeight w:val="406"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70.85%</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62,000</w:t>
            </w:r>
          </w:p>
        </w:tc>
      </w:tr>
      <w:tr>
        <w:trPr>
          <w:trHeight w:val="715"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184,350</w:t>
            </w:r>
          </w:p>
        </w:tc>
      </w:tr>
      <w:tr>
        <w:trPr>
          <w:trHeight w:val="401"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2"/>
        <w:jc w:val="left"/>
      </w:pPr>
      <w:r>
        <w:rPr/>
        <w:t>采用复合方式担保的具体情况说明</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7"/>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7"/>
        <w:rPr>
          <w:rFonts w:ascii="宋体" w:hAnsi="宋体" w:cs="宋体" w:eastAsia="宋体" w:hint="default"/>
          <w:sz w:val="21"/>
          <w:szCs w:val="21"/>
        </w:rPr>
      </w:pPr>
    </w:p>
    <w:p>
      <w:pPr>
        <w:pStyle w:val="Heading3"/>
        <w:spacing w:line="240" w:lineRule="auto"/>
        <w:ind w:right="142"/>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公司报告期不存在其他重大交易。</w:t>
      </w:r>
    </w:p>
    <w:p>
      <w:pPr>
        <w:spacing w:after="0" w:line="3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2"/>
        <w:spacing w:line="240" w:lineRule="auto" w:before="26"/>
        <w:ind w:left="140" w:right="0"/>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pict>
          <v:shape style="position:absolute;margin-left:561.309998pt;margin-top:93.581718pt;width:86.55pt;height:139.5pt;mso-position-horizontal-relative:page;mso-position-vertical-relative:paragraph;z-index:-11316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3200"/>
        <w:gridCol w:w="2381"/>
        <w:gridCol w:w="4320"/>
        <w:gridCol w:w="1621"/>
        <w:gridCol w:w="1277"/>
        <w:gridCol w:w="1268"/>
      </w:tblGrid>
      <w:tr>
        <w:trPr>
          <w:trHeight w:val="401"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4"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381" w:type="dxa"/>
            <w:tcBorders>
              <w:top w:val="single" w:sz="4" w:space="0" w:color="000000"/>
              <w:left w:val="single" w:sz="13" w:space="0" w:color="D2D2D2"/>
              <w:bottom w:val="single" w:sz="4" w:space="0" w:color="000000"/>
              <w:right w:val="single" w:sz="4" w:space="0" w:color="000000"/>
            </w:tcBorders>
          </w:tcPr>
          <w:p>
            <w:pPr/>
          </w:p>
        </w:tc>
        <w:tc>
          <w:tcPr>
            <w:tcW w:w="43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2381" w:type="dxa"/>
            <w:tcBorders>
              <w:top w:val="single" w:sz="4" w:space="0" w:color="000000"/>
              <w:left w:val="single" w:sz="13" w:space="0" w:color="D2D2D2"/>
              <w:bottom w:val="single" w:sz="4" w:space="0" w:color="000000"/>
              <w:right w:val="single" w:sz="4" w:space="0" w:color="000000"/>
            </w:tcBorders>
          </w:tcPr>
          <w:p>
            <w:pPr/>
          </w:p>
        </w:tc>
        <w:tc>
          <w:tcPr>
            <w:tcW w:w="43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2794" w:hRule="exact"/>
        </w:trPr>
        <w:tc>
          <w:tcPr>
            <w:tcW w:w="3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4320" w:type="dxa"/>
            <w:vMerge w:val="restart"/>
            <w:tcBorders>
              <w:top w:val="single" w:sz="4" w:space="0" w:color="000000"/>
              <w:left w:val="single" w:sz="4" w:space="0" w:color="000000"/>
              <w:right w:val="single" w:sz="4" w:space="0" w:color="000000"/>
            </w:tcBorders>
          </w:tcPr>
          <w:p>
            <w:pPr>
              <w:pStyle w:val="TableParagraph"/>
              <w:spacing w:line="312"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）关于保持上市公司独立性的承诺：为保持上市公 </w:t>
            </w:r>
            <w:r>
              <w:rPr>
                <w:rFonts w:ascii="宋体" w:hAnsi="宋体" w:cs="宋体" w:eastAsia="宋体" w:hint="default"/>
                <w:spacing w:val="-3"/>
                <w:sz w:val="18"/>
                <w:szCs w:val="18"/>
              </w:rPr>
              <w:t>司的独立性，中南房地产、中南集团和陈锦石（以下简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1"/>
                <w:w w:val="100"/>
                <w:sz w:val="18"/>
                <w:szCs w:val="18"/>
              </w:rPr>
              <w:t>称</w:t>
            </w:r>
            <w:r>
              <w:rPr>
                <w:rFonts w:ascii="Times New Roman" w:hAnsi="Times New Roman" w:cs="Times New Roman" w:eastAsia="Times New Roman" w:hint="default"/>
                <w:spacing w:val="-11"/>
                <w:w w:val="100"/>
                <w:sz w:val="18"/>
                <w:szCs w:val="18"/>
              </w:rPr>
              <w:t>“</w:t>
            </w:r>
            <w:r>
              <w:rPr>
                <w:rFonts w:ascii="宋体" w:hAnsi="宋体" w:cs="宋体" w:eastAsia="宋体" w:hint="default"/>
                <w:spacing w:val="-11"/>
                <w:w w:val="100"/>
                <w:sz w:val="18"/>
                <w:szCs w:val="18"/>
              </w:rPr>
              <w:t>承诺方</w:t>
            </w:r>
            <w:r>
              <w:rPr>
                <w:rFonts w:ascii="Times New Roman" w:hAnsi="Times New Roman" w:cs="Times New Roman" w:eastAsia="Times New Roman" w:hint="default"/>
                <w:spacing w:val="-11"/>
                <w:w w:val="100"/>
                <w:sz w:val="18"/>
                <w:szCs w:val="18"/>
              </w:rPr>
              <w:t>”</w:t>
            </w:r>
            <w:r>
              <w:rPr>
                <w:rFonts w:ascii="宋体" w:hAnsi="宋体" w:cs="宋体" w:eastAsia="宋体" w:hint="default"/>
                <w:spacing w:val="-11"/>
                <w:w w:val="100"/>
                <w:sz w:val="18"/>
                <w:szCs w:val="18"/>
              </w:rPr>
              <w:t>）承诺如下：（一）保证上市公司人员独立</w:t>
            </w:r>
            <w:r>
              <w:rPr>
                <w:rFonts w:ascii="宋体" w:hAnsi="宋体" w:cs="宋体" w:eastAsia="宋体" w:hint="default"/>
                <w:spacing w:val="-42"/>
                <w:w w:val="10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保证上市公司的生产经营与行政管理（包括劳动、人事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及工资管理等）完全独立于承诺方及承诺方关联公司。 </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、上市公司董事、监事及高级管理人员严格按照《公 </w:t>
            </w:r>
            <w:r>
              <w:rPr>
                <w:rFonts w:ascii="宋体" w:hAnsi="宋体" w:cs="宋体" w:eastAsia="宋体" w:hint="default"/>
                <w:spacing w:val="-10"/>
                <w:sz w:val="18"/>
                <w:szCs w:val="18"/>
              </w:rPr>
              <w:t>司法》、《公司章程》的有关规定选举产生；保证上市公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司的总经理、副总经理、财务负责人、董事会秘书等高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级管理人员专职在上市公司工作，不在承诺方及承诺方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关联公司兼任除董事之外的职务。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、保证承诺方推荐 出任上市公司董事和经理的人选都通过合法的程序进 </w:t>
            </w:r>
            <w:r>
              <w:rPr>
                <w:rFonts w:ascii="宋体" w:hAnsi="宋体" w:cs="宋体" w:eastAsia="宋体" w:hint="default"/>
                <w:spacing w:val="-3"/>
                <w:sz w:val="18"/>
                <w:szCs w:val="18"/>
              </w:rPr>
              <w:t>行，承诺方不干预公司董事会和股东大会已经做出的人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事任免决定。（二）保证上市公司资产独立完整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r>
              <w:rPr>
                <w:rFonts w:ascii="宋体" w:hAnsi="宋体" w:cs="宋体" w:eastAsia="宋体" w:hint="default"/>
                <w:spacing w:val="-78"/>
                <w:sz w:val="18"/>
                <w:szCs w:val="18"/>
              </w:rPr>
              <w:t> </w:t>
            </w:r>
            <w:r>
              <w:rPr>
                <w:rFonts w:ascii="宋体" w:hAnsi="宋体" w:cs="宋体" w:eastAsia="宋体" w:hint="default"/>
                <w:sz w:val="18"/>
                <w:szCs w:val="18"/>
              </w:rPr>
              <w:t>证上市公司与承诺方及承诺方的关联人之间产权关系 </w:t>
            </w:r>
            <w:r>
              <w:rPr>
                <w:rFonts w:ascii="宋体" w:hAnsi="宋体" w:cs="宋体" w:eastAsia="宋体" w:hint="default"/>
                <w:spacing w:val="-3"/>
                <w:sz w:val="18"/>
                <w:szCs w:val="18"/>
              </w:rPr>
              <w:t>明确，上市公司对所属资产拥有完整的所有权，保证上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市公司资产的独立完整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、保证上市公司不存在资金、 资产被承诺方及承诺方的关联方占用的情形。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、保证 </w:t>
            </w:r>
            <w:r>
              <w:rPr>
                <w:rFonts w:ascii="宋体" w:hAnsi="宋体" w:cs="宋体" w:eastAsia="宋体" w:hint="default"/>
                <w:spacing w:val="-4"/>
                <w:sz w:val="18"/>
                <w:szCs w:val="18"/>
              </w:rPr>
              <w:t>上市公司的住所独立于承诺人。（三）保证上市公司的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财务独立</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、保证上市公司建立独立的财务部门和独立</w:t>
            </w:r>
          </w:p>
        </w:tc>
        <w:tc>
          <w:tcPr>
            <w:tcW w:w="1621" w:type="dxa"/>
            <w:vMerge w:val="restart"/>
            <w:tcBorders>
              <w:top w:val="single" w:sz="4" w:space="0" w:color="000000"/>
              <w:left w:val="single" w:sz="4" w:space="0" w:color="000000"/>
              <w:right w:val="single" w:sz="4" w:space="0" w:color="000000"/>
            </w:tcBorders>
          </w:tcPr>
          <w:p>
            <w:pPr>
              <w:pStyle w:val="TableParagraph"/>
              <w:spacing w:line="2789" w:lineRule="exact"/>
              <w:ind w:right="-50"/>
              <w:jc w:val="left"/>
              <w:rPr>
                <w:rFonts w:ascii="宋体" w:hAnsi="宋体" w:cs="宋体" w:eastAsia="宋体" w:hint="default"/>
                <w:sz w:val="20"/>
                <w:szCs w:val="20"/>
              </w:rPr>
            </w:pPr>
            <w:r>
              <w:rPr>
                <w:rFonts w:ascii="宋体" w:hAnsi="宋体" w:cs="宋体" w:eastAsia="宋体" w:hint="default"/>
                <w:position w:val="-55"/>
                <w:sz w:val="20"/>
                <w:szCs w:val="20"/>
              </w:rPr>
              <w:pict>
                <v:group style="width:80.55pt;height:139.5pt;mso-position-horizontal-relative:char;mso-position-vertical-relative:line" coordorigin="0,0" coordsize="1611,2790">
                  <v:group style="position:absolute;left:0;top:0;width:1611;height:2790" coordorigin="0,0" coordsize="1611,2790">
                    <v:shape style="position:absolute;left:0;top:0;width:1611;height:2790" coordorigin="0,0" coordsize="1611,2790" path="m0,2789l1611,2789,1611,0,0,0,0,2789xe" filled="true" fillcolor="#ffffff" stroked="false">
                      <v:path arrowok="t"/>
                      <v:fill type="solid"/>
                    </v:shape>
                  </v:group>
                </v:group>
              </w:pict>
            </w:r>
            <w:r>
              <w:rPr>
                <w:rFonts w:ascii="宋体" w:hAnsi="宋体" w:cs="宋体" w:eastAsia="宋体" w:hint="default"/>
                <w:position w:val="-55"/>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391" w:hRule="exact"/>
        </w:trPr>
        <w:tc>
          <w:tcPr>
            <w:tcW w:w="3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381" w:type="dxa"/>
            <w:vMerge/>
            <w:tcBorders>
              <w:left w:val="single" w:sz="9" w:space="0" w:color="D2D2D2"/>
              <w:right w:val="single" w:sz="4" w:space="0" w:color="000000"/>
            </w:tcBorders>
          </w:tcPr>
          <w:p>
            <w:pPr/>
          </w:p>
        </w:tc>
        <w:tc>
          <w:tcPr>
            <w:tcW w:w="4320" w:type="dxa"/>
            <w:vMerge/>
            <w:tcBorders>
              <w:left w:val="single" w:sz="4" w:space="0" w:color="000000"/>
              <w:right w:val="single" w:sz="4" w:space="0" w:color="000000"/>
            </w:tcBorders>
          </w:tcPr>
          <w:p>
            <w:pP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2794" w:hRule="exact"/>
        </w:trPr>
        <w:tc>
          <w:tcPr>
            <w:tcW w:w="3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1" w:type="dxa"/>
            <w:vMerge/>
            <w:tcBorders>
              <w:left w:val="single" w:sz="9" w:space="0" w:color="D2D2D2"/>
              <w:bottom w:val="single" w:sz="4" w:space="0" w:color="000000"/>
              <w:right w:val="single" w:sz="4" w:space="0" w:color="000000"/>
            </w:tcBorders>
          </w:tcPr>
          <w:p>
            <w:pPr/>
          </w:p>
        </w:tc>
        <w:tc>
          <w:tcPr>
            <w:tcW w:w="4320" w:type="dxa"/>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40" w:h="11910" w:orient="landscape"/>
          <w:pgMar w:header="867" w:footer="979" w:top="1060" w:bottom="1160" w:left="1300" w:right="1220"/>
          <w:pgNumType w:start="33"/>
        </w:sectPr>
      </w:pPr>
    </w:p>
    <w:p>
      <w:pPr>
        <w:spacing w:line="240" w:lineRule="auto" w:before="2"/>
        <w:rPr>
          <w:rFonts w:ascii="Times New Roman" w:hAnsi="Times New Roman" w:cs="Times New Roman" w:eastAsia="Times New Roman" w:hint="default"/>
          <w:sz w:val="3"/>
          <w:szCs w:val="3"/>
        </w:rPr>
      </w:pPr>
      <w:r>
        <w:rPr/>
        <w:pict>
          <v:shape style="position:absolute;margin-left:471.164001pt;margin-top:57.236008pt;width:176.7pt;height:468.1pt;mso-position-horizontal-relative:page;mso-position-vertical-relative:page;z-index:-1131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firstLine="180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1"/>
                    <w:ind w:left="0" w:right="0"/>
                    <w:jc w:val="left"/>
                  </w:pPr>
                  <w:r>
                    <w:rPr/>
                    <w:t>上市公司控股股东期间，</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3198"/>
        <w:gridCol w:w="2383"/>
        <w:gridCol w:w="4320"/>
        <w:gridCol w:w="1621"/>
        <w:gridCol w:w="1277"/>
        <w:gridCol w:w="1268"/>
      </w:tblGrid>
      <w:tr>
        <w:trPr>
          <w:trHeight w:val="337" w:hRule="exact"/>
        </w:trPr>
        <w:tc>
          <w:tcPr>
            <w:tcW w:w="3198" w:type="dxa"/>
            <w:vMerge w:val="restart"/>
            <w:tcBorders>
              <w:top w:val="single" w:sz="15" w:space="0" w:color="000000"/>
              <w:left w:val="single" w:sz="4" w:space="0" w:color="000000"/>
              <w:right w:val="single" w:sz="4" w:space="0" w:color="000000"/>
            </w:tcBorders>
            <w:shd w:val="clear" w:color="auto" w:fill="D2D2D2"/>
          </w:tcPr>
          <w:p>
            <w:pPr/>
          </w:p>
        </w:tc>
        <w:tc>
          <w:tcPr>
            <w:tcW w:w="2383" w:type="dxa"/>
            <w:vMerge w:val="restart"/>
            <w:tcBorders>
              <w:top w:val="single" w:sz="15" w:space="0" w:color="000000"/>
              <w:left w:val="single" w:sz="4" w:space="0" w:color="000000"/>
              <w:right w:val="single" w:sz="4" w:space="0" w:color="000000"/>
            </w:tcBorders>
          </w:tcPr>
          <w:p>
            <w:pPr/>
          </w:p>
        </w:tc>
        <w:tc>
          <w:tcPr>
            <w:tcW w:w="43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的财务核算体系。</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、保证上市公司具有规范、独立的</w:t>
            </w:r>
          </w:p>
        </w:tc>
        <w:tc>
          <w:tcPr>
            <w:tcW w:w="1621" w:type="dxa"/>
            <w:vMerge w:val="restart"/>
            <w:tcBorders>
              <w:top w:val="single" w:sz="15" w:space="0" w:color="000000"/>
              <w:left w:val="single" w:sz="4" w:space="0" w:color="000000"/>
              <w:right w:val="single" w:sz="4" w:space="0" w:color="000000"/>
            </w:tcBorders>
          </w:tcPr>
          <w:p>
            <w:pPr>
              <w:pStyle w:val="TableParagraph"/>
              <w:spacing w:line="936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80.55pt;height:468.1pt;mso-position-horizontal-relative:char;mso-position-vertical-relative:line" coordorigin="0,0" coordsize="1611,9362">
                  <v:group style="position:absolute;left:0;top:0;width:1611;height:9362" coordorigin="0,0" coordsize="1611,9362">
                    <v:shape style="position:absolute;left:0;top:0;width:1611;height:9362" coordorigin="0,0" coordsize="1611,9362" path="m0,9362l1611,9362,1611,0,0,0,0,9362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277" w:type="dxa"/>
            <w:vMerge w:val="restart"/>
            <w:tcBorders>
              <w:top w:val="single" w:sz="15" w:space="0" w:color="000000"/>
              <w:left w:val="single" w:sz="4" w:space="0" w:color="000000"/>
              <w:right w:val="single" w:sz="4" w:space="0" w:color="000000"/>
            </w:tcBorders>
          </w:tcPr>
          <w:p>
            <w:pPr/>
          </w:p>
        </w:tc>
        <w:tc>
          <w:tcPr>
            <w:tcW w:w="1268" w:type="dxa"/>
            <w:vMerge w:val="restart"/>
            <w:tcBorders>
              <w:top w:val="single" w:sz="15" w:space="0" w:color="000000"/>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财务会计制度和对分公司、子公司的财务管理制度。</w:t>
            </w:r>
            <w:r>
              <w:rPr>
                <w:rFonts w:ascii="Times New Roman" w:hAnsi="Times New Roman" w:cs="Times New Roman" w:eastAsia="Times New Roman" w:hint="default"/>
                <w:spacing w:val="-3"/>
                <w:sz w:val="18"/>
                <w:szCs w:val="18"/>
              </w:rPr>
              <w:t>3</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保证上市公司保持自己独立的银行帐户，不与承诺方共</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用一个银行账户。</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、保证上市公司的财务人员不在本</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公司兼职。</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、保证上市公司依法独立纳税。</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、保证上</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市公司能够独立作出财务决策，承诺方不干预上市公司</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的资金使用</w:t>
            </w:r>
            <w:r>
              <w:rPr>
                <w:rFonts w:ascii="宋体" w:hAnsi="宋体" w:cs="宋体" w:eastAsia="宋体" w:hint="default"/>
                <w:spacing w:val="-92"/>
                <w:sz w:val="18"/>
                <w:szCs w:val="18"/>
              </w:rPr>
              <w:t>。</w:t>
            </w:r>
            <w:r>
              <w:rPr>
                <w:rFonts w:ascii="宋体" w:hAnsi="宋体" w:cs="宋体" w:eastAsia="宋体" w:hint="default"/>
                <w:sz w:val="18"/>
                <w:szCs w:val="18"/>
              </w:rPr>
              <w:t>（四）保证上市</w:t>
            </w:r>
            <w:r>
              <w:rPr>
                <w:rFonts w:ascii="宋体" w:hAnsi="宋体" w:cs="宋体" w:eastAsia="宋体" w:hint="default"/>
                <w:spacing w:val="2"/>
                <w:sz w:val="18"/>
                <w:szCs w:val="18"/>
              </w:rPr>
              <w:t>公</w:t>
            </w:r>
            <w:r>
              <w:rPr>
                <w:rFonts w:ascii="宋体" w:hAnsi="宋体" w:cs="宋体" w:eastAsia="宋体" w:hint="default"/>
                <w:sz w:val="18"/>
                <w:szCs w:val="18"/>
              </w:rPr>
              <w:t>司机构独立</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、保证上</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市公司的机构设置独立于承诺方，并能独立自主地运</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作。</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、保证上市公司办公机构和生产经营场所与承诺</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方分开；建立健全的组织机构体系，保证上市公司董事</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会、监事会以及各职能部门独立运作，不存在与承诺方</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职能部门之间的从属关系。</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、保证承诺方行为规范，</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不超越股东大会直接或间接干预上市公司的决策和经</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2"/>
                <w:sz w:val="18"/>
                <w:szCs w:val="18"/>
              </w:rPr>
              <w:t>。</w:t>
            </w:r>
            <w:r>
              <w:rPr>
                <w:rFonts w:ascii="宋体" w:hAnsi="宋体" w:cs="宋体" w:eastAsia="宋体" w:hint="default"/>
                <w:sz w:val="18"/>
                <w:szCs w:val="18"/>
              </w:rPr>
              <w:t>（五）保证上市公司业务</w:t>
            </w:r>
            <w:r>
              <w:rPr>
                <w:rFonts w:ascii="宋体" w:hAnsi="宋体" w:cs="宋体" w:eastAsia="宋体" w:hint="default"/>
                <w:spacing w:val="2"/>
                <w:sz w:val="18"/>
                <w:szCs w:val="18"/>
              </w:rPr>
              <w:t>独</w:t>
            </w:r>
            <w:r>
              <w:rPr>
                <w:rFonts w:ascii="宋体" w:hAnsi="宋体" w:cs="宋体" w:eastAsia="宋体" w:hint="default"/>
                <w:sz w:val="18"/>
                <w:szCs w:val="18"/>
              </w:rPr>
              <w:t>立</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、保证上市公司拥</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有独立开展经营活动的资产、人员、资质和能力，上市</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公司具有面向市场自主经营的能力。</w:t>
            </w:r>
            <w:r>
              <w:rPr>
                <w:rFonts w:ascii="Times New Roman" w:hAnsi="Times New Roman" w:cs="Times New Roman" w:eastAsia="Times New Roman" w:hint="default"/>
                <w:sz w:val="18"/>
                <w:szCs w:val="18"/>
              </w:rPr>
              <w:t>2</w:t>
            </w:r>
            <w:r>
              <w:rPr>
                <w:rFonts w:ascii="宋体" w:hAnsi="宋体" w:cs="宋体" w:eastAsia="宋体" w:hint="default"/>
                <w:sz w:val="18"/>
                <w:szCs w:val="18"/>
              </w:rPr>
              <w:t>、保证尽可能减</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少上市公司与承诺方及承诺方关联公司之间的持续性</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关联交易。对于无法避免的关联交易将本着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公平、公</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正、公开</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的原则，与向非关联企业的交易价格保持一</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致，并及时进行信息披露。</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、保证不与上市公司进行</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同业竞争</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0"/>
                <w:sz w:val="18"/>
                <w:szCs w:val="18"/>
              </w:rPr>
              <w:t>）</w:t>
            </w:r>
            <w:r>
              <w:rPr>
                <w:rFonts w:ascii="宋体" w:hAnsi="宋体" w:cs="宋体" w:eastAsia="宋体" w:hint="default"/>
                <w:sz w:val="18"/>
                <w:szCs w:val="18"/>
              </w:rPr>
              <w:t>关于避免和</w:t>
            </w:r>
            <w:r>
              <w:rPr>
                <w:rFonts w:ascii="宋体" w:hAnsi="宋体" w:cs="宋体" w:eastAsia="宋体" w:hint="default"/>
                <w:spacing w:val="2"/>
                <w:sz w:val="18"/>
                <w:szCs w:val="18"/>
              </w:rPr>
              <w:t>消</w:t>
            </w:r>
            <w:r>
              <w:rPr>
                <w:rFonts w:ascii="宋体" w:hAnsi="宋体" w:cs="宋体" w:eastAsia="宋体" w:hint="default"/>
                <w:sz w:val="18"/>
                <w:szCs w:val="18"/>
              </w:rPr>
              <w:t>除同业竞争的承诺</w:t>
            </w:r>
            <w:r>
              <w:rPr>
                <w:rFonts w:ascii="宋体" w:hAnsi="宋体" w:cs="宋体" w:eastAsia="宋体" w:hint="default"/>
                <w:spacing w:val="-20"/>
                <w:sz w:val="18"/>
                <w:szCs w:val="18"/>
              </w:rPr>
              <w:t>：</w:t>
            </w:r>
            <w:r>
              <w:rPr>
                <w:rFonts w:ascii="宋体" w:hAnsi="宋体" w:cs="宋体" w:eastAsia="宋体" w:hint="default"/>
                <w:sz w:val="18"/>
                <w:szCs w:val="18"/>
              </w:rPr>
              <w:t>为从</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根本上避免和消除中南房地产、中南集团、陈锦石及其</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关联企业侵占上市公司的商业机会和形成同业竞争的</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可能性，中南房地产、中南集团、陈锦石（以下简称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承</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诺人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）承诺：中南房地产作为</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中南集团作为上市公司间接控股股东期间，陈锦石作为</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上市公司实际控制人期间，承诺人不会在中国境内或境</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外，以任何方式（包括但不限于其单独经营、通过合资</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经营或拥有另一公司或企业的股份及其它权益）直接或</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9"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2383"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间接从事与上市公司相同或相似的业务。承诺人同时保</w:t>
            </w:r>
          </w:p>
        </w:tc>
        <w:tc>
          <w:tcPr>
            <w:tcW w:w="162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220"/>
        </w:sectPr>
      </w:pPr>
    </w:p>
    <w:p>
      <w:pPr>
        <w:spacing w:line="240" w:lineRule="auto" w:before="2"/>
        <w:rPr>
          <w:rFonts w:ascii="Times New Roman" w:hAnsi="Times New Roman" w:cs="Times New Roman" w:eastAsia="Times New Roman" w:hint="default"/>
          <w:sz w:val="3"/>
          <w:szCs w:val="3"/>
        </w:rPr>
      </w:pPr>
      <w:r>
        <w:rPr/>
        <w:pict>
          <v:shape style="position:absolute;margin-left:471.173004pt;margin-top:57.240005pt;width:176.7pt;height:376.45pt;mso-position-horizontal-relative:page;mso-position-vertical-relative:page;z-index:-1131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6"/>
                    <w:ind w:left="0" w:right="0"/>
                    <w:jc w:val="left"/>
                  </w:pPr>
                  <w:r>
                    <w:rPr/>
                    <w:t>子公司将遵循市场公开、</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3198"/>
        <w:gridCol w:w="2383"/>
        <w:gridCol w:w="4320"/>
        <w:gridCol w:w="1621"/>
        <w:gridCol w:w="1277"/>
        <w:gridCol w:w="1268"/>
      </w:tblGrid>
      <w:tr>
        <w:trPr>
          <w:trHeight w:val="332" w:hRule="exact"/>
        </w:trPr>
        <w:tc>
          <w:tcPr>
            <w:tcW w:w="3198" w:type="dxa"/>
            <w:vMerge w:val="restart"/>
            <w:tcBorders>
              <w:top w:val="single" w:sz="15" w:space="0" w:color="000000"/>
              <w:left w:val="single" w:sz="4" w:space="0" w:color="000000"/>
              <w:right w:val="single" w:sz="4" w:space="0" w:color="000000"/>
            </w:tcBorders>
            <w:shd w:val="clear" w:color="auto" w:fill="D2D2D2"/>
          </w:tcPr>
          <w:p>
            <w:pPr/>
          </w:p>
        </w:tc>
        <w:tc>
          <w:tcPr>
            <w:tcW w:w="2383" w:type="dxa"/>
            <w:vMerge w:val="restart"/>
            <w:tcBorders>
              <w:top w:val="single" w:sz="15" w:space="0" w:color="000000"/>
              <w:left w:val="single" w:sz="4" w:space="0" w:color="000000"/>
              <w:right w:val="single" w:sz="4" w:space="0" w:color="000000"/>
            </w:tcBorders>
          </w:tcPr>
          <w:p>
            <w:pPr/>
          </w:p>
        </w:tc>
        <w:tc>
          <w:tcPr>
            <w:tcW w:w="43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证：将采取合法及有效的措施，促使承诺人除上市公司</w:t>
            </w:r>
          </w:p>
        </w:tc>
        <w:tc>
          <w:tcPr>
            <w:tcW w:w="1621" w:type="dxa"/>
            <w:vMerge w:val="restart"/>
            <w:tcBorders>
              <w:top w:val="single" w:sz="15" w:space="0" w:color="000000"/>
              <w:left w:val="single" w:sz="4" w:space="0" w:color="000000"/>
              <w:right w:val="single" w:sz="4" w:space="0" w:color="000000"/>
            </w:tcBorders>
          </w:tcPr>
          <w:p>
            <w:pPr>
              <w:pStyle w:val="TableParagraph"/>
              <w:spacing w:line="75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80.55pt;height:376.45pt;mso-position-horizontal-relative:char;mso-position-vertical-relative:line" coordorigin="0,0" coordsize="1611,7529">
                  <v:group style="position:absolute;left:0;top:0;width:1611;height:7529" coordorigin="0,0" coordsize="1611,7529">
                    <v:shape style="position:absolute;left:0;top:0;width:1611;height:7529" coordorigin="0,0" coordsize="1611,7529" path="m0,7528l1611,7528,1611,0,0,0,0,7528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1277" w:type="dxa"/>
            <w:vMerge w:val="restart"/>
            <w:tcBorders>
              <w:top w:val="single" w:sz="15" w:space="0" w:color="000000"/>
              <w:left w:val="single" w:sz="4" w:space="0" w:color="000000"/>
              <w:right w:val="single" w:sz="4" w:space="0" w:color="000000"/>
            </w:tcBorders>
          </w:tcPr>
          <w:p>
            <w:pPr/>
          </w:p>
        </w:tc>
        <w:tc>
          <w:tcPr>
            <w:tcW w:w="1268" w:type="dxa"/>
            <w:vMerge w:val="restart"/>
            <w:tcBorders>
              <w:top w:val="single" w:sz="15" w:space="0" w:color="000000"/>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外的其他下属全资、控股子公司不从事与上市公司相同</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或相似的业务；如果有同时适合于上市公司和承诺人及</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下属全资、控股子公司进行商业开发的机会，上市公司</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享有优先选择权。承诺人承诺并保证给予上市公司与承</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诺人其他下属全资、控股子公司同等待遇，避免损害上</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市公司及上市公司中小股东的利益。对于上市公司的正</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常生产、经营活动，承诺人保证不利用其地位损害上市</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公司及上市公司中小股东的利益</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29"/>
                <w:sz w:val="18"/>
                <w:szCs w:val="18"/>
              </w:rPr>
              <w:t>）</w:t>
            </w:r>
            <w:r>
              <w:rPr>
                <w:rFonts w:ascii="宋体" w:hAnsi="宋体" w:cs="宋体" w:eastAsia="宋体" w:hint="default"/>
                <w:sz w:val="18"/>
                <w:szCs w:val="18"/>
              </w:rPr>
              <w:t>关于减少并规范</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关联交易的承诺：就本次交易完成后中南房地产、中南</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集团、陈锦石可能与上市公司发生的关联交易，中南房</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13"/>
              <w:jc w:val="left"/>
              <w:rPr>
                <w:rFonts w:ascii="宋体" w:hAnsi="宋体" w:cs="宋体" w:eastAsia="宋体" w:hint="default"/>
                <w:sz w:val="18"/>
                <w:szCs w:val="18"/>
              </w:rPr>
            </w:pPr>
            <w:r>
              <w:rPr>
                <w:rFonts w:ascii="宋体" w:hAnsi="宋体" w:cs="宋体" w:eastAsia="宋体" w:hint="default"/>
                <w:sz w:val="18"/>
                <w:szCs w:val="18"/>
              </w:rPr>
              <w:t>地产、中南集团、陈锦石（以下简称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）承诺：</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在本次交易完成后，承诺人及其下属全资、控股子公司</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将尽量减少并规范与上市公司及其控股企业之间的关</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联交易。对于无法避免或有合理原因而发生的关联交</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1"/>
                <w:sz w:val="18"/>
                <w:szCs w:val="18"/>
              </w:rPr>
              <w:t>易，承诺人及其下属全资、控股</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公平、公正的原则以公允、合理的市场价格进行，根据</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有关法律、法规及规范性文件的规定履行关联交易决策</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程序，依法履行信息披露义务和办理有关报批程序，不</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利用其地位损害上市公司的利益。中南房地产作为上市</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公司控股股东期间，中南集团作为上市公司间接控股股</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东期间，陈锦石作为上市公司实际控制人期间，承诺人</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不会利用其地位损害上市公司及其他股东（特别是中小</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8"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2383"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股东）的合法权益。</w:t>
            </w:r>
          </w:p>
        </w:tc>
        <w:tc>
          <w:tcPr>
            <w:tcW w:w="162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403"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2383" w:type="dxa"/>
            <w:tcBorders>
              <w:top w:val="single" w:sz="4" w:space="0" w:color="000000"/>
              <w:left w:val="single" w:sz="4" w:space="0" w:color="000000"/>
              <w:bottom w:val="single" w:sz="4" w:space="0" w:color="000000"/>
              <w:right w:val="single" w:sz="4" w:space="0" w:color="000000"/>
            </w:tcBorders>
          </w:tcPr>
          <w:p>
            <w:pPr/>
          </w:p>
        </w:tc>
        <w:tc>
          <w:tcPr>
            <w:tcW w:w="43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3" w:type="dxa"/>
            <w:tcBorders>
              <w:top w:val="single" w:sz="4" w:space="0" w:color="000000"/>
              <w:left w:val="single" w:sz="4" w:space="0" w:color="000000"/>
              <w:bottom w:val="nil" w:sz="6" w:space="0" w:color="auto"/>
              <w:right w:val="single" w:sz="4" w:space="0" w:color="000000"/>
            </w:tcBorders>
          </w:tcPr>
          <w:p>
            <w:pPr/>
          </w:p>
        </w:tc>
        <w:tc>
          <w:tcPr>
            <w:tcW w:w="43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）关于税务补偿的承诺：中南房地产业有限公司和</w:t>
            </w:r>
          </w:p>
        </w:tc>
        <w:tc>
          <w:tcPr>
            <w:tcW w:w="1621"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686" w:hRule="exact"/>
        </w:trPr>
        <w:tc>
          <w:tcPr>
            <w:tcW w:w="3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2383" w:type="dxa"/>
            <w:tcBorders>
              <w:top w:val="nil" w:sz="6" w:space="0" w:color="auto"/>
              <w:left w:val="single" w:sz="4" w:space="0" w:color="000000"/>
              <w:bottom w:val="nil" w:sz="6" w:space="0" w:color="auto"/>
              <w:right w:val="single" w:sz="4" w:space="0" w:color="000000"/>
            </w:tcBorders>
          </w:tcPr>
          <w:p>
            <w:pPr>
              <w:pStyle w:val="TableParagraph"/>
              <w:spacing w:line="297" w:lineRule="auto" w:before="142"/>
              <w:ind w:left="22" w:right="137"/>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陈昱含</w:t>
            </w: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17"/>
              <w:jc w:val="left"/>
              <w:rPr>
                <w:rFonts w:ascii="宋体" w:hAnsi="宋体" w:cs="宋体" w:eastAsia="宋体" w:hint="default"/>
                <w:sz w:val="18"/>
                <w:szCs w:val="18"/>
              </w:rPr>
            </w:pPr>
            <w:r>
              <w:rPr>
                <w:rFonts w:ascii="宋体" w:hAnsi="宋体" w:cs="宋体" w:eastAsia="宋体" w:hint="default"/>
                <w:spacing w:val="-1"/>
                <w:sz w:val="18"/>
                <w:szCs w:val="18"/>
              </w:rPr>
              <w:t>陈昱含（以下合称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承诺人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）目前分别持有南通建筑工</w:t>
            </w:r>
            <w:r>
              <w:rPr>
                <w:rFonts w:ascii="宋体" w:hAnsi="宋体" w:cs="宋体" w:eastAsia="宋体" w:hint="default"/>
                <w:sz w:val="18"/>
                <w:szCs w:val="18"/>
              </w:rPr>
              <w:t> </w:t>
            </w:r>
            <w:r>
              <w:rPr>
                <w:rFonts w:ascii="宋体" w:hAnsi="宋体" w:cs="宋体" w:eastAsia="宋体" w:hint="default"/>
                <w:spacing w:val="-2"/>
                <w:sz w:val="18"/>
                <w:szCs w:val="18"/>
              </w:rPr>
              <w:t>程总承包有限公司（以下简称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南通总承包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97.36%</w:t>
            </w:r>
            <w:r>
              <w:rPr>
                <w:rFonts w:ascii="宋体" w:hAnsi="宋体" w:cs="宋体" w:eastAsia="宋体" w:hint="default"/>
                <w:spacing w:val="-2"/>
                <w:sz w:val="18"/>
                <w:szCs w:val="18"/>
              </w:rPr>
              <w:t>和</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0" w:lineRule="atLeast" w:before="68"/>
              <w:ind w:left="21" w:right="154"/>
              <w:jc w:val="left"/>
              <w:rPr>
                <w:rFonts w:ascii="宋体" w:hAnsi="宋体" w:cs="宋体" w:eastAsia="宋体" w:hint="default"/>
                <w:sz w:val="18"/>
                <w:szCs w:val="18"/>
              </w:rPr>
            </w:pPr>
            <w:r>
              <w:rPr>
                <w:rFonts w:ascii="宋体" w:hAnsi="宋体" w:cs="宋体" w:eastAsia="宋体" w:hint="default"/>
                <w:sz w:val="18"/>
                <w:szCs w:val="18"/>
              </w:rPr>
              <w:t>未触发履约条 件</w:t>
            </w:r>
          </w:p>
        </w:tc>
      </w:tr>
      <w:tr>
        <w:trPr>
          <w:trHeight w:val="250" w:hRule="exact"/>
        </w:trPr>
        <w:tc>
          <w:tcPr>
            <w:tcW w:w="3198" w:type="dxa"/>
            <w:tcBorders>
              <w:top w:val="nil" w:sz="6" w:space="0" w:color="auto"/>
              <w:left w:val="single" w:sz="4" w:space="0" w:color="000000"/>
              <w:bottom w:val="nil" w:sz="6" w:space="0" w:color="auto"/>
              <w:right w:val="single" w:sz="4" w:space="0" w:color="000000"/>
            </w:tcBorders>
            <w:shd w:val="clear" w:color="auto" w:fill="D2D2D2"/>
          </w:tcPr>
          <w:p>
            <w:pPr/>
          </w:p>
        </w:tc>
        <w:tc>
          <w:tcPr>
            <w:tcW w:w="2383" w:type="dxa"/>
            <w:tcBorders>
              <w:top w:val="nil" w:sz="6" w:space="0" w:color="auto"/>
              <w:left w:val="single" w:sz="4" w:space="0" w:color="000000"/>
              <w:bottom w:val="nil" w:sz="6" w:space="0" w:color="auto"/>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w:t>
            </w:r>
            <w:r>
              <w:rPr>
                <w:rFonts w:ascii="宋体" w:hAnsi="宋体" w:cs="宋体" w:eastAsia="宋体" w:hint="default"/>
                <w:sz w:val="18"/>
                <w:szCs w:val="18"/>
              </w:rPr>
              <w:t>股权。鉴于南通总承包及其子公司南通市中南建</w:t>
            </w:r>
          </w:p>
        </w:tc>
        <w:tc>
          <w:tcPr>
            <w:tcW w:w="1621"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3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3" w:type="dxa"/>
            <w:tcBorders>
              <w:top w:val="nil" w:sz="6" w:space="0" w:color="auto"/>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工设备安装有限公司在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年度及以前年度存在按照</w:t>
            </w:r>
          </w:p>
        </w:tc>
        <w:tc>
          <w:tcPr>
            <w:tcW w:w="1621"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220"/>
        </w:sectPr>
      </w:pPr>
    </w:p>
    <w:p>
      <w:pPr>
        <w:spacing w:line="240" w:lineRule="auto" w:before="2"/>
        <w:rPr>
          <w:rFonts w:ascii="Times New Roman" w:hAnsi="Times New Roman" w:cs="Times New Roman" w:eastAsia="Times New Roman" w:hint="default"/>
          <w:sz w:val="3"/>
          <w:szCs w:val="3"/>
        </w:rPr>
      </w:pPr>
      <w:r>
        <w:rPr/>
        <w:pict>
          <v:shape style="position:absolute;margin-left:471.190002pt;margin-top:57.240005pt;width:176.7pt;height:376.45pt;mso-position-horizontal-relative:page;mso-position-vertical-relative:page;z-index:-1131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316" w:lineRule="auto"/>
                    <w:ind w:left="0" w:right="1549" w:firstLine="542"/>
                    <w:jc w:val="left"/>
                  </w:pPr>
                  <w:r>
                    <w:rPr/>
                    <w:t>罚款或其他款项。 中责任期限的专项说明：</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3198"/>
        <w:gridCol w:w="2383"/>
        <w:gridCol w:w="4320"/>
        <w:gridCol w:w="1621"/>
        <w:gridCol w:w="1277"/>
        <w:gridCol w:w="1268"/>
      </w:tblGrid>
      <w:tr>
        <w:trPr>
          <w:trHeight w:val="332" w:hRule="exact"/>
        </w:trPr>
        <w:tc>
          <w:tcPr>
            <w:tcW w:w="3198" w:type="dxa"/>
            <w:vMerge w:val="restart"/>
            <w:tcBorders>
              <w:top w:val="single" w:sz="15" w:space="0" w:color="000000"/>
              <w:left w:val="single" w:sz="4" w:space="0" w:color="000000"/>
              <w:right w:val="single" w:sz="4" w:space="0" w:color="000000"/>
            </w:tcBorders>
            <w:shd w:val="clear" w:color="auto" w:fill="D2D2D2"/>
          </w:tcPr>
          <w:p>
            <w:pPr/>
          </w:p>
        </w:tc>
        <w:tc>
          <w:tcPr>
            <w:tcW w:w="2383" w:type="dxa"/>
            <w:vMerge w:val="restart"/>
            <w:tcBorders>
              <w:top w:val="single" w:sz="15" w:space="0" w:color="000000"/>
              <w:left w:val="single" w:sz="4" w:space="0" w:color="000000"/>
              <w:right w:val="single" w:sz="4" w:space="0" w:color="000000"/>
            </w:tcBorders>
          </w:tcPr>
          <w:p>
            <w:pPr/>
          </w:p>
        </w:tc>
        <w:tc>
          <w:tcPr>
            <w:tcW w:w="43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核定方式缴纳企业所得税的情况，为保证公司及其中小</w:t>
            </w:r>
          </w:p>
        </w:tc>
        <w:tc>
          <w:tcPr>
            <w:tcW w:w="1621" w:type="dxa"/>
            <w:vMerge w:val="restart"/>
            <w:tcBorders>
              <w:top w:val="single" w:sz="15" w:space="0" w:color="000000"/>
              <w:left w:val="single" w:sz="4" w:space="0" w:color="000000"/>
              <w:right w:val="single" w:sz="4" w:space="0" w:color="000000"/>
            </w:tcBorders>
          </w:tcPr>
          <w:p>
            <w:pPr>
              <w:pStyle w:val="TableParagraph"/>
              <w:spacing w:line="75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80.55pt;height:376.45pt;mso-position-horizontal-relative:char;mso-position-vertical-relative:line" coordorigin="0,0" coordsize="1611,7529">
                  <v:group style="position:absolute;left:0;top:0;width:1611;height:7529" coordorigin="0,0" coordsize="1611,7529">
                    <v:shape style="position:absolute;left:0;top:0;width:1611;height:7529" coordorigin="0,0" coordsize="1611,7529" path="m0,7528l1611,7528,1611,0,0,0,0,7528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1277" w:type="dxa"/>
            <w:vMerge w:val="restart"/>
            <w:tcBorders>
              <w:top w:val="single" w:sz="15" w:space="0" w:color="000000"/>
              <w:left w:val="single" w:sz="4" w:space="0" w:color="000000"/>
              <w:right w:val="single" w:sz="4" w:space="0" w:color="000000"/>
            </w:tcBorders>
          </w:tcPr>
          <w:p>
            <w:pPr/>
          </w:p>
        </w:tc>
        <w:tc>
          <w:tcPr>
            <w:tcW w:w="1268" w:type="dxa"/>
            <w:vMerge w:val="restart"/>
            <w:tcBorders>
              <w:top w:val="single" w:sz="15" w:space="0" w:color="000000"/>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股东的利益，承诺人特此承诺：在上市公司本次重大重</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组经中国证监会批准并实施后，如有权税务部门要求南</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通总承包及南通市中南建工设备安装有限公司改按查</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账征收方式缴纳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年度及以前年度所得税，并由此</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导致南通总承包及南通市中南建工设备安装有限公司</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需补缴税款、支付滞纳金罚款或其他款项时，承诺人将</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在有权税务部门规定的期限内，且最迟不晚于有权税务</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部门出具书面文件后的一个月内，根据目前对南通总承</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包的持股比例承担南通总承包及南通市中南建工设备</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安装有限公司需补缴的税款、滞纳金、</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）关于明确</w:t>
            </w:r>
            <w:r>
              <w:rPr>
                <w:rFonts w:ascii="Times New Roman" w:hAnsi="Times New Roman" w:cs="Times New Roman" w:eastAsia="Times New Roman" w:hint="default"/>
                <w:sz w:val="18"/>
                <w:szCs w:val="18"/>
              </w:rPr>
              <w:t>"</w:t>
            </w:r>
            <w:r>
              <w:rPr>
                <w:rFonts w:ascii="宋体" w:hAnsi="宋体" w:cs="宋体" w:eastAsia="宋体" w:hint="default"/>
                <w:sz w:val="18"/>
                <w:szCs w:val="18"/>
              </w:rPr>
              <w:t>税务补偿承诺</w:t>
            </w:r>
            <w:r>
              <w:rPr>
                <w:rFonts w:ascii="Times New Roman" w:hAnsi="Times New Roman" w:cs="Times New Roman" w:eastAsia="Times New Roman" w:hint="default"/>
                <w:sz w:val="18"/>
                <w:szCs w:val="18"/>
              </w:rPr>
              <w:t>"</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鉴于南通建筑工程总承包有限公司（以下简称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南通总</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承包</w:t>
            </w:r>
            <w:r>
              <w:rPr>
                <w:rFonts w:ascii="Times New Roman" w:hAnsi="Times New Roman" w:cs="Times New Roman" w:eastAsia="Times New Roman" w:hint="default"/>
                <w:sz w:val="18"/>
                <w:szCs w:val="18"/>
              </w:rPr>
              <w:t>"</w:t>
            </w:r>
            <w:r>
              <w:rPr>
                <w:rFonts w:ascii="宋体" w:hAnsi="宋体" w:cs="宋体" w:eastAsia="宋体" w:hint="default"/>
                <w:sz w:val="18"/>
                <w:szCs w:val="18"/>
              </w:rPr>
              <w:t>）及其子公司南通市中南建工设备安装有限公司</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中南安装</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）存在按照核定方式缴纳企业所</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得税的情况，为保障上市公司及其中小股东的利益，中</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南房地产业有限公司和陈昱含（以下合称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承诺人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）就</w:t>
            </w:r>
            <w:r>
              <w:rPr>
                <w:rFonts w:ascii="宋体" w:hAnsi="宋体" w:cs="宋体" w:eastAsia="宋体" w:hint="default"/>
                <w:sz w:val="18"/>
                <w:szCs w:val="18"/>
              </w:rPr>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所出具的税务补偿承诺中的责任期限明确如下：南通总</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承包及中南安装若因资产置换完成日前的经营行为或</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其他行为，需要补缴企业所得税、支付滞纳金、罚款或</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其他款项，承诺人将在税务机关规定的期限内，且最迟</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不晚于税务机关出具书面文件后的一个月内，按持股比</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8" w:type="dxa"/>
            <w:vMerge/>
            <w:tcBorders>
              <w:left w:val="single" w:sz="4" w:space="0" w:color="000000"/>
              <w:right w:val="single" w:sz="4" w:space="0" w:color="000000"/>
            </w:tcBorders>
            <w:shd w:val="clear" w:color="auto" w:fill="D2D2D2"/>
          </w:tcPr>
          <w:p>
            <w:pPr/>
          </w:p>
        </w:tc>
        <w:tc>
          <w:tcPr>
            <w:tcW w:w="2383" w:type="dxa"/>
            <w:vMerge/>
            <w:tcBorders>
              <w:left w:val="single" w:sz="4" w:space="0" w:color="000000"/>
              <w:right w:val="single" w:sz="4" w:space="0" w:color="000000"/>
            </w:tcBorders>
          </w:tcPr>
          <w:p>
            <w:pPr/>
          </w:p>
        </w:tc>
        <w:tc>
          <w:tcPr>
            <w:tcW w:w="4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例承担；南通总承包及中南安装在资产置换完成日后的</w:t>
            </w:r>
          </w:p>
        </w:tc>
        <w:tc>
          <w:tcPr>
            <w:tcW w:w="162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8" w:hRule="exact"/>
        </w:trPr>
        <w:tc>
          <w:tcPr>
            <w:tcW w:w="3198" w:type="dxa"/>
            <w:vMerge/>
            <w:tcBorders>
              <w:left w:val="single" w:sz="4" w:space="0" w:color="000000"/>
              <w:bottom w:val="single" w:sz="4" w:space="0" w:color="000000"/>
              <w:right w:val="single" w:sz="4" w:space="0" w:color="000000"/>
            </w:tcBorders>
            <w:shd w:val="clear" w:color="auto" w:fill="D2D2D2"/>
          </w:tcPr>
          <w:p>
            <w:pPr/>
          </w:p>
        </w:tc>
        <w:tc>
          <w:tcPr>
            <w:tcW w:w="2383" w:type="dxa"/>
            <w:vMerge/>
            <w:tcBorders>
              <w:left w:val="single" w:sz="4" w:space="0" w:color="000000"/>
              <w:bottom w:val="single" w:sz="4" w:space="0" w:color="000000"/>
              <w:right w:val="single" w:sz="4" w:space="0" w:color="000000"/>
            </w:tcBorders>
          </w:tcPr>
          <w:p>
            <w:pPr/>
          </w:p>
        </w:tc>
        <w:tc>
          <w:tcPr>
            <w:tcW w:w="4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应税责任，由上市公司承担。</w:t>
            </w:r>
          </w:p>
        </w:tc>
        <w:tc>
          <w:tcPr>
            <w:tcW w:w="162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403"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08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1220"/>
        </w:sectPr>
      </w:pPr>
    </w:p>
    <w:p>
      <w:pPr>
        <w:spacing w:line="240" w:lineRule="auto" w:before="3"/>
        <w:rPr>
          <w:rFonts w:ascii="Times New Roman" w:hAnsi="Times New Roman" w:cs="Times New Roman" w:eastAsia="Times New Roman" w:hint="default"/>
          <w:sz w:val="28"/>
          <w:szCs w:val="28"/>
        </w:rPr>
      </w:pPr>
    </w:p>
    <w:p>
      <w:pPr>
        <w:pStyle w:val="Heading3"/>
        <w:spacing w:line="259" w:lineRule="auto" w:before="36"/>
        <w:ind w:right="14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3"/>
        </w:rPr>
        <w:t> </w:t>
      </w:r>
      <w:r>
        <w:rPr>
          <w:spacing w:val="-63"/>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2"/>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2"/>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325</w:t>
            </w:r>
          </w:p>
        </w:tc>
      </w:tr>
      <w:tr>
        <w:trPr>
          <w:trHeight w:val="404"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王晶、赵玥</w:t>
            </w:r>
          </w:p>
        </w:tc>
      </w:tr>
    </w:tbl>
    <w:p>
      <w:pPr>
        <w:pStyle w:val="BodyText"/>
        <w:spacing w:line="240" w:lineRule="auto" w:before="49"/>
        <w:ind w:right="142"/>
        <w:jc w:val="left"/>
      </w:pPr>
      <w:r>
        <w:rPr/>
        <w:t>当期是否改聘会计师事务所</w:t>
      </w:r>
    </w:p>
    <w:p>
      <w:pPr>
        <w:pStyle w:val="BodyText"/>
        <w:spacing w:line="338" w:lineRule="auto" w:before="117"/>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40" w:lineRule="auto" w:before="43"/>
        <w:ind w:left="513" w:right="142"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江苏中南建设集团股份有限公司于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日召开的第六届董事会第三次会议审议通过了《关于公司续聘财务及内控</w:t>
      </w:r>
    </w:p>
    <w:p>
      <w:pPr>
        <w:pStyle w:val="BodyText"/>
        <w:spacing w:line="228" w:lineRule="exact"/>
        <w:ind w:right="0"/>
        <w:jc w:val="left"/>
      </w:pPr>
      <w:r>
        <w:rPr/>
        <w:t>审计机构的议案》，根据审计委员会提议，公司董事会审议，</w:t>
      </w:r>
      <w:r>
        <w:rPr>
          <w:rFonts w:ascii="Times New Roman" w:hAnsi="Times New Roman" w:cs="Times New Roman" w:eastAsia="Times New Roman" w:hint="default"/>
        </w:rPr>
        <w:t>2014</w:t>
      </w:r>
      <w:r>
        <w:rPr/>
        <w:t>年度续聘利安达会计师事务所（特殊普通合伙）为本公司</w:t>
      </w:r>
    </w:p>
    <w:p>
      <w:pPr>
        <w:pStyle w:val="BodyText"/>
        <w:spacing w:line="300" w:lineRule="auto" w:before="63"/>
        <w:ind w:right="142"/>
        <w:jc w:val="left"/>
      </w:pPr>
      <w:r>
        <w:rPr>
          <w:spacing w:val="-2"/>
        </w:rPr>
        <w:t>内控审计机构。根据</w:t>
      </w:r>
      <w:r>
        <w:rPr>
          <w:rFonts w:ascii="Times New Roman" w:hAnsi="Times New Roman" w:cs="Times New Roman" w:eastAsia="Times New Roman" w:hint="default"/>
          <w:spacing w:val="-2"/>
        </w:rPr>
        <w:t>2014</w:t>
      </w:r>
      <w:r>
        <w:rPr>
          <w:spacing w:val="-2"/>
        </w:rPr>
        <w:t>年公司内部控制审计业务的工作量，拟支付该所报酬内控审计费用</w:t>
      </w:r>
      <w:r>
        <w:rPr>
          <w:rFonts w:ascii="Times New Roman" w:hAnsi="Times New Roman" w:cs="Times New Roman" w:eastAsia="Times New Roman" w:hint="default"/>
          <w:spacing w:val="-2"/>
        </w:rPr>
        <w:t>86</w:t>
      </w:r>
      <w:r>
        <w:rPr>
          <w:spacing w:val="-2"/>
        </w:rPr>
        <w:t>万元。上述议案已经</w:t>
      </w:r>
      <w:r>
        <w:rPr>
          <w:rFonts w:ascii="Times New Roman" w:hAnsi="Times New Roman" w:cs="Times New Roman" w:eastAsia="Times New Roman" w:hint="default"/>
          <w:spacing w:val="-2"/>
        </w:rPr>
        <w:t>2013</w:t>
      </w:r>
      <w:r>
        <w:rPr>
          <w:spacing w:val="-2"/>
        </w:rPr>
        <w:t>年年</w:t>
      </w:r>
      <w:r>
        <w:rPr>
          <w:spacing w:val="-56"/>
        </w:rPr>
        <w:t> </w:t>
      </w:r>
      <w:r>
        <w:rPr/>
        <w:t>度股东大会审议通过。</w:t>
      </w:r>
    </w:p>
    <w:p>
      <w:pPr>
        <w:spacing w:line="240" w:lineRule="auto" w:before="11"/>
        <w:rPr>
          <w:rFonts w:ascii="宋体" w:hAnsi="宋体" w:cs="宋体" w:eastAsia="宋体" w:hint="default"/>
          <w:sz w:val="21"/>
          <w:szCs w:val="21"/>
        </w:rPr>
      </w:pPr>
    </w:p>
    <w:p>
      <w:pPr>
        <w:pStyle w:val="Heading2"/>
        <w:spacing w:line="240" w:lineRule="auto"/>
        <w:ind w:right="142"/>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2"/>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42"/>
        <w:jc w:val="left"/>
        <w:rPr>
          <w:b w:val="0"/>
          <w:bCs w:val="0"/>
        </w:rPr>
      </w:pP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2"/>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142"/>
        <w:jc w:val="left"/>
        <w:rPr>
          <w:b w:val="0"/>
          <w:bCs w:val="0"/>
        </w:rPr>
      </w:pPr>
      <w:r>
        <w:rPr/>
        <w:t>十五、公司子公司重要事项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17"/>
          <w:footerReference w:type="default" r:id="rId18"/>
          <w:pgSz w:w="11910" w:h="16840"/>
          <w:pgMar w:header="877" w:footer="979" w:top="1060" w:bottom="1160" w:left="980" w:right="980"/>
          <w:pgNumType w:start="37"/>
        </w:sectPr>
      </w:pPr>
    </w:p>
    <w:p>
      <w:pPr>
        <w:spacing w:line="240" w:lineRule="auto" w:before="10"/>
        <w:rPr>
          <w:rFonts w:ascii="宋体" w:hAnsi="宋体" w:cs="宋体" w:eastAsia="宋体" w:hint="default"/>
          <w:sz w:val="19"/>
          <w:szCs w:val="19"/>
        </w:rPr>
      </w:pPr>
    </w:p>
    <w:p>
      <w:pPr>
        <w:pStyle w:val="Heading2"/>
        <w:spacing w:line="240" w:lineRule="auto" w:before="26"/>
        <w:ind w:right="142"/>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4" w:right="142"/>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2"/>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13"/>
        <w:gridCol w:w="1036"/>
        <w:gridCol w:w="842"/>
        <w:gridCol w:w="418"/>
        <w:gridCol w:w="540"/>
        <w:gridCol w:w="843"/>
        <w:gridCol w:w="1128"/>
        <w:gridCol w:w="1090"/>
        <w:gridCol w:w="900"/>
        <w:gridCol w:w="814"/>
      </w:tblGrid>
      <w:tr>
        <w:trPr>
          <w:trHeight w:val="403" w:hRule="exact"/>
        </w:trPr>
        <w:tc>
          <w:tcPr>
            <w:tcW w:w="20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13" w:type="dxa"/>
            <w:vMerge w:val="restart"/>
            <w:tcBorders>
              <w:top w:val="nil" w:sz="6" w:space="0" w:color="auto"/>
              <w:left w:val="single" w:sz="4" w:space="0" w:color="000000"/>
              <w:right w:val="single" w:sz="4" w:space="0" w:color="000000"/>
            </w:tcBorders>
            <w:shd w:val="clear" w:color="auto" w:fill="D2D2D2"/>
          </w:tcPr>
          <w:p>
            <w:pPr/>
          </w:p>
        </w:tc>
        <w:tc>
          <w:tcPr>
            <w:tcW w:w="1036"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2013" w:type="dxa"/>
            <w:vMerge/>
            <w:tcBorders>
              <w:left w:val="single" w:sz="4" w:space="0" w:color="000000"/>
              <w:bottom w:val="nil" w:sz="6" w:space="0" w:color="auto"/>
              <w:right w:val="single" w:sz="4" w:space="0" w:color="000000"/>
            </w:tcBorders>
            <w:shd w:val="clear" w:color="auto" w:fill="D2D2D2"/>
          </w:tcPr>
          <w:p>
            <w:pPr/>
          </w:p>
        </w:tc>
        <w:tc>
          <w:tcPr>
            <w:tcW w:w="10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18" w:type="dxa"/>
            <w:vMerge/>
            <w:tcBorders>
              <w:left w:val="single" w:sz="4" w:space="0" w:color="000000"/>
              <w:right w:val="single" w:sz="4" w:space="0" w:color="000000"/>
            </w:tcBorders>
            <w:shd w:val="clear" w:color="auto" w:fill="D2D2D2"/>
          </w:tcPr>
          <w:p>
            <w:pPr/>
          </w:p>
        </w:tc>
        <w:tc>
          <w:tcPr>
            <w:tcW w:w="5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3" w:type="dxa"/>
            <w:vMerge/>
            <w:tcBorders>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013" w:type="dxa"/>
            <w:vMerge w:val="restart"/>
            <w:tcBorders>
              <w:top w:val="nil" w:sz="6" w:space="0" w:color="auto"/>
              <w:left w:val="single" w:sz="4" w:space="0" w:color="000000"/>
              <w:right w:val="single" w:sz="4" w:space="0" w:color="000000"/>
            </w:tcBorders>
            <w:shd w:val="clear" w:color="auto" w:fill="D2D2D2"/>
          </w:tcPr>
          <w:p>
            <w:pPr/>
          </w:p>
        </w:tc>
        <w:tc>
          <w:tcPr>
            <w:tcW w:w="1036"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540"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13" w:type="dxa"/>
            <w:vMerge/>
            <w:tcBorders>
              <w:left w:val="single" w:sz="4" w:space="0" w:color="000000"/>
              <w:bottom w:val="single" w:sz="4" w:space="0" w:color="000000"/>
              <w:right w:val="single" w:sz="4" w:space="0" w:color="000000"/>
            </w:tcBorders>
            <w:shd w:val="clear" w:color="auto" w:fill="D2D2D2"/>
          </w:tcPr>
          <w:p>
            <w:pPr/>
          </w:p>
        </w:tc>
        <w:tc>
          <w:tcPr>
            <w:tcW w:w="1036"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418" w:type="dxa"/>
            <w:vMerge/>
            <w:tcBorders>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138,974,219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3,974,219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138,974,219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3,974,219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11.56%</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3,974,219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3,974,219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4"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88.10%</w:t>
            </w:r>
          </w:p>
        </w:tc>
        <w:tc>
          <w:tcPr>
            <w:tcW w:w="418"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135,000,000</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135,000,000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1,163,865,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99.66%</w:t>
            </w:r>
          </w:p>
        </w:tc>
      </w:tr>
      <w:tr>
        <w:trPr>
          <w:trHeight w:val="391" w:hRule="exact"/>
        </w:trPr>
        <w:tc>
          <w:tcPr>
            <w:tcW w:w="20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6"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418"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418"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88.10%</w:t>
            </w:r>
          </w:p>
        </w:tc>
        <w:tc>
          <w:tcPr>
            <w:tcW w:w="418"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135,000,000</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135,000,000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1,163,865,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99.66%</w:t>
            </w:r>
          </w:p>
        </w:tc>
      </w:tr>
      <w:tr>
        <w:trPr>
          <w:trHeight w:val="394" w:hRule="exact"/>
        </w:trPr>
        <w:tc>
          <w:tcPr>
            <w:tcW w:w="20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6"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418"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418"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1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1,167,839,22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418"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1,167,839,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226</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0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6"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418"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418"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股份变动的原因</w:t>
      </w:r>
    </w:p>
    <w:p>
      <w:pPr>
        <w:pStyle w:val="BodyText"/>
        <w:spacing w:line="240" w:lineRule="auto" w:before="115"/>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44"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日，公司完成公司控股股东</w:t>
      </w:r>
      <w:r>
        <w:rPr>
          <w:rFonts w:ascii="Times New Roman" w:hAnsi="Times New Roman" w:cs="Times New Roman" w:eastAsia="Times New Roman" w:hint="default"/>
        </w:rPr>
        <w:t>——</w:t>
      </w:r>
      <w:r>
        <w:rPr/>
        <w:t>中南城市建设所持有本公司限售股</w:t>
      </w:r>
      <w:r>
        <w:rPr>
          <w:rFonts w:ascii="Times New Roman" w:hAnsi="Times New Roman" w:cs="Times New Roman" w:eastAsia="Times New Roman" w:hint="default"/>
        </w:rPr>
        <w:t>135,000,000</w:t>
      </w:r>
      <w:r>
        <w:rPr/>
        <w:t>股解禁工作，占公司股份总 数的</w:t>
      </w:r>
      <w:r>
        <w:rPr>
          <w:rFonts w:ascii="Times New Roman" w:hAnsi="Times New Roman" w:cs="Times New Roman" w:eastAsia="Times New Roman" w:hint="default"/>
        </w:rPr>
        <w:t>11.56%</w:t>
      </w:r>
      <w:r>
        <w:rPr/>
        <w:t>。</w:t>
      </w:r>
    </w:p>
    <w:p>
      <w:pPr>
        <w:pStyle w:val="BodyText"/>
        <w:spacing w:line="240" w:lineRule="auto" w:before="53"/>
        <w:ind w:right="142"/>
        <w:jc w:val="left"/>
      </w:pPr>
      <w:r>
        <w:rPr/>
        <w:t>股份变动的批准情况</w:t>
      </w:r>
    </w:p>
    <w:p>
      <w:pPr>
        <w:pStyle w:val="BodyText"/>
        <w:spacing w:line="340" w:lineRule="auto" w:before="115"/>
        <w:ind w:right="4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此次限售股的解禁于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日经深圳证券交易所事前审核同意。 股份变动的过户情况</w:t>
      </w:r>
    </w:p>
    <w:p>
      <w:pPr>
        <w:spacing w:after="0" w:line="3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60" w:lineRule="auto" w:before="44"/>
        <w:ind w:right="414"/>
        <w:jc w:val="left"/>
      </w:pPr>
      <w:r>
        <w:rPr/>
        <w:t>□ 适用 √</w:t>
      </w:r>
      <w:r>
        <w:rPr>
          <w:spacing w:val="3"/>
        </w:rPr>
        <w:t> </w:t>
      </w:r>
      <w:r>
        <w:rPr/>
        <w:t>不适用</w:t>
      </w:r>
      <w:r>
        <w:rPr/>
        <w:t> 股份变动对最近一年和最近一期基本每股收益和稀释每股收益、归属于公司普通股股东的每股净资产等财务指标的影响</w:t>
      </w:r>
    </w:p>
    <w:p>
      <w:pPr>
        <w:pStyle w:val="BodyText"/>
        <w:spacing w:line="360" w:lineRule="auto" w:before="25"/>
        <w:ind w:right="5814"/>
        <w:jc w:val="left"/>
      </w:pPr>
      <w:r>
        <w:rPr/>
        <w:t>□ 适用 √</w:t>
      </w:r>
      <w:r>
        <w:rPr>
          <w:spacing w:val="3"/>
        </w:rPr>
        <w:t> </w:t>
      </w:r>
      <w:r>
        <w:rPr/>
        <w:t>不适用</w:t>
      </w:r>
      <w:r>
        <w:rPr/>
        <w:t> 公司认为必要或证券监管机构要求披露的其他内容</w:t>
      </w:r>
    </w:p>
    <w:p>
      <w:pPr>
        <w:pStyle w:val="BodyText"/>
        <w:spacing w:line="240" w:lineRule="auto" w:before="27"/>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6"/>
        <w:gridCol w:w="1366"/>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中南城市建设投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股权分置改革限 售股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2014-1-13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42"/>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2"/>
        <w:gridCol w:w="233"/>
        <w:gridCol w:w="1198"/>
        <w:gridCol w:w="408"/>
        <w:gridCol w:w="390"/>
        <w:gridCol w:w="797"/>
        <w:gridCol w:w="384"/>
        <w:gridCol w:w="414"/>
        <w:gridCol w:w="797"/>
        <w:gridCol w:w="406"/>
        <w:gridCol w:w="445"/>
        <w:gridCol w:w="1127"/>
        <w:gridCol w:w="241"/>
        <w:gridCol w:w="1367"/>
      </w:tblGrid>
      <w:tr>
        <w:trPr>
          <w:trHeight w:val="161" w:hRule="exact"/>
        </w:trPr>
        <w:tc>
          <w:tcPr>
            <w:tcW w:w="1584" w:type="dxa"/>
            <w:gridSpan w:val="2"/>
            <w:vMerge w:val="restart"/>
            <w:tcBorders>
              <w:top w:val="single" w:sz="4" w:space="0" w:color="000000"/>
              <w:left w:val="single" w:sz="4" w:space="0" w:color="000000"/>
              <w:right w:val="single" w:sz="4" w:space="0" w:color="000000"/>
            </w:tcBorders>
            <w:shd w:val="clear" w:color="auto" w:fill="D2D2D2"/>
          </w:tcPr>
          <w:p>
            <w:pPr/>
          </w:p>
        </w:tc>
        <w:tc>
          <w:tcPr>
            <w:tcW w:w="160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19,997</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23,375</w:t>
            </w:r>
          </w:p>
        </w:tc>
        <w:tc>
          <w:tcPr>
            <w:tcW w:w="15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8"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84" w:type="dxa"/>
            <w:gridSpan w:val="2"/>
            <w:vMerge/>
            <w:tcBorders>
              <w:left w:val="single" w:sz="4" w:space="0" w:color="000000"/>
              <w:bottom w:val="nil" w:sz="6" w:space="0" w:color="auto"/>
              <w:right w:val="single" w:sz="4" w:space="0" w:color="000000"/>
            </w:tcBorders>
            <w:shd w:val="clear" w:color="auto" w:fill="D2D2D2"/>
          </w:tcPr>
          <w:p>
            <w:pPr/>
          </w:p>
        </w:tc>
        <w:tc>
          <w:tcPr>
            <w:tcW w:w="1606"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49"/>
              <w:ind w:left="11" w:right="104"/>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3" w:type="dxa"/>
            <w:gridSpan w:val="2"/>
            <w:vMerge/>
            <w:tcBorders>
              <w:left w:val="single" w:sz="4" w:space="0" w:color="000000"/>
              <w:right w:val="single" w:sz="4" w:space="0" w:color="000000"/>
            </w:tcBorders>
            <w:shd w:val="clear" w:color="auto" w:fill="D2D2D2"/>
          </w:tcPr>
          <w:p>
            <w:pPr/>
          </w:p>
        </w:tc>
        <w:tc>
          <w:tcPr>
            <w:tcW w:w="1608" w:type="dxa"/>
            <w:gridSpan w:val="2"/>
            <w:vMerge/>
            <w:tcBorders>
              <w:left w:val="single" w:sz="13" w:space="0" w:color="D2D2D2"/>
              <w:right w:val="single" w:sz="4" w:space="0" w:color="000000"/>
            </w:tcBorders>
          </w:tcPr>
          <w:p>
            <w:pPr/>
          </w:p>
        </w:tc>
      </w:tr>
      <w:tr>
        <w:trPr>
          <w:trHeight w:val="706" w:hRule="exact"/>
        </w:trPr>
        <w:tc>
          <w:tcPr>
            <w:tcW w:w="158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6"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3" w:type="dxa"/>
            <w:gridSpan w:val="2"/>
            <w:vMerge/>
            <w:tcBorders>
              <w:left w:val="single" w:sz="4" w:space="0" w:color="000000"/>
              <w:right w:val="single" w:sz="4" w:space="0" w:color="000000"/>
            </w:tcBorders>
            <w:shd w:val="clear" w:color="auto" w:fill="D2D2D2"/>
          </w:tcPr>
          <w:p>
            <w:pPr/>
          </w:p>
        </w:tc>
        <w:tc>
          <w:tcPr>
            <w:tcW w:w="1608" w:type="dxa"/>
            <w:gridSpan w:val="2"/>
            <w:vMerge/>
            <w:tcBorders>
              <w:left w:val="single" w:sz="13" w:space="0" w:color="D2D2D2"/>
              <w:right w:val="single" w:sz="4" w:space="0" w:color="000000"/>
            </w:tcBorders>
          </w:tcPr>
          <w:p>
            <w:pPr/>
          </w:p>
        </w:tc>
      </w:tr>
      <w:tr>
        <w:trPr>
          <w:trHeight w:val="156" w:hRule="exact"/>
        </w:trPr>
        <w:tc>
          <w:tcPr>
            <w:tcW w:w="1584" w:type="dxa"/>
            <w:gridSpan w:val="2"/>
            <w:vMerge w:val="restart"/>
            <w:tcBorders>
              <w:top w:val="nil" w:sz="6" w:space="0" w:color="auto"/>
              <w:left w:val="single" w:sz="4" w:space="0" w:color="000000"/>
              <w:right w:val="single" w:sz="4" w:space="0" w:color="000000"/>
            </w:tcBorders>
            <w:shd w:val="clear" w:color="auto" w:fill="D2D2D2"/>
          </w:tcPr>
          <w:p>
            <w:pPr/>
          </w:p>
        </w:tc>
        <w:tc>
          <w:tcPr>
            <w:tcW w:w="1606"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3" w:type="dxa"/>
            <w:gridSpan w:val="2"/>
            <w:vMerge/>
            <w:tcBorders>
              <w:left w:val="single" w:sz="4" w:space="0" w:color="000000"/>
              <w:right w:val="single" w:sz="4" w:space="0" w:color="000000"/>
            </w:tcBorders>
            <w:shd w:val="clear" w:color="auto" w:fill="D2D2D2"/>
          </w:tcPr>
          <w:p>
            <w:pPr/>
          </w:p>
        </w:tc>
        <w:tc>
          <w:tcPr>
            <w:tcW w:w="1608" w:type="dxa"/>
            <w:gridSpan w:val="2"/>
            <w:vMerge/>
            <w:tcBorders>
              <w:left w:val="single" w:sz="13" w:space="0" w:color="D2D2D2"/>
              <w:right w:val="single" w:sz="4" w:space="0" w:color="000000"/>
            </w:tcBorders>
          </w:tcPr>
          <w:p>
            <w:pPr/>
          </w:p>
        </w:tc>
      </w:tr>
      <w:tr>
        <w:trPr>
          <w:trHeight w:val="166" w:hRule="exact"/>
        </w:trPr>
        <w:tc>
          <w:tcPr>
            <w:tcW w:w="1584" w:type="dxa"/>
            <w:gridSpan w:val="2"/>
            <w:vMerge/>
            <w:tcBorders>
              <w:left w:val="single" w:sz="4" w:space="0" w:color="000000"/>
              <w:bottom w:val="single" w:sz="4" w:space="0" w:color="000000"/>
              <w:right w:val="single" w:sz="4" w:space="0" w:color="000000"/>
            </w:tcBorders>
            <w:shd w:val="clear" w:color="auto" w:fill="D2D2D2"/>
          </w:tcPr>
          <w:p>
            <w:pPr/>
          </w:p>
        </w:tc>
        <w:tc>
          <w:tcPr>
            <w:tcW w:w="1606"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3" w:type="dxa"/>
            <w:gridSpan w:val="2"/>
            <w:vMerge/>
            <w:tcBorders>
              <w:left w:val="single" w:sz="4" w:space="0" w:color="000000"/>
              <w:bottom w:val="single" w:sz="4" w:space="0" w:color="000000"/>
              <w:right w:val="single" w:sz="4" w:space="0" w:color="000000"/>
            </w:tcBorders>
            <w:shd w:val="clear" w:color="auto" w:fill="D2D2D2"/>
          </w:tcPr>
          <w:p>
            <w:pPr/>
          </w:p>
        </w:tc>
        <w:tc>
          <w:tcPr>
            <w:tcW w:w="1608" w:type="dxa"/>
            <w:gridSpan w:val="2"/>
            <w:vMerge/>
            <w:tcBorders>
              <w:left w:val="single" w:sz="13" w:space="0" w:color="D2D2D2"/>
              <w:bottom w:val="single" w:sz="4" w:space="0" w:color="000000"/>
              <w:right w:val="single" w:sz="4" w:space="0" w:color="000000"/>
            </w:tcBorders>
          </w:tcPr>
          <w:p>
            <w:pPr/>
          </w:p>
        </w:tc>
      </w:tr>
      <w:tr>
        <w:trPr>
          <w:trHeight w:val="428" w:hRule="exact"/>
        </w:trPr>
        <w:tc>
          <w:tcPr>
            <w:tcW w:w="955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74" w:hRule="exact"/>
        </w:trPr>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2"/>
              <w:ind w:left="32" w:right="32"/>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1"/>
              <w:ind w:left="32" w:right="34"/>
              <w:jc w:val="left"/>
              <w:rPr>
                <w:rFonts w:ascii="宋体" w:hAnsi="宋体" w:cs="宋体" w:eastAsia="宋体" w:hint="default"/>
                <w:sz w:val="18"/>
                <w:szCs w:val="18"/>
              </w:rPr>
            </w:pPr>
            <w:r>
              <w:rPr>
                <w:rFonts w:ascii="宋体" w:hAnsi="宋体" w:cs="宋体" w:eastAsia="宋体" w:hint="default"/>
                <w:sz w:val="18"/>
                <w:szCs w:val="18"/>
              </w:rPr>
              <w:t>报告期内 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1"/>
              <w:ind w:left="33" w:right="31"/>
              <w:jc w:val="left"/>
              <w:rPr>
                <w:rFonts w:ascii="宋体" w:hAnsi="宋体" w:cs="宋体" w:eastAsia="宋体" w:hint="default"/>
                <w:sz w:val="18"/>
                <w:szCs w:val="18"/>
              </w:rPr>
            </w:pPr>
            <w:r>
              <w:rPr>
                <w:rFonts w:ascii="宋体" w:hAnsi="宋体" w:cs="宋体" w:eastAsia="宋体" w:hint="default"/>
                <w:sz w:val="18"/>
                <w:szCs w:val="18"/>
              </w:rPr>
              <w:t>持有有限 售条件的</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1"/>
              <w:ind w:left="59" w:right="59"/>
              <w:jc w:val="left"/>
              <w:rPr>
                <w:rFonts w:ascii="宋体" w:hAnsi="宋体" w:cs="宋体" w:eastAsia="宋体" w:hint="default"/>
                <w:sz w:val="18"/>
                <w:szCs w:val="18"/>
              </w:rPr>
            </w:pPr>
            <w:r>
              <w:rPr>
                <w:rFonts w:ascii="宋体" w:hAnsi="宋体" w:cs="宋体" w:eastAsia="宋体" w:hint="default"/>
                <w:sz w:val="18"/>
                <w:szCs w:val="18"/>
              </w:rPr>
              <w:t>持有无限 售条件的</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3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tcBorders>
              <w:left w:val="single" w:sz="4" w:space="0" w:color="000000"/>
              <w:right w:val="single" w:sz="4" w:space="0" w:color="000000"/>
            </w:tcBorders>
            <w:shd w:val="clear" w:color="auto" w:fill="D2D2D2"/>
          </w:tcPr>
          <w:p>
            <w:pPr/>
          </w:p>
        </w:tc>
        <w:tc>
          <w:tcPr>
            <w:tcW w:w="798"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2" w:type="dxa"/>
            <w:vMerge/>
            <w:tcBorders>
              <w:left w:val="single" w:sz="4" w:space="0" w:color="000000"/>
              <w:bottom w:val="nil" w:sz="6" w:space="0" w:color="auto"/>
              <w:right w:val="single" w:sz="4" w:space="0" w:color="000000"/>
            </w:tcBorders>
            <w:shd w:val="clear" w:color="auto" w:fill="D2D2D2"/>
          </w:tcPr>
          <w:p>
            <w:pPr/>
          </w:p>
        </w:tc>
        <w:tc>
          <w:tcPr>
            <w:tcW w:w="1431" w:type="dxa"/>
            <w:gridSpan w:val="2"/>
            <w:vMerge/>
            <w:tcBorders>
              <w:left w:val="single" w:sz="4" w:space="0" w:color="000000"/>
              <w:bottom w:val="nil" w:sz="6" w:space="0" w:color="auto"/>
              <w:right w:val="single" w:sz="4" w:space="0" w:color="000000"/>
            </w:tcBorders>
            <w:shd w:val="clear" w:color="auto" w:fill="D2D2D2"/>
          </w:tcPr>
          <w:p>
            <w:pPr/>
          </w:p>
        </w:tc>
        <w:tc>
          <w:tcPr>
            <w:tcW w:w="798" w:type="dxa"/>
            <w:gridSpan w:val="2"/>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64"/>
        <w:gridCol w:w="1431"/>
        <w:gridCol w:w="797"/>
        <w:gridCol w:w="797"/>
        <w:gridCol w:w="797"/>
        <w:gridCol w:w="799"/>
        <w:gridCol w:w="850"/>
        <w:gridCol w:w="1369"/>
        <w:gridCol w:w="1368"/>
      </w:tblGrid>
      <w:tr>
        <w:trPr>
          <w:trHeight w:val="36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中南城市建设投 资有限公司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848,245,1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848,245,1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795,053,800</w:t>
            </w:r>
          </w:p>
        </w:tc>
      </w:tr>
      <w:tr>
        <w:trPr>
          <w:trHeight w:val="165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泰康人寿保险股 份有限公司－传 统－普通保险产 品</w:t>
            </w:r>
            <w:r>
              <w:rPr>
                <w:rFonts w:ascii="Times New Roman" w:hAnsi="Times New Roman" w:cs="Times New Roman" w:eastAsia="Times New Roman" w:hint="default"/>
                <w:sz w:val="18"/>
                <w:szCs w:val="18"/>
              </w:rPr>
              <w:t>-019L-CT001</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深</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17,143,02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17,143,02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泰康人寿保险股 份有限公司－分 红－个人分红</w:t>
            </w:r>
          </w:p>
          <w:p>
            <w:pPr>
              <w:pStyle w:val="TableParagraph"/>
              <w:spacing w:line="240" w:lineRule="auto" w:before="1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15,710,81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15,710,81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重庆国际信托有 限公司－渝信通 系列单一信托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11,585,69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11,585,69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新华人寿保险股 份有限公司－分 红－个人分红</w:t>
            </w:r>
          </w:p>
          <w:p>
            <w:pPr>
              <w:pStyle w:val="TableParagraph"/>
              <w:spacing w:line="240" w:lineRule="auto" w:before="1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全国社保基金一 零九组合</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上海浦东发展银 行－广发小盘成 长股票型证券投 资基金</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9,500,961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7" w:right="0"/>
              <w:jc w:val="center"/>
              <w:rPr>
                <w:rFonts w:ascii="Times New Roman" w:hAnsi="Times New Roman" w:cs="Times New Roman" w:eastAsia="Times New Roman" w:hint="default"/>
                <w:sz w:val="18"/>
                <w:szCs w:val="18"/>
              </w:rPr>
            </w:pPr>
            <w:r>
              <w:rPr>
                <w:rFonts w:ascii="Times New Roman"/>
                <w:sz w:val="18"/>
              </w:rPr>
              <w:t>9,500,961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交通银行－华安 策略优选股票型 证券投资基金</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9,059,203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9,059,203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中国工商银行－ 中海能源策略混 合型证券投资基 金</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7,779,685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7" w:right="0"/>
              <w:jc w:val="center"/>
              <w:rPr>
                <w:rFonts w:ascii="Times New Roman" w:hAnsi="Times New Roman" w:cs="Times New Roman" w:eastAsia="Times New Roman" w:hint="default"/>
                <w:sz w:val="18"/>
                <w:szCs w:val="18"/>
              </w:rPr>
            </w:pPr>
            <w:r>
              <w:rPr>
                <w:rFonts w:ascii="Times New Roman"/>
                <w:sz w:val="18"/>
              </w:rPr>
              <w:t>7,779,685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泰康人寿保险股 份有限公司－万 能－个险万能</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7,682,063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7,682,063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7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20"/>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77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27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76" w:type="dxa"/>
            <w:gridSpan w:val="7"/>
            <w:tcBorders>
              <w:top w:val="single" w:sz="4" w:space="0" w:color="000000"/>
              <w:left w:val="single" w:sz="4" w:space="0" w:color="000000"/>
              <w:bottom w:val="single" w:sz="4" w:space="0" w:color="000000"/>
              <w:right w:val="single" w:sz="4" w:space="0" w:color="000000"/>
            </w:tcBorders>
          </w:tcPr>
          <w:p>
            <w:pPr>
              <w:pStyle w:val="TableParagraph"/>
              <w:spacing w:line="297" w:lineRule="auto" w:before="71"/>
              <w:ind w:left="23" w:right="17"/>
              <w:jc w:val="left"/>
              <w:rPr>
                <w:rFonts w:ascii="宋体" w:hAnsi="宋体" w:cs="宋体" w:eastAsia="宋体" w:hint="default"/>
                <w:sz w:val="18"/>
                <w:szCs w:val="18"/>
              </w:rPr>
            </w:pPr>
            <w:r>
              <w:rPr>
                <w:rFonts w:ascii="宋体" w:hAnsi="宋体" w:cs="宋体" w:eastAsia="宋体" w:hint="default"/>
                <w:sz w:val="18"/>
                <w:szCs w:val="18"/>
              </w:rPr>
              <w:t>泰康人寿保险股份有限公司－传统－普通保险产品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019</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r>
              <w:rPr>
                <w:rFonts w:ascii="宋体" w:hAnsi="宋体" w:cs="宋体" w:eastAsia="宋体" w:hint="default"/>
                <w:spacing w:val="-87"/>
                <w:sz w:val="18"/>
                <w:szCs w:val="18"/>
              </w:rPr>
              <w:t>、</w:t>
            </w:r>
            <w:r>
              <w:rPr>
                <w:rFonts w:ascii="宋体" w:hAnsi="宋体" w:cs="宋体" w:eastAsia="宋体" w:hint="default"/>
                <w:sz w:val="18"/>
                <w:szCs w:val="18"/>
              </w:rPr>
              <w:t>泰康人寿保险股份</w:t>
            </w:r>
            <w:r>
              <w:rPr>
                <w:rFonts w:ascii="宋体" w:hAnsi="宋体" w:cs="宋体" w:eastAsia="宋体" w:hint="default"/>
                <w:sz w:val="18"/>
                <w:szCs w:val="18"/>
              </w:rPr>
              <w:t> 有限公司－分红－个人分红</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F</w:t>
            </w:r>
            <w:r>
              <w:rPr>
                <w:rFonts w:ascii="Times New Roman" w:hAnsi="Times New Roman" w:cs="Times New Roman" w:eastAsia="Times New Roman" w:hint="default"/>
                <w:w w:val="99"/>
                <w:sz w:val="18"/>
                <w:szCs w:val="18"/>
              </w:rPr>
              <w:t>H0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r>
              <w:rPr>
                <w:rFonts w:ascii="宋体" w:hAnsi="宋体" w:cs="宋体" w:eastAsia="宋体" w:hint="default"/>
                <w:spacing w:val="-87"/>
                <w:sz w:val="18"/>
                <w:szCs w:val="18"/>
              </w:rPr>
              <w:t>、</w:t>
            </w:r>
            <w:r>
              <w:rPr>
                <w:rFonts w:ascii="宋体" w:hAnsi="宋体" w:cs="宋体" w:eastAsia="宋体" w:hint="default"/>
                <w:sz w:val="18"/>
                <w:szCs w:val="18"/>
              </w:rPr>
              <w:t>泰康人寿保险</w:t>
            </w:r>
            <w:r>
              <w:rPr>
                <w:rFonts w:ascii="宋体" w:hAnsi="宋体" w:cs="宋体" w:eastAsia="宋体" w:hint="default"/>
                <w:spacing w:val="-3"/>
                <w:sz w:val="18"/>
                <w:szCs w:val="18"/>
              </w:rPr>
              <w:t>股</w:t>
            </w:r>
            <w:r>
              <w:rPr>
                <w:rFonts w:ascii="宋体" w:hAnsi="宋体" w:cs="宋体" w:eastAsia="宋体" w:hint="default"/>
                <w:sz w:val="18"/>
                <w:szCs w:val="18"/>
              </w:rPr>
              <w:t>份有限公司－万能－个险</w:t>
            </w:r>
          </w:p>
        </w:tc>
      </w:tr>
    </w:tbl>
    <w:p>
      <w:pPr>
        <w:spacing w:after="0" w:line="297"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795"/>
        <w:gridCol w:w="4040"/>
        <w:gridCol w:w="1369"/>
        <w:gridCol w:w="1368"/>
      </w:tblGrid>
      <w:tr>
        <w:trPr>
          <w:trHeight w:val="675"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0"/>
              <w:jc w:val="left"/>
              <w:rPr>
                <w:rFonts w:ascii="宋体" w:hAnsi="宋体" w:cs="宋体" w:eastAsia="宋体" w:hint="default"/>
                <w:sz w:val="18"/>
                <w:szCs w:val="18"/>
              </w:rPr>
            </w:pPr>
            <w:r>
              <w:rPr>
                <w:rFonts w:ascii="宋体" w:hAnsi="宋体" w:cs="宋体" w:eastAsia="宋体" w:hint="default"/>
                <w:sz w:val="18"/>
                <w:szCs w:val="18"/>
              </w:rPr>
              <w:t>万能同为泰康资产管理有限公司持有。其他股东本公司未知其关联关系，也未知是否 属于一致行动人。</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95" w:type="dxa"/>
            <w:vMerge/>
            <w:tcBorders>
              <w:left w:val="single" w:sz="4" w:space="0" w:color="000000"/>
              <w:bottom w:val="nil" w:sz="6" w:space="0" w:color="auto"/>
              <w:right w:val="single" w:sz="4" w:space="0" w:color="000000"/>
            </w:tcBorders>
            <w:shd w:val="clear" w:color="auto" w:fill="D2D2D2"/>
          </w:tcPr>
          <w:p>
            <w:pPr/>
          </w:p>
        </w:tc>
        <w:tc>
          <w:tcPr>
            <w:tcW w:w="4040"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4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848,245,184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848,245,184</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泰康人寿保险股份有限公司－传统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－普通保险产品</w:t>
            </w:r>
            <w:r>
              <w:rPr>
                <w:rFonts w:ascii="Times New Roman" w:hAnsi="Times New Roman" w:cs="Times New Roman" w:eastAsia="Times New Roman" w:hint="default"/>
                <w:sz w:val="18"/>
                <w:szCs w:val="18"/>
              </w:rPr>
              <w:t>-019L-CT001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17,143,029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17,143,029</w:t>
            </w:r>
          </w:p>
        </w:tc>
      </w:tr>
      <w:tr>
        <w:trPr>
          <w:trHeight w:val="716"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泰康人寿保险股份有限公司－分红</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15,710,819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15,710,819</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重庆国际信托有限公司－渝信通系 列单一信托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11,585,696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11,585,696</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10,931,500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10,931,500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全国社保基金一零九组合</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10,002,749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10,002,749</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上海浦东发展银行－广发小盘成长 股票型证券投资基金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9,500,961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9,500,961</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交通银行－华安策略优选股票型证 券投资基金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9,059,203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9,059,203</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中国工商银行－中海能源策略混合 型证券投资基金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7,779,685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7,779,685</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泰康人寿保险股份有限公司－万能</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－个险万能</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7,682,063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7,682,063</w:t>
            </w:r>
          </w:p>
        </w:tc>
      </w:tr>
      <w:tr>
        <w:trPr>
          <w:trHeight w:val="1339"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名无限售流通股股东之间，以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名股东之间关联关系或一致行动 的说明</w:t>
            </w:r>
          </w:p>
        </w:tc>
        <w:tc>
          <w:tcPr>
            <w:tcW w:w="67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泰康人寿保险股份有限公司－传统－普通保险产品</w:t>
            </w:r>
            <w:r>
              <w:rPr>
                <w:rFonts w:ascii="Times New Roman" w:hAnsi="Times New Roman" w:cs="Times New Roman" w:eastAsia="Times New Roman" w:hint="default"/>
                <w:sz w:val="18"/>
                <w:szCs w:val="18"/>
              </w:rPr>
              <w:t>-019L-CT001</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深、泰康人寿保险股份</w:t>
            </w:r>
            <w:r>
              <w:rPr>
                <w:rFonts w:ascii="宋体" w:hAnsi="宋体" w:cs="宋体" w:eastAsia="宋体" w:hint="default"/>
                <w:sz w:val="18"/>
                <w:szCs w:val="18"/>
              </w:rPr>
              <w:t> </w:t>
            </w:r>
            <w:r>
              <w:rPr>
                <w:rFonts w:ascii="宋体" w:hAnsi="宋体" w:cs="宋体" w:eastAsia="宋体" w:hint="default"/>
                <w:spacing w:val="-1"/>
                <w:w w:val="99"/>
                <w:sz w:val="18"/>
                <w:szCs w:val="18"/>
              </w:rPr>
              <w:t>有限公司－分红－个人分红</w:t>
            </w:r>
            <w:r>
              <w:rPr>
                <w:rFonts w:ascii="Times New Roman" w:hAnsi="Times New Roman" w:cs="Times New Roman" w:eastAsia="Times New Roman" w:hint="default"/>
                <w:spacing w:val="-1"/>
                <w:w w:val="99"/>
                <w:sz w:val="18"/>
                <w:szCs w:val="18"/>
              </w:rPr>
              <w:t>-019L-FH002</w:t>
            </w:r>
            <w:r>
              <w:rPr>
                <w:rFonts w:ascii="Times New Roman" w:hAnsi="Times New Roman" w:cs="Times New Roman" w:eastAsia="Times New Roman" w:hint="default"/>
                <w:w w:val="99"/>
                <w:sz w:val="18"/>
                <w:szCs w:val="18"/>
              </w:rPr>
              <w:t> </w:t>
            </w:r>
            <w:r>
              <w:rPr>
                <w:rFonts w:ascii="宋体" w:hAnsi="宋体" w:cs="宋体" w:eastAsia="宋体" w:hint="default"/>
                <w:spacing w:val="-5"/>
                <w:sz w:val="18"/>
                <w:szCs w:val="18"/>
              </w:rPr>
              <w:t>深、泰康人寿保险股份有限公司－万能－个险</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万能同为泰康资产管理有限公司持有。其他股东本公司未知其关联关系，也未知是否 属于一致行动人。</w:t>
            </w:r>
          </w:p>
        </w:tc>
      </w:tr>
      <w:tr>
        <w:trPr>
          <w:trHeight w:val="1025"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9"/>
                <w:sz w:val="18"/>
                <w:szCs w:val="18"/>
              </w:rPr>
              <w:t>业务股东情况说明（如有）（参见注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3"/>
        <w:ind w:right="142"/>
        <w:jc w:val="left"/>
      </w:pPr>
      <w:r>
        <w:rPr/>
        <w:t>□ 是 √</w:t>
      </w:r>
      <w:r>
        <w:rPr>
          <w:spacing w:val="3"/>
        </w:rPr>
        <w:t> </w:t>
      </w:r>
      <w:r>
        <w:rPr/>
        <w:t>否</w:t>
      </w:r>
    </w:p>
    <w:p>
      <w:pPr>
        <w:pStyle w:val="BodyText"/>
        <w:spacing w:line="240" w:lineRule="auto" w:before="115"/>
        <w:ind w:right="14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4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法人</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33"/>
        <w:gridCol w:w="1493"/>
        <w:gridCol w:w="1327"/>
        <w:gridCol w:w="1462"/>
        <w:gridCol w:w="1592"/>
        <w:gridCol w:w="1862"/>
      </w:tblGrid>
      <w:tr>
        <w:trPr>
          <w:trHeight w:val="71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70" w:right="84" w:hanging="38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33"/>
        <w:gridCol w:w="1493"/>
        <w:gridCol w:w="1327"/>
        <w:gridCol w:w="1462"/>
        <w:gridCol w:w="1592"/>
        <w:gridCol w:w="1862"/>
      </w:tblGrid>
      <w:tr>
        <w:trPr>
          <w:trHeight w:val="713"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8"/>
              <w:jc w:val="left"/>
              <w:rPr>
                <w:rFonts w:ascii="宋体" w:hAnsi="宋体" w:cs="宋体" w:eastAsia="宋体" w:hint="default"/>
                <w:sz w:val="18"/>
                <w:szCs w:val="18"/>
              </w:rPr>
            </w:pPr>
            <w:r>
              <w:rPr>
                <w:rFonts w:ascii="宋体" w:hAnsi="宋体" w:cs="宋体" w:eastAsia="宋体" w:hint="default"/>
                <w:sz w:val="18"/>
                <w:szCs w:val="18"/>
              </w:rPr>
              <w:t>中南城市建设投资有 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76987740-X</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163227.63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对房地产投资、开发、 销售等</w:t>
            </w:r>
          </w:p>
        </w:tc>
      </w:tr>
      <w:tr>
        <w:trPr>
          <w:trHeight w:val="1339"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7" w:type="dxa"/>
            <w:gridSpan w:val="5"/>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left"/>
              <w:rPr>
                <w:rFonts w:ascii="宋体" w:hAnsi="宋体" w:cs="宋体" w:eastAsia="宋体" w:hint="default"/>
                <w:sz w:val="18"/>
                <w:szCs w:val="18"/>
              </w:rPr>
            </w:pPr>
            <w:r>
              <w:rPr>
                <w:rFonts w:ascii="宋体" w:hAnsi="宋体" w:cs="宋体" w:eastAsia="宋体" w:hint="default"/>
                <w:spacing w:val="-2"/>
                <w:sz w:val="18"/>
                <w:szCs w:val="18"/>
              </w:rPr>
              <w:t>中南城市建设投资有限公司自身自成立起未开展房地产开发等实业，主要是对房地产开发项目公司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进行投资、管控。</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年，其房地产、施工业务整体置入上市公司后，主要经济来源为中南建设 </w:t>
            </w:r>
            <w:r>
              <w:rPr>
                <w:rFonts w:ascii="宋体" w:hAnsi="宋体" w:cs="宋体" w:eastAsia="宋体" w:hint="default"/>
                <w:spacing w:val="-2"/>
                <w:sz w:val="18"/>
                <w:szCs w:val="18"/>
              </w:rPr>
              <w:t>的分红收益。未来发展战略仍按照相关法律、法规及规章，履行中南建设控股股东职能，辅助中南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建设做强做大。</w:t>
            </w:r>
          </w:p>
        </w:tc>
      </w:tr>
      <w:tr>
        <w:trPr>
          <w:trHeight w:val="71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无实质性业务</w:t>
            </w:r>
          </w:p>
        </w:tc>
      </w:tr>
      <w:tr>
        <w:trPr>
          <w:trHeight w:val="1340"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8"/>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2"/>
        <w:jc w:val="left"/>
      </w:pPr>
      <w:r>
        <w:rPr/>
        <w:t>控股股东报告期内变更</w:t>
      </w:r>
    </w:p>
    <w:p>
      <w:pPr>
        <w:pStyle w:val="BodyText"/>
        <w:spacing w:line="360" w:lineRule="auto" w:before="115"/>
        <w:ind w:right="7074"/>
        <w:jc w:val="left"/>
      </w:pPr>
      <w:r>
        <w:rPr/>
        <w:t>□ 适用 √</w:t>
      </w:r>
      <w:r>
        <w:rPr>
          <w:spacing w:val="3"/>
        </w:rPr>
        <w:t> </w:t>
      </w:r>
      <w:r>
        <w:rPr/>
        <w:t>不适用</w:t>
      </w:r>
      <w:r>
        <w:rPr/>
        <w:t> 公司报告期控股股东未发生变更。</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自然人</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
              <w:jc w:val="left"/>
              <w:rPr>
                <w:rFonts w:ascii="宋体" w:hAnsi="宋体" w:cs="宋体" w:eastAsia="宋体" w:hint="default"/>
                <w:sz w:val="18"/>
                <w:szCs w:val="18"/>
              </w:rPr>
            </w:pPr>
            <w:r>
              <w:rPr>
                <w:rFonts w:ascii="宋体" w:hAnsi="宋体" w:cs="宋体" w:eastAsia="宋体" w:hint="default"/>
                <w:spacing w:val="-1"/>
                <w:sz w:val="18"/>
                <w:szCs w:val="18"/>
              </w:rPr>
              <w:t>中南控股集团有限公司董事长、中南城市建设投资有限公司董事长、江苏中南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建设集团股份有限公司董事长、总经理。</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2"/>
        <w:jc w:val="left"/>
      </w:pPr>
      <w:r>
        <w:rPr/>
        <w:t>实际控制人报告期内变更</w:t>
      </w:r>
    </w:p>
    <w:p>
      <w:pPr>
        <w:pStyle w:val="BodyText"/>
        <w:spacing w:line="357" w:lineRule="auto" w:before="115"/>
        <w:ind w:right="5814"/>
        <w:jc w:val="left"/>
      </w:pPr>
      <w:r>
        <w:rPr/>
        <w:t>□ 适用 √</w:t>
      </w:r>
      <w:r>
        <w:rPr>
          <w:spacing w:val="3"/>
        </w:rPr>
        <w:t> </w:t>
      </w:r>
      <w:r>
        <w:rPr/>
        <w:t>不适用</w:t>
      </w:r>
      <w:r>
        <w:rPr/>
        <w:t> 公司报告期实际控制人未发生变更。 公司与实际控制人之间的产权及控制关系的方框图</w:t>
      </w:r>
    </w:p>
    <w:p>
      <w:pPr>
        <w:spacing w:after="0" w:line="357" w:lineRule="auto"/>
        <w:jc w:val="left"/>
        <w:sectPr>
          <w:pgSz w:w="11910" w:h="16840"/>
          <w:pgMar w:header="877" w:footer="979" w:top="1100" w:bottom="1160" w:left="980" w:right="980"/>
        </w:sectPr>
      </w:pPr>
    </w:p>
    <w:p>
      <w:pPr>
        <w:spacing w:line="240" w:lineRule="auto" w:before="1"/>
        <w:rPr>
          <w:rFonts w:ascii="宋体" w:hAnsi="宋体" w:cs="宋体" w:eastAsia="宋体" w:hint="default"/>
          <w:sz w:val="28"/>
          <w:szCs w:val="28"/>
        </w:rPr>
      </w:pPr>
    </w:p>
    <w:p>
      <w:pPr>
        <w:spacing w:line="4275" w:lineRule="exact"/>
        <w:ind w:left="1355"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92515" cy="27146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9" cstate="print"/>
                    <a:stretch>
                      <a:fillRect/>
                    </a:stretch>
                  </pic:blipFill>
                  <pic:spPr>
                    <a:xfrm>
                      <a:off x="0" y="0"/>
                      <a:ext cx="4592515" cy="271462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5"/>
        <w:rPr>
          <w:rFonts w:ascii="宋体" w:hAnsi="宋体" w:cs="宋体" w:eastAsia="宋体" w:hint="default"/>
          <w:sz w:val="15"/>
          <w:szCs w:val="15"/>
        </w:rPr>
      </w:pPr>
    </w:p>
    <w:p>
      <w:pPr>
        <w:pStyle w:val="Heading3"/>
        <w:spacing w:line="240" w:lineRule="auto" w:before="36"/>
        <w:ind w:right="142"/>
        <w:jc w:val="left"/>
        <w:rPr>
          <w:b w:val="0"/>
          <w:bCs w:val="0"/>
        </w:rPr>
      </w:pPr>
      <w:r>
        <w:rPr/>
        <w:t>实际控制人通过信托或其他资产管理方式控制公司</w:t>
      </w:r>
      <w:r>
        <w:rPr>
          <w:b w:val="0"/>
          <w:bCs w:val="0"/>
        </w:rPr>
      </w:r>
    </w:p>
    <w:p>
      <w:pPr>
        <w:spacing w:line="240" w:lineRule="auto" w:before="8"/>
        <w:rPr>
          <w:rFonts w:ascii="宋体" w:hAnsi="宋体" w:cs="宋体" w:eastAsia="宋体" w:hint="default"/>
          <w:b/>
          <w:bCs/>
          <w:sz w:val="19"/>
          <w:szCs w:val="19"/>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Times New Roman" w:hAnsi="Times New Roman" w:cs="Times New Roman" w:eastAsia="Times New Roman" w:hint="default"/>
        </w:rPr>
        <w:t>4</w:t>
      </w:r>
      <w:r>
        <w:rPr/>
        <w:t>、 期后持股变动事项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4" w:firstLine="360"/>
        <w:jc w:val="both"/>
      </w:pPr>
      <w:r>
        <w:rPr/>
        <w:t>中南城市建设投资有限公司于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日下午</w:t>
      </w:r>
      <w:r>
        <w:rPr>
          <w:rFonts w:ascii="Times New Roman" w:hAnsi="Times New Roman" w:cs="Times New Roman" w:eastAsia="Times New Roman" w:hint="default"/>
        </w:rPr>
        <w:t>15:00</w:t>
      </w:r>
      <w:r>
        <w:rPr/>
        <w:t>收市后</w:t>
      </w:r>
      <w:r>
        <w:rPr>
          <w:rFonts w:ascii="Times New Roman" w:hAnsi="Times New Roman" w:cs="Times New Roman" w:eastAsia="Times New Roman" w:hint="default"/>
        </w:rPr>
        <w:t>,</w:t>
      </w:r>
      <w:r>
        <w:rPr/>
        <w:t>其通过深圳证券交易所大宗交易系统共出售所持公司无限 售条件流通股</w:t>
      </w:r>
      <w:r>
        <w:rPr>
          <w:rFonts w:ascii="Times New Roman" w:hAnsi="Times New Roman" w:cs="Times New Roman" w:eastAsia="Times New Roman" w:hint="default"/>
        </w:rPr>
        <w:t>20,000,000</w:t>
      </w:r>
      <w:r>
        <w:rPr/>
        <w:t>股</w:t>
      </w:r>
      <w:r>
        <w:rPr>
          <w:rFonts w:ascii="Times New Roman" w:hAnsi="Times New Roman" w:cs="Times New Roman" w:eastAsia="Times New Roman" w:hint="default"/>
        </w:rPr>
        <w:t>(</w:t>
      </w:r>
      <w:r>
        <w:rPr/>
        <w:t>占公司总股本的</w:t>
      </w:r>
      <w:r>
        <w:rPr>
          <w:rFonts w:ascii="Times New Roman" w:hAnsi="Times New Roman" w:cs="Times New Roman" w:eastAsia="Times New Roman" w:hint="default"/>
        </w:rPr>
        <w:t>1.713%)</w:t>
      </w:r>
      <w:r>
        <w:rPr/>
        <w:t>，减持完成后，中南城市建设投资有限公司持有公司无限售条件流通股</w:t>
      </w:r>
      <w:r>
        <w:rPr>
          <w:spacing w:val="-50"/>
        </w:rPr>
        <w:t> </w:t>
      </w:r>
      <w:r>
        <w:rPr>
          <w:spacing w:val="-50"/>
        </w:rPr>
      </w:r>
      <w:r>
        <w:rPr>
          <w:rFonts w:ascii="Times New Roman" w:hAnsi="Times New Roman" w:cs="Times New Roman" w:eastAsia="Times New Roman" w:hint="default"/>
        </w:rPr>
        <w:t>828,245,184</w:t>
      </w:r>
      <w:r>
        <w:rPr/>
        <w:t>股</w:t>
      </w:r>
      <w:r>
        <w:rPr>
          <w:rFonts w:ascii="Times New Roman" w:hAnsi="Times New Roman" w:cs="Times New Roman" w:eastAsia="Times New Roman" w:hint="default"/>
        </w:rPr>
        <w:t>(</w:t>
      </w:r>
      <w:r>
        <w:rPr/>
        <w:t>占公司总股本的</w:t>
      </w:r>
      <w:r>
        <w:rPr>
          <w:rFonts w:ascii="Times New Roman" w:hAnsi="Times New Roman" w:cs="Times New Roman" w:eastAsia="Times New Roman" w:hint="default"/>
        </w:rPr>
        <w:t>70.92%)</w:t>
      </w:r>
      <w:r>
        <w:rPr/>
        <w:t>。</w:t>
      </w:r>
    </w:p>
    <w:p>
      <w:pPr>
        <w:spacing w:line="240" w:lineRule="auto" w:before="4"/>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5</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2"/>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23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在公司所知的范围内，没有公司股东及其一致行动人在报告期提出或实施股份增持计划。</w:t>
      </w:r>
    </w:p>
    <w:p>
      <w:pPr>
        <w:spacing w:after="0" w:line="3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142"/>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报告期公司不存在优先股。</w:t>
      </w:r>
    </w:p>
    <w:p>
      <w:pPr>
        <w:spacing w:after="0" w:line="338"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r>
        <w:rPr/>
        <w:pict>
          <v:group style="position:absolute;margin-left:143.660004pt;margin-top:259.249969pt;width:43pt;height:28.1pt;mso-position-horizontal-relative:page;mso-position-vertical-relative:page;z-index:-1131472" coordorigin="2873,5185" coordsize="860,562">
            <v:group style="position:absolute;left:2873;top:5185;width:860;height:156" coordorigin="2873,5185" coordsize="860,156">
              <v:shape style="position:absolute;left:2873;top:5185;width:860;height:156" coordorigin="2873,5185" coordsize="860,156" path="m2873,5341l3733,5341,3733,5185,2873,5185,2873,5341xe" filled="true" fillcolor="#ffffff" stroked="false">
                <v:path arrowok="t"/>
                <v:fill type="solid"/>
              </v:shape>
            </v:group>
            <v:group style="position:absolute;left:2885;top:5341;width:2;height:394" coordorigin="2885,5341" coordsize="2,394">
              <v:shape style="position:absolute;left:2885;top:5341;width:2;height:394" coordorigin="2885,5341" coordsize="0,394" path="m2885,5341l2885,5735e" filled="false" stroked="true" strokeweight="1.2pt" strokecolor="#ffffff">
                <v:path arrowok="t"/>
              </v:shape>
            </v:group>
            <v:group style="position:absolute;left:2897;top:5341;width:815;height:394" coordorigin="2897,5341" coordsize="815,394">
              <v:shape style="position:absolute;left:2897;top:5341;width:815;height:394" coordorigin="2897,5341" coordsize="815,394" path="m2897,5735l3711,5735,3711,5341,2897,5341,2897,573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142"/>
        <w:jc w:val="left"/>
        <w:rPr>
          <w:b w:val="0"/>
          <w:bCs w:val="0"/>
        </w:rPr>
      </w:pPr>
      <w:bookmarkStart w:name="_TOC_250004"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2"/>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2"/>
        <w:gridCol w:w="869"/>
        <w:gridCol w:w="871"/>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 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茅振华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副董事长 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陈小平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经理分管 房地产事 业部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商业 酒店公司 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5,298,959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5,298,959</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陆建忠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窦军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综合 运营总监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张宝忠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房地 产事业部 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陆亚行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2"/>
        <w:gridCol w:w="869"/>
        <w:gridCol w:w="871"/>
      </w:tblGrid>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沈国章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史建三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马挺贵</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5,298,959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5,298,959</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7" w:lineRule="auto" w:before="103"/>
        <w:ind w:right="188" w:firstLine="444"/>
        <w:jc w:val="both"/>
      </w:pPr>
      <w:r>
        <w:rPr/>
        <w:t>陈锦石</w:t>
      </w:r>
      <w:r>
        <w:rPr>
          <w:spacing w:val="-54"/>
        </w:rPr>
        <w:t> </w:t>
      </w:r>
      <w:r>
        <w:rPr>
          <w:rFonts w:ascii="Times New Roman" w:hAnsi="Times New Roman" w:cs="Times New Roman" w:eastAsia="Times New Roman" w:hint="default"/>
        </w:rPr>
        <w:t>EMBA</w:t>
      </w:r>
      <w:r>
        <w:rPr/>
        <w:t>，高级工程师、十二届全国人大代表。现任本公司董事长、总经理、中南控股集团有限公司董事长、中 </w:t>
      </w:r>
      <w:r>
        <w:rPr>
          <w:spacing w:val="-2"/>
        </w:rPr>
        <w:t>南城市建设投资有限公司董事长。曾任中南控股集团有限公司总经理、中南房地产业有限公司总经理。曾被评为南通市劳动</w:t>
      </w:r>
      <w:r>
        <w:rPr>
          <w:spacing w:val="-61"/>
        </w:rPr>
        <w:t> </w:t>
      </w:r>
      <w:r>
        <w:rPr>
          <w:spacing w:val="-61"/>
        </w:rPr>
      </w:r>
      <w:r>
        <w:rPr/>
        <w:t>模范，全国</w:t>
      </w:r>
      <w:r>
        <w:rPr>
          <w:spacing w:val="-31"/>
        </w:rPr>
        <w:t> </w:t>
      </w:r>
      <w:r>
        <w:rPr>
          <w:rFonts w:ascii="Times New Roman" w:hAnsi="Times New Roman" w:cs="Times New Roman" w:eastAsia="Times New Roman" w:hint="default"/>
        </w:rPr>
        <w:t>“</w:t>
      </w:r>
      <w:r>
        <w:rPr/>
        <w:t>五一</w:t>
      </w:r>
      <w:r>
        <w:rPr>
          <w:rFonts w:ascii="Times New Roman" w:hAnsi="Times New Roman" w:cs="Times New Roman" w:eastAsia="Times New Roman" w:hint="default"/>
        </w:rPr>
        <w:t>”</w:t>
      </w:r>
      <w:r>
        <w:rPr/>
        <w:t>劳动奖章，南通市</w:t>
      </w:r>
      <w:r>
        <w:rPr>
          <w:rFonts w:ascii="Times New Roman" w:hAnsi="Times New Roman" w:cs="Times New Roman" w:eastAsia="Times New Roman" w:hint="default"/>
        </w:rPr>
        <w:t>“</w:t>
      </w:r>
      <w:r>
        <w:rPr/>
        <w:t>民营经济优秀企业家</w:t>
      </w:r>
      <w:r>
        <w:rPr>
          <w:rFonts w:ascii="Times New Roman" w:hAnsi="Times New Roman" w:cs="Times New Roman" w:eastAsia="Times New Roman" w:hint="default"/>
        </w:rPr>
        <w:t>”</w:t>
      </w:r>
      <w:r>
        <w:rPr/>
        <w:t>、海门市建筑业首批优秀企业家、共青团中央</w:t>
      </w:r>
      <w:r>
        <w:rPr>
          <w:rFonts w:ascii="Times New Roman" w:hAnsi="Times New Roman" w:cs="Times New Roman" w:eastAsia="Times New Roman" w:hint="default"/>
        </w:rPr>
        <w:t>“</w:t>
      </w:r>
      <w:r>
        <w:rPr/>
        <w:t>全国优秀进城务 工青年</w:t>
      </w:r>
      <w:r>
        <w:rPr>
          <w:rFonts w:ascii="Times New Roman" w:hAnsi="Times New Roman" w:cs="Times New Roman" w:eastAsia="Times New Roman" w:hint="default"/>
        </w:rPr>
        <w:t>”</w:t>
      </w:r>
      <w:r>
        <w:rPr/>
        <w:t>、青岛市</w:t>
      </w:r>
      <w:r>
        <w:rPr>
          <w:rFonts w:ascii="Times New Roman" w:hAnsi="Times New Roman" w:cs="Times New Roman" w:eastAsia="Times New Roman" w:hint="default"/>
        </w:rPr>
        <w:t>“</w:t>
      </w:r>
      <w:r>
        <w:rPr/>
        <w:t>首届外来务工创业奖</w:t>
      </w:r>
      <w:r>
        <w:rPr>
          <w:rFonts w:ascii="Times New Roman" w:hAnsi="Times New Roman" w:cs="Times New Roman" w:eastAsia="Times New Roman" w:hint="default"/>
        </w:rPr>
        <w:t>”</w:t>
      </w:r>
      <w:r>
        <w:rPr/>
        <w:t>、南通市明星企业家、南通市优秀共产党员、南通建筑铁军领军人物。</w:t>
      </w:r>
    </w:p>
    <w:p>
      <w:pPr>
        <w:pStyle w:val="BodyText"/>
        <w:spacing w:line="316" w:lineRule="auto" w:before="7"/>
        <w:ind w:right="190" w:firstLine="576"/>
        <w:jc w:val="both"/>
      </w:pPr>
      <w:r>
        <w:rPr/>
        <w:t>茅振华</w:t>
      </w:r>
      <w:r>
        <w:rPr>
          <w:spacing w:val="-32"/>
        </w:rPr>
        <w:t> </w:t>
      </w:r>
      <w:r>
        <w:rPr/>
        <w:t>硕士学历、注册会计师、注册税务师、高级税务筹划师。现任本公司副董事长、财务总监。历任中远置业集</w:t>
      </w:r>
      <w:r>
        <w:rPr/>
        <w:t> </w:t>
      </w:r>
      <w:r>
        <w:rPr>
          <w:spacing w:val="-2"/>
        </w:rPr>
        <w:t>团上海中远房地产公司财务金融部经理、上海汇丽集团副总裁兼任财务部总经理、上海汇丽建材股份有限公司总经理、上海</w:t>
      </w:r>
      <w:r>
        <w:rPr>
          <w:spacing w:val="-63"/>
        </w:rPr>
        <w:t> </w:t>
      </w:r>
      <w:r>
        <w:rPr>
          <w:spacing w:val="-63"/>
        </w:rPr>
      </w:r>
      <w:r>
        <w:rPr/>
        <w:t>绿地集团京津房地产事业部财务总监等职务。</w:t>
      </w:r>
    </w:p>
    <w:p>
      <w:pPr>
        <w:pStyle w:val="BodyText"/>
        <w:spacing w:line="316" w:lineRule="auto" w:before="19"/>
        <w:ind w:right="185" w:firstLine="360"/>
        <w:jc w:val="left"/>
      </w:pPr>
      <w:r>
        <w:rPr/>
        <w:t>陈小平</w:t>
      </w:r>
      <w:r>
        <w:rPr>
          <w:spacing w:val="-1"/>
        </w:rPr>
        <w:t> </w:t>
      </w:r>
      <w:r>
        <w:rPr/>
        <w:t>博士学历，高级经济师。现任本公司董事、副总经理、本公司下属房地产事业部总经理、中南控股集团有限公</w:t>
      </w:r>
      <w:r>
        <w:rPr/>
        <w:t> 司董事。曾任中南控股集团有限公司副总经理、常务副总经理。</w:t>
      </w:r>
    </w:p>
    <w:p>
      <w:pPr>
        <w:pStyle w:val="BodyText"/>
        <w:spacing w:line="316" w:lineRule="auto" w:before="19"/>
        <w:ind w:right="185" w:firstLine="360"/>
        <w:jc w:val="left"/>
      </w:pPr>
      <w:r>
        <w:rPr/>
        <w:t>智刚</w:t>
      </w:r>
      <w:r>
        <w:rPr>
          <w:spacing w:val="-1"/>
        </w:rPr>
        <w:t> </w:t>
      </w:r>
      <w:r>
        <w:rPr/>
        <w:t>硕士学历，高级经济师。现任本公司董事、副总经理、董事会秘书、中南控股集团有限公司董事。曾任青岛市第</w:t>
      </w:r>
      <w:r>
        <w:rPr/>
        <w:t> 一市政工程公司经营处副处长、中南控股集团有限公司副总经理、财务总监。</w:t>
      </w:r>
    </w:p>
    <w:p>
      <w:pPr>
        <w:pStyle w:val="BodyText"/>
        <w:spacing w:line="316" w:lineRule="auto" w:before="19"/>
        <w:ind w:right="181" w:firstLine="372"/>
        <w:jc w:val="left"/>
      </w:pPr>
      <w:r>
        <w:rPr/>
        <w:t>张晓军</w:t>
      </w:r>
      <w:r>
        <w:rPr>
          <w:spacing w:val="-9"/>
        </w:rPr>
        <w:t> </w:t>
      </w:r>
      <w:r>
        <w:rPr/>
        <w:t>大学本科学历、律师。现任本公司董事、副总经理、中南控股集团有限公司董事。曾任南通市东洲律师事务所</w:t>
      </w:r>
      <w:r>
        <w:rPr/>
        <w:t> 合伙人、中南控股集团有限公司董事长助理。</w:t>
      </w:r>
    </w:p>
    <w:p>
      <w:pPr>
        <w:pStyle w:val="BodyText"/>
        <w:spacing w:line="240" w:lineRule="auto" w:before="19"/>
        <w:ind w:left="525" w:right="94"/>
        <w:jc w:val="left"/>
      </w:pPr>
      <w:r>
        <w:rPr/>
        <w:t>陈昱含</w:t>
      </w:r>
      <w:r>
        <w:rPr>
          <w:spacing w:val="-19"/>
        </w:rPr>
        <w:t> </w:t>
      </w:r>
      <w:r>
        <w:rPr/>
        <w:t>大学本科学历。现任本公司董事、下属商业酒店管理公司董事长、吴江房地产公司董事长。</w:t>
      </w:r>
    </w:p>
    <w:p>
      <w:pPr>
        <w:pStyle w:val="BodyText"/>
        <w:spacing w:line="316" w:lineRule="auto" w:before="76"/>
        <w:ind w:right="94" w:firstLine="372"/>
        <w:jc w:val="left"/>
      </w:pPr>
      <w:r>
        <w:rPr/>
        <w:t>史建三</w:t>
      </w:r>
      <w:r>
        <w:rPr>
          <w:spacing w:val="-4"/>
        </w:rPr>
        <w:t> </w:t>
      </w:r>
      <w:r>
        <w:rPr>
          <w:spacing w:val="-2"/>
        </w:rPr>
        <w:t>法学硕士、经济学博士。本公司独立董事、江铃汽车独立董事、江苏省交通科学研究院股份有限公司独立董事、</w:t>
      </w:r>
      <w:r>
        <w:rPr/>
        <w:t> </w:t>
      </w:r>
      <w:r>
        <w:rPr>
          <w:spacing w:val="-2"/>
        </w:rPr>
        <w:t>上海社会科学院法学研究所研究员，兼任上海市人大常委会立法咨询专家，中国国际经济贸易仲裁委员会、上海仲裁委员会</w:t>
      </w:r>
      <w:r>
        <w:rPr>
          <w:spacing w:val="-63"/>
        </w:rPr>
        <w:t> </w:t>
      </w:r>
      <w:r>
        <w:rPr>
          <w:spacing w:val="-63"/>
        </w:rPr>
      </w:r>
      <w:r>
        <w:rPr>
          <w:spacing w:val="-2"/>
        </w:rPr>
        <w:t>仲裁员。曾任华东政法学院科研处副处长，上海外高桥保税区管委会研究室副主任，锦江集团首席法律顾问，上海锦天城律</w:t>
      </w:r>
      <w:r>
        <w:rPr>
          <w:spacing w:val="-65"/>
        </w:rPr>
        <w:t> </w:t>
      </w:r>
      <w:r>
        <w:rPr>
          <w:spacing w:val="-65"/>
        </w:rPr>
      </w:r>
      <w:r>
        <w:rPr/>
        <w:t>师事务所合伙人。</w:t>
      </w:r>
    </w:p>
    <w:p>
      <w:pPr>
        <w:pStyle w:val="BodyText"/>
        <w:spacing w:line="307" w:lineRule="auto" w:before="19"/>
        <w:ind w:right="94" w:firstLine="360"/>
        <w:jc w:val="left"/>
      </w:pPr>
      <w:r>
        <w:rPr/>
        <w:t>汤云为</w:t>
      </w:r>
      <w:r>
        <w:rPr>
          <w:spacing w:val="-4"/>
        </w:rPr>
        <w:t> </w:t>
      </w:r>
      <w:r>
        <w:rPr/>
        <w:t>经济学</w:t>
      </w:r>
      <w:r>
        <w:rPr>
          <w:rFonts w:ascii="Times New Roman" w:hAnsi="Times New Roman" w:cs="Times New Roman" w:eastAsia="Times New Roman" w:hint="default"/>
        </w:rPr>
        <w:t>(</w:t>
      </w:r>
      <w:r>
        <w:rPr/>
        <w:t>会计学</w:t>
      </w:r>
      <w:r>
        <w:rPr>
          <w:rFonts w:ascii="Times New Roman" w:hAnsi="Times New Roman" w:cs="Times New Roman" w:eastAsia="Times New Roman" w:hint="default"/>
        </w:rPr>
        <w:t>)</w:t>
      </w:r>
      <w:r>
        <w:rPr/>
        <w:t>博士</w:t>
      </w:r>
      <w:r>
        <w:rPr>
          <w:rFonts w:ascii="Times New Roman" w:hAnsi="Times New Roman" w:cs="Times New Roman" w:eastAsia="Times New Roman" w:hint="default"/>
        </w:rPr>
        <w:t>,</w:t>
      </w:r>
      <w:r>
        <w:rPr/>
        <w:t>主任会计师、教授。本公司独立董事、中国平安独立董事，上海百润香精香料股份有限公 司独立董事、东港股份有限公司独立董事、中国会计准则委员会委员、中国财政部审计委员会委员、上海市会计学会会长。 曾任上海财经大学校长</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安永大华会计师事务所主任会计师、高级顾问。汤云为先生荣膺香港大学、香港城市大学名誉教授</w:t>
      </w:r>
      <w:r>
        <w:rPr>
          <w:rFonts w:ascii="Times New Roman" w:hAnsi="Times New Roman" w:cs="Times New Roman" w:eastAsia="Times New Roman" w:hint="default"/>
        </w:rPr>
        <w:t>, </w:t>
      </w:r>
      <w:r>
        <w:rPr/>
        <w:t>英国公认会计师公会名誉会员、美国会计学会杰出国际访问教授。</w:t>
      </w:r>
    </w:p>
    <w:p>
      <w:pPr>
        <w:pStyle w:val="BodyText"/>
        <w:spacing w:line="316" w:lineRule="auto" w:before="26"/>
        <w:ind w:right="193" w:firstLine="329"/>
        <w:jc w:val="left"/>
      </w:pPr>
      <w:r>
        <w:rPr/>
        <w:t>马挺贵</w:t>
      </w:r>
      <w:r>
        <w:rPr>
          <w:spacing w:val="22"/>
        </w:rPr>
        <w:t> </w:t>
      </w:r>
      <w:r>
        <w:rPr/>
        <w:t>本科学历、教授级高级工程师。现任本公司独立董事、广田股份独立董事，江河幕墙独立董事、中国装饰协会</w:t>
      </w:r>
      <w:r>
        <w:rPr/>
        <w:t> 会长、中国工业经济联合会副会长、中华名人协会副主席、日中科技协力会海外理事。曾任中国建筑总公司总经理。</w:t>
      </w:r>
    </w:p>
    <w:p>
      <w:pPr>
        <w:pStyle w:val="BodyText"/>
        <w:spacing w:line="300" w:lineRule="auto" w:before="19"/>
        <w:ind w:right="177" w:firstLine="372"/>
        <w:jc w:val="left"/>
      </w:pPr>
      <w:r>
        <w:rPr/>
        <w:t>陆建忠</w:t>
      </w:r>
      <w:r>
        <w:rPr>
          <w:spacing w:val="-55"/>
        </w:rPr>
        <w:t> </w:t>
      </w:r>
      <w:r>
        <w:rPr>
          <w:rFonts w:ascii="Times New Roman" w:hAnsi="Times New Roman" w:cs="Times New Roman" w:eastAsia="Times New Roman" w:hint="default"/>
        </w:rPr>
        <w:t>MBA</w:t>
      </w:r>
      <w:r>
        <w:rPr/>
        <w:t>，高级工程师。现任本公司监事会主席、中南控股集团有限公司监事会主席。曾任南通建筑工程总承包有 限公司副总经理、常务副总经理。曾多次获先进项目经理、优秀项目经理称号。</w:t>
      </w:r>
    </w:p>
    <w:p>
      <w:pPr>
        <w:pStyle w:val="BodyText"/>
        <w:spacing w:line="316" w:lineRule="auto" w:before="31"/>
        <w:ind w:right="180" w:firstLine="372"/>
        <w:jc w:val="left"/>
      </w:pPr>
      <w:r>
        <w:rPr/>
        <w:t>窦军</w:t>
      </w:r>
      <w:r>
        <w:rPr>
          <w:spacing w:val="-8"/>
        </w:rPr>
        <w:t> </w:t>
      </w:r>
      <w:r>
        <w:rPr/>
        <w:t>大学本科学历。现任本公司监事、总经理助理、综合运营中心总监。曾任中南控股集团总经理助理、南通建筑工</w:t>
      </w:r>
      <w:r>
        <w:rPr/>
        <w:t> 程总承包有限公司总经理助理、项目经理。</w:t>
      </w:r>
    </w:p>
    <w:p>
      <w:pPr>
        <w:pStyle w:val="BodyText"/>
        <w:spacing w:line="316" w:lineRule="auto" w:before="19"/>
        <w:ind w:right="182" w:firstLine="372"/>
        <w:jc w:val="left"/>
      </w:pPr>
      <w:r>
        <w:rPr/>
        <w:t>张宝忠</w:t>
      </w:r>
      <w:r>
        <w:rPr>
          <w:spacing w:val="-10"/>
        </w:rPr>
        <w:t> </w:t>
      </w:r>
      <w:r>
        <w:rPr/>
        <w:t>大学本科学历，工程师、一级建造师。现任江苏中南建设集团股份有限公司房地产事业部副总经理，曾任南通</w:t>
      </w:r>
      <w:r>
        <w:rPr/>
        <w:t> </w:t>
      </w:r>
      <w:r>
        <w:rPr>
          <w:spacing w:val="-2"/>
        </w:rPr>
        <w:t>建筑工程总承包有限公司北京分公司经理、南通建筑工程总承包有限公司常务副总经理。曾获海门市建管局先进个人、北京</w:t>
      </w:r>
    </w:p>
    <w:p>
      <w:pPr>
        <w:spacing w:after="0" w:line="316"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441" w:right="94" w:hanging="289"/>
        <w:jc w:val="left"/>
      </w:pPr>
      <w:r>
        <w:rPr/>
        <w:t>市外地赴京施工企业先进个人、江苏省建筑业优秀项目经理。 </w:t>
      </w:r>
      <w:r>
        <w:rPr>
          <w:spacing w:val="-1"/>
        </w:rPr>
        <w:t>金德钧先生，大学学历，高级工程师，籍贯湖北仙桃，中共党员，</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12</w:t>
      </w:r>
      <w:r>
        <w:rPr>
          <w:spacing w:val="-1"/>
        </w:rPr>
        <w:t>月工作，具有独立董事资格证书，现任宁波</w:t>
      </w:r>
    </w:p>
    <w:p>
      <w:pPr>
        <w:pStyle w:val="BodyText"/>
        <w:spacing w:line="302" w:lineRule="auto"/>
        <w:ind w:right="189"/>
        <w:jc w:val="both"/>
      </w:pPr>
      <w:r>
        <w:rPr>
          <w:spacing w:val="-2"/>
        </w:rPr>
        <w:t>建工股份有限公司独立董事。工作经历：</w:t>
      </w:r>
      <w:r>
        <w:rPr>
          <w:rFonts w:ascii="Times New Roman" w:hAnsi="Times New Roman" w:cs="Times New Roman" w:eastAsia="Times New Roman" w:hint="default"/>
          <w:spacing w:val="-2"/>
        </w:rPr>
        <w:t>1963</w:t>
      </w:r>
      <w:r>
        <w:rPr>
          <w:spacing w:val="-2"/>
        </w:rPr>
        <w:t>年至</w:t>
      </w:r>
      <w:r>
        <w:rPr>
          <w:rFonts w:ascii="Times New Roman" w:hAnsi="Times New Roman" w:cs="Times New Roman" w:eastAsia="Times New Roman" w:hint="default"/>
          <w:spacing w:val="-2"/>
        </w:rPr>
        <w:t>1968</w:t>
      </w:r>
      <w:r>
        <w:rPr>
          <w:spacing w:val="-2"/>
        </w:rPr>
        <w:t>年，在中国科学技术大学近代物理系学习；</w:t>
      </w:r>
      <w:r>
        <w:rPr>
          <w:rFonts w:ascii="Times New Roman" w:hAnsi="Times New Roman" w:cs="Times New Roman" w:eastAsia="Times New Roman" w:hint="default"/>
          <w:spacing w:val="-2"/>
        </w:rPr>
        <w:t>1968</w:t>
      </w:r>
      <w:r>
        <w:rPr>
          <w:spacing w:val="-2"/>
        </w:rPr>
        <w:t>年至</w:t>
      </w:r>
      <w:r>
        <w:rPr>
          <w:rFonts w:ascii="Times New Roman" w:hAnsi="Times New Roman" w:cs="Times New Roman" w:eastAsia="Times New Roman" w:hint="default"/>
          <w:spacing w:val="-2"/>
        </w:rPr>
        <w:t>1970</w:t>
      </w:r>
      <w:r>
        <w:rPr>
          <w:spacing w:val="-2"/>
        </w:rPr>
        <w:t>年，在中国</w:t>
      </w:r>
      <w:r>
        <w:rPr>
          <w:spacing w:val="-57"/>
        </w:rPr>
        <w:t> </w:t>
      </w:r>
      <w:r>
        <w:rPr>
          <w:spacing w:val="-57"/>
        </w:rPr>
      </w:r>
      <w:r>
        <w:rPr>
          <w:spacing w:val="-2"/>
        </w:rPr>
        <w:t>人民解放军农场劳动锻炼；</w:t>
      </w:r>
      <w:r>
        <w:rPr>
          <w:rFonts w:ascii="Times New Roman" w:hAnsi="Times New Roman" w:cs="Times New Roman" w:eastAsia="Times New Roman" w:hint="default"/>
          <w:spacing w:val="-2"/>
        </w:rPr>
        <w:t>1970</w:t>
      </w:r>
      <w:r>
        <w:rPr>
          <w:spacing w:val="-2"/>
        </w:rPr>
        <w:t>年至</w:t>
      </w:r>
      <w:r>
        <w:rPr>
          <w:rFonts w:ascii="Times New Roman" w:hAnsi="Times New Roman" w:cs="Times New Roman" w:eastAsia="Times New Roman" w:hint="default"/>
          <w:spacing w:val="-2"/>
        </w:rPr>
        <w:t>1998</w:t>
      </w:r>
      <w:r>
        <w:rPr>
          <w:spacing w:val="-2"/>
        </w:rPr>
        <w:t>年，历任中国建筑第一工程局技术员、干事、秘书，工程处党总支书记，工程公司</w:t>
      </w:r>
      <w:r>
        <w:rPr>
          <w:spacing w:val="-59"/>
        </w:rPr>
        <w:t> </w:t>
      </w:r>
      <w:r>
        <w:rPr>
          <w:spacing w:val="-59"/>
        </w:rPr>
      </w:r>
      <w:r>
        <w:rPr/>
        <w:t>副经理，党委副书记，工程局党委副书记，党委书记，工程局局长，</w:t>
      </w:r>
      <w:r>
        <w:rPr>
          <w:rFonts w:ascii="Times New Roman" w:hAnsi="Times New Roman" w:cs="Times New Roman" w:eastAsia="Times New Roman" w:hint="default"/>
        </w:rPr>
        <w:t>1995</w:t>
      </w:r>
      <w:r>
        <w:rPr/>
        <w:t>年任中建一局集团公司董事长兼党委书记；</w:t>
      </w:r>
      <w:r>
        <w:rPr>
          <w:rFonts w:ascii="Times New Roman" w:hAnsi="Times New Roman" w:cs="Times New Roman" w:eastAsia="Times New Roman" w:hint="default"/>
        </w:rPr>
        <w:t>1998</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月任建设部建筑管理司司长；</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月至</w:t>
      </w:r>
      <w:r>
        <w:rPr/>
        <w:t> </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11</w:t>
      </w:r>
      <w:r>
        <w:rPr>
          <w:spacing w:val="-2"/>
        </w:rPr>
        <w:t>月任建设部总工程师，兼任全国建筑市场稽查特派员</w:t>
      </w:r>
      <w:r>
        <w:rPr>
          <w:spacing w:val="-86"/>
        </w:rPr>
        <w:t> </w:t>
      </w:r>
      <w:r>
        <w:rPr>
          <w:spacing w:val="-86"/>
        </w:rPr>
      </w:r>
      <w:r>
        <w:rPr/>
        <w:t>办公室主任；</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2010</w:t>
      </w:r>
      <w:r>
        <w:rPr/>
        <w:t>年被聘为住房和城乡建设部科学技术委员会副主任（常务）；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月，任中国市政工程协会</w:t>
      </w:r>
      <w:r>
        <w:rPr>
          <w:spacing w:val="-86"/>
        </w:rPr>
        <w:t> </w:t>
      </w:r>
      <w:r>
        <w:rPr>
          <w:spacing w:val="-2"/>
        </w:rPr>
        <w:t>会长。与本公司或本公司持股股东及实际控制人不存在关联关系，未持有上市公司股份，也未受过中国证监会及其他部门处</w:t>
      </w:r>
      <w:r>
        <w:rPr>
          <w:spacing w:val="-65"/>
        </w:rPr>
        <w:t> </w:t>
      </w:r>
      <w:r>
        <w:rPr>
          <w:spacing w:val="-65"/>
        </w:rPr>
      </w:r>
      <w:r>
        <w:rPr/>
        <w:t>罚和证券交易所惩戒。</w:t>
      </w:r>
    </w:p>
    <w:p>
      <w:pPr>
        <w:pStyle w:val="BodyText"/>
        <w:spacing w:line="309" w:lineRule="auto" w:before="29"/>
        <w:ind w:right="190" w:firstLine="288"/>
        <w:jc w:val="both"/>
      </w:pPr>
      <w:r>
        <w:rPr/>
        <w:t>曹阳先生，大学学历，注册会计师，籍贯北京。</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月工作，现任致同会计师事务所经理、合伙人</w:t>
      </w:r>
      <w:r>
        <w:rPr>
          <w:spacing w:val="-15"/>
        </w:rPr>
        <w:t> </w:t>
      </w:r>
      <w:r>
        <w:rPr/>
        <w:t>具有独立董事资</w:t>
      </w:r>
      <w:r>
        <w:rPr/>
        <w:t> 格证书。工作经历：</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-1999</w:t>
      </w:r>
      <w:r>
        <w:rPr/>
        <w:t>年北京瑞达会计师事务所经理；</w:t>
      </w:r>
      <w:r>
        <w:rPr>
          <w:rFonts w:ascii="Times New Roman" w:hAnsi="Times New Roman" w:cs="Times New Roman" w:eastAsia="Times New Roman" w:hint="default"/>
        </w:rPr>
        <w:t>1999</w:t>
      </w:r>
      <w:r>
        <w:rPr/>
        <w:t>年至今致同会计师事务所经理、合伙人。</w:t>
      </w:r>
      <w:r>
        <w:rPr>
          <w:rFonts w:ascii="Times New Roman" w:hAnsi="Times New Roman" w:cs="Times New Roman" w:eastAsia="Times New Roman" w:hint="default"/>
        </w:rPr>
        <w:t>1998</w:t>
      </w:r>
      <w:r>
        <w:rPr/>
        <w:t>年获得</w:t>
      </w:r>
      <w:r>
        <w:rPr>
          <w:spacing w:val="-57"/>
        </w:rPr>
        <w:t> </w:t>
      </w:r>
      <w:r>
        <w:rPr>
          <w:spacing w:val="-2"/>
        </w:rPr>
        <w:t>注册会计师证书，兼任普莱柯生物工程股份有限公司、同方国芯电子股份有限公司、辽宁振隆特产股份有限公司、酒仙网电</w:t>
      </w:r>
      <w:r>
        <w:rPr>
          <w:spacing w:val="-65"/>
        </w:rPr>
        <w:t> </w:t>
      </w:r>
      <w:r>
        <w:rPr>
          <w:spacing w:val="-65"/>
        </w:rPr>
      </w:r>
      <w:r>
        <w:rPr>
          <w:spacing w:val="-2"/>
        </w:rPr>
        <w:t>子商务股份有限公司独立董事，北京国家会计学院兼职教授。与本公司或本公司持股股东及实际控制人不存在关联关系，未</w:t>
      </w:r>
      <w:r>
        <w:rPr>
          <w:spacing w:val="-63"/>
        </w:rPr>
        <w:t> </w:t>
      </w:r>
      <w:r>
        <w:rPr>
          <w:spacing w:val="-63"/>
        </w:rPr>
      </w:r>
      <w:r>
        <w:rPr/>
        <w:t>持有上市公司股份，也未受过中国证监会及其他部门处罚和证券交易所惩戒。</w:t>
      </w:r>
    </w:p>
    <w:p>
      <w:pPr>
        <w:pStyle w:val="BodyText"/>
        <w:spacing w:line="300" w:lineRule="auto" w:before="24"/>
        <w:ind w:right="104" w:firstLine="288"/>
        <w:jc w:val="both"/>
      </w:pPr>
      <w:r>
        <w:rPr/>
        <w:t>倪俊骥先生，大学学历，律师，籍贯上海。</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月工作，现任国浩律师事务所律师、合伙人，具有独立董事资格证 </w:t>
      </w:r>
      <w:r>
        <w:rPr>
          <w:spacing w:val="-2"/>
        </w:rPr>
        <w:t>书。工作经历：</w:t>
      </w:r>
      <w:r>
        <w:rPr>
          <w:rFonts w:ascii="Times New Roman" w:hAnsi="Times New Roman" w:cs="Times New Roman" w:eastAsia="Times New Roman" w:hint="default"/>
          <w:spacing w:val="-2"/>
        </w:rPr>
        <w:t>2000</w:t>
      </w:r>
      <w:r>
        <w:rPr>
          <w:spacing w:val="-2"/>
        </w:rPr>
        <w:t>年至今国浩律师事务所律师，</w:t>
      </w:r>
      <w:r>
        <w:rPr>
          <w:rFonts w:ascii="Times New Roman" w:hAnsi="Times New Roman" w:cs="Times New Roman" w:eastAsia="Times New Roman" w:hint="default"/>
          <w:spacing w:val="-2"/>
        </w:rPr>
        <w:t>2001</w:t>
      </w:r>
      <w:r>
        <w:rPr>
          <w:spacing w:val="-2"/>
        </w:rPr>
        <w:t>年获律师执业证书，中持水务股份有限公司独立董事。与本公司或本</w:t>
      </w:r>
      <w:r>
        <w:rPr>
          <w:spacing w:val="-63"/>
        </w:rPr>
        <w:t> </w:t>
      </w:r>
      <w:r>
        <w:rPr>
          <w:spacing w:val="-63"/>
        </w:rPr>
      </w:r>
      <w:r>
        <w:rPr>
          <w:spacing w:val="-4"/>
        </w:rPr>
        <w:t>公司持股股东及实际控制人不存在关联关系，未持有上市公司股份，也未受过中国证监会及其他部门处罚和证券交易所惩戒。</w:t>
      </w:r>
    </w:p>
    <w:p>
      <w:pPr>
        <w:pStyle w:val="BodyText"/>
        <w:spacing w:line="307" w:lineRule="auto" w:before="31"/>
        <w:ind w:right="190" w:firstLine="288"/>
        <w:jc w:val="both"/>
      </w:pPr>
      <w:r>
        <w:rPr>
          <w:spacing w:val="-2"/>
        </w:rPr>
        <w:t>陆亚行，女，汉族，</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8</w:t>
      </w:r>
      <w:r>
        <w:rPr>
          <w:spacing w:val="-2"/>
        </w:rPr>
        <w:t>月出生，厦门大学</w:t>
      </w:r>
      <w:r>
        <w:rPr>
          <w:rFonts w:ascii="Times New Roman" w:hAnsi="Times New Roman" w:cs="Times New Roman" w:eastAsia="Times New Roman" w:hint="default"/>
          <w:spacing w:val="-2"/>
        </w:rPr>
        <w:t>EMBA</w:t>
      </w:r>
      <w:r>
        <w:rPr>
          <w:spacing w:val="-2"/>
        </w:rPr>
        <w:t>，高级经济师，现为中南控股集团有限公司副董事长。连续多年荣</w:t>
      </w:r>
      <w:r>
        <w:rPr/>
        <w:t> 获</w:t>
      </w:r>
      <w:r>
        <w:rPr>
          <w:rFonts w:ascii="Times New Roman" w:hAnsi="Times New Roman" w:cs="Times New Roman" w:eastAsia="Times New Roman" w:hint="default"/>
        </w:rPr>
        <w:t>“</w:t>
      </w:r>
      <w:r>
        <w:rPr/>
        <w:t>先进工作者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文明家庭</w:t>
      </w:r>
      <w:r>
        <w:rPr>
          <w:rFonts w:ascii="Times New Roman" w:hAnsi="Times New Roman" w:cs="Times New Roman" w:eastAsia="Times New Roman" w:hint="default"/>
        </w:rPr>
        <w:t>”</w:t>
      </w:r>
      <w:r>
        <w:rPr/>
        <w:t>等称号，一九九九年以来还获得过南通市、海门市</w:t>
      </w:r>
      <w:r>
        <w:rPr>
          <w:rFonts w:ascii="Times New Roman" w:hAnsi="Times New Roman" w:cs="Times New Roman" w:eastAsia="Times New Roman" w:hint="default"/>
        </w:rPr>
        <w:t>“</w:t>
      </w:r>
      <w:r>
        <w:rPr/>
        <w:t>三八</w:t>
      </w:r>
      <w:r>
        <w:rPr>
          <w:rFonts w:ascii="Times New Roman" w:hAnsi="Times New Roman" w:cs="Times New Roman" w:eastAsia="Times New Roman" w:hint="default"/>
        </w:rPr>
        <w:t>”</w:t>
      </w:r>
      <w:r>
        <w:rPr/>
        <w:t>红旗手、南通市</w:t>
      </w:r>
      <w:r>
        <w:rPr>
          <w:rFonts w:ascii="Times New Roman" w:hAnsi="Times New Roman" w:cs="Times New Roman" w:eastAsia="Times New Roman" w:hint="default"/>
        </w:rPr>
        <w:t>“</w:t>
      </w:r>
      <w:r>
        <w:rPr/>
        <w:t>十佳</w:t>
      </w:r>
      <w:r>
        <w:rPr>
          <w:rFonts w:ascii="Times New Roman" w:hAnsi="Times New Roman" w:cs="Times New Roman" w:eastAsia="Times New Roman" w:hint="default"/>
        </w:rPr>
        <w:t>”</w:t>
      </w:r>
      <w:r>
        <w:rPr/>
        <w:t>妇女、海门市 </w:t>
      </w:r>
      <w:r>
        <w:rPr>
          <w:spacing w:val="-2"/>
        </w:rPr>
        <w:t>劳动模范、中国十大农民女状元、江苏省劳动模范、中国慈善排行榜十大慈善家等荣誉称号。陆亚行女士与本公司实际控制</w:t>
      </w:r>
      <w:r>
        <w:rPr>
          <w:spacing w:val="-63"/>
        </w:rPr>
        <w:t> </w:t>
      </w:r>
      <w:r>
        <w:rPr>
          <w:spacing w:val="-63"/>
        </w:rPr>
      </w:r>
      <w:r>
        <w:rPr/>
        <w:t>人陈锦石为夫妻关系，未持有上市公司股份，也未受过中国证监会及其他部门处罚和证券交易所惩戒。</w:t>
      </w:r>
    </w:p>
    <w:p>
      <w:pPr>
        <w:spacing w:line="240" w:lineRule="auto" w:before="11"/>
        <w:rPr>
          <w:rFonts w:ascii="宋体" w:hAnsi="宋体" w:cs="宋体" w:eastAsia="宋体" w:hint="default"/>
          <w:sz w:val="25"/>
          <w:szCs w:val="25"/>
        </w:rPr>
      </w:pPr>
    </w:p>
    <w:p>
      <w:pPr>
        <w:pStyle w:val="BodyText"/>
        <w:spacing w:line="307" w:lineRule="auto"/>
        <w:ind w:right="191" w:firstLine="300"/>
        <w:jc w:val="both"/>
      </w:pPr>
      <w:r>
        <w:rPr/>
        <w:t>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日公司第二次临时股东大会选举陈锦石、茅振华、陈小平、智刚、张晓军、陈昱含、金德钧、曹阳、 倪俊骥为公司第六届董事会成员；陆建忠、窦军、张宝忠（职工监事）为第六届监事会成员；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日公司第六届董</w:t>
      </w:r>
      <w:r>
        <w:rPr>
          <w:spacing w:val="-85"/>
        </w:rPr>
        <w:t> </w:t>
      </w:r>
      <w:r>
        <w:rPr>
          <w:spacing w:val="-85"/>
        </w:rPr>
      </w:r>
      <w:r>
        <w:rPr>
          <w:spacing w:val="-2"/>
        </w:rPr>
        <w:t>事会第一次会议选举陈锦石为公司董事长、茅振华为副董事长，陈锦石为总经理、智刚为董事会秘书、陆亚行、陈小平、智</w:t>
      </w:r>
      <w:r>
        <w:rPr>
          <w:spacing w:val="-68"/>
        </w:rPr>
        <w:t> </w:t>
      </w:r>
      <w:r>
        <w:rPr>
          <w:spacing w:val="-68"/>
        </w:rPr>
      </w:r>
      <w:r>
        <w:rPr/>
        <w:t>刚、张晓军为副总经理，茅振华为财务总监。</w:t>
      </w:r>
    </w:p>
    <w:p>
      <w:pPr>
        <w:pStyle w:val="BodyText"/>
        <w:spacing w:line="360" w:lineRule="auto" w:before="26"/>
        <w:ind w:right="2674" w:firstLine="300"/>
        <w:jc w:val="left"/>
      </w:pPr>
      <w:r>
        <w:rPr/>
        <w:t>相关情况请详见《上海证券报》、《中国证券报》、《证券时报》及巨潮资讯网公告。 在股东单位任职情况</w:t>
      </w:r>
    </w:p>
    <w:p>
      <w:pPr>
        <w:pStyle w:val="BodyText"/>
        <w:spacing w:line="240" w:lineRule="auto" w:before="2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陈小平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陆建忠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4"/>
        <w:jc w:val="left"/>
      </w:pPr>
      <w:r>
        <w:rPr/>
        <w:t>在其他单位任职情况</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宁波建工股份有限公司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酒仙网电子商务股份有限公司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普莱柯生物工程股份有限公司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辽宁振隆特产股份有限公司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倪骏骥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中持水务股份有限公司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142"/>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85" w:right="161" w:hanging="433"/>
        <w:jc w:val="left"/>
      </w:pPr>
      <w:r>
        <w:rPr/>
        <w:t>董事、监事、高级管理人员报酬的决策程序、确定依据、实际支付情况 根据《江苏中南建设集团股份有限公司董事、监事、高级管理人员薪酬、津贴管理制度》的规定，公司内部董事不以</w:t>
      </w:r>
    </w:p>
    <w:p>
      <w:pPr>
        <w:pStyle w:val="BodyText"/>
        <w:spacing w:line="224" w:lineRule="exact"/>
        <w:ind w:right="0"/>
        <w:jc w:val="left"/>
      </w:pPr>
      <w:r>
        <w:rPr/>
        <w:t>董事、监事的职务发放津贴，按其在管理层的任职和目标责任状考核情况发放薪酬，分每月基本工资、绩效工资及奖金三部</w:t>
      </w:r>
    </w:p>
    <w:p>
      <w:pPr>
        <w:pStyle w:val="BodyText"/>
        <w:spacing w:line="319" w:lineRule="auto" w:before="76"/>
        <w:ind w:right="142"/>
        <w:jc w:val="left"/>
      </w:pPr>
      <w:r>
        <w:rPr>
          <w:spacing w:val="-2"/>
        </w:rPr>
        <w:t>分组成。公司董事、监事、高级管理人员基本公司、绩效工资及独立董事薪酬已经过公司</w:t>
      </w:r>
      <w:r>
        <w:rPr>
          <w:rFonts w:ascii="Times New Roman" w:hAnsi="Times New Roman" w:cs="Times New Roman" w:eastAsia="Times New Roman" w:hint="default"/>
          <w:spacing w:val="-2"/>
        </w:rPr>
        <w:t>2012</w:t>
      </w:r>
      <w:r>
        <w:rPr>
          <w:spacing w:val="-2"/>
        </w:rPr>
        <w:t>年度股东大会审议通过，本年</w:t>
      </w:r>
      <w:r>
        <w:rPr>
          <w:spacing w:val="-59"/>
        </w:rPr>
        <w:t> </w:t>
      </w:r>
      <w:r>
        <w:rPr>
          <w:spacing w:val="-59"/>
        </w:rPr>
      </w:r>
      <w:r>
        <w:rPr/>
        <w:t>未做调整。本年度的工资奖金已经过公司六届董事会第十三次会议审议通过，并将经公司</w:t>
      </w:r>
      <w:r>
        <w:rPr>
          <w:rFonts w:ascii="Times New Roman" w:hAnsi="Times New Roman" w:cs="Times New Roman" w:eastAsia="Times New Roman" w:hint="default"/>
        </w:rPr>
        <w:t>2014</w:t>
      </w:r>
      <w:r>
        <w:rPr/>
        <w:t>年度股东大会审议。</w:t>
      </w:r>
      <w:r>
        <w:rPr>
          <w:spacing w:val="-85"/>
        </w:rPr>
        <w:t> </w:t>
      </w:r>
      <w:r>
        <w:rPr/>
        <w:t>公司报告期内董事、监事和高级管理人员报酬情况</w:t>
      </w:r>
    </w:p>
    <w:p>
      <w:pPr>
        <w:pStyle w:val="BodyText"/>
        <w:spacing w:line="240" w:lineRule="auto" w:before="58"/>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w:t>
            </w:r>
          </w:p>
        </w:tc>
      </w:tr>
      <w:tr>
        <w:trPr>
          <w:trHeight w:val="10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陈小平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31"/>
              <w:jc w:val="both"/>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 分管房地产事 业部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60.4</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商业酒店 公司董事长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茅振华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11.25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陆亚行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陆建忠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窦军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综合运营 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张宝忠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房地产事 业部副总经理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沈国章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史建三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马挺贵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760.45</w:t>
            </w:r>
          </w:p>
        </w:tc>
      </w:tr>
    </w:tbl>
    <w:p>
      <w:pPr>
        <w:pStyle w:val="BodyText"/>
        <w:spacing w:line="240" w:lineRule="auto" w:before="49"/>
        <w:ind w:right="94"/>
        <w:jc w:val="left"/>
      </w:pPr>
      <w:r>
        <w:rPr/>
        <w:t>公司董事、监事、高级管理人员报告期内被授予的股权激励情况</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茅振华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公司董事会换届，新当选为副董事长。</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沈国章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公司董事会换届，任期满离任。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公司董事会换届，任期满离任。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史建三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公司董事会换届，任期满离任。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马挺贵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公司董事会换届，任期满离任。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公司董事会换届，新当选。</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公司董事会换届，新当选。</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公司董事会换届，新当选。</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陆亚行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新增加副总经理，分管资金、融资工作。</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新增加副总经理，分管房地产投资工作。</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4" w:firstLine="36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日，公司及控股子公司共有在册员工</w:t>
      </w:r>
      <w:r>
        <w:rPr>
          <w:rFonts w:ascii="宋体" w:hAnsi="宋体" w:cs="宋体" w:eastAsia="宋体" w:hint="default"/>
        </w:rPr>
        <w:t>7169</w:t>
      </w:r>
      <w:r>
        <w:rPr/>
        <w:t>人。其中股份公司</w:t>
      </w:r>
      <w:r>
        <w:rPr>
          <w:rFonts w:ascii="Times New Roman" w:hAnsi="Times New Roman" w:cs="Times New Roman" w:eastAsia="Times New Roman" w:hint="default"/>
        </w:rPr>
        <w:t>469</w:t>
      </w:r>
      <w:r>
        <w:rPr/>
        <w:t>人，房地产业务</w:t>
      </w:r>
      <w:r>
        <w:rPr>
          <w:rFonts w:ascii="Times New Roman" w:hAnsi="Times New Roman" w:cs="Times New Roman" w:eastAsia="Times New Roman" w:hint="default"/>
        </w:rPr>
        <w:t>2912</w:t>
      </w:r>
      <w:r>
        <w:rPr/>
        <w:t>人，建筑工程业 务</w:t>
      </w:r>
      <w:r>
        <w:rPr>
          <w:rFonts w:ascii="Times New Roman" w:hAnsi="Times New Roman" w:cs="Times New Roman" w:eastAsia="Times New Roman" w:hint="default"/>
        </w:rPr>
        <w:t>3788</w:t>
      </w:r>
      <w:r>
        <w:rPr/>
        <w:t>人。公司员工与公司均签订了《劳动合同》，办理了社会养老保险、医疗保险、失业保险、工伤保险、生育保险等。 公司已实行劳动统筹，没有需公司负担的离退休人员。</w:t>
      </w:r>
    </w:p>
    <w:p>
      <w:pPr>
        <w:spacing w:after="0" w:line="30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633" w:right="8033" w:hanging="264"/>
        <w:jc w:val="left"/>
      </w:pPr>
      <w:r>
        <w:rPr/>
        <w:t>按专业构成分类： 建筑工程业务：</w:t>
      </w:r>
    </w:p>
    <w:p>
      <w:pPr>
        <w:spacing w:line="240" w:lineRule="auto" w:before="9"/>
        <w:rPr>
          <w:rFonts w:ascii="宋体" w:hAnsi="宋体" w:cs="宋体" w:eastAsia="宋体" w:hint="default"/>
          <w:sz w:val="10"/>
          <w:szCs w:val="10"/>
        </w:rPr>
      </w:pPr>
    </w:p>
    <w:p>
      <w:pPr>
        <w:spacing w:line="4108" w:lineRule="exact"/>
        <w:ind w:left="153"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5922947" cy="26089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0" cstate="print"/>
                    <a:stretch>
                      <a:fillRect/>
                    </a:stretch>
                  </pic:blipFill>
                  <pic:spPr>
                    <a:xfrm>
                      <a:off x="0" y="0"/>
                      <a:ext cx="5922947" cy="2608992"/>
                    </a:xfrm>
                    <a:prstGeom prst="rect">
                      <a:avLst/>
                    </a:prstGeom>
                  </pic:spPr>
                </pic:pic>
              </a:graphicData>
            </a:graphic>
          </wp:inline>
        </w:drawing>
      </w:r>
      <w:r>
        <w:rPr>
          <w:rFonts w:ascii="宋体" w:hAnsi="宋体" w:cs="宋体" w:eastAsia="宋体" w:hint="default"/>
          <w:position w:val="-81"/>
          <w:sz w:val="20"/>
          <w:szCs w:val="20"/>
        </w:rPr>
      </w:r>
    </w:p>
    <w:p>
      <w:pPr>
        <w:pStyle w:val="BodyText"/>
        <w:spacing w:line="240" w:lineRule="auto" w:before="139"/>
        <w:ind w:left="633" w:right="142"/>
        <w:jc w:val="left"/>
      </w:pPr>
      <w:r>
        <w:rPr/>
        <w:t>房地产业务：</w:t>
      </w:r>
    </w:p>
    <w:p>
      <w:pPr>
        <w:spacing w:line="240" w:lineRule="auto" w:before="2"/>
        <w:rPr>
          <w:rFonts w:ascii="宋体" w:hAnsi="宋体" w:cs="宋体" w:eastAsia="宋体" w:hint="default"/>
          <w:sz w:val="14"/>
          <w:szCs w:val="14"/>
        </w:rPr>
      </w:pPr>
    </w:p>
    <w:p>
      <w:pPr>
        <w:spacing w:line="3820" w:lineRule="exact"/>
        <w:ind w:left="153"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5932311" cy="242601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1" cstate="print"/>
                    <a:stretch>
                      <a:fillRect/>
                    </a:stretch>
                  </pic:blipFill>
                  <pic:spPr>
                    <a:xfrm>
                      <a:off x="0" y="0"/>
                      <a:ext cx="5932311" cy="2426017"/>
                    </a:xfrm>
                    <a:prstGeom prst="rect">
                      <a:avLst/>
                    </a:prstGeom>
                  </pic:spPr>
                </pic:pic>
              </a:graphicData>
            </a:graphic>
          </wp:inline>
        </w:drawing>
      </w:r>
      <w:r>
        <w:rPr>
          <w:rFonts w:ascii="宋体" w:hAnsi="宋体" w:cs="宋体" w:eastAsia="宋体" w:hint="default"/>
          <w:position w:val="-75"/>
          <w:sz w:val="20"/>
          <w:szCs w:val="20"/>
        </w:rPr>
      </w:r>
    </w:p>
    <w:p>
      <w:pPr>
        <w:pStyle w:val="BodyText"/>
        <w:spacing w:line="316" w:lineRule="auto" w:before="127"/>
        <w:ind w:left="657" w:right="7853" w:hanging="24"/>
        <w:jc w:val="left"/>
      </w:pPr>
      <w:r>
        <w:rPr/>
        <w:t>按教育程度分类： 房地产业务：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3273" w:lineRule="exact"/>
        <w:ind w:left="153"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5913938" cy="207883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2" cstate="print"/>
                    <a:stretch>
                      <a:fillRect/>
                    </a:stretch>
                  </pic:blipFill>
                  <pic:spPr>
                    <a:xfrm>
                      <a:off x="0" y="0"/>
                      <a:ext cx="5913938" cy="2078831"/>
                    </a:xfrm>
                    <a:prstGeom prst="rect">
                      <a:avLst/>
                    </a:prstGeom>
                  </pic:spPr>
                </pic:pic>
              </a:graphicData>
            </a:graphic>
          </wp:inline>
        </w:drawing>
      </w:r>
      <w:r>
        <w:rPr>
          <w:rFonts w:ascii="宋体" w:hAnsi="宋体" w:cs="宋体" w:eastAsia="宋体" w:hint="default"/>
          <w:position w:val="-64"/>
          <w:sz w:val="20"/>
          <w:szCs w:val="20"/>
        </w:rPr>
      </w:r>
    </w:p>
    <w:p>
      <w:pPr>
        <w:spacing w:after="0" w:line="3273" w:lineRule="exact"/>
        <w:rPr>
          <w:rFonts w:ascii="宋体" w:hAnsi="宋体" w:cs="宋体" w:eastAsia="宋体" w:hint="default"/>
          <w:sz w:val="20"/>
          <w:szCs w:val="20"/>
        </w:rPr>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729" w:right="142"/>
        <w:jc w:val="left"/>
      </w:pPr>
      <w:r>
        <w:rPr/>
        <w:t>建筑业务：</w:t>
      </w:r>
    </w:p>
    <w:p>
      <w:pPr>
        <w:spacing w:line="240" w:lineRule="auto" w:before="5"/>
        <w:rPr>
          <w:rFonts w:ascii="宋体" w:hAnsi="宋体" w:cs="宋体" w:eastAsia="宋体" w:hint="default"/>
          <w:sz w:val="16"/>
          <w:szCs w:val="16"/>
        </w:rPr>
      </w:pPr>
    </w:p>
    <w:p>
      <w:pPr>
        <w:spacing w:line="3717" w:lineRule="exact"/>
        <w:ind w:left="153"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5867790" cy="236029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3" cstate="print"/>
                    <a:stretch>
                      <a:fillRect/>
                    </a:stretch>
                  </pic:blipFill>
                  <pic:spPr>
                    <a:xfrm>
                      <a:off x="0" y="0"/>
                      <a:ext cx="5867790" cy="2360295"/>
                    </a:xfrm>
                    <a:prstGeom prst="rect">
                      <a:avLst/>
                    </a:prstGeom>
                  </pic:spPr>
                </pic:pic>
              </a:graphicData>
            </a:graphic>
          </wp:inline>
        </w:drawing>
      </w:r>
      <w:r>
        <w:rPr>
          <w:rFonts w:ascii="宋体" w:hAnsi="宋体" w:cs="宋体" w:eastAsia="宋体" w:hint="default"/>
          <w:position w:val="-73"/>
          <w:sz w:val="20"/>
          <w:szCs w:val="20"/>
        </w:rPr>
      </w:r>
    </w:p>
    <w:p>
      <w:pPr>
        <w:spacing w:after="0" w:line="3717" w:lineRule="exact"/>
        <w:rPr>
          <w:rFonts w:ascii="宋体" w:hAnsi="宋体" w:cs="宋体" w:eastAsia="宋体" w:hint="default"/>
          <w:sz w:val="20"/>
          <w:szCs w:val="20"/>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590" w:right="3626"/>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4"/>
        <w:jc w:val="left"/>
      </w:pPr>
      <w:r>
        <w:rPr/>
        <w:t>（一）关于股东与股东大会：报告期，公司共组织召开</w:t>
      </w:r>
      <w:r>
        <w:rPr>
          <w:rFonts w:ascii="Times New Roman" w:hAnsi="Times New Roman" w:cs="Times New Roman" w:eastAsia="Times New Roman" w:hint="default"/>
        </w:rPr>
        <w:t>8</w:t>
      </w:r>
      <w:r>
        <w:rPr/>
        <w:t>次股东大会会议，均能严格按照《上市公司股东大会规则》和</w:t>
      </w:r>
    </w:p>
    <w:p>
      <w:pPr>
        <w:pStyle w:val="BodyText"/>
        <w:spacing w:line="316" w:lineRule="auto" w:before="63"/>
        <w:ind w:right="94"/>
        <w:jc w:val="left"/>
      </w:pPr>
      <w:r>
        <w:rPr>
          <w:spacing w:val="-2"/>
        </w:rPr>
        <w:t>《公司股东大会议事规则》等的规定和要求，召集、召开股东大会，在审议重大关联交易事项事项时，采用了现场会议和网</w:t>
      </w:r>
      <w:r>
        <w:rPr>
          <w:spacing w:val="-67"/>
        </w:rPr>
        <w:t> </w:t>
      </w:r>
      <w:r>
        <w:rPr>
          <w:spacing w:val="-67"/>
        </w:rPr>
      </w:r>
      <w:r>
        <w:rPr/>
        <w:t>络投票相结合的方式，确保全体股东特别是中小股东享有平等地位，充分行使自己的权力。</w:t>
      </w:r>
    </w:p>
    <w:p>
      <w:pPr>
        <w:pStyle w:val="BodyText"/>
        <w:spacing w:line="319" w:lineRule="auto" w:before="19"/>
        <w:ind w:right="190" w:firstLine="360"/>
        <w:jc w:val="both"/>
      </w:pPr>
      <w:r>
        <w:rPr>
          <w:spacing w:val="-2"/>
        </w:rPr>
        <w:t>（二）关于公司与控股股东：公司拥有独立的业务和自主经营能力，在业务、人员、资产、机构、财务上独立于控股股</w:t>
      </w:r>
      <w:r>
        <w:rPr/>
        <w:t> </w:t>
      </w:r>
      <w:r>
        <w:rPr>
          <w:spacing w:val="-2"/>
        </w:rPr>
        <w:t>东，公司董事会、监事会和内部机构独立运作。公司控股股东能严格规范自己的行为，没有超越公司股东大会直接或间接干</w:t>
      </w:r>
      <w:r>
        <w:rPr>
          <w:spacing w:val="-63"/>
        </w:rPr>
        <w:t> </w:t>
      </w:r>
      <w:r>
        <w:rPr>
          <w:spacing w:val="-63"/>
        </w:rPr>
      </w:r>
      <w:r>
        <w:rPr>
          <w:spacing w:val="-2"/>
        </w:rPr>
        <w:t>预公司的决策和经营活动的行为。报告期公司控股股东通过委托贷款等形式向公司提供了资金支持，未发生控股股东占用公</w:t>
      </w:r>
      <w:r>
        <w:rPr>
          <w:spacing w:val="-64"/>
        </w:rPr>
        <w:t> </w:t>
      </w:r>
      <w:r>
        <w:rPr>
          <w:spacing w:val="-64"/>
        </w:rPr>
      </w:r>
      <w:r>
        <w:rPr/>
        <w:t>司资金、资产的情况，公司也未发生向控股股东报送未公开信息等行为。</w:t>
      </w:r>
    </w:p>
    <w:p>
      <w:pPr>
        <w:pStyle w:val="BodyText"/>
        <w:spacing w:line="309" w:lineRule="auto" w:before="17"/>
        <w:ind w:right="195" w:firstLine="360"/>
        <w:jc w:val="both"/>
      </w:pPr>
      <w:r>
        <w:rPr>
          <w:spacing w:val="-2"/>
        </w:rPr>
        <w:t>（三）关于董事与董事会：报告期内，董事会的人数及人员构成符合法律法规和《公司章程》的要求。报告期公司共组</w:t>
      </w:r>
      <w:r>
        <w:rPr/>
        <w:t> </w:t>
      </w:r>
      <w:r>
        <w:rPr>
          <w:spacing w:val="-2"/>
        </w:rPr>
        <w:t>织召开</w:t>
      </w:r>
      <w:r>
        <w:rPr>
          <w:rFonts w:ascii="Times New Roman" w:hAnsi="Times New Roman" w:cs="Times New Roman" w:eastAsia="Times New Roman" w:hint="default"/>
          <w:spacing w:val="-2"/>
        </w:rPr>
        <w:t>17</w:t>
      </w:r>
      <w:r>
        <w:rPr>
          <w:spacing w:val="-2"/>
        </w:rPr>
        <w:t>次董事会会议，公司全体董事能够依据《董事会议事规则》、《独立董事工作制度》等制度开展工作，认真出席董</w:t>
      </w:r>
      <w:r>
        <w:rPr>
          <w:spacing w:val="-70"/>
        </w:rPr>
        <w:t> </w:t>
      </w:r>
      <w:r>
        <w:rPr>
          <w:spacing w:val="-70"/>
        </w:rPr>
      </w:r>
      <w:r>
        <w:rPr/>
        <w:t>事会，并就有关审议事项认真履行职责，很好的发挥了董事会的决策作用。</w:t>
      </w:r>
    </w:p>
    <w:p>
      <w:pPr>
        <w:pStyle w:val="BodyText"/>
        <w:spacing w:line="316" w:lineRule="auto" w:before="24"/>
        <w:ind w:right="192" w:firstLine="360"/>
        <w:jc w:val="both"/>
      </w:pPr>
      <w:r>
        <w:rPr>
          <w:spacing w:val="-2"/>
        </w:rPr>
        <w:t>公司董事会下设的四个专门委员会也按照有关工作细则的规定，定期或者不定期的召开会议，就有关事项进行审议并按</w:t>
      </w:r>
      <w:r>
        <w:rPr/>
        <w:t> 规定将部分事项提交董事会审议。</w:t>
      </w:r>
    </w:p>
    <w:p>
      <w:pPr>
        <w:pStyle w:val="BodyText"/>
        <w:spacing w:line="309" w:lineRule="auto" w:before="19"/>
        <w:ind w:right="193" w:firstLine="360"/>
        <w:jc w:val="both"/>
      </w:pPr>
      <w:r>
        <w:rPr>
          <w:spacing w:val="-2"/>
        </w:rPr>
        <w:t>（四）关于监事与监事会：报告期内，监事会的人数及构成符合法律、法规及《公司章程》的要求。报告期公司共组织</w:t>
      </w:r>
      <w:r>
        <w:rPr/>
        <w:t> 召开</w:t>
      </w:r>
      <w:r>
        <w:rPr>
          <w:rFonts w:ascii="Times New Roman" w:hAnsi="Times New Roman" w:cs="Times New Roman" w:eastAsia="Times New Roman" w:hint="default"/>
        </w:rPr>
        <w:t>4</w:t>
      </w:r>
      <w:r>
        <w:rPr/>
        <w:t>次监事会会议，公司监事能够按照《监事会议事规则》等的要求，认真出席监事会会议，就有关审议事项认真履行职</w:t>
      </w:r>
      <w:r>
        <w:rPr>
          <w:spacing w:val="-84"/>
        </w:rPr>
        <w:t> </w:t>
      </w:r>
      <w:r>
        <w:rPr>
          <w:spacing w:val="-84"/>
        </w:rPr>
      </w:r>
      <w:r>
        <w:rPr/>
        <w:t>责，并就公司重大事项、财务状况、定期报告等进行有效监督并发表核查意见。</w:t>
      </w:r>
    </w:p>
    <w:p>
      <w:pPr>
        <w:pStyle w:val="BodyText"/>
        <w:spacing w:line="316" w:lineRule="auto" w:before="24"/>
        <w:ind w:right="188" w:firstLine="360"/>
        <w:jc w:val="both"/>
      </w:pPr>
      <w:r>
        <w:rPr>
          <w:spacing w:val="-2"/>
        </w:rPr>
        <w:t>（五）关于绩效评价和激励约束机制：公司已逐步建立公正、透明的董事、监事和经理人员的绩效评价标准和激励约束</w:t>
      </w:r>
      <w:r>
        <w:rPr/>
        <w:t> 机制，公司经理人员的聘任公开、透明，符合法律法规的规定。</w:t>
      </w:r>
    </w:p>
    <w:p>
      <w:pPr>
        <w:pStyle w:val="BodyText"/>
        <w:spacing w:line="316" w:lineRule="auto" w:before="19"/>
        <w:ind w:right="193" w:firstLine="360"/>
        <w:jc w:val="both"/>
      </w:pPr>
      <w:r>
        <w:rPr>
          <w:spacing w:val="-2"/>
        </w:rPr>
        <w:t>（六）关于利益相关者：公司充分尊重和维护相关利益者的合法权益，实现社会、股东、公司、员工等各方利益的协调</w:t>
      </w:r>
      <w:r>
        <w:rPr/>
        <w:t> 平衡，共同推动公司持续、稳健发展。</w:t>
      </w:r>
    </w:p>
    <w:p>
      <w:pPr>
        <w:pStyle w:val="BodyText"/>
        <w:spacing w:line="316" w:lineRule="auto" w:before="19"/>
        <w:ind w:right="94" w:firstLine="360"/>
        <w:jc w:val="left"/>
      </w:pPr>
      <w:r>
        <w:rPr>
          <w:spacing w:val="-2"/>
        </w:rPr>
        <w:t>（七）公司不断强化信息披露，提升经营管理透明度。①严格按照法律、法规、《公司章程》、《公司信息披露管理制</w:t>
      </w:r>
      <w:r>
        <w:rPr/>
        <w:t> </w:t>
      </w:r>
      <w:r>
        <w:rPr>
          <w:spacing w:val="-2"/>
        </w:rPr>
        <w:t>度》等的规定，真实、准确、完整、及时、公平地披露信息，并指定《中国证券报》、《上海证券报》、《证券时报》和巨</w:t>
      </w:r>
      <w:r>
        <w:rPr>
          <w:spacing w:val="-66"/>
        </w:rPr>
        <w:t> </w:t>
      </w:r>
      <w:r>
        <w:rPr>
          <w:spacing w:val="-66"/>
        </w:rPr>
      </w:r>
      <w:r>
        <w:rPr/>
        <w:t>潮资讯网为公司信息披露的报纸和网站，确保所有投资者能够公平获取公司信息。 ②加强内幕信息管理，认真做好内幕信</w:t>
      </w:r>
      <w:r>
        <w:rPr>
          <w:spacing w:val="-82"/>
        </w:rPr>
        <w:t> </w:t>
      </w:r>
      <w:r>
        <w:rPr>
          <w:spacing w:val="-82"/>
        </w:rPr>
      </w:r>
      <w:r>
        <w:rPr/>
        <w:t>息知情人登记工作，确保内幕信息保密，维护信息披露的公平原则，保护广大投资者的合法权益；③通过电话、电子邮件、 投资者互动平台、接待现场调研、券商策略会等方式加强投资者关系管理。</w:t>
      </w:r>
    </w:p>
    <w:p>
      <w:pPr>
        <w:pStyle w:val="BodyText"/>
        <w:spacing w:line="240" w:lineRule="auto" w:before="59"/>
        <w:ind w:right="94"/>
        <w:jc w:val="left"/>
      </w:pPr>
      <w:r>
        <w:rPr/>
        <w:t>公司治理与《公司法》和中国证监会相关规定的要求是否存在差异</w:t>
      </w:r>
    </w:p>
    <w:p>
      <w:pPr>
        <w:pStyle w:val="BodyText"/>
        <w:spacing w:line="360" w:lineRule="auto" w:before="115"/>
        <w:ind w:right="4594"/>
        <w:jc w:val="left"/>
      </w:pPr>
      <w:r>
        <w:rPr/>
        <w:t>□ 是 √</w:t>
      </w:r>
      <w:r>
        <w:rPr>
          <w:spacing w:val="3"/>
        </w:rPr>
        <w:t> </w:t>
      </w:r>
      <w:r>
        <w:rPr/>
        <w:t>否</w:t>
      </w:r>
      <w:r>
        <w:rPr/>
        <w:t> 公司治理与《公司法》和中国证监会相关规定的要求不存在差异。</w:t>
      </w:r>
    </w:p>
    <w:p>
      <w:pPr>
        <w:pStyle w:val="BodyText"/>
        <w:spacing w:line="240" w:lineRule="auto" w:before="25"/>
        <w:ind w:right="94"/>
        <w:jc w:val="left"/>
      </w:pPr>
      <w:r>
        <w:rPr/>
        <w:t>公司治理专项活动开展情况以及内幕信息知情人登记管理制度的制定、实施情况</w:t>
      </w:r>
    </w:p>
    <w:p>
      <w:pPr>
        <w:pStyle w:val="BodyText"/>
        <w:spacing w:line="309" w:lineRule="auto" w:before="117"/>
        <w:ind w:right="200" w:firstLine="360"/>
        <w:jc w:val="both"/>
      </w:pPr>
      <w:r>
        <w:rPr/>
        <w:t>公司于</w:t>
      </w:r>
      <w:r>
        <w:rPr>
          <w:spacing w:val="-36"/>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0"/>
        </w:rPr>
        <w:t> </w:t>
      </w:r>
      <w:r>
        <w:rPr>
          <w:spacing w:val="-3"/>
        </w:rPr>
        <w:t>月第五届董事会十四次会议通过《公司内幕信息知情人登记制度》。报告期内，公司依照证监会、深</w:t>
      </w:r>
      <w:r>
        <w:rPr/>
        <w:t> </w:t>
      </w:r>
      <w:r>
        <w:rPr>
          <w:spacing w:val="-2"/>
        </w:rPr>
        <w:t>圳证券交易所关于加强内幕信息管理的相关规定，严格执行《公司内幕信息知情人登记制度》。报告期内，公司未发现内幕</w:t>
      </w:r>
      <w:r>
        <w:rPr>
          <w:spacing w:val="-72"/>
        </w:rPr>
        <w:t> </w:t>
      </w:r>
      <w:r>
        <w:rPr>
          <w:spacing w:val="-72"/>
        </w:rPr>
      </w:r>
      <w:r>
        <w:rPr/>
        <w:t>信息知情人在影响公司股价的重大敏感信息披露前利用内幕信息买卖公司股份的情况。</w:t>
      </w:r>
    </w:p>
    <w:p>
      <w:pPr>
        <w:spacing w:line="240" w:lineRule="auto" w:before="3"/>
        <w:rPr>
          <w:rFonts w:ascii="宋体" w:hAnsi="宋体" w:cs="宋体" w:eastAsia="宋体" w:hint="default"/>
          <w:sz w:val="21"/>
          <w:szCs w:val="21"/>
        </w:rPr>
      </w:pPr>
    </w:p>
    <w:p>
      <w:pPr>
        <w:pStyle w:val="Heading2"/>
        <w:spacing w:line="240" w:lineRule="auto"/>
        <w:ind w:right="94"/>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16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3"/>
              <w:jc w:val="left"/>
              <w:rPr>
                <w:rFonts w:ascii="宋体" w:hAnsi="宋体" w:cs="宋体" w:eastAsia="宋体" w:hint="default"/>
                <w:sz w:val="18"/>
                <w:szCs w:val="18"/>
              </w:rPr>
            </w:pPr>
            <w:r>
              <w:rPr>
                <w:rFonts w:ascii="宋体" w:hAnsi="宋体" w:cs="宋体" w:eastAsia="宋体" w:hint="default"/>
                <w:spacing w:val="-11"/>
                <w:sz w:val="18"/>
                <w:szCs w:val="18"/>
              </w:rPr>
              <w:t>一、《江苏中南建设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集团股份有限公司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 作报告》</w:t>
            </w:r>
            <w:r>
              <w:rPr>
                <w:rFonts w:ascii="宋体" w:hAnsi="宋体" w:cs="宋体" w:eastAsia="宋体" w:hint="default"/>
                <w:spacing w:val="2"/>
                <w:sz w:val="18"/>
                <w:szCs w:val="18"/>
              </w:rPr>
              <w:t> </w:t>
            </w:r>
            <w:r>
              <w:rPr>
                <w:rFonts w:ascii="Times New Roman" w:hAnsi="Times New Roman" w:cs="Times New Roman" w:eastAsia="Times New Roman" w:hint="default"/>
                <w:spacing w:val="-19"/>
                <w:sz w:val="18"/>
                <w:szCs w:val="18"/>
              </w:rPr>
              <w:t>;</w:t>
            </w:r>
            <w:r>
              <w:rPr>
                <w:rFonts w:ascii="宋体" w:hAnsi="宋体" w:cs="宋体" w:eastAsia="宋体" w:hint="default"/>
                <w:spacing w:val="-19"/>
                <w:sz w:val="18"/>
                <w:szCs w:val="18"/>
              </w:rPr>
              <w:t>二、《江</w:t>
            </w:r>
            <w:r>
              <w:rPr>
                <w:rFonts w:ascii="宋体" w:hAnsi="宋体" w:cs="宋体" w:eastAsia="宋体" w:hint="default"/>
                <w:sz w:val="18"/>
                <w:szCs w:val="18"/>
              </w:rPr>
              <w:t> 苏中南建设集团股 份有限公司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年度财务决算报 告》 </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三、《江苏中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南建设集团股份有 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 润分配及公积金转 </w:t>
            </w:r>
            <w:r>
              <w:rPr>
                <w:rFonts w:ascii="宋体" w:hAnsi="宋体" w:cs="宋体" w:eastAsia="宋体" w:hint="default"/>
                <w:spacing w:val="-14"/>
                <w:sz w:val="18"/>
                <w:szCs w:val="18"/>
              </w:rPr>
              <w:t>增股本</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四、《江苏中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南建设集团股份有 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度报告和年度报告 摘要》</w:t>
            </w:r>
            <w:r>
              <w:rPr>
                <w:rFonts w:ascii="宋体" w:hAnsi="宋体" w:cs="宋体" w:eastAsia="宋体" w:hint="default"/>
                <w:spacing w:val="3"/>
                <w:sz w:val="18"/>
                <w:szCs w:val="18"/>
              </w:rPr>
              <w:t> </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五、《江苏</w:t>
            </w:r>
            <w:r>
              <w:rPr>
                <w:rFonts w:ascii="宋体" w:hAnsi="宋体" w:cs="宋体" w:eastAsia="宋体" w:hint="default"/>
                <w:sz w:val="18"/>
                <w:szCs w:val="18"/>
              </w:rPr>
              <w:t> 中南建设集团股份 有限公司关于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年度关联交易执行 </w:t>
            </w:r>
            <w:r>
              <w:rPr>
                <w:rFonts w:ascii="宋体" w:hAnsi="宋体" w:cs="宋体" w:eastAsia="宋体" w:hint="default"/>
                <w:spacing w:val="-14"/>
                <w:sz w:val="18"/>
                <w:szCs w:val="18"/>
              </w:rPr>
              <w:t>情况及</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六、《江苏中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南建设集团股份有 限公司关于续聘财 务和内控审计机构 </w:t>
            </w:r>
            <w:r>
              <w:rPr>
                <w:rFonts w:ascii="宋体" w:hAnsi="宋体" w:cs="宋体" w:eastAsia="宋体" w:hint="default"/>
                <w:spacing w:val="-14"/>
                <w:sz w:val="18"/>
                <w:szCs w:val="18"/>
              </w:rPr>
              <w:t>的议</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七、《江苏中南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建设集团股份有限 公司关于与控股股 东共同投资设立南 京公司的议案》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八、《江苏中南建设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集团股份有限公司 关于与控股股东共 同投资设立苏州公 司的议案》</w:t>
            </w:r>
            <w:r>
              <w:rPr>
                <w:rFonts w:ascii="宋体" w:hAnsi="宋体" w:cs="宋体" w:eastAsia="宋体" w:hint="default"/>
                <w:spacing w:val="-66"/>
                <w:sz w:val="18"/>
                <w:szCs w:val="18"/>
              </w:rPr>
              <w:t> </w:t>
            </w:r>
            <w:r>
              <w:rPr>
                <w:rFonts w:ascii="Times New Roman" w:hAnsi="Times New Roman" w:cs="Times New Roman" w:eastAsia="Times New Roman" w:hint="default"/>
                <w:spacing w:val="-32"/>
                <w:sz w:val="18"/>
                <w:szCs w:val="18"/>
              </w:rPr>
              <w:t>;</w:t>
            </w:r>
            <w:r>
              <w:rPr>
                <w:rFonts w:ascii="宋体" w:hAnsi="宋体" w:cs="宋体" w:eastAsia="宋体" w:hint="default"/>
                <w:spacing w:val="-32"/>
                <w:sz w:val="18"/>
                <w:szCs w:val="18"/>
              </w:rPr>
              <w:t>九、《江</w:t>
            </w:r>
            <w:r>
              <w:rPr>
                <w:rFonts w:ascii="宋体" w:hAnsi="宋体" w:cs="宋体" w:eastAsia="宋体" w:hint="default"/>
                <w:sz w:val="18"/>
                <w:szCs w:val="18"/>
              </w:rPr>
              <w:t> 苏中南建设集团股 份有限公司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年度监事会工作报 </w:t>
            </w:r>
            <w:r>
              <w:rPr>
                <w:rFonts w:ascii="宋体" w:hAnsi="宋体" w:cs="宋体" w:eastAsia="宋体" w:hint="default"/>
                <w:spacing w:val="-31"/>
                <w:sz w:val="18"/>
                <w:szCs w:val="18"/>
              </w:rPr>
              <w:t>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全部议案均表决通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309" w:lineRule="auto"/>
              <w:ind w:left="24" w:right="19"/>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10"/>
                <w:sz w:val="18"/>
                <w:szCs w:val="18"/>
              </w:rPr>
              <w:t>日刊登于《中国证券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8"/>
                <w:sz w:val="18"/>
                <w:szCs w:val="18"/>
              </w:rPr>
              <w:t>报》、《证券时报》、</w:t>
            </w:r>
          </w:p>
          <w:p>
            <w:pPr>
              <w:pStyle w:val="TableParagraph"/>
              <w:spacing w:line="338" w:lineRule="auto" w:before="24"/>
              <w:ind w:left="24" w:right="19"/>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《上海证券报》和巨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2014-043</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2"/>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、审议通过江苏中 南建设集团股份有 限公司关于公司子</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议案表决通过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10"/>
                <w:sz w:val="18"/>
                <w:szCs w:val="18"/>
              </w:rPr>
              <w:t>日刊登于《中国证券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8"/>
                <w:sz w:val="18"/>
                <w:szCs w:val="18"/>
              </w:rPr>
              <w:t>报》、《证券时报》、</w:t>
            </w:r>
          </w:p>
        </w:tc>
      </w:tr>
    </w:tbl>
    <w:p>
      <w:pPr>
        <w:spacing w:after="0" w:line="307" w:lineRule="auto"/>
        <w:jc w:val="both"/>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公司与汇添富资本 管理有限公司开展 </w:t>
            </w:r>
            <w:r>
              <w:rPr>
                <w:rFonts w:ascii="宋体" w:hAnsi="宋体" w:cs="宋体" w:eastAsia="宋体" w:hint="default"/>
                <w:spacing w:val="-10"/>
                <w:sz w:val="18"/>
                <w:szCs w:val="18"/>
              </w:rPr>
              <w:t>融资合作暨签署《保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证担保协议》等合同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4" w:right="19"/>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《上海证券报》和巨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2014-011</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、审议通过《关于 董事换届选举的议 </w:t>
            </w:r>
            <w:r>
              <w:rPr>
                <w:rFonts w:ascii="宋体" w:hAnsi="宋体" w:cs="宋体" w:eastAsia="宋体" w:hint="default"/>
                <w:spacing w:val="-32"/>
                <w:sz w:val="18"/>
                <w:szCs w:val="18"/>
              </w:rPr>
              <w:t>案》；</w:t>
            </w:r>
            <w:r>
              <w:rPr>
                <w:rFonts w:ascii="Times New Roman" w:hAnsi="Times New Roman" w:cs="Times New Roman" w:eastAsia="Times New Roman" w:hint="default"/>
                <w:spacing w:val="-32"/>
                <w:sz w:val="18"/>
                <w:szCs w:val="18"/>
              </w:rPr>
              <w:t>2</w:t>
            </w:r>
            <w:r>
              <w:rPr>
                <w:rFonts w:ascii="宋体" w:hAnsi="宋体" w:cs="宋体" w:eastAsia="宋体" w:hint="default"/>
                <w:spacing w:val="-32"/>
                <w:sz w:val="18"/>
                <w:szCs w:val="18"/>
              </w:rPr>
              <w:t>、审议通过《关</w:t>
            </w:r>
            <w:r>
              <w:rPr>
                <w:rFonts w:ascii="宋体" w:hAnsi="宋体" w:cs="宋体" w:eastAsia="宋体" w:hint="default"/>
                <w:sz w:val="18"/>
                <w:szCs w:val="18"/>
              </w:rPr>
              <w:t> 于监事会换届选举 </w:t>
            </w:r>
            <w:r>
              <w:rPr>
                <w:rFonts w:ascii="宋体" w:hAnsi="宋体" w:cs="宋体" w:eastAsia="宋体" w:hint="default"/>
                <w:spacing w:val="-19"/>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全部议案均表决通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日刊登于《中国证券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8"/>
                <w:sz w:val="18"/>
                <w:szCs w:val="18"/>
              </w:rPr>
              <w:t>报》、《证券时报》、</w:t>
            </w:r>
          </w:p>
          <w:p>
            <w:pPr>
              <w:pStyle w:val="TableParagraph"/>
              <w:spacing w:line="338" w:lineRule="auto" w:before="24"/>
              <w:ind w:left="24" w:right="19"/>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《上海证券报》和巨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2014-022</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、审议通过江苏中 南建设集团股份有 限公司关于债权融 资暨向子公司提供 对外担保的议案。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议案表决通过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日刊登于《中国证券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8"/>
                <w:sz w:val="18"/>
                <w:szCs w:val="18"/>
              </w:rPr>
              <w:t>报》、《证券时报》、</w:t>
            </w:r>
          </w:p>
          <w:p>
            <w:pPr>
              <w:pStyle w:val="TableParagraph"/>
              <w:spacing w:line="338" w:lineRule="auto" w:before="24"/>
              <w:ind w:left="24" w:right="19"/>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《上海证券报》和巨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2014-039</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、审计通过《江苏 中南建设集团股份 有限公司关于控股 子公司融资暨向子 公司及公司控股股 东提供担保的议 </w:t>
            </w:r>
            <w:r>
              <w:rPr>
                <w:rFonts w:ascii="宋体" w:hAnsi="宋体" w:cs="宋体" w:eastAsia="宋体" w:hint="default"/>
                <w:spacing w:val="-31"/>
                <w:sz w:val="18"/>
                <w:szCs w:val="18"/>
              </w:rPr>
              <w:t>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议案表决通过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17"/>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日刊登于《中国证券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8"/>
                <w:sz w:val="18"/>
                <w:szCs w:val="18"/>
              </w:rPr>
              <w:t>报》、《证券时报》、</w:t>
            </w:r>
          </w:p>
          <w:p>
            <w:pPr>
              <w:pStyle w:val="TableParagraph"/>
              <w:spacing w:line="338" w:lineRule="auto" w:before="24"/>
              <w:ind w:left="24" w:right="19"/>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《上海证券报》和巨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2014-053</w:t>
            </w:r>
          </w:p>
        </w:tc>
      </w:tr>
      <w:tr>
        <w:trPr>
          <w:trHeight w:val="383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60"/>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、《江苏中南建设集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团股份有限公司关 于深圳平安大华汇 通财富管理有限公 司变更借款委托银 行的议案》</w:t>
            </w:r>
            <w:r>
              <w:rPr>
                <w:rFonts w:ascii="宋体" w:hAnsi="宋体" w:cs="宋体" w:eastAsia="宋体" w:hint="default"/>
                <w:spacing w:val="-19"/>
                <w:sz w:val="18"/>
                <w:szCs w:val="18"/>
              </w:rPr>
              <w:t> </w:t>
            </w: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、《江</w:t>
            </w:r>
            <w:r>
              <w:rPr>
                <w:rFonts w:ascii="宋体" w:hAnsi="宋体" w:cs="宋体" w:eastAsia="宋体" w:hint="default"/>
                <w:sz w:val="18"/>
                <w:szCs w:val="18"/>
              </w:rPr>
              <w:t> 苏中南建设集团股 份有限公司关于深 圳平安大华汇通财 富管理有限公司融 资合作项目确认抵 押方案的议案》</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20"/>
              <w:jc w:val="left"/>
              <w:rPr>
                <w:rFonts w:ascii="宋体" w:hAnsi="宋体" w:cs="宋体" w:eastAsia="宋体" w:hint="default"/>
                <w:sz w:val="18"/>
                <w:szCs w:val="18"/>
              </w:rPr>
            </w:pPr>
            <w:r>
              <w:rPr>
                <w:rFonts w:ascii="宋体" w:hAnsi="宋体" w:cs="宋体" w:eastAsia="宋体" w:hint="default"/>
                <w:sz w:val="18"/>
                <w:szCs w:val="18"/>
              </w:rPr>
              <w:t>全部议案均表决通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7"/>
              <w:ind w:left="24" w:right="17"/>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日刊登于《中国证券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8"/>
                <w:sz w:val="18"/>
                <w:szCs w:val="18"/>
              </w:rPr>
              <w:t>报》、《证券时报》、</w:t>
            </w:r>
          </w:p>
          <w:p>
            <w:pPr>
              <w:pStyle w:val="TableParagraph"/>
              <w:spacing w:line="340" w:lineRule="auto" w:before="24"/>
              <w:ind w:left="24" w:right="19"/>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《上海证券报》和巨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2014-059</w:t>
            </w:r>
          </w:p>
        </w:tc>
      </w:tr>
      <w:tr>
        <w:trPr>
          <w:trHeight w:val="223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、关于公司参与发 行“华融</w:t>
            </w:r>
            <w:r>
              <w:rPr>
                <w:rFonts w:ascii="Times New Roman" w:hAnsi="Times New Roman" w:cs="Times New Roman" w:eastAsia="Times New Roman" w:hint="default"/>
                <w:sz w:val="18"/>
                <w:szCs w:val="18"/>
              </w:rPr>
              <w:t>.</w:t>
            </w:r>
            <w:r>
              <w:rPr>
                <w:rFonts w:ascii="宋体" w:hAnsi="宋体" w:cs="宋体" w:eastAsia="宋体" w:hint="default"/>
                <w:sz w:val="18"/>
                <w:szCs w:val="18"/>
              </w:rPr>
              <w:t>中南世纪 城股权投资集合资 </w:t>
            </w:r>
            <w:r>
              <w:rPr>
                <w:rFonts w:ascii="宋体" w:hAnsi="宋体" w:cs="宋体" w:eastAsia="宋体" w:hint="default"/>
                <w:spacing w:val="-10"/>
                <w:sz w:val="18"/>
                <w:szCs w:val="18"/>
              </w:rPr>
              <w:t>金信托计划”暨与华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融国际信托有限责 </w:t>
            </w:r>
            <w:r>
              <w:rPr>
                <w:rFonts w:ascii="宋体" w:hAnsi="宋体" w:cs="宋体" w:eastAsia="宋体" w:hint="default"/>
                <w:spacing w:val="-10"/>
                <w:sz w:val="18"/>
                <w:szCs w:val="18"/>
              </w:rPr>
              <w:t>任公司签署《股权转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让合同》等协议的议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议案表决通过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7" w:lineRule="auto"/>
              <w:ind w:left="24" w:right="17"/>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日刊登于《中国证券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8"/>
                <w:sz w:val="18"/>
                <w:szCs w:val="18"/>
              </w:rPr>
              <w:t>报》、《证券时报》、</w:t>
            </w:r>
          </w:p>
          <w:p>
            <w:pPr>
              <w:pStyle w:val="TableParagraph"/>
              <w:spacing w:line="338" w:lineRule="auto" w:before="26"/>
              <w:ind w:left="24" w:right="19"/>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《上海证券报》和巨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潮资讯网，公告编号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2014-067</w:t>
            </w:r>
          </w:p>
        </w:tc>
      </w:tr>
    </w:tbl>
    <w:p>
      <w:pPr>
        <w:spacing w:after="0" w:line="338" w:lineRule="auto"/>
        <w:jc w:val="both"/>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pStyle w:val="BodyText"/>
        <w:spacing w:line="240" w:lineRule="auto" w:before="44"/>
        <w:ind w:left="0" w:right="170"/>
        <w:jc w:val="right"/>
      </w:pPr>
      <w:r>
        <w:rPr/>
        <w:pict>
          <v:shape style="position:absolute;margin-left:56.400002pt;margin-top:-65.668304pt;width:479.15pt;height:116.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、江苏中南建设集 团股份有限公司关 于公司拟注册和发 行不超过人民币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亿元中期票据的议 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议案表决通过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314" w:lineRule="auto" w:before="63"/>
                          <w:ind w:left="24"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日刊登于《中国 </w:t>
                        </w:r>
                        <w:r>
                          <w:rPr>
                            <w:rFonts w:ascii="宋体" w:hAnsi="宋体" w:cs="宋体" w:eastAsia="宋体" w:hint="default"/>
                            <w:spacing w:val="-21"/>
                            <w:sz w:val="18"/>
                            <w:szCs w:val="18"/>
                          </w:rPr>
                          <w:t>证券报》、《证券时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1"/>
                            <w:sz w:val="18"/>
                            <w:szCs w:val="18"/>
                          </w:rPr>
                          <w:t>报》、《上海证券报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和巨潮资讯网，公告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2014-069</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36"/>
        <w:ind w:right="142"/>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142"/>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马挺贵</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史建三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357" w:lineRule="auto" w:before="49"/>
        <w:ind w:right="7074"/>
        <w:jc w:val="left"/>
      </w:pPr>
      <w:r>
        <w:rPr/>
        <w:t>连续两次未亲自出席董事会的说明 无</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独立董事对公司有关事项是否提出异议</w:t>
      </w:r>
    </w:p>
    <w:p>
      <w:pPr>
        <w:pStyle w:val="BodyText"/>
        <w:spacing w:line="360" w:lineRule="auto" w:before="115"/>
        <w:ind w:right="5994"/>
        <w:jc w:val="left"/>
      </w:pPr>
      <w:r>
        <w:rPr/>
        <w:t>□ 是 √</w:t>
      </w:r>
      <w:r>
        <w:rPr>
          <w:spacing w:val="3"/>
        </w:rPr>
        <w:t> </w:t>
      </w:r>
      <w:r>
        <w:rPr/>
        <w:t>否</w:t>
      </w:r>
      <w:r>
        <w:rPr/>
        <w:t> 报告期内独立董事对公司有关事项未提出异议。</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独立董事对公司有关建议是否被采纳</w:t>
      </w:r>
    </w:p>
    <w:p>
      <w:pPr>
        <w:pStyle w:val="BodyText"/>
        <w:spacing w:line="360" w:lineRule="auto" w:before="115"/>
        <w:ind w:right="5814"/>
        <w:jc w:val="left"/>
      </w:pPr>
      <w:r>
        <w:rPr/>
        <w:t>√ 是 □</w:t>
      </w:r>
      <w:r>
        <w:rPr>
          <w:spacing w:val="3"/>
        </w:rPr>
        <w:t> </w:t>
      </w:r>
      <w:r>
        <w:rPr/>
        <w:t>否</w:t>
      </w:r>
      <w:r>
        <w:rPr/>
        <w:t> 独立董事对公司有关建议被采纳或未被采纳的说明 详见独立董事</w:t>
      </w:r>
      <w:r>
        <w:rPr>
          <w:rFonts w:ascii="Times New Roman" w:hAnsi="Times New Roman" w:cs="Times New Roman" w:eastAsia="Times New Roman" w:hint="default"/>
        </w:rPr>
        <w:t>2014</w:t>
      </w:r>
      <w:r>
        <w:rPr/>
        <w:t>年履职情况报告。</w:t>
      </w:r>
    </w:p>
    <w:p>
      <w:pPr>
        <w:spacing w:after="0" w:line="360" w:lineRule="auto"/>
        <w:jc w:val="left"/>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513" w:right="94" w:hanging="361"/>
        <w:jc w:val="left"/>
        <w:rPr>
          <w:rFonts w:ascii="宋体" w:hAnsi="宋体" w:cs="宋体" w:eastAsia="宋体" w:hint="default"/>
          <w:sz w:val="18"/>
          <w:szCs w:val="18"/>
        </w:rPr>
      </w:pPr>
      <w:r>
        <w:rPr>
          <w:rFonts w:ascii="宋体" w:hAnsi="宋体" w:cs="宋体" w:eastAsia="宋体" w:hint="default"/>
          <w:b/>
          <w:bCs/>
          <w:sz w:val="18"/>
          <w:szCs w:val="18"/>
        </w:rPr>
        <w:t>董事会下设的战略委员会的履职情况汇总报告：</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报告期内，董事会战略委员会就公司所处的行业环境变化情况与外部专家进行了多次交流，根据公司建筑、房地产双主</w:t>
      </w:r>
    </w:p>
    <w:p>
      <w:pPr>
        <w:spacing w:line="316" w:lineRule="auto" w:before="19"/>
        <w:ind w:left="152" w:right="814" w:firstLine="0"/>
        <w:jc w:val="left"/>
        <w:rPr>
          <w:rFonts w:ascii="宋体" w:hAnsi="宋体" w:cs="宋体" w:eastAsia="宋体" w:hint="default"/>
          <w:sz w:val="18"/>
          <w:szCs w:val="18"/>
        </w:rPr>
      </w:pPr>
      <w:r>
        <w:rPr>
          <w:rFonts w:ascii="宋体" w:hAnsi="宋体" w:cs="宋体" w:eastAsia="宋体" w:hint="default"/>
          <w:sz w:val="18"/>
          <w:szCs w:val="18"/>
        </w:rPr>
        <w:t>业的特点，完善公司及子公司的体制、机制，进一步理顺公司内部运营流程；完成公司五大转型升级等发展措施。 </w:t>
      </w:r>
      <w:r>
        <w:rPr>
          <w:rFonts w:ascii="宋体" w:hAnsi="宋体" w:cs="宋体" w:eastAsia="宋体" w:hint="default"/>
          <w:b/>
          <w:bCs/>
          <w:sz w:val="18"/>
          <w:szCs w:val="18"/>
        </w:rPr>
        <w:t>董事会下设的审计委员会的履职情况汇总报告：</w:t>
      </w:r>
      <w:r>
        <w:rPr>
          <w:rFonts w:ascii="宋体" w:hAnsi="宋体" w:cs="宋体" w:eastAsia="宋体" w:hint="default"/>
          <w:sz w:val="18"/>
          <w:szCs w:val="18"/>
        </w:rPr>
      </w:r>
    </w:p>
    <w:p>
      <w:pPr>
        <w:pStyle w:val="BodyText"/>
        <w:spacing w:line="240" w:lineRule="auto" w:before="19"/>
        <w:ind w:left="513" w:right="94"/>
        <w:jc w:val="left"/>
      </w:pPr>
      <w:r>
        <w:rPr>
          <w:rFonts w:ascii="Times New Roman" w:hAnsi="Times New Roman" w:cs="Times New Roman" w:eastAsia="Times New Roman" w:hint="default"/>
        </w:rPr>
        <w:t>1</w:t>
      </w:r>
      <w:r>
        <w:rPr/>
        <w:t>、年报审计工作</w:t>
      </w:r>
    </w:p>
    <w:p>
      <w:pPr>
        <w:pStyle w:val="BodyText"/>
        <w:spacing w:line="300" w:lineRule="auto" w:before="63"/>
        <w:ind w:right="194" w:firstLine="271"/>
        <w:jc w:val="both"/>
      </w:pPr>
      <w:r>
        <w:rPr/>
        <w:t>（</w:t>
      </w:r>
      <w:r>
        <w:rPr>
          <w:rFonts w:ascii="Times New Roman" w:hAnsi="Times New Roman" w:cs="Times New Roman" w:eastAsia="Times New Roman" w:hint="default"/>
        </w:rPr>
        <w:t>1</w:t>
      </w:r>
      <w:r>
        <w:rPr/>
        <w:t>）董事会审计委员会于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月份认真审阅了公司</w:t>
      </w:r>
      <w:r>
        <w:rPr>
          <w:rFonts w:ascii="Times New Roman" w:hAnsi="Times New Roman" w:cs="Times New Roman" w:eastAsia="Times New Roman" w:hint="default"/>
        </w:rPr>
        <w:t>2014</w:t>
      </w:r>
      <w:r>
        <w:rPr/>
        <w:t>年度财务报告及相关资料，召开审计委员会会议与负责公司 年度审计工作的项目签字注册会计师协商确定了公司</w:t>
      </w:r>
      <w:r>
        <w:rPr>
          <w:rFonts w:ascii="Times New Roman" w:hAnsi="Times New Roman" w:cs="Times New Roman" w:eastAsia="Times New Roman" w:hint="default"/>
        </w:rPr>
        <w:t>2014</w:t>
      </w:r>
      <w:r>
        <w:rPr/>
        <w:t>年度财务报告审计工作的时间安排。</w:t>
      </w:r>
    </w:p>
    <w:p>
      <w:pPr>
        <w:pStyle w:val="BodyText"/>
        <w:spacing w:line="300" w:lineRule="auto" w:before="13"/>
        <w:ind w:right="100" w:firstLine="271"/>
        <w:jc w:val="both"/>
      </w:pPr>
      <w:r>
        <w:rPr>
          <w:spacing w:val="-4"/>
        </w:rPr>
        <w:t>（</w:t>
      </w:r>
      <w:r>
        <w:rPr>
          <w:rFonts w:ascii="Times New Roman" w:hAnsi="Times New Roman" w:cs="Times New Roman" w:eastAsia="Times New Roman" w:hint="default"/>
          <w:spacing w:val="-4"/>
        </w:rPr>
        <w:t>2</w:t>
      </w:r>
      <w:r>
        <w:rPr>
          <w:spacing w:val="-4"/>
        </w:rPr>
        <w:t>）公司年审注册会计师进场后，董事会审计委员会与公司年审注册会计师就审计过程中发现的问题进行了沟通和交流，</w:t>
      </w:r>
      <w:r>
        <w:rPr/>
        <w:t> 尤其是对公司关联交易的公允性、必要性，对外担保、资金占用、内部控制的实施等事项进行了详细的询问。</w:t>
      </w:r>
    </w:p>
    <w:p>
      <w:pPr>
        <w:pStyle w:val="BodyText"/>
        <w:spacing w:line="300" w:lineRule="auto" w:before="32"/>
        <w:ind w:right="188" w:firstLine="271"/>
        <w:jc w:val="both"/>
      </w:pPr>
      <w:r>
        <w:rPr/>
        <w:t>（</w:t>
      </w:r>
      <w:r>
        <w:rPr>
          <w:rFonts w:ascii="Times New Roman" w:hAnsi="Times New Roman" w:cs="Times New Roman" w:eastAsia="Times New Roman" w:hint="default"/>
        </w:rPr>
        <w:t>3</w:t>
      </w:r>
      <w:r>
        <w:rPr/>
        <w:t>）公司年审注册会计师出具审计意见后，董事会审计委员会于</w:t>
      </w:r>
      <w:r>
        <w:rPr>
          <w:rFonts w:ascii="Times New Roman" w:hAnsi="Times New Roman" w:cs="Times New Roman" w:eastAsia="Times New Roman" w:hint="default"/>
        </w:rPr>
        <w:t>3</w:t>
      </w:r>
      <w:r>
        <w:rPr/>
        <w:t>月底再一次审阅了公司</w:t>
      </w:r>
      <w:r>
        <w:rPr>
          <w:rFonts w:ascii="Times New Roman" w:hAnsi="Times New Roman" w:cs="Times New Roman" w:eastAsia="Times New Roman" w:hint="default"/>
        </w:rPr>
        <w:t>2014</w:t>
      </w:r>
      <w:r>
        <w:rPr/>
        <w:t>年度财务会计报表，对审 计机构公司较为满意，并提出了完善报告的意见。</w:t>
      </w:r>
    </w:p>
    <w:p>
      <w:pPr>
        <w:spacing w:line="316" w:lineRule="auto" w:before="31"/>
        <w:ind w:left="513" w:right="94" w:hanging="361"/>
        <w:jc w:val="left"/>
        <w:rPr>
          <w:rFonts w:ascii="宋体" w:hAnsi="宋体" w:cs="宋体" w:eastAsia="宋体" w:hint="default"/>
          <w:sz w:val="18"/>
          <w:szCs w:val="18"/>
        </w:rPr>
      </w:pPr>
      <w:r>
        <w:rPr>
          <w:rFonts w:ascii="宋体" w:hAnsi="宋体" w:cs="宋体" w:eastAsia="宋体" w:hint="default"/>
          <w:b/>
          <w:bCs/>
          <w:sz w:val="18"/>
          <w:szCs w:val="18"/>
        </w:rPr>
        <w:t>董事会下设的薪酬与考核委员会的履职情况汇总报告：</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报告期内，薪酬与考核委员会成员勤勉尽责，对公司薪酬考核体系的建设提出了宝贵的意见，并对董事、监事及高级管</w:t>
      </w:r>
    </w:p>
    <w:p>
      <w:pPr>
        <w:pStyle w:val="BodyText"/>
        <w:spacing w:line="240" w:lineRule="auto" w:before="19"/>
        <w:ind w:right="94"/>
        <w:jc w:val="left"/>
      </w:pPr>
      <w:r>
        <w:rPr/>
        <w:t>理人年度工资、奖金等薪酬调整事项进行了审议，有效履行了职责。</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监事会在报告期内的监督活动中发现公司是否存在风险</w:t>
      </w:r>
    </w:p>
    <w:p>
      <w:pPr>
        <w:pStyle w:val="BodyText"/>
        <w:spacing w:line="338" w:lineRule="auto" w:before="117"/>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六、</w:t>
      </w:r>
      <w:r>
        <w:rPr>
          <w:spacing w:val="-2"/>
        </w:rPr>
        <w:t> </w:t>
      </w:r>
      <w:r>
        <w:rPr/>
        <w:t>监事会工作报告</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92" w:firstLine="360"/>
        <w:jc w:val="both"/>
      </w:pPr>
      <w:r>
        <w:rPr>
          <w:rFonts w:ascii="Times New Roman" w:hAnsi="Times New Roman" w:cs="Times New Roman" w:eastAsia="Times New Roman" w:hint="default"/>
          <w:spacing w:val="-2"/>
        </w:rPr>
        <w:t>2014</w:t>
      </w:r>
      <w:r>
        <w:rPr>
          <w:spacing w:val="-2"/>
        </w:rPr>
        <w:t>年度，公司监事会严格按照《公司法》、《证券法》、《公司章程》及国家有关规定，列席了董事会所有会议，对</w:t>
      </w:r>
      <w:r>
        <w:rPr/>
        <w:t> </w:t>
      </w:r>
      <w:r>
        <w:rPr>
          <w:spacing w:val="-2"/>
        </w:rPr>
        <w:t>公司的经营、董事、高级管理人员履行职务情况、公司财务状况行使了监督权利，独立发表意见，尽职地履行了公司章程所</w:t>
      </w:r>
      <w:r>
        <w:rPr>
          <w:spacing w:val="-67"/>
        </w:rPr>
        <w:t> </w:t>
      </w:r>
      <w:r>
        <w:rPr>
          <w:spacing w:val="-67"/>
        </w:rPr>
      </w:r>
      <w:r>
        <w:rPr/>
        <w:t>赋予监事会的各项职责。</w:t>
      </w:r>
    </w:p>
    <w:p>
      <w:pPr>
        <w:pStyle w:val="BodyText"/>
        <w:spacing w:line="316" w:lineRule="auto" w:before="24"/>
        <w:ind w:left="513" w:right="190"/>
        <w:jc w:val="left"/>
        <w:rPr>
          <w:rFonts w:ascii="Times New Roman" w:hAnsi="Times New Roman" w:cs="Times New Roman" w:eastAsia="Times New Roman" w:hint="default"/>
        </w:rPr>
      </w:pPr>
      <w:r>
        <w:rPr/>
        <w:t>（一）报告期内监事会的会议情况 报告期内，根据《公司法》、《证券法》、《公司章程》的有关规定，公司召开了</w:t>
      </w:r>
      <w:r>
        <w:rPr>
          <w:rFonts w:ascii="Times New Roman" w:hAnsi="Times New Roman" w:cs="Times New Roman" w:eastAsia="Times New Roman" w:hint="default"/>
        </w:rPr>
        <w:t>4  </w:t>
      </w:r>
      <w:r>
        <w:rPr>
          <w:rFonts w:ascii="Times New Roman" w:hAnsi="Times New Roman" w:cs="Times New Roman" w:eastAsia="Times New Roman" w:hint="default"/>
          <w:spacing w:val="37"/>
        </w:rPr>
        <w:t> </w:t>
      </w:r>
      <w:r>
        <w:rPr/>
        <w:t>次监事会会议，分别审议了</w:t>
      </w:r>
      <w:r>
        <w:rPr>
          <w:rFonts w:ascii="Times New Roman" w:hAnsi="Times New Roman" w:cs="Times New Roman" w:eastAsia="Times New Roman" w:hint="default"/>
        </w:rPr>
        <w:t>2014</w:t>
      </w:r>
    </w:p>
    <w:p>
      <w:pPr>
        <w:pStyle w:val="BodyText"/>
        <w:spacing w:line="248" w:lineRule="exact"/>
        <w:ind w:right="94"/>
        <w:jc w:val="left"/>
      </w:pPr>
      <w:r>
        <w:rPr/>
        <w:t>年年报、</w:t>
      </w:r>
      <w:r>
        <w:rPr>
          <w:rFonts w:ascii="Times New Roman" w:hAnsi="Times New Roman" w:cs="Times New Roman" w:eastAsia="Times New Roman" w:hint="default"/>
        </w:rPr>
        <w:t>2014</w:t>
      </w:r>
      <w:r>
        <w:rPr/>
        <w:t>年一季报、</w:t>
      </w:r>
      <w:r>
        <w:rPr>
          <w:rFonts w:ascii="Times New Roman" w:hAnsi="Times New Roman" w:cs="Times New Roman" w:eastAsia="Times New Roman" w:hint="default"/>
        </w:rPr>
        <w:t>2014</w:t>
      </w:r>
      <w:r>
        <w:rPr/>
        <w:t>年半年报、</w:t>
      </w:r>
      <w:r>
        <w:rPr>
          <w:rFonts w:ascii="Times New Roman" w:hAnsi="Times New Roman" w:cs="Times New Roman" w:eastAsia="Times New Roman" w:hint="default"/>
        </w:rPr>
        <w:t>2014</w:t>
      </w:r>
      <w:r>
        <w:rPr/>
        <w:t>年三季报。</w:t>
      </w:r>
    </w:p>
    <w:p>
      <w:pPr>
        <w:pStyle w:val="BodyText"/>
        <w:spacing w:line="240" w:lineRule="auto" w:before="63"/>
        <w:ind w:left="513" w:right="94"/>
        <w:jc w:val="left"/>
      </w:pPr>
      <w:r>
        <w:rPr/>
        <w:t>（二）监事会对公司依法运作情况的独立意见</w:t>
      </w:r>
    </w:p>
    <w:p>
      <w:pPr>
        <w:pStyle w:val="BodyText"/>
        <w:spacing w:line="300" w:lineRule="auto" w:before="77"/>
        <w:ind w:left="513" w:right="93" w:firstLine="91"/>
        <w:jc w:val="left"/>
      </w:pPr>
      <w:r>
        <w:rPr>
          <w:rFonts w:ascii="Times New Roman" w:hAnsi="Times New Roman" w:cs="Times New Roman" w:eastAsia="Times New Roman" w:hint="default"/>
        </w:rPr>
        <w:t>1</w:t>
      </w:r>
      <w:r>
        <w:rPr/>
        <w:t>、公司依法运作情况 报告期内，公司监事会成员列席了公司召开的所有董事会、股东大会，并根据有关法律、法规及《公司章程》的规定，</w:t>
      </w:r>
    </w:p>
    <w:p>
      <w:pPr>
        <w:pStyle w:val="BodyText"/>
        <w:spacing w:line="316" w:lineRule="auto" w:before="31"/>
        <w:ind w:right="94"/>
        <w:jc w:val="left"/>
      </w:pPr>
      <w:r>
        <w:rPr>
          <w:spacing w:val="-2"/>
        </w:rPr>
        <w:t>对董事会、股东大会的召开程序、决议事项、决议程序、董事会对股东大会决议的执行情况、公司董事、经理人员执行公司</w:t>
      </w:r>
      <w:r>
        <w:rPr>
          <w:spacing w:val="-68"/>
        </w:rPr>
        <w:t> </w:t>
      </w:r>
      <w:r>
        <w:rPr>
          <w:spacing w:val="-68"/>
        </w:rPr>
      </w:r>
      <w:r>
        <w:rPr/>
        <w:t>职务的情况及公司内部控制制度等进行了监督。</w:t>
      </w:r>
    </w:p>
    <w:p>
      <w:pPr>
        <w:pStyle w:val="BodyText"/>
        <w:spacing w:line="316" w:lineRule="auto" w:before="19"/>
        <w:ind w:right="190" w:firstLine="360"/>
        <w:jc w:val="both"/>
      </w:pPr>
      <w:r>
        <w:rPr>
          <w:spacing w:val="-2"/>
        </w:rPr>
        <w:t>监事会认为，公司董事会能严格按照《公司法》、《证券法》、《公司章程》及其他法律、法规规范运作，认真执行股</w:t>
      </w:r>
      <w:r>
        <w:rPr/>
        <w:t> </w:t>
      </w:r>
      <w:r>
        <w:rPr>
          <w:spacing w:val="-2"/>
        </w:rPr>
        <w:t>东大会的各项决议，决策程序科学、合法。公司本着审慎经营的态度，建立和完善了各项内部控制制度。公司董事、经理等</w:t>
      </w:r>
      <w:r>
        <w:rPr>
          <w:spacing w:val="-67"/>
        </w:rPr>
        <w:t> </w:t>
      </w:r>
      <w:r>
        <w:rPr>
          <w:spacing w:val="-67"/>
        </w:rPr>
      </w:r>
      <w:r>
        <w:rPr/>
        <w:t>高级管理人员在执行公司职务时没有违反国家法律、法规、公司章程或损害公司利益的行为。</w:t>
      </w:r>
    </w:p>
    <w:p>
      <w:pPr>
        <w:pStyle w:val="BodyText"/>
        <w:spacing w:line="300" w:lineRule="auto" w:before="19"/>
        <w:ind w:left="513" w:right="94"/>
        <w:jc w:val="left"/>
      </w:pPr>
      <w:r>
        <w:rPr>
          <w:rFonts w:ascii="Times New Roman" w:hAnsi="Times New Roman" w:cs="Times New Roman" w:eastAsia="Times New Roman" w:hint="default"/>
        </w:rPr>
        <w:t>2</w:t>
      </w:r>
      <w:r>
        <w:rPr/>
        <w:t>、检查公司财务情况 </w:t>
      </w:r>
      <w:r>
        <w:rPr>
          <w:spacing w:val="-2"/>
        </w:rPr>
        <w:t>报告期内，公司监事会对公司的财务状况进行了认真、细致的检查，监事会认为，公司设有独立的财务部门，建有独立</w:t>
      </w:r>
    </w:p>
    <w:p>
      <w:pPr>
        <w:pStyle w:val="BodyText"/>
        <w:spacing w:line="300" w:lineRule="auto" w:before="31"/>
        <w:ind w:right="94"/>
        <w:jc w:val="left"/>
      </w:pPr>
      <w:r>
        <w:rPr>
          <w:spacing w:val="-2"/>
        </w:rPr>
        <w:t>的财务账册进行独立核算，公司</w:t>
      </w:r>
      <w:r>
        <w:rPr>
          <w:rFonts w:ascii="Times New Roman" w:hAnsi="Times New Roman" w:cs="Times New Roman" w:eastAsia="Times New Roman" w:hint="default"/>
          <w:spacing w:val="-2"/>
        </w:rPr>
        <w:t>2014</w:t>
      </w:r>
      <w:r>
        <w:rPr>
          <w:spacing w:val="-2"/>
        </w:rPr>
        <w:t>年度财务会计报告真实地反映了公司的财务状况和经营成果，利安达会计师事务所对公</w:t>
      </w:r>
      <w:r>
        <w:rPr>
          <w:spacing w:val="-61"/>
        </w:rPr>
        <w:t> </w:t>
      </w:r>
      <w:r>
        <w:rPr>
          <w:spacing w:val="-61"/>
        </w:rPr>
      </w:r>
      <w:r>
        <w:rPr/>
        <w:t>司</w:t>
      </w:r>
      <w:r>
        <w:rPr>
          <w:rFonts w:ascii="Times New Roman" w:hAnsi="Times New Roman" w:cs="Times New Roman" w:eastAsia="Times New Roman" w:hint="default"/>
        </w:rPr>
        <w:t>2013</w:t>
      </w:r>
      <w:r>
        <w:rPr/>
        <w:t>年年度财务报告出具了标准无保留意见的的审计报告，我们认为是客观公正的。</w:t>
      </w:r>
    </w:p>
    <w:p>
      <w:pPr>
        <w:spacing w:after="0" w:line="300" w:lineRule="auto"/>
        <w:jc w:val="left"/>
        <w:sectPr>
          <w:pgSz w:w="11910" w:h="16840"/>
          <w:pgMar w:header="877" w:footer="979" w:top="1100" w:bottom="1160" w:left="980" w:right="940"/>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七、公司相对于控股股东在业务、人员、资产、机构、财务等方面的独立完整情况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t>公司在业务、人员、资产、机构、财务等方面与控股股东相互独立，公司具有独立完整的业务及自主经营能力。（一） </w:t>
      </w:r>
      <w:r>
        <w:rPr>
          <w:spacing w:val="-2"/>
        </w:rPr>
        <w:t>业务：公司业务独立于控股股东及其下属企业，拥有独立完整的市场拓展、生产和销售系统，独立开展业务，不依赖于控股</w:t>
      </w:r>
      <w:r>
        <w:rPr>
          <w:spacing w:val="-67"/>
        </w:rPr>
        <w:t> </w:t>
      </w:r>
      <w:r>
        <w:rPr>
          <w:spacing w:val="-67"/>
        </w:rPr>
      </w:r>
      <w:r>
        <w:rPr>
          <w:spacing w:val="-2"/>
        </w:rPr>
        <w:t>股东或其它任何关联方。（二）人员：公司人员、劳动、人事及工资完全独立。公司总经理、副总经理、董事会秘书、财务</w:t>
      </w:r>
      <w:r>
        <w:rPr>
          <w:spacing w:val="-72"/>
        </w:rPr>
        <w:t> </w:t>
      </w:r>
      <w:r>
        <w:rPr>
          <w:spacing w:val="-72"/>
        </w:rPr>
      </w:r>
      <w:r>
        <w:rPr>
          <w:spacing w:val="-2"/>
        </w:rPr>
        <w:t>总监等高级管理人员均在公司工作并领取薪酬，未在控股股东及其下属企业担任任何管理职务和领取报酬。（三）资产：公</w:t>
      </w:r>
      <w:r>
        <w:rPr>
          <w:spacing w:val="-65"/>
        </w:rPr>
        <w:t> </w:t>
      </w:r>
      <w:r>
        <w:rPr>
          <w:spacing w:val="-65"/>
        </w:rPr>
      </w:r>
      <w:r>
        <w:rPr>
          <w:spacing w:val="-2"/>
        </w:rPr>
        <w:t>司拥有独立于控股股东的生产经营场所，拥有独立完整的资产结构，拥有独立的生产系统、辅助生产系统和配套设施、土地</w:t>
      </w:r>
      <w:r>
        <w:rPr>
          <w:spacing w:val="-63"/>
        </w:rPr>
        <w:t> </w:t>
      </w:r>
      <w:r>
        <w:rPr>
          <w:spacing w:val="-63"/>
        </w:rPr>
      </w:r>
      <w:r>
        <w:rPr>
          <w:spacing w:val="-2"/>
        </w:rPr>
        <w:t>使用权、房屋所有权等资产，拥有独立的采购和销售系统。（四）机构：公司设立了健全的组织机构体系，独立运作，不存</w:t>
      </w:r>
      <w:r>
        <w:rPr>
          <w:spacing w:val="-65"/>
        </w:rPr>
        <w:t> </w:t>
      </w:r>
      <w:r>
        <w:rPr>
          <w:spacing w:val="-65"/>
        </w:rPr>
      </w:r>
      <w:r>
        <w:rPr>
          <w:spacing w:val="-2"/>
        </w:rPr>
        <w:t>在与控股股东或其职能部门之间的从属关系。（五）财务：公司有独立的财务会计部门，建立了独立的会计核算体系和财务</w:t>
      </w:r>
      <w:r>
        <w:rPr>
          <w:spacing w:val="-65"/>
        </w:rPr>
        <w:t> </w:t>
      </w:r>
      <w:r>
        <w:rPr>
          <w:spacing w:val="-65"/>
        </w:rPr>
      </w:r>
      <w:r>
        <w:rPr/>
        <w:t>管理制度，独立进行财务决策。公司独立开设银行账户，独立纳税。</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八、同业竞争情况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九、高级管理人员的考评及激励情况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2"/>
        </w:rPr>
        <w:t>公司建立了高级管理人员的年度薪酬与公司业绩挂钩的绩效考核与激励约束机制，公司董事会根据年度经营目标，确定</w:t>
      </w:r>
      <w:r>
        <w:rPr/>
        <w:t> </w:t>
      </w:r>
      <w:r>
        <w:rPr>
          <w:spacing w:val="-2"/>
        </w:rPr>
        <w:t>高管人员的管理职责和考核指标，并根据公司年度计划完成情况，对经营管理层进行考核评定。公司董事会薪酬与考核委员</w:t>
      </w:r>
      <w:r>
        <w:rPr>
          <w:spacing w:val="-63"/>
        </w:rPr>
        <w:t> </w:t>
      </w:r>
      <w:r>
        <w:rPr>
          <w:spacing w:val="-63"/>
        </w:rPr>
      </w:r>
      <w:r>
        <w:rPr>
          <w:spacing w:val="-2"/>
        </w:rPr>
        <w:t>会负责对高级管理人员考核、激励、奖励机制的建立及实施，根据年终考评结果对公司高级管理人员实施奖惩。公司高级管</w:t>
      </w:r>
      <w:r>
        <w:rPr>
          <w:spacing w:val="-65"/>
        </w:rPr>
        <w:t> </w:t>
      </w:r>
      <w:r>
        <w:rPr>
          <w:spacing w:val="-65"/>
        </w:rPr>
      </w:r>
      <w:r>
        <w:rPr/>
        <w:t>理人员的绩效考评和激励已形成制度化。</w:t>
      </w:r>
    </w:p>
    <w:p>
      <w:pPr>
        <w:spacing w:after="0" w:line="316" w:lineRule="auto"/>
        <w:jc w:val="both"/>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590" w:right="3626"/>
        <w:jc w:val="center"/>
        <w:rPr>
          <w:b w:val="0"/>
          <w:bCs w:val="0"/>
        </w:rPr>
      </w:pPr>
      <w:bookmarkStart w:name="_TOC_250002" w:id="10"/>
      <w:r>
        <w:rPr/>
        <w:t>第十节</w:t>
      </w:r>
      <w:r>
        <w:rPr>
          <w:spacing w:val="-2"/>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91" w:firstLine="360"/>
        <w:jc w:val="both"/>
      </w:pPr>
      <w:r>
        <w:rPr>
          <w:spacing w:val="-6"/>
        </w:rPr>
        <w:t>公司根据财政部、审计署、中国保监会、中国银监会、中国证监会等五部委联合发布的《企业内部控制基本规范》及《企</w:t>
      </w:r>
      <w:r>
        <w:rPr/>
        <w:t> 业内部控制配套指引》</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《内控规范》</w:t>
      </w:r>
      <w:r>
        <w:rPr>
          <w:rFonts w:ascii="Times New Roman" w:hAnsi="Times New Roman" w:cs="Times New Roman" w:eastAsia="Times New Roman" w:hint="default"/>
        </w:rPr>
        <w:t>”)</w:t>
      </w:r>
      <w:r>
        <w:rPr/>
        <w:t>要求，为提高风险管理水平和信息披露质量、建立健全并有效执行内控体 </w:t>
      </w:r>
      <w:r>
        <w:rPr>
          <w:spacing w:val="-2"/>
        </w:rPr>
        <w:t>系，公司召开了五届董事会二十五次会议审议通过了公司《内部控制规范实施工作方案》，并成立由董事长担任组长的内部</w:t>
      </w:r>
      <w:r>
        <w:rPr>
          <w:spacing w:val="-65"/>
        </w:rPr>
        <w:t> </w:t>
      </w:r>
      <w:r>
        <w:rPr>
          <w:spacing w:val="-65"/>
        </w:rPr>
      </w:r>
      <w:r>
        <w:rPr>
          <w:spacing w:val="-2"/>
        </w:rPr>
        <w:t>控制领导小组，公司聘请安徽华普会计师事务所作为内控咨询机构对内部控制各主要循环涉及的关键控制点进行业务流程的</w:t>
      </w:r>
      <w:r>
        <w:rPr>
          <w:spacing w:val="-64"/>
        </w:rPr>
        <w:t> </w:t>
      </w:r>
      <w:r>
        <w:rPr>
          <w:spacing w:val="-64"/>
        </w:rPr>
      </w:r>
      <w:r>
        <w:rPr/>
        <w:t>全面梳理，编制业务流程图，以及《内控手册》等相关内控文件。</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2"/>
        </w:rPr>
        <w:t>按照企业内部控制规范体系的规定，建立健全和有效实施内部控制，评价其有效性，并如实披露内部控制评价报告是公</w:t>
      </w:r>
      <w:r>
        <w:rPr/>
        <w:t> </w:t>
      </w:r>
      <w:r>
        <w:rPr>
          <w:spacing w:val="-2"/>
        </w:rPr>
        <w:t>司董事会的责任。监事会对董事会建立和实施内部控制进行监督。经理层负责组织领导企业内部控制的日常运行。公司董事</w:t>
      </w:r>
      <w:r>
        <w:rPr>
          <w:spacing w:val="-63"/>
        </w:rPr>
        <w:t> </w:t>
      </w:r>
      <w:r>
        <w:rPr>
          <w:spacing w:val="-63"/>
        </w:rPr>
      </w:r>
      <w:r>
        <w:rPr>
          <w:spacing w:val="-2"/>
        </w:rPr>
        <w:t>会、监事会及董事、监事、高级管理人员保证本报告内容不存在任何虚假记载、误导性陈述或重大遗漏，并对报告内容的真</w:t>
      </w:r>
      <w:r>
        <w:rPr>
          <w:spacing w:val="-65"/>
        </w:rPr>
        <w:t> </w:t>
      </w:r>
      <w:r>
        <w:rPr>
          <w:spacing w:val="-65"/>
        </w:rPr>
      </w:r>
      <w:r>
        <w:rPr/>
        <w:t>实性、准确性和完整性承担个别及连带法律责任。</w:t>
      </w:r>
    </w:p>
    <w:p>
      <w:pPr>
        <w:pStyle w:val="BodyText"/>
        <w:spacing w:line="319" w:lineRule="auto" w:before="59"/>
        <w:ind w:right="94" w:firstLine="360"/>
        <w:jc w:val="left"/>
      </w:pPr>
      <w:r>
        <w:rPr/>
        <w:t>公司内部控制的目标是合理保证经营管理合法合规、资产安全、财务报告及相关信息真实完整，提高经营效率和效果， </w:t>
      </w:r>
      <w:r>
        <w:rPr>
          <w:spacing w:val="-2"/>
        </w:rPr>
        <w:t>促进实现发展战略。由于内部控制存在的固有局限性，故仅能为实现上述目标提供合理保证。此外，由于情况的变化可能导</w:t>
      </w:r>
      <w:r>
        <w:rPr>
          <w:spacing w:val="-64"/>
        </w:rPr>
        <w:t> </w:t>
      </w:r>
      <w:r>
        <w:rPr>
          <w:spacing w:val="-64"/>
        </w:rPr>
      </w:r>
      <w:r>
        <w:rPr>
          <w:spacing w:val="-2"/>
        </w:rPr>
        <w:t>致内部控制变得不恰当，或对控制政策和程序遵循的程度降低，根据内部控制评价结果推测未来内部控制的有效性具有一定</w:t>
      </w:r>
      <w:r>
        <w:rPr>
          <w:spacing w:val="-64"/>
        </w:rPr>
        <w:t> </w:t>
      </w:r>
      <w:r>
        <w:rPr>
          <w:spacing w:val="-64"/>
        </w:rPr>
      </w:r>
      <w:r>
        <w:rPr/>
        <w:t>的风险。</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1" w:firstLine="504"/>
        <w:jc w:val="left"/>
      </w:pPr>
      <w:r>
        <w:rPr>
          <w:spacing w:val="-1"/>
        </w:rPr>
        <w:t>公司建立财务报告内部控制是按照《企业内部控制基本规范》及其配套指引、《上市公司内部控制指引》的要求，并</w:t>
      </w:r>
      <w:r>
        <w:rPr/>
        <w:t> 根据《中华人民共和国会计法》、《企业会计准则》、《企业会计通则》等规定制定了相关财务制度。</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四、内部控制评价报告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本报告期内尚未发现重大缺陷</w:t>
            </w:r>
            <w:r>
              <w:rPr>
                <w:rFonts w:ascii="宋体" w:hAnsi="宋体" w:cs="宋体" w:eastAsia="宋体" w:hint="default"/>
                <w:spacing w:val="-89"/>
                <w:sz w:val="18"/>
                <w:szCs w:val="18"/>
              </w:rPr>
              <w:t>，</w:t>
            </w:r>
            <w:r>
              <w:rPr>
                <w:rFonts w:ascii="宋体" w:hAnsi="宋体" w:cs="宋体" w:eastAsia="宋体" w:hint="default"/>
                <w:sz w:val="18"/>
                <w:szCs w:val="18"/>
              </w:rPr>
              <w:t>《内部控制评价报告》请查阅巨潮资讯网</w:t>
            </w:r>
            <w:r>
              <w:rPr>
                <w:rFonts w:ascii="宋体" w:hAnsi="宋体" w:cs="宋体" w:eastAsia="宋体" w:hint="default"/>
                <w:spacing w:val="2"/>
                <w:sz w:val="18"/>
                <w:szCs w:val="18"/>
              </w:rPr>
              <w:t> </w:t>
            </w:r>
            <w:hyperlink r:id="rId10">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4"/>
                  <w:sz w:val="18"/>
                  <w:szCs w:val="18"/>
                </w:rPr>
                <w:t>n</w:t>
              </w:r>
            </w:hyperlink>
            <w:r>
              <w:rPr>
                <w:rFonts w:ascii="宋体" w:hAnsi="宋体" w:cs="宋体" w:eastAsia="宋体" w:hint="default"/>
                <w:sz w:val="18"/>
                <w:szCs w:val="18"/>
              </w:rPr>
              <w:t>。</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《上海证券报》及巨潮资讯网</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五、内部控制审计报告或鉴证报告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内部控制审计报告</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日按照《企业内部控制基本规范》和相关规定在所有重大方面保持了有效的财务报告内部控制。</w:t>
            </w:r>
          </w:p>
        </w:tc>
      </w:tr>
      <w:tr>
        <w:trPr>
          <w:trHeight w:val="40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334" w:hRule="exact"/>
        </w:trPr>
        <w:tc>
          <w:tcPr>
            <w:tcW w:w="2661" w:type="dxa"/>
            <w:tcBorders>
              <w:top w:val="single" w:sz="6" w:space="0" w:color="000000"/>
              <w:left w:val="nil" w:sz="6" w:space="0" w:color="auto"/>
              <w:bottom w:val="single" w:sz="4" w:space="0" w:color="000000"/>
              <w:right w:val="nil" w:sz="6" w:space="0" w:color="auto"/>
            </w:tcBorders>
          </w:tcPr>
          <w:p>
            <w:pPr/>
          </w:p>
        </w:tc>
        <w:tc>
          <w:tcPr>
            <w:tcW w:w="6908"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《上海证券报》及巨潮资讯网</w:t>
            </w:r>
          </w:p>
        </w:tc>
      </w:tr>
    </w:tbl>
    <w:p>
      <w:pPr>
        <w:pStyle w:val="BodyText"/>
        <w:spacing w:line="240" w:lineRule="auto" w:before="49"/>
        <w:ind w:left="112" w:right="142"/>
        <w:jc w:val="left"/>
      </w:pPr>
      <w:r>
        <w:rPr/>
        <w:t>会计师事务所是否出具非标准意见的内部控制审计报告</w:t>
      </w:r>
    </w:p>
    <w:p>
      <w:pPr>
        <w:pStyle w:val="BodyText"/>
        <w:spacing w:line="340" w:lineRule="auto" w:before="115"/>
        <w:ind w:left="112" w:right="3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39"/>
        <w:ind w:left="112" w:right="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3"/>
        <w:rPr>
          <w:rFonts w:ascii="宋体" w:hAnsi="宋体" w:cs="宋体" w:eastAsia="宋体" w:hint="default"/>
          <w:sz w:val="24"/>
          <w:szCs w:val="24"/>
        </w:rPr>
      </w:pPr>
    </w:p>
    <w:p>
      <w:pPr>
        <w:pStyle w:val="Heading2"/>
        <w:spacing w:line="240" w:lineRule="auto"/>
        <w:ind w:left="112" w:right="142"/>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2" w:right="94" w:firstLine="360"/>
        <w:jc w:val="left"/>
      </w:pPr>
      <w:r>
        <w:rPr/>
        <w:t>为进一步完善公司治理与规范公司制度，公司制定了《年报信息披露重大差错责任追究制度》并严格执行。报告期内， 公司未出现年报信息披露重大差错。</w:t>
      </w:r>
    </w:p>
    <w:p>
      <w:pPr>
        <w:spacing w:after="0" w:line="316" w:lineRule="auto"/>
        <w:jc w:val="left"/>
        <w:sectPr>
          <w:pgSz w:w="11910" w:h="16840"/>
          <w:pgMar w:header="877" w:footer="979" w:top="1060" w:bottom="1160" w:left="102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590" w:right="3630"/>
        <w:jc w:val="center"/>
        <w:rPr>
          <w:b w:val="0"/>
          <w:bCs w:val="0"/>
        </w:rPr>
      </w:pPr>
      <w:bookmarkStart w:name="_TOC_250001" w:id="11"/>
      <w:r>
        <w:rPr/>
        <w:t>第十一节</w:t>
      </w:r>
      <w:r>
        <w:rPr>
          <w:spacing w:val="-5"/>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利安达审字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 </w:t>
            </w:r>
            <w:r>
              <w:rPr>
                <w:rFonts w:ascii="Times New Roman" w:hAnsi="Times New Roman" w:cs="Times New Roman" w:eastAsia="Times New Roman" w:hint="default"/>
                <w:sz w:val="18"/>
                <w:szCs w:val="18"/>
              </w:rPr>
              <w:t>1040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王晶、赵玥</w:t>
            </w:r>
          </w:p>
        </w:tc>
      </w:tr>
    </w:tbl>
    <w:p>
      <w:pPr>
        <w:pStyle w:val="BodyText"/>
        <w:spacing w:line="240" w:lineRule="auto" w:before="49"/>
        <w:ind w:left="3590" w:right="3628"/>
        <w:jc w:val="center"/>
      </w:pPr>
      <w:r>
        <w:rPr/>
        <w:t>审计报告正文</w:t>
      </w:r>
    </w:p>
    <w:p>
      <w:pPr>
        <w:pStyle w:val="Heading4"/>
        <w:spacing w:line="240" w:lineRule="auto" w:before="117"/>
        <w:ind w:left="152" w:right="94"/>
        <w:jc w:val="left"/>
        <w:rPr>
          <w:b w:val="0"/>
          <w:bCs w:val="0"/>
        </w:rPr>
      </w:pPr>
      <w:r>
        <w:rPr/>
        <w:t>江苏中南建设集团股份有限公司全体股东：</w:t>
      </w:r>
      <w:r>
        <w:rPr>
          <w:b w:val="0"/>
          <w:bCs w:val="0"/>
        </w:rPr>
      </w:r>
    </w:p>
    <w:p>
      <w:pPr>
        <w:pStyle w:val="BodyText"/>
        <w:spacing w:line="300" w:lineRule="auto" w:before="76"/>
        <w:ind w:right="94" w:firstLine="360"/>
        <w:jc w:val="left"/>
      </w:pPr>
      <w:r>
        <w:rPr>
          <w:spacing w:val="-2"/>
        </w:rPr>
        <w:t>我们审计了后附的江苏中南建设集团股份有限公司（以下简称中南建设公司）财务报表，包括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公司资产负债表，</w:t>
      </w:r>
      <w:r>
        <w:rPr>
          <w:rFonts w:ascii="Times New Roman" w:hAnsi="Times New Roman" w:cs="Times New Roman" w:eastAsia="Times New Roman" w:hint="default"/>
        </w:rPr>
        <w:t>2014</w:t>
      </w:r>
      <w:r>
        <w:rPr/>
        <w:t>年度的合并及公司利润表、合并及公司现金流量表和合并及公司股东权益变动表以及财务报表附注。</w:t>
      </w:r>
    </w:p>
    <w:p>
      <w:pPr>
        <w:spacing w:line="240" w:lineRule="auto" w:before="4"/>
        <w:rPr>
          <w:rFonts w:ascii="宋体" w:hAnsi="宋体" w:cs="宋体" w:eastAsia="宋体" w:hint="default"/>
          <w:sz w:val="19"/>
          <w:szCs w:val="19"/>
        </w:rPr>
      </w:pPr>
    </w:p>
    <w:p>
      <w:pPr>
        <w:spacing w:line="316"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编制和公允列报财务报表是中南建设公司管理层的责任，这种责任包括：（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248" w:lineRule="exact"/>
        <w:ind w:right="94"/>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2"/>
        <w:rPr>
          <w:rFonts w:ascii="宋体" w:hAnsi="宋体" w:cs="宋体" w:eastAsia="宋体" w:hint="default"/>
          <w:sz w:val="23"/>
          <w:szCs w:val="23"/>
        </w:rPr>
      </w:pPr>
    </w:p>
    <w:p>
      <w:pPr>
        <w:pStyle w:val="BodyText"/>
        <w:spacing w:line="316" w:lineRule="auto"/>
        <w:ind w:left="513" w:right="94"/>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94"/>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19"/>
        <w:ind w:left="676" w:right="94"/>
        <w:jc w:val="left"/>
      </w:pPr>
      <w:r>
        <w:rPr/>
        <w:t>我们相信，我们获取的审计证据是充分、适当的，为发表审计意见提供了基础。</w:t>
      </w:r>
    </w:p>
    <w:p>
      <w:pPr>
        <w:spacing w:line="240" w:lineRule="auto" w:before="2"/>
        <w:rPr>
          <w:rFonts w:ascii="宋体" w:hAnsi="宋体" w:cs="宋体" w:eastAsia="宋体" w:hint="default"/>
          <w:sz w:val="24"/>
          <w:szCs w:val="24"/>
        </w:rPr>
      </w:pPr>
    </w:p>
    <w:p>
      <w:pPr>
        <w:pStyle w:val="BodyText"/>
        <w:spacing w:line="319" w:lineRule="auto"/>
        <w:ind w:left="664" w:right="94" w:firstLine="12"/>
        <w:jc w:val="left"/>
        <w:rPr>
          <w:rFonts w:ascii="Times New Roman" w:hAnsi="Times New Roman" w:cs="Times New Roman" w:eastAsia="Times New Roman" w:hint="default"/>
        </w:rPr>
      </w:pPr>
      <w:r>
        <w:rPr>
          <w:rFonts w:ascii="宋体" w:hAnsi="宋体" w:cs="宋体" w:eastAsia="宋体" w:hint="default"/>
          <w:b/>
          <w:bCs/>
        </w:rPr>
        <w:t>三、审计意见</w:t>
      </w:r>
      <w:r>
        <w:rPr>
          <w:rFonts w:ascii="宋体" w:hAnsi="宋体" w:cs="宋体" w:eastAsia="宋体" w:hint="default"/>
          <w:b/>
          <w:bCs/>
          <w:w w:val="99"/>
        </w:rPr>
        <w:t> </w:t>
      </w:r>
      <w:r>
        <w:rPr>
          <w:spacing w:val="-2"/>
        </w:rPr>
        <w:t>我们认为，中南建设公司财务报表在所有重大方面按照企业会计准则的规定编制，公允反映了中南建设公司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r>
    </w:p>
    <w:p>
      <w:pPr>
        <w:pStyle w:val="BodyText"/>
        <w:spacing w:line="246" w:lineRule="exact"/>
        <w:ind w:right="94"/>
        <w:jc w:val="left"/>
      </w:pP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年度的合并及公司经营成果和现金流量。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tabs>
          <w:tab w:pos="6902" w:val="left" w:leader="none"/>
        </w:tabs>
        <w:spacing w:line="240" w:lineRule="auto"/>
        <w:ind w:left="1665" w:right="94"/>
        <w:jc w:val="left"/>
      </w:pPr>
      <w:r>
        <w:rPr/>
        <w:t>利安达会计师事务所</w:t>
        <w:tab/>
        <w:t>中国注册会计师：王晶</w:t>
      </w:r>
    </w:p>
    <w:p>
      <w:pPr>
        <w:pStyle w:val="BodyText"/>
        <w:spacing w:line="240" w:lineRule="auto" w:before="76"/>
        <w:ind w:left="1665" w:right="94"/>
        <w:jc w:val="left"/>
      </w:pPr>
      <w:r>
        <w:rPr/>
        <w:t>（特殊普通合伙）</w:t>
      </w:r>
    </w:p>
    <w:p>
      <w:pPr>
        <w:pStyle w:val="BodyText"/>
        <w:spacing w:line="240" w:lineRule="auto" w:before="76"/>
        <w:ind w:left="0" w:right="1262"/>
        <w:jc w:val="right"/>
      </w:pPr>
      <w:r>
        <w:rPr/>
        <w:t>中国注册会计师：赵玥</w:t>
      </w:r>
    </w:p>
    <w:p>
      <w:pPr>
        <w:spacing w:line="240" w:lineRule="auto" w:before="0"/>
        <w:rPr>
          <w:rFonts w:ascii="宋体" w:hAnsi="宋体" w:cs="宋体" w:eastAsia="宋体" w:hint="default"/>
          <w:sz w:val="18"/>
          <w:szCs w:val="18"/>
        </w:rPr>
      </w:pPr>
    </w:p>
    <w:p>
      <w:pPr>
        <w:pStyle w:val="BodyText"/>
        <w:tabs>
          <w:tab w:pos="6986" w:val="left" w:leader="none"/>
        </w:tabs>
        <w:spacing w:line="240" w:lineRule="auto" w:before="153"/>
        <w:ind w:left="2099" w:right="94"/>
        <w:jc w:val="left"/>
      </w:pPr>
      <w:r>
        <w:rPr/>
        <w:t>中国</w:t>
      </w:r>
      <w:r>
        <w:rPr>
          <w:rFonts w:ascii="Times New Roman" w:hAnsi="Times New Roman" w:cs="Times New Roman" w:eastAsia="Times New Roman" w:hint="default"/>
        </w:rPr>
        <w:t>·</w:t>
      </w:r>
      <w:r>
        <w:rPr/>
        <w:t>北京</w:t>
        <w:tab/>
        <w:t>二〇一五年四月八日</w:t>
      </w:r>
    </w:p>
    <w:p>
      <w:pPr>
        <w:spacing w:after="0" w:line="240" w:lineRule="auto"/>
        <w:jc w:val="left"/>
        <w:sectPr>
          <w:pgSz w:w="11910" w:h="16840"/>
          <w:pgMar w:header="87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2"/>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2"/>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060" w:bottom="1160" w:left="980" w:right="980"/>
        </w:sectPr>
      </w:pPr>
    </w:p>
    <w:p>
      <w:pPr>
        <w:pStyle w:val="BodyText"/>
        <w:spacing w:line="240" w:lineRule="auto" w:before="44"/>
        <w:ind w:right="-20"/>
        <w:jc w:val="left"/>
      </w:pPr>
      <w:r>
        <w:rPr/>
        <w:t>编制单位：江苏中南建设集团股份有限公司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573" w:space="50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6,642,865,551.86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6,424,066,771.28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3,759,572.55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2,794,245.22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41,418,404.01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16,924,464.60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6,112,825,352.42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6,016,407,453.86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2,863,408,079.24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3,690,290,298.42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3,828,764,813.99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4,945,672,123.69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57,211,824,994.37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38,836,094,793.38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629,050,000.00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77,333,916,768.44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59,932,300,150.45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35,533,907.55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2,159,123.20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1,300,152,404.49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587,428,370.84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2,205,545,636.45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1,643,756,492.03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67,155,146.49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198,912,143.13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547,973,258.72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593,257,158.74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4,188,653.58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4,188,653.58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2,211,895,984.39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1,707,233,653.24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573,938,220.39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442,867,753.88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6,946,383,212.06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5,179,803,348.64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84,280,299,980.50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65,112,103,499.09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4,103,800,000.00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2,703,051,973.20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1,825,850,000.00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5,209,951,976.83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4,308,332,587.60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28,390,603,350.32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22,075,981,721.88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1,204,352,798.33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891,760,654.44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2,734,538,249.92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2,632,352,886.19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83,287,671.23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1,679,885.70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2,745,080,744.66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2,271,891,690.30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11,354,422,773.87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3,136,940,000.00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1,425,923,866.56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60,049,713,404.92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41,248,589,426.11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10,139,950,000.00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14,014,607,083.33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989,998,448.50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178,336,236.91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51,354,744.93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11,359,639,430.34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14,022,805,583.33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71,409,352,835.26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55,271,395,009.44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1,167,839,226.00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1,062,956,131.99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797,473,267.60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-4,888,143.72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-56,405.70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258,435,813.64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245,096,977.88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6,331,892,751.27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5,526,185,160.86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8,816,235,779.18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7,736,538,226.64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4,054,711,366.06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2,104,170,263.01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12,870,947,145.24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9,840,708,489.65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84,280,299,980.50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65,112,103,499.09</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before="44"/>
        <w:ind w:left="0" w:right="244"/>
        <w:jc w:val="right"/>
      </w:pPr>
      <w:r>
        <w:rPr/>
        <w:t>法定代表人：陈锦石</w:t>
        <w:tab/>
      </w:r>
      <w:r>
        <w:rPr>
          <w:spacing w:val="-1"/>
        </w:rPr>
        <w:t>主管会计工作负责人：茅振华</w:t>
        <w:tab/>
      </w:r>
      <w:r>
        <w:rPr/>
        <w:t>会计机构负责人：钱军</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669,420,149.94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608,431,331.87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24,174,034.95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32,046,831.89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28,046,290,715.40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25,464,384,708.15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29,796,184,900.29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26,113,662,871.91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10,511,267,611.47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9,416,696,674.38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307,055,880.80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5,785,256.37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19,111,252.71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23,385,798.00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74,552,562.59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63,256,750.59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5,902,784.52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4,531,888.25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10,917,890,092.09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9,513,656,367.59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40,714,074,992.38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35,627,319,239.50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21,970,850.72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11,433,124.46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5,587,569.64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2,427,148.12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3,021,530.81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1,552,253.12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83,287,671.23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26,687,314,713.81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23,715,965,972.26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774,990,000.00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997,405,154.02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32,690,587,490.23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25,626,368,497.96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4,954,297,083.33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989,998,448.50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43,587,744.93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2,983,586,193.43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4,954,297,083.33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35,674,173,683.66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30,580,665,581.29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1,167,839,226.00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3,466,438,732.64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3,466,438,732.64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107,782,146.01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94,443,310.25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297,841,204.07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317,932,389.32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5,039,901,308.72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5,046,653,658.21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40,714,074,992.38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35,627,319,239.50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054"/>
        <w:gridCol w:w="3222"/>
        <w:gridCol w:w="3277"/>
      </w:tblGrid>
      <w:tr>
        <w:trPr>
          <w:trHeight w:val="40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21,792,094,179.35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18,326,408,442.63</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21,792,094,179.35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18,326,408,442.63</w:t>
            </w:r>
          </w:p>
        </w:tc>
      </w:tr>
      <w:tr>
        <w:trPr>
          <w:trHeight w:val="401"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20,376,316,748.41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16,236,189,500.58</w:t>
            </w:r>
          </w:p>
        </w:tc>
      </w:tr>
      <w:tr>
        <w:trPr>
          <w:trHeight w:val="401"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16,419,977,267.84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12,934,350,881.47</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130005pt;margin-top:400.185974pt;width:158.8pt;height:20.7pt;mso-position-horizontal-relative:page;mso-position-vertical-relative:page;z-index:-1131400" coordorigin="4223,8004" coordsize="3176,414">
            <v:group style="position:absolute;left:4233;top:8015;width:2;height:392" coordorigin="4233,8015" coordsize="2,392">
              <v:shape style="position:absolute;left:4233;top:8015;width:2;height:392" coordorigin="4233,8015" coordsize="0,392" path="m4233,8015l4233,8406e" filled="false" stroked="true" strokeweight="1.08pt" strokecolor="#ffffff">
                <v:path arrowok="t"/>
              </v:shape>
            </v:group>
            <v:group style="position:absolute;left:4244;top:8015;width:3154;height:392" coordorigin="4244,8015" coordsize="3154,392">
              <v:shape style="position:absolute;left:4244;top:8015;width:3154;height:392" coordorigin="4244,8015" coordsize="3154,392" path="m4244,8406l7398,8406,7398,8015,4244,8015,4244,8406xe" filled="true" fillcolor="#ffffff" stroked="false">
                <v:path arrowok="t"/>
                <v:fill type="solid"/>
              </v:shape>
            </v:group>
            <w10:wrap type="none"/>
          </v:group>
        </w:pict>
      </w:r>
      <w:r>
        <w:rPr/>
        <w:pict>
          <v:group style="position:absolute;margin-left:211.130005pt;margin-top:520.809998pt;width:158.8pt;height:20.65pt;mso-position-horizontal-relative:page;mso-position-vertical-relative:page;z-index:-1131376" coordorigin="4223,10416" coordsize="3176,413">
            <v:group style="position:absolute;left:4233;top:10427;width:2;height:392" coordorigin="4233,10427" coordsize="2,392">
              <v:shape style="position:absolute;left:4233;top:10427;width:2;height:392" coordorigin="4233,10427" coordsize="0,392" path="m4233,10427l4233,10818e" filled="false" stroked="true" strokeweight="1.08pt" strokecolor="#ffffff">
                <v:path arrowok="t"/>
              </v:shape>
            </v:group>
            <v:group style="position:absolute;left:4244;top:10427;width:3154;height:392" coordorigin="4244,10427" coordsize="3154,392">
              <v:shape style="position:absolute;left:4244;top:10427;width:3154;height:392" coordorigin="4244,10427" coordsize="3154,392" path="m4244,10818l7398,10818,7398,10427,4244,10427,4244,108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992"/>
        <w:gridCol w:w="2219"/>
        <w:gridCol w:w="3277"/>
      </w:tblGrid>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8" w:right="0"/>
              <w:jc w:val="left"/>
              <w:rPr>
                <w:rFonts w:ascii="Times New Roman" w:hAnsi="Times New Roman" w:cs="Times New Roman" w:eastAsia="Times New Roman" w:hint="default"/>
                <w:sz w:val="18"/>
                <w:szCs w:val="18"/>
              </w:rPr>
            </w:pPr>
            <w:r>
              <w:rPr>
                <w:rFonts w:ascii="Times New Roman"/>
                <w:sz w:val="18"/>
              </w:rPr>
              <w:t>1,297,962,873.55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1,157,721,464.33</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624,678,121.62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432,955,003.95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8" w:right="0"/>
              <w:jc w:val="left"/>
              <w:rPr>
                <w:rFonts w:ascii="Times New Roman" w:hAnsi="Times New Roman" w:cs="Times New Roman" w:eastAsia="Times New Roman" w:hint="default"/>
                <w:sz w:val="18"/>
                <w:szCs w:val="18"/>
              </w:rPr>
            </w:pPr>
            <w:r>
              <w:rPr>
                <w:rFonts w:ascii="Times New Roman"/>
                <w:sz w:val="18"/>
              </w:rPr>
              <w:t>1,459,897,504.01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1,149,481,595.63</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413,473,142.82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425,110,435.59</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160,327,838.57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136,570,119.61</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965,327.33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508,706.63</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5,616,631.23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9,202,967.75</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-1,225,215.65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-18,382.05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8" w:right="0"/>
              <w:jc w:val="left"/>
              <w:rPr>
                <w:rFonts w:ascii="Times New Roman" w:hAnsi="Times New Roman" w:cs="Times New Roman" w:eastAsia="Times New Roman" w:hint="default"/>
                <w:sz w:val="18"/>
                <w:szCs w:val="18"/>
              </w:rPr>
            </w:pPr>
            <w:r>
              <w:rPr>
                <w:rFonts w:ascii="Times New Roman"/>
                <w:sz w:val="18"/>
              </w:rPr>
              <w:t>1,422,359,389.50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2,099,930,616.43</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104,862,751.44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69,277,723.61</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1,824,667.02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6,456,668.42</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54,754,662.37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36,388,577.65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pacing w:val="-1"/>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3,515,565.10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633,251.92</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0" w:right="0"/>
              <w:jc w:val="left"/>
              <w:rPr>
                <w:rFonts w:ascii="Times New Roman" w:hAnsi="Times New Roman" w:cs="Times New Roman" w:eastAsia="Times New Roman" w:hint="default"/>
                <w:sz w:val="18"/>
                <w:szCs w:val="18"/>
              </w:rPr>
            </w:pPr>
            <w:r>
              <w:rPr>
                <w:rFonts w:ascii="Times New Roman"/>
                <w:sz w:val="18"/>
              </w:rPr>
              <w:t>1,472,467,478.57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2,132,819,762.39</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536,128,955.44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716,932,023.24</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936,338,523.13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1,415,887,739.15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959,187,133.29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1,209,382,865.66</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-22,848,610.16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206,504,873.49</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-6,803,912.18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-21,752.74</w:t>
            </w: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-4,831,738.02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-21,752.74</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67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-4,831,738.02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-21,752.74</w:t>
            </w:r>
          </w:p>
        </w:tc>
      </w:tr>
      <w:tr>
        <w:trPr>
          <w:trHeight w:val="1027"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-4,831,738.02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-21,752.74</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-1,972,174.16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929,534,610.95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1,415,865,986.41</w:t>
            </w:r>
          </w:p>
        </w:tc>
      </w:tr>
      <w:tr>
        <w:trPr>
          <w:trHeight w:val="71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954,355,395.27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1,209,361,112.92</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-24,820,784.32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206,504,873.49</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w:t>
            </w:r>
          </w:p>
        </w:tc>
      </w:tr>
    </w:tbl>
    <w:p>
      <w:pPr>
        <w:pStyle w:val="BodyText"/>
        <w:tabs>
          <w:tab w:pos="3667" w:val="left" w:leader="none"/>
          <w:tab w:pos="7899" w:val="left" w:leader="none"/>
        </w:tabs>
        <w:spacing w:line="595" w:lineRule="auto" w:before="49"/>
        <w:ind w:right="244"/>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法定代表人：陈锦石</w:t>
        <w:tab/>
      </w:r>
      <w:r>
        <w:rPr>
          <w:spacing w:val="-1"/>
        </w:rPr>
        <w:t>主管会计工作负责人：茅振华</w:t>
        <w:tab/>
      </w:r>
      <w:r>
        <w:rPr/>
        <w:t>会计机构负责人：钱军</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291,020,518.86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201,705,614.45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60,899,092.58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79,947,222.56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5,483,585.07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13,131,943.96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410,845,047.18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607,833,946.72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-1,225,215.65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-18,382.05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53,441,850.67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313,049,165.75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78,575,610.69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8,156,763.78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2,384,671.42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264,772.84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1,161.74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132,017,461.36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320,941,156.69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-1,370,896.27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-1,160,392.95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133,388,357.63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322,101,549.64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7" w:right="0"/>
              <w:jc w:val="left"/>
              <w:rPr>
                <w:rFonts w:ascii="Times New Roman" w:hAnsi="Times New Roman" w:cs="Times New Roman" w:eastAsia="Times New Roman" w:hint="default"/>
                <w:sz w:val="18"/>
                <w:szCs w:val="18"/>
              </w:rPr>
            </w:pPr>
            <w:r>
              <w:rPr>
                <w:rFonts w:ascii="Times New Roman"/>
                <w:sz w:val="18"/>
              </w:rPr>
              <w:t>133,388,357.63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322,101,549.64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17,617,604,991.47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17,740,780,177.12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1,076,154.87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29,093,582.90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6,463,403,266.17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2,182,684,911.91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24,082,084,412.51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19,952,558,671.93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20,019,532,979.10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18,276,246,827.15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3,007,013,918.40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2,347,843,516.98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2,505,434,912.51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1,864,922,225.04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4,417,687,638.05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1,642,716,090.39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29,949,669,448.06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24,131,728,659.56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-5,867,585,035.55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-4,179,169,987.63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10,696,360,000.00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12,841,846.88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8,694,088.91</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1,426,698.09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141,492.86</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314,688.54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10,710,628,544.97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9,150,270.31</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355,616,346.07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346,077,214.19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11,400,647,920.34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794,337,789.91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11,756,264,266.41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1,140,415,004.10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-1,045,635,721.44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-1,131,264,733.79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3,132,094,837.60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622,487,249.00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3,132,094,837.60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622,487,249.00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16,092,100,000.00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18,914,418,000.00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2,379,135,000.00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497,163,920.27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431,413,018.35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22,100,493,757.87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19,968,318,267.35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11,655,087,083.33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10,984,818,000.00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2,679,045,100.06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1,868,198,553.09</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2,653,722.00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1,679,885.70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983,618,084.02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717,139,336.16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15,317,750,267.41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13,570,155,889.25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6,782,743,490.46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6,398,162,378.10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-3,958,335.86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-1,482.22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-134,435,602.39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1,087,726,174.46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4,711,549,797.60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3,623,823,623.14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4,577,114,195.21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4,711,549,797.60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45,000,627,044.73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47,180,259,638.12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45,000,627,044.73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47,180,259,638.12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15,732,643.04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11,497,946.09</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175,056,015.55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106,651,352.75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32,785,134.42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7,092,863.27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45,224,660,776.71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47,948,286,056.49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45,448,234,569.72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48,073,528,218.60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-447,607,524.99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-893,268,580.48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8,714,560,000.00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12,070,262.83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7,852,328.77</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8,726,630,262.83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7,920,328.77</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26,038,059.50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58,900,310.50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9,439,004,664.20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1,611,000,000.00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794,337,789.91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9,465,042,723.70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2,464,238,100.41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-738,412,460.87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-2,456,317,771.64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5,600,000,000.00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1,980,735,000.00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4,074,735,000.00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1,976,990,000.00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1,950,010,000.00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767,779,563.82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529,820,105.26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57,263,228.74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102,316,994.18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2,802,032,792.56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2,582,147,099.44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1,272,702,207.44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3,017,852,900.56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86,682,221.58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-331,733,451.56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504,809,059.30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836,542,510.86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591,491,280.88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504,809,059.30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t>本期金额</w:t>
      </w:r>
    </w:p>
    <w:p>
      <w:pPr>
        <w:pStyle w:val="BodyText"/>
        <w:spacing w:line="240" w:lineRule="auto" w:before="117"/>
        <w:ind w:left="0" w:right="474"/>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15"/>
        <w:gridCol w:w="1453"/>
        <w:gridCol w:w="530"/>
        <w:gridCol w:w="533"/>
        <w:gridCol w:w="377"/>
        <w:gridCol w:w="1440"/>
        <w:gridCol w:w="514"/>
        <w:gridCol w:w="1136"/>
        <w:gridCol w:w="485"/>
        <w:gridCol w:w="1286"/>
        <w:gridCol w:w="665"/>
        <w:gridCol w:w="1496"/>
        <w:gridCol w:w="1440"/>
        <w:gridCol w:w="144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1279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99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40" w:type="dxa"/>
            <w:vMerge w:val="restart"/>
            <w:tcBorders>
              <w:top w:val="single" w:sz="4" w:space="0" w:color="000000"/>
              <w:left w:val="single" w:sz="4" w:space="0" w:color="000000"/>
              <w:right w:val="single" w:sz="4" w:space="0" w:color="000000"/>
            </w:tcBorders>
            <w:shd w:val="clear" w:color="auto" w:fill="D2D2D2"/>
          </w:tcPr>
          <w:p>
            <w:pPr/>
          </w:p>
        </w:tc>
        <w:tc>
          <w:tcPr>
            <w:tcW w:w="1440" w:type="dxa"/>
            <w:vMerge w:val="restart"/>
            <w:tcBorders>
              <w:top w:val="single" w:sz="4" w:space="0" w:color="000000"/>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3" w:type="dxa"/>
            <w:vMerge w:val="restart"/>
            <w:tcBorders>
              <w:top w:val="single" w:sz="4" w:space="0" w:color="000000"/>
              <w:left w:val="single" w:sz="4" w:space="0" w:color="000000"/>
              <w:right w:val="single" w:sz="4" w:space="0" w:color="000000"/>
            </w:tcBorders>
            <w:shd w:val="clear" w:color="auto" w:fill="D2D2D2"/>
          </w:tcPr>
          <w:p>
            <w:pPr/>
          </w:p>
        </w:tc>
        <w:tc>
          <w:tcPr>
            <w:tcW w:w="14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40" w:type="dxa"/>
            <w:vMerge w:val="restart"/>
            <w:tcBorders>
              <w:top w:val="single" w:sz="4" w:space="0" w:color="000000"/>
              <w:left w:val="single" w:sz="4" w:space="0" w:color="000000"/>
              <w:right w:val="single" w:sz="4" w:space="0" w:color="000000"/>
            </w:tcBorders>
            <w:shd w:val="clear" w:color="auto" w:fill="D2D2D2"/>
          </w:tcPr>
          <w:p>
            <w:pPr/>
          </w:p>
        </w:tc>
        <w:tc>
          <w:tcPr>
            <w:tcW w:w="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6" w:type="dxa"/>
            <w:vMerge w:val="restart"/>
            <w:tcBorders>
              <w:top w:val="single" w:sz="4" w:space="0" w:color="000000"/>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165"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1441" w:type="dxa"/>
            <w:gridSpan w:val="3"/>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51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72" w:right="22" w:hanging="48"/>
              <w:jc w:val="left"/>
              <w:rPr>
                <w:rFonts w:ascii="宋体" w:hAnsi="宋体" w:cs="宋体" w:eastAsia="宋体" w:hint="default"/>
                <w:sz w:val="18"/>
                <w:szCs w:val="18"/>
              </w:rPr>
            </w:pPr>
            <w:r>
              <w:rPr>
                <w:rFonts w:ascii="宋体" w:hAnsi="宋体" w:cs="宋体" w:eastAsia="宋体" w:hint="default"/>
                <w:spacing w:val="-29"/>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70" w:right="11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55" w:right="5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86"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96" w:type="dxa"/>
            <w:vMerge/>
            <w:tcBorders>
              <w:left w:val="single" w:sz="4" w:space="0" w:color="000000"/>
              <w:bottom w:val="nil" w:sz="6" w:space="0" w:color="auto"/>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70" w:right="8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91" w:right="95"/>
              <w:jc w:val="left"/>
              <w:rPr>
                <w:rFonts w:ascii="宋体" w:hAnsi="宋体" w:cs="宋体" w:eastAsia="宋体" w:hint="default"/>
                <w:sz w:val="18"/>
                <w:szCs w:val="18"/>
              </w:rPr>
            </w:pPr>
            <w:r>
              <w:rPr>
                <w:rFonts w:ascii="宋体" w:hAnsi="宋体" w:cs="宋体" w:eastAsia="宋体" w:hint="default"/>
                <w:sz w:val="18"/>
                <w:szCs w:val="18"/>
              </w:rPr>
              <w:t>其 他</w:t>
            </w: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14"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tcBorders>
              <w:left w:val="single" w:sz="4" w:space="0" w:color="000000"/>
              <w:right w:val="single" w:sz="4" w:space="0" w:color="000000"/>
            </w:tcBorders>
            <w:shd w:val="clear" w:color="auto" w:fill="D2D2D2"/>
          </w:tcPr>
          <w:p>
            <w:pPr/>
          </w:p>
        </w:tc>
        <w:tc>
          <w:tcPr>
            <w:tcW w:w="14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40"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415"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377"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514"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128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496" w:type="dxa"/>
            <w:vMerge/>
            <w:tcBorders>
              <w:left w:val="single" w:sz="4" w:space="0" w:color="000000"/>
              <w:bottom w:val="nil" w:sz="6" w:space="0" w:color="auto"/>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377" w:type="dxa"/>
            <w:vMerge/>
            <w:tcBorders>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
        </w:tc>
        <w:tc>
          <w:tcPr>
            <w:tcW w:w="514"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485" w:type="dxa"/>
            <w:vMerge/>
            <w:tcBorders>
              <w:left w:val="single" w:sz="4" w:space="0" w:color="000000"/>
              <w:bottom w:val="nil" w:sz="6" w:space="0" w:color="auto"/>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496" w:type="dxa"/>
            <w:vMerge w:val="restart"/>
            <w:tcBorders>
              <w:top w:val="nil" w:sz="6" w:space="0" w:color="auto"/>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r>
      <w:tr>
        <w:trPr>
          <w:trHeight w:val="204"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377"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6"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4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1,167,839,226.00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797,473,267.60</w:t>
            </w: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-56,405.70</w:t>
            </w: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245,096,977.88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5,526,185,160.86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2,104,170,263.01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9,840,708,489.65</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453"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53"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453"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3"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4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1,167,839,226.00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797,473,267.60</w:t>
            </w: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-56,405.70</w:t>
            </w: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245,096,977.88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5,526,185,160.86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2,104,170,263.01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9,840,708,489.65</w:t>
            </w:r>
          </w:p>
        </w:tc>
      </w:tr>
      <w:tr>
        <w:trPr>
          <w:trHeight w:val="102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1453"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265,482,864.39</w:t>
            </w: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-4,831,738.02</w:t>
            </w: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13,338,835.76</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805,707,590.41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1,950,541,103.05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3,030,238,655.59</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453"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-4,831,738.02</w:t>
            </w: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959,187,133.29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-24,820,784.32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929,534,610.95</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1453"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265,482,864.39</w:t>
            </w: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1,976,335,723.67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2,241,818,588.06</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1453"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3,453,494,837.60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3,453,494,837.60</w:t>
            </w:r>
          </w:p>
        </w:tc>
      </w:tr>
    </w:tbl>
    <w:p>
      <w:pPr>
        <w:spacing w:after="0" w:line="240" w:lineRule="auto"/>
        <w:jc w:val="right"/>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867" w:footer="979" w:top="1060" w:bottom="1160" w:left="1300" w:right="1060"/>
          <w:pgNumType w:start="75"/>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1442"/>
        <w:gridCol w:w="530"/>
        <w:gridCol w:w="533"/>
        <w:gridCol w:w="377"/>
        <w:gridCol w:w="1440"/>
        <w:gridCol w:w="514"/>
        <w:gridCol w:w="1136"/>
        <w:gridCol w:w="485"/>
        <w:gridCol w:w="1286"/>
        <w:gridCol w:w="665"/>
        <w:gridCol w:w="1496"/>
        <w:gridCol w:w="1440"/>
        <w:gridCol w:w="1440"/>
      </w:tblGrid>
      <w:tr>
        <w:trPr>
          <w:trHeight w:val="377"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44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3" w:type="dxa"/>
            <w:tcBorders>
              <w:top w:val="single" w:sz="15" w:space="0" w:color="000000"/>
              <w:left w:val="single" w:sz="4" w:space="0" w:color="000000"/>
              <w:bottom w:val="single" w:sz="4" w:space="0" w:color="000000"/>
              <w:right w:val="single" w:sz="4" w:space="0" w:color="000000"/>
            </w:tcBorders>
          </w:tcPr>
          <w:p>
            <w:pPr/>
          </w:p>
        </w:tc>
        <w:tc>
          <w:tcPr>
            <w:tcW w:w="377"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514"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485" w:type="dxa"/>
            <w:tcBorders>
              <w:top w:val="single" w:sz="15" w:space="0" w:color="000000"/>
              <w:left w:val="single" w:sz="4" w:space="0" w:color="000000"/>
              <w:bottom w:val="single" w:sz="4" w:space="0" w:color="000000"/>
              <w:right w:val="single" w:sz="4" w:space="0" w:color="000000"/>
            </w:tcBorders>
          </w:tcPr>
          <w:p>
            <w:pPr/>
          </w:p>
        </w:tc>
        <w:tc>
          <w:tcPr>
            <w:tcW w:w="1286"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496"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265,482,864.39</w:t>
            </w: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-1,477,159,113.93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-1,211,676,249.54</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13,338,835.76</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-153,479,542.88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-973,836.30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-141,114,543.42</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13,338,835.76</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-13,338,835.76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-140,140,707.12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-973,836.30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-141,114,543.42</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06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1442"/>
        <w:gridCol w:w="530"/>
        <w:gridCol w:w="533"/>
        <w:gridCol w:w="377"/>
        <w:gridCol w:w="1440"/>
        <w:gridCol w:w="514"/>
        <w:gridCol w:w="1136"/>
        <w:gridCol w:w="485"/>
        <w:gridCol w:w="1286"/>
        <w:gridCol w:w="665"/>
        <w:gridCol w:w="1496"/>
        <w:gridCol w:w="1440"/>
        <w:gridCol w:w="1440"/>
      </w:tblGrid>
      <w:tr>
        <w:trPr>
          <w:trHeight w:val="418"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4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3" w:type="dxa"/>
            <w:tcBorders>
              <w:top w:val="single" w:sz="15" w:space="0" w:color="000000"/>
              <w:left w:val="single" w:sz="4" w:space="0" w:color="000000"/>
              <w:bottom w:val="single" w:sz="4" w:space="0" w:color="000000"/>
              <w:right w:val="single" w:sz="4" w:space="0" w:color="000000"/>
            </w:tcBorders>
          </w:tcPr>
          <w:p>
            <w:pPr/>
          </w:p>
        </w:tc>
        <w:tc>
          <w:tcPr>
            <w:tcW w:w="377"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514"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485" w:type="dxa"/>
            <w:tcBorders>
              <w:top w:val="single" w:sz="15" w:space="0" w:color="000000"/>
              <w:left w:val="single" w:sz="4" w:space="0" w:color="000000"/>
              <w:bottom w:val="single" w:sz="4" w:space="0" w:color="000000"/>
              <w:right w:val="single" w:sz="4" w:space="0" w:color="000000"/>
            </w:tcBorders>
          </w:tcPr>
          <w:p>
            <w:pPr/>
          </w:p>
        </w:tc>
        <w:tc>
          <w:tcPr>
            <w:tcW w:w="1286"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496"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1,167,839,226.00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1,062,956,131.99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-4,888,143.72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258,435,813.64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9" w:right="0"/>
              <w:jc w:val="left"/>
              <w:rPr>
                <w:rFonts w:ascii="Times New Roman" w:hAnsi="Times New Roman" w:cs="Times New Roman" w:eastAsia="Times New Roman" w:hint="default"/>
                <w:sz w:val="18"/>
                <w:szCs w:val="18"/>
              </w:rPr>
            </w:pPr>
            <w:r>
              <w:rPr>
                <w:rFonts w:ascii="Times New Roman"/>
                <w:sz w:val="18"/>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 w:right="0"/>
              <w:jc w:val="left"/>
              <w:rPr>
                <w:rFonts w:ascii="Times New Roman" w:hAnsi="Times New Roman" w:cs="Times New Roman" w:eastAsia="Times New Roman" w:hint="default"/>
                <w:sz w:val="18"/>
                <w:szCs w:val="18"/>
              </w:rPr>
            </w:pPr>
            <w:r>
              <w:rPr>
                <w:rFonts w:ascii="Times New Roman"/>
                <w:sz w:val="18"/>
              </w:rPr>
              <w:t>6,331,892,751.27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4,054,711,366.06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12,870,947,145.24</w:t>
            </w:r>
          </w:p>
        </w:tc>
      </w:tr>
    </w:tbl>
    <w:p>
      <w:pPr>
        <w:pStyle w:val="BodyText"/>
        <w:spacing w:line="240" w:lineRule="auto" w:before="49"/>
        <w:ind w:left="120" w:right="0"/>
        <w:jc w:val="left"/>
      </w:pPr>
      <w:r>
        <w:rPr/>
        <w:t>上期金额</w:t>
      </w:r>
    </w:p>
    <w:p>
      <w:pPr>
        <w:pStyle w:val="BodyText"/>
        <w:spacing w:line="240" w:lineRule="auto" w:before="115"/>
        <w:ind w:left="0" w:right="474"/>
        <w:jc w:val="right"/>
      </w:pPr>
      <w:r>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14"/>
        <w:gridCol w:w="1454"/>
        <w:gridCol w:w="540"/>
        <w:gridCol w:w="541"/>
        <w:gridCol w:w="370"/>
        <w:gridCol w:w="1250"/>
        <w:gridCol w:w="523"/>
        <w:gridCol w:w="1133"/>
        <w:gridCol w:w="523"/>
        <w:gridCol w:w="1315"/>
        <w:gridCol w:w="665"/>
        <w:gridCol w:w="1496"/>
        <w:gridCol w:w="1519"/>
        <w:gridCol w:w="1440"/>
      </w:tblGrid>
      <w:tr>
        <w:trPr>
          <w:trHeight w:val="403" w:hRule="exact"/>
        </w:trPr>
        <w:tc>
          <w:tcPr>
            <w:tcW w:w="1414" w:type="dxa"/>
            <w:vMerge w:val="restart"/>
            <w:tcBorders>
              <w:top w:val="single" w:sz="4" w:space="0" w:color="000000"/>
              <w:left w:val="single" w:sz="4" w:space="0" w:color="000000"/>
              <w:right w:val="single" w:sz="4" w:space="0" w:color="000000"/>
            </w:tcBorders>
            <w:shd w:val="clear" w:color="auto" w:fill="D2D2D2"/>
          </w:tcPr>
          <w:p>
            <w:pPr/>
          </w:p>
        </w:tc>
        <w:tc>
          <w:tcPr>
            <w:tcW w:w="1277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7" w:hRule="exact"/>
        </w:trPr>
        <w:tc>
          <w:tcPr>
            <w:tcW w:w="1414" w:type="dxa"/>
            <w:vMerge/>
            <w:tcBorders>
              <w:left w:val="single" w:sz="4" w:space="0" w:color="000000"/>
              <w:bottom w:val="nil" w:sz="6" w:space="0" w:color="auto"/>
              <w:right w:val="single" w:sz="4" w:space="0" w:color="000000"/>
            </w:tcBorders>
            <w:shd w:val="clear" w:color="auto" w:fill="D2D2D2"/>
          </w:tcPr>
          <w:p>
            <w:pPr/>
          </w:p>
        </w:tc>
        <w:tc>
          <w:tcPr>
            <w:tcW w:w="9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19" w:type="dxa"/>
            <w:vMerge w:val="restart"/>
            <w:tcBorders>
              <w:top w:val="single" w:sz="4" w:space="0" w:color="000000"/>
              <w:left w:val="single" w:sz="4" w:space="0" w:color="000000"/>
              <w:right w:val="single" w:sz="4" w:space="0" w:color="000000"/>
            </w:tcBorders>
            <w:shd w:val="clear" w:color="auto" w:fill="D2D2D2"/>
          </w:tcPr>
          <w:p>
            <w:pPr/>
          </w:p>
        </w:tc>
        <w:tc>
          <w:tcPr>
            <w:tcW w:w="1440"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14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4" w:type="dxa"/>
            <w:vMerge w:val="restart"/>
            <w:tcBorders>
              <w:top w:val="single" w:sz="4" w:space="0" w:color="000000"/>
              <w:left w:val="single" w:sz="4" w:space="0" w:color="000000"/>
              <w:right w:val="single" w:sz="4" w:space="0" w:color="000000"/>
            </w:tcBorders>
            <w:shd w:val="clear" w:color="auto" w:fill="D2D2D2"/>
          </w:tcPr>
          <w:p>
            <w:pPr/>
          </w:p>
        </w:tc>
        <w:tc>
          <w:tcPr>
            <w:tcW w:w="14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50" w:type="dxa"/>
            <w:vMerge w:val="restart"/>
            <w:tcBorders>
              <w:top w:val="single" w:sz="4" w:space="0" w:color="000000"/>
              <w:left w:val="single" w:sz="4" w:space="0" w:color="000000"/>
              <w:right w:val="single" w:sz="4" w:space="0" w:color="000000"/>
            </w:tcBorders>
            <w:shd w:val="clear" w:color="auto" w:fill="D2D2D2"/>
          </w:tcPr>
          <w:p>
            <w:pPr/>
          </w:p>
        </w:tc>
        <w:tc>
          <w:tcPr>
            <w:tcW w:w="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6" w:type="dxa"/>
            <w:vMerge w:val="restart"/>
            <w:tcBorders>
              <w:top w:val="single" w:sz="4" w:space="0" w:color="000000"/>
              <w:left w:val="single" w:sz="4" w:space="0" w:color="000000"/>
              <w:right w:val="single" w:sz="4" w:space="0" w:color="000000"/>
            </w:tcBorders>
            <w:shd w:val="clear" w:color="auto" w:fill="D2D2D2"/>
          </w:tcPr>
          <w:p>
            <w:pPr/>
          </w:p>
        </w:tc>
        <w:tc>
          <w:tcPr>
            <w:tcW w:w="1519"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165" w:hRule="exact"/>
        </w:trPr>
        <w:tc>
          <w:tcPr>
            <w:tcW w:w="1414" w:type="dxa"/>
            <w:vMerge/>
            <w:tcBorders>
              <w:left w:val="single" w:sz="4" w:space="0" w:color="000000"/>
              <w:bottom w:val="nil" w:sz="6" w:space="0" w:color="auto"/>
              <w:right w:val="single" w:sz="4" w:space="0" w:color="000000"/>
            </w:tcBorders>
            <w:shd w:val="clear" w:color="auto" w:fill="D2D2D2"/>
          </w:tcPr>
          <w:p>
            <w:pPr/>
          </w:p>
        </w:tc>
        <w:tc>
          <w:tcPr>
            <w:tcW w:w="1454" w:type="dxa"/>
            <w:vMerge/>
            <w:tcBorders>
              <w:left w:val="single" w:sz="4" w:space="0" w:color="000000"/>
              <w:bottom w:val="nil" w:sz="6" w:space="0" w:color="auto"/>
              <w:right w:val="single" w:sz="4" w:space="0" w:color="000000"/>
            </w:tcBorders>
            <w:shd w:val="clear" w:color="auto" w:fill="D2D2D2"/>
          </w:tcPr>
          <w:p>
            <w:pPr/>
          </w:p>
        </w:tc>
        <w:tc>
          <w:tcPr>
            <w:tcW w:w="1450" w:type="dxa"/>
            <w:gridSpan w:val="3"/>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nil" w:sz="6" w:space="0" w:color="auto"/>
              <w:right w:val="single" w:sz="4" w:space="0" w:color="000000"/>
            </w:tcBorders>
            <w:shd w:val="clear" w:color="auto" w:fill="D2D2D2"/>
          </w:tcPr>
          <w:p>
            <w:pPr/>
          </w:p>
        </w:tc>
        <w:tc>
          <w:tcPr>
            <w:tcW w:w="52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76" w:right="21" w:hanging="53"/>
              <w:jc w:val="left"/>
              <w:rPr>
                <w:rFonts w:ascii="宋体" w:hAnsi="宋体" w:cs="宋体" w:eastAsia="宋体" w:hint="default"/>
                <w:sz w:val="18"/>
                <w:szCs w:val="18"/>
              </w:rPr>
            </w:pPr>
            <w:r>
              <w:rPr>
                <w:rFonts w:ascii="宋体" w:hAnsi="宋体" w:cs="宋体" w:eastAsia="宋体" w:hint="default"/>
                <w:spacing w:val="-25"/>
                <w:sz w:val="18"/>
                <w:szCs w:val="18"/>
              </w:rPr>
              <w:t>减：库</w:t>
            </w:r>
            <w:r>
              <w:rPr>
                <w:rFonts w:ascii="宋体" w:hAnsi="宋体" w:cs="宋体" w:eastAsia="宋体" w:hint="default"/>
                <w:sz w:val="18"/>
                <w:szCs w:val="18"/>
              </w:rPr>
              <w:t> 存股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70" w:right="11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2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76" w:right="7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31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55" w:right="5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96" w:type="dxa"/>
            <w:vMerge/>
            <w:tcBorders>
              <w:left w:val="single" w:sz="4" w:space="0" w:color="000000"/>
              <w:bottom w:val="nil" w:sz="6" w:space="0" w:color="auto"/>
              <w:right w:val="single" w:sz="4" w:space="0" w:color="000000"/>
            </w:tcBorders>
            <w:shd w:val="clear" w:color="auto" w:fill="D2D2D2"/>
          </w:tcPr>
          <w:p>
            <w:pPr/>
          </w:p>
        </w:tc>
        <w:tc>
          <w:tcPr>
            <w:tcW w:w="15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21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8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1414" w:type="dxa"/>
            <w:vMerge w:val="restart"/>
            <w:tcBorders>
              <w:top w:val="nil" w:sz="6" w:space="0" w:color="auto"/>
              <w:left w:val="single" w:sz="4" w:space="0" w:color="000000"/>
              <w:right w:val="single" w:sz="4" w:space="0" w:color="000000"/>
            </w:tcBorders>
            <w:shd w:val="clear" w:color="auto" w:fill="D2D2D2"/>
          </w:tcPr>
          <w:p>
            <w:pPr/>
          </w:p>
        </w:tc>
        <w:tc>
          <w:tcPr>
            <w:tcW w:w="1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2"/>
              <w:ind w:left="175" w:right="83"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4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2"/>
              <w:ind w:left="175" w:right="82"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2"/>
              <w:ind w:left="88" w:right="89"/>
              <w:jc w:val="left"/>
              <w:rPr>
                <w:rFonts w:ascii="宋体" w:hAnsi="宋体" w:cs="宋体" w:eastAsia="宋体" w:hint="default"/>
                <w:sz w:val="18"/>
                <w:szCs w:val="18"/>
              </w:rPr>
            </w:pPr>
            <w:r>
              <w:rPr>
                <w:rFonts w:ascii="宋体" w:hAnsi="宋体" w:cs="宋体" w:eastAsia="宋体" w:hint="default"/>
                <w:sz w:val="18"/>
                <w:szCs w:val="18"/>
              </w:rPr>
              <w:t>其 他</w:t>
            </w:r>
          </w:p>
        </w:tc>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23"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tcBorders>
              <w:left w:val="single" w:sz="4" w:space="0" w:color="000000"/>
              <w:right w:val="single" w:sz="4" w:space="0" w:color="000000"/>
            </w:tcBorders>
            <w:shd w:val="clear" w:color="auto" w:fill="D2D2D2"/>
          </w:tcPr>
          <w:p>
            <w:pPr/>
          </w:p>
        </w:tc>
        <w:tc>
          <w:tcPr>
            <w:tcW w:w="14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19"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414" w:type="dxa"/>
            <w:vMerge/>
            <w:tcBorders>
              <w:left w:val="single" w:sz="4" w:space="0" w:color="000000"/>
              <w:right w:val="single" w:sz="4" w:space="0" w:color="000000"/>
            </w:tcBorders>
            <w:shd w:val="clear" w:color="auto" w:fill="D2D2D2"/>
          </w:tcPr>
          <w:p>
            <w:pPr/>
          </w:p>
        </w:tc>
        <w:tc>
          <w:tcPr>
            <w:tcW w:w="1454"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541" w:type="dxa"/>
            <w:vMerge/>
            <w:tcBorders>
              <w:left w:val="single" w:sz="4" w:space="0" w:color="000000"/>
              <w:right w:val="single" w:sz="4" w:space="0" w:color="000000"/>
            </w:tcBorders>
            <w:shd w:val="clear" w:color="auto" w:fill="D2D2D2"/>
          </w:tcPr>
          <w:p>
            <w:pPr/>
          </w:p>
        </w:tc>
        <w:tc>
          <w:tcPr>
            <w:tcW w:w="370" w:type="dxa"/>
            <w:vMerge/>
            <w:tcBorders>
              <w:left w:val="single" w:sz="4" w:space="0" w:color="000000"/>
              <w:right w:val="single" w:sz="4" w:space="0" w:color="000000"/>
            </w:tcBorders>
            <w:shd w:val="clear" w:color="auto" w:fill="D2D2D2"/>
          </w:tcPr>
          <w:p>
            <w:pPr/>
          </w:p>
        </w:tc>
        <w:tc>
          <w:tcPr>
            <w:tcW w:w="1250" w:type="dxa"/>
            <w:vMerge/>
            <w:tcBorders>
              <w:left w:val="single" w:sz="4" w:space="0" w:color="000000"/>
              <w:bottom w:val="nil" w:sz="6" w:space="0" w:color="auto"/>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496" w:type="dxa"/>
            <w:vMerge/>
            <w:tcBorders>
              <w:left w:val="single" w:sz="4" w:space="0" w:color="000000"/>
              <w:bottom w:val="nil" w:sz="6" w:space="0" w:color="auto"/>
              <w:right w:val="single" w:sz="4" w:space="0" w:color="000000"/>
            </w:tcBorders>
            <w:shd w:val="clear" w:color="auto" w:fill="D2D2D2"/>
          </w:tcPr>
          <w:p>
            <w:pPr/>
          </w:p>
        </w:tc>
        <w:tc>
          <w:tcPr>
            <w:tcW w:w="1519" w:type="dxa"/>
            <w:vMerge w:val="restart"/>
            <w:tcBorders>
              <w:top w:val="nil" w:sz="6" w:space="0" w:color="auto"/>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414" w:type="dxa"/>
            <w:vMerge/>
            <w:tcBorders>
              <w:left w:val="single" w:sz="4" w:space="0" w:color="000000"/>
              <w:right w:val="single" w:sz="4" w:space="0" w:color="000000"/>
            </w:tcBorders>
            <w:shd w:val="clear" w:color="auto" w:fill="D2D2D2"/>
          </w:tcPr>
          <w:p>
            <w:pPr/>
          </w:p>
        </w:tc>
        <w:tc>
          <w:tcPr>
            <w:tcW w:w="1454" w:type="dxa"/>
            <w:vMerge w:val="restart"/>
            <w:tcBorders>
              <w:top w:val="nil" w:sz="6" w:space="0" w:color="auto"/>
              <w:left w:val="single" w:sz="4" w:space="0" w:color="000000"/>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541" w:type="dxa"/>
            <w:vMerge/>
            <w:tcBorders>
              <w:left w:val="single" w:sz="4" w:space="0" w:color="000000"/>
              <w:right w:val="single" w:sz="4" w:space="0" w:color="000000"/>
            </w:tcBorders>
            <w:shd w:val="clear" w:color="auto" w:fill="D2D2D2"/>
          </w:tcPr>
          <w:p>
            <w:pPr/>
          </w:p>
        </w:tc>
        <w:tc>
          <w:tcPr>
            <w:tcW w:w="370" w:type="dxa"/>
            <w:vMerge/>
            <w:tcBorders>
              <w:left w:val="single" w:sz="4" w:space="0" w:color="000000"/>
              <w:right w:val="single" w:sz="4" w:space="0" w:color="000000"/>
            </w:tcBorders>
            <w:shd w:val="clear" w:color="auto" w:fill="D2D2D2"/>
          </w:tcPr>
          <w:p>
            <w:pPr/>
          </w:p>
        </w:tc>
        <w:tc>
          <w:tcPr>
            <w:tcW w:w="1250" w:type="dxa"/>
            <w:vMerge w:val="restart"/>
            <w:tcBorders>
              <w:top w:val="nil" w:sz="6" w:space="0" w:color="auto"/>
              <w:left w:val="single" w:sz="4" w:space="0" w:color="000000"/>
              <w:right w:val="single" w:sz="4" w:space="0" w:color="000000"/>
            </w:tcBorders>
            <w:shd w:val="clear" w:color="auto" w:fill="D2D2D2"/>
          </w:tcPr>
          <w:p>
            <w:pPr/>
          </w:p>
        </w:tc>
        <w:tc>
          <w:tcPr>
            <w:tcW w:w="523"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23"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496" w:type="dxa"/>
            <w:vMerge w:val="restart"/>
            <w:tcBorders>
              <w:top w:val="nil" w:sz="6" w:space="0" w:color="auto"/>
              <w:left w:val="single" w:sz="4" w:space="0" w:color="000000"/>
              <w:right w:val="single" w:sz="4" w:space="0" w:color="000000"/>
            </w:tcBorders>
            <w:shd w:val="clear" w:color="auto" w:fill="D2D2D2"/>
          </w:tcPr>
          <w:p>
            <w:pPr/>
          </w:p>
        </w:tc>
        <w:tc>
          <w:tcPr>
            <w:tcW w:w="1519"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r>
      <w:tr>
        <w:trPr>
          <w:trHeight w:val="206"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541" w:type="dxa"/>
            <w:vMerge/>
            <w:tcBorders>
              <w:left w:val="single" w:sz="4" w:space="0" w:color="000000"/>
              <w:bottom w:val="single" w:sz="4" w:space="0" w:color="000000"/>
              <w:right w:val="single" w:sz="4" w:space="0" w:color="000000"/>
            </w:tcBorders>
            <w:shd w:val="clear" w:color="auto" w:fill="D2D2D2"/>
          </w:tcPr>
          <w:p>
            <w:pPr/>
          </w:p>
        </w:tc>
        <w:tc>
          <w:tcPr>
            <w:tcW w:w="370" w:type="dxa"/>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6" w:type="dxa"/>
            <w:vMerge/>
            <w:tcBorders>
              <w:left w:val="single" w:sz="4" w:space="0" w:color="000000"/>
              <w:bottom w:val="single" w:sz="4" w:space="0" w:color="000000"/>
              <w:right w:val="single" w:sz="4" w:space="0" w:color="000000"/>
            </w:tcBorders>
            <w:shd w:val="clear" w:color="auto" w:fill="D2D2D2"/>
          </w:tcPr>
          <w:p>
            <w:pPr/>
          </w:p>
        </w:tc>
        <w:tc>
          <w:tcPr>
            <w:tcW w:w="1519"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4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627,066,780.69</w:t>
            </w: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-34,652.96</w:t>
            </w: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212,886,822.92</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4,465,796,373.16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1,724,775,254.96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8,198,329,804.77</w:t>
            </w: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4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627,066,780.69</w:t>
            </w: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-34,652.96</w:t>
            </w: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212,886,822.92</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4,465,796,373.16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1,724,775,254.96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8,198,329,804.77</w:t>
            </w:r>
          </w:p>
        </w:tc>
      </w:tr>
      <w:tr>
        <w:trPr>
          <w:trHeight w:val="1028"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170,406,486.91</w:t>
            </w: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-21,752.74</w:t>
            </w: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32,210,154.96</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1,060,388,787.70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379,395,008.05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1,642,378,684.88</w:t>
            </w: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-21,752.74</w:t>
            </w: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1,209,382,865.66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206,504,873.49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1,415,865,986.41</w:t>
            </w: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170,406,486.91</w:t>
            </w: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174,570,020.26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344,976,507.17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20" w:right="106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1442"/>
        <w:gridCol w:w="540"/>
        <w:gridCol w:w="541"/>
        <w:gridCol w:w="370"/>
        <w:gridCol w:w="1250"/>
        <w:gridCol w:w="523"/>
        <w:gridCol w:w="1133"/>
        <w:gridCol w:w="523"/>
        <w:gridCol w:w="1315"/>
        <w:gridCol w:w="665"/>
        <w:gridCol w:w="1496"/>
        <w:gridCol w:w="1519"/>
        <w:gridCol w:w="1440"/>
      </w:tblGrid>
      <w:tr>
        <w:trPr>
          <w:trHeight w:val="377"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442" w:type="dxa"/>
            <w:tcBorders>
              <w:top w:val="single" w:sz="15" w:space="0" w:color="000000"/>
              <w:left w:val="single" w:sz="4" w:space="0" w:color="000000"/>
              <w:bottom w:val="single" w:sz="4" w:space="0" w:color="000000"/>
              <w:right w:val="single" w:sz="4" w:space="0" w:color="000000"/>
            </w:tcBorders>
          </w:tcPr>
          <w:p>
            <w:pPr/>
          </w:p>
        </w:tc>
        <w:tc>
          <w:tcPr>
            <w:tcW w:w="540" w:type="dxa"/>
            <w:tcBorders>
              <w:top w:val="single" w:sz="15" w:space="0" w:color="000000"/>
              <w:left w:val="single" w:sz="4" w:space="0" w:color="000000"/>
              <w:bottom w:val="single" w:sz="4" w:space="0" w:color="000000"/>
              <w:right w:val="single" w:sz="4" w:space="0" w:color="000000"/>
            </w:tcBorders>
          </w:tcPr>
          <w:p>
            <w:pPr/>
          </w:p>
        </w:tc>
        <w:tc>
          <w:tcPr>
            <w:tcW w:w="541" w:type="dxa"/>
            <w:tcBorders>
              <w:top w:val="single" w:sz="15" w:space="0" w:color="000000"/>
              <w:left w:val="single" w:sz="4" w:space="0" w:color="000000"/>
              <w:bottom w:val="single" w:sz="4" w:space="0" w:color="000000"/>
              <w:right w:val="single" w:sz="4" w:space="0" w:color="000000"/>
            </w:tcBorders>
          </w:tcPr>
          <w:p>
            <w:pPr/>
          </w:p>
        </w:tc>
        <w:tc>
          <w:tcPr>
            <w:tcW w:w="370" w:type="dxa"/>
            <w:tcBorders>
              <w:top w:val="single" w:sz="15" w:space="0" w:color="000000"/>
              <w:left w:val="single" w:sz="4" w:space="0" w:color="000000"/>
              <w:bottom w:val="single" w:sz="4" w:space="0" w:color="000000"/>
              <w:right w:val="single" w:sz="4" w:space="0" w:color="000000"/>
            </w:tcBorders>
          </w:tcPr>
          <w:p>
            <w:pPr/>
          </w:p>
        </w:tc>
        <w:tc>
          <w:tcPr>
            <w:tcW w:w="1250" w:type="dxa"/>
            <w:tcBorders>
              <w:top w:val="single" w:sz="15" w:space="0" w:color="000000"/>
              <w:left w:val="single" w:sz="4" w:space="0" w:color="000000"/>
              <w:bottom w:val="single" w:sz="4" w:space="0" w:color="000000"/>
              <w:right w:val="single" w:sz="4" w:space="0" w:color="000000"/>
            </w:tcBorders>
          </w:tcPr>
          <w:p>
            <w:pPr/>
          </w:p>
        </w:tc>
        <w:tc>
          <w:tcPr>
            <w:tcW w:w="523"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3"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496" w:type="dxa"/>
            <w:tcBorders>
              <w:top w:val="single" w:sz="15" w:space="0" w:color="000000"/>
              <w:left w:val="single" w:sz="4" w:space="0" w:color="000000"/>
              <w:bottom w:val="single" w:sz="4" w:space="0" w:color="000000"/>
              <w:right w:val="single" w:sz="4" w:space="0" w:color="000000"/>
            </w:tcBorders>
          </w:tcPr>
          <w:p>
            <w:pPr/>
          </w:p>
        </w:tc>
        <w:tc>
          <w:tcPr>
            <w:tcW w:w="1519"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765,581,789.00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1,029,469,049.00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263,887,260.00</w:t>
            </w: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center"/>
              <w:rPr>
                <w:rFonts w:ascii="Times New Roman" w:hAnsi="Times New Roman" w:cs="Times New Roman" w:eastAsia="Times New Roman" w:hint="default"/>
                <w:sz w:val="18"/>
                <w:szCs w:val="18"/>
              </w:rPr>
            </w:pPr>
            <w:r>
              <w:rPr>
                <w:rFonts w:ascii="Times New Roman"/>
                <w:sz w:val="18"/>
              </w:rPr>
              <w:t>93,480,773.09</w:t>
            </w: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-591,011,768.74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-684,492,541.83</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32,210,154.96</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-148,994,077.96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-1,679,885.70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-118,463,808.70</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32,210,154.96</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32,210,154.96</w:t>
            </w: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-116,783,923.00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-1,679,885.70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-118,463,808.70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0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1442"/>
        <w:gridCol w:w="540"/>
        <w:gridCol w:w="541"/>
        <w:gridCol w:w="370"/>
        <w:gridCol w:w="1250"/>
        <w:gridCol w:w="523"/>
        <w:gridCol w:w="1133"/>
        <w:gridCol w:w="523"/>
        <w:gridCol w:w="1315"/>
        <w:gridCol w:w="665"/>
        <w:gridCol w:w="1496"/>
        <w:gridCol w:w="1519"/>
        <w:gridCol w:w="1440"/>
      </w:tblGrid>
      <w:tr>
        <w:trPr>
          <w:trHeight w:val="418"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42" w:type="dxa"/>
            <w:tcBorders>
              <w:top w:val="single" w:sz="15" w:space="0" w:color="000000"/>
              <w:left w:val="single" w:sz="4" w:space="0" w:color="000000"/>
              <w:bottom w:val="single" w:sz="4" w:space="0" w:color="000000"/>
              <w:right w:val="single" w:sz="4" w:space="0" w:color="000000"/>
            </w:tcBorders>
          </w:tcPr>
          <w:p>
            <w:pPr/>
          </w:p>
        </w:tc>
        <w:tc>
          <w:tcPr>
            <w:tcW w:w="540" w:type="dxa"/>
            <w:tcBorders>
              <w:top w:val="single" w:sz="15" w:space="0" w:color="000000"/>
              <w:left w:val="single" w:sz="4" w:space="0" w:color="000000"/>
              <w:bottom w:val="single" w:sz="4" w:space="0" w:color="000000"/>
              <w:right w:val="single" w:sz="4" w:space="0" w:color="000000"/>
            </w:tcBorders>
          </w:tcPr>
          <w:p>
            <w:pPr/>
          </w:p>
        </w:tc>
        <w:tc>
          <w:tcPr>
            <w:tcW w:w="541" w:type="dxa"/>
            <w:tcBorders>
              <w:top w:val="single" w:sz="15" w:space="0" w:color="000000"/>
              <w:left w:val="single" w:sz="4" w:space="0" w:color="000000"/>
              <w:bottom w:val="single" w:sz="4" w:space="0" w:color="000000"/>
              <w:right w:val="single" w:sz="4" w:space="0" w:color="000000"/>
            </w:tcBorders>
          </w:tcPr>
          <w:p>
            <w:pPr/>
          </w:p>
        </w:tc>
        <w:tc>
          <w:tcPr>
            <w:tcW w:w="370" w:type="dxa"/>
            <w:tcBorders>
              <w:top w:val="single" w:sz="15" w:space="0" w:color="000000"/>
              <w:left w:val="single" w:sz="4" w:space="0" w:color="000000"/>
              <w:bottom w:val="single" w:sz="4" w:space="0" w:color="000000"/>
              <w:right w:val="single" w:sz="4" w:space="0" w:color="000000"/>
            </w:tcBorders>
          </w:tcPr>
          <w:p>
            <w:pPr/>
          </w:p>
        </w:tc>
        <w:tc>
          <w:tcPr>
            <w:tcW w:w="1250" w:type="dxa"/>
            <w:tcBorders>
              <w:top w:val="single" w:sz="15" w:space="0" w:color="000000"/>
              <w:left w:val="single" w:sz="4" w:space="0" w:color="000000"/>
              <w:bottom w:val="single" w:sz="4" w:space="0" w:color="000000"/>
              <w:right w:val="single" w:sz="4" w:space="0" w:color="000000"/>
            </w:tcBorders>
          </w:tcPr>
          <w:p>
            <w:pPr/>
          </w:p>
        </w:tc>
        <w:tc>
          <w:tcPr>
            <w:tcW w:w="523"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23"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496" w:type="dxa"/>
            <w:tcBorders>
              <w:top w:val="single" w:sz="15" w:space="0" w:color="000000"/>
              <w:left w:val="single" w:sz="4" w:space="0" w:color="000000"/>
              <w:bottom w:val="single" w:sz="4" w:space="0" w:color="000000"/>
              <w:right w:val="single" w:sz="4" w:space="0" w:color="000000"/>
            </w:tcBorders>
          </w:tcPr>
          <w:p>
            <w:pPr/>
          </w:p>
        </w:tc>
        <w:tc>
          <w:tcPr>
            <w:tcW w:w="1519"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1,167,839,226.00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797,473,267.60</w:t>
            </w:r>
          </w:p>
        </w:tc>
        <w:tc>
          <w:tcPr>
            <w:tcW w:w="5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-56,405.70</w:t>
            </w:r>
          </w:p>
        </w:tc>
        <w:tc>
          <w:tcPr>
            <w:tcW w:w="52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245,096,977.88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5,526,185,160.86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2,104,170,263.01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9,840,708,489.65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2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20" w:right="0"/>
        <w:jc w:val="left"/>
      </w:pPr>
      <w:r>
        <w:rPr/>
        <w:t>本期金额</w:t>
      </w:r>
    </w:p>
    <w:p>
      <w:pPr>
        <w:pStyle w:val="BodyText"/>
        <w:spacing w:line="240" w:lineRule="auto" w:before="117"/>
        <w:ind w:left="0" w:right="474"/>
        <w:jc w:val="right"/>
      </w:pPr>
      <w:r>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18"/>
        <w:gridCol w:w="1991"/>
        <w:gridCol w:w="665"/>
        <w:gridCol w:w="665"/>
        <w:gridCol w:w="665"/>
        <w:gridCol w:w="1786"/>
        <w:gridCol w:w="799"/>
        <w:gridCol w:w="797"/>
        <w:gridCol w:w="797"/>
        <w:gridCol w:w="1568"/>
        <w:gridCol w:w="1620"/>
        <w:gridCol w:w="1440"/>
      </w:tblGrid>
      <w:tr>
        <w:trPr>
          <w:trHeight w:val="39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9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5"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1" w:right="3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17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9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86"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568" w:type="dxa"/>
            <w:vMerge/>
            <w:tcBorders>
              <w:left w:val="single" w:sz="4" w:space="0" w:color="000000"/>
              <w:bottom w:val="nil" w:sz="6" w:space="0" w:color="auto"/>
              <w:right w:val="single" w:sz="4" w:space="0" w:color="000000"/>
            </w:tcBorders>
            <w:shd w:val="clear" w:color="auto" w:fill="D2D2D2"/>
          </w:tcPr>
          <w:p>
            <w:pPr/>
          </w:p>
        </w:tc>
        <w:tc>
          <w:tcPr>
            <w:tcW w:w="1620"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3,466,438,732.64</w:t>
            </w:r>
          </w:p>
        </w:tc>
        <w:tc>
          <w:tcPr>
            <w:tcW w:w="799" w:type="dxa"/>
            <w:tcBorders>
              <w:top w:val="single" w:sz="22" w:space="0" w:color="D2D2D2"/>
              <w:left w:val="single" w:sz="4" w:space="0" w:color="000000"/>
              <w:bottom w:val="single" w:sz="4" w:space="0" w:color="000000"/>
              <w:right w:val="single" w:sz="4" w:space="0" w:color="000000"/>
            </w:tcBorders>
          </w:tcPr>
          <w:p>
            <w:pPr/>
          </w:p>
        </w:tc>
        <w:tc>
          <w:tcPr>
            <w:tcW w:w="797" w:type="dxa"/>
            <w:tcBorders>
              <w:top w:val="single" w:sz="22" w:space="0" w:color="D2D2D2"/>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94,443,310.25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317,932,389.32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5,046,653,658.21</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99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99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3,466,438,732.64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94,443,310.25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317,932,389.32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5,046,653,658.21</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1"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99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13,338,835.76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-20,091,185.25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-6,752,349.49</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99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133,388,357.63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133,388,357.63</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99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06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0"/>
        <w:gridCol w:w="1980"/>
        <w:gridCol w:w="665"/>
        <w:gridCol w:w="665"/>
        <w:gridCol w:w="665"/>
        <w:gridCol w:w="1786"/>
        <w:gridCol w:w="799"/>
        <w:gridCol w:w="797"/>
        <w:gridCol w:w="797"/>
        <w:gridCol w:w="1568"/>
        <w:gridCol w:w="1620"/>
        <w:gridCol w:w="1440"/>
      </w:tblGrid>
      <w:tr>
        <w:trPr>
          <w:trHeight w:val="730" w:hRule="exact"/>
        </w:trPr>
        <w:tc>
          <w:tcPr>
            <w:tcW w:w="14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980"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786" w:type="dxa"/>
            <w:tcBorders>
              <w:top w:val="single" w:sz="15" w:space="0" w:color="000000"/>
              <w:left w:val="single" w:sz="4" w:space="0" w:color="000000"/>
              <w:bottom w:val="single" w:sz="4" w:space="0" w:color="000000"/>
              <w:right w:val="single" w:sz="4" w:space="0" w:color="000000"/>
            </w:tcBorders>
          </w:tcPr>
          <w:p>
            <w:pPr/>
          </w:p>
        </w:tc>
        <w:tc>
          <w:tcPr>
            <w:tcW w:w="799"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1568" w:type="dxa"/>
            <w:tcBorders>
              <w:top w:val="single" w:sz="15" w:space="0" w:color="000000"/>
              <w:left w:val="single" w:sz="4" w:space="0" w:color="000000"/>
              <w:bottom w:val="single" w:sz="4" w:space="0" w:color="000000"/>
              <w:right w:val="single" w:sz="4" w:space="0" w:color="000000"/>
            </w:tcBorders>
          </w:tcPr>
          <w:p>
            <w:pPr/>
          </w:p>
        </w:tc>
        <w:tc>
          <w:tcPr>
            <w:tcW w:w="1620"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13,338,835.76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-153,479,542.88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-140,140,707.12</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13,338,835.76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-13,338,835.76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-140,140,707.12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-140,140,707.12</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9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06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0"/>
        <w:gridCol w:w="1980"/>
        <w:gridCol w:w="665"/>
        <w:gridCol w:w="665"/>
        <w:gridCol w:w="665"/>
        <w:gridCol w:w="1786"/>
        <w:gridCol w:w="799"/>
        <w:gridCol w:w="797"/>
        <w:gridCol w:w="797"/>
        <w:gridCol w:w="1568"/>
        <w:gridCol w:w="1620"/>
        <w:gridCol w:w="1440"/>
      </w:tblGrid>
      <w:tr>
        <w:trPr>
          <w:trHeight w:val="418" w:hRule="exact"/>
        </w:trPr>
        <w:tc>
          <w:tcPr>
            <w:tcW w:w="14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980"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786" w:type="dxa"/>
            <w:tcBorders>
              <w:top w:val="single" w:sz="15" w:space="0" w:color="000000"/>
              <w:left w:val="single" w:sz="4" w:space="0" w:color="000000"/>
              <w:bottom w:val="single" w:sz="4" w:space="0" w:color="000000"/>
              <w:right w:val="single" w:sz="4" w:space="0" w:color="000000"/>
            </w:tcBorders>
          </w:tcPr>
          <w:p>
            <w:pPr/>
          </w:p>
        </w:tc>
        <w:tc>
          <w:tcPr>
            <w:tcW w:w="799"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1568" w:type="dxa"/>
            <w:tcBorders>
              <w:top w:val="single" w:sz="15" w:space="0" w:color="000000"/>
              <w:left w:val="single" w:sz="4" w:space="0" w:color="000000"/>
              <w:bottom w:val="single" w:sz="4" w:space="0" w:color="000000"/>
              <w:right w:val="single" w:sz="4" w:space="0" w:color="000000"/>
            </w:tcBorders>
          </w:tcPr>
          <w:p>
            <w:pPr/>
          </w:p>
        </w:tc>
        <w:tc>
          <w:tcPr>
            <w:tcW w:w="1620"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6" w:right="0"/>
              <w:jc w:val="left"/>
              <w:rPr>
                <w:rFonts w:ascii="Times New Roman" w:hAnsi="Times New Roman" w:cs="Times New Roman" w:eastAsia="Times New Roman" w:hint="default"/>
                <w:sz w:val="18"/>
                <w:szCs w:val="18"/>
              </w:rPr>
            </w:pPr>
            <w:r>
              <w:rPr>
                <w:rFonts w:ascii="Times New Roman"/>
                <w:sz w:val="18"/>
              </w:rPr>
              <w:t>1,167,839,226.00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2" w:right="0"/>
              <w:jc w:val="left"/>
              <w:rPr>
                <w:rFonts w:ascii="Times New Roman" w:hAnsi="Times New Roman" w:cs="Times New Roman" w:eastAsia="Times New Roman" w:hint="default"/>
                <w:sz w:val="18"/>
                <w:szCs w:val="18"/>
              </w:rPr>
            </w:pPr>
            <w:r>
              <w:rPr>
                <w:rFonts w:ascii="Times New Roman"/>
                <w:sz w:val="18"/>
              </w:rPr>
              <w:t>3,466,438,732.64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107,782,146.01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297,841,204.07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5,039,901,308.72</w:t>
            </w:r>
          </w:p>
        </w:tc>
      </w:tr>
    </w:tbl>
    <w:p>
      <w:pPr>
        <w:pStyle w:val="BodyText"/>
        <w:spacing w:line="240" w:lineRule="auto" w:before="49"/>
        <w:ind w:left="120" w:right="0"/>
        <w:jc w:val="left"/>
      </w:pPr>
      <w:r>
        <w:rPr/>
        <w:t>上期金额</w:t>
      </w:r>
    </w:p>
    <w:p>
      <w:pPr>
        <w:pStyle w:val="BodyText"/>
        <w:spacing w:line="240" w:lineRule="auto" w:before="115"/>
        <w:ind w:left="0" w:right="474"/>
        <w:jc w:val="right"/>
      </w:pPr>
      <w:r>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18"/>
        <w:gridCol w:w="1991"/>
        <w:gridCol w:w="721"/>
        <w:gridCol w:w="665"/>
        <w:gridCol w:w="665"/>
        <w:gridCol w:w="1731"/>
        <w:gridCol w:w="799"/>
        <w:gridCol w:w="797"/>
        <w:gridCol w:w="797"/>
        <w:gridCol w:w="1568"/>
        <w:gridCol w:w="1620"/>
        <w:gridCol w:w="1440"/>
      </w:tblGrid>
      <w:tr>
        <w:trPr>
          <w:trHeight w:val="39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9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304" w:right="35"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211" w:right="3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50" w:type="dxa"/>
            <w:gridSpan w:val="3"/>
            <w:vMerge/>
            <w:tcBorders>
              <w:left w:val="single" w:sz="4" w:space="0" w:color="000000"/>
              <w:bottom w:val="single" w:sz="4" w:space="0" w:color="000000"/>
              <w:right w:val="single" w:sz="4" w:space="0" w:color="000000"/>
            </w:tcBorders>
            <w:shd w:val="clear" w:color="auto" w:fill="D2D2D2"/>
          </w:tcPr>
          <w:p>
            <w:pPr/>
          </w:p>
        </w:tc>
        <w:tc>
          <w:tcPr>
            <w:tcW w:w="17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991" w:type="dxa"/>
            <w:vMerge/>
            <w:tcBorders>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1"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568" w:type="dxa"/>
            <w:vMerge/>
            <w:tcBorders>
              <w:left w:val="single" w:sz="4" w:space="0" w:color="000000"/>
              <w:bottom w:val="nil" w:sz="6" w:space="0" w:color="auto"/>
              <w:right w:val="single" w:sz="4" w:space="0" w:color="000000"/>
            </w:tcBorders>
            <w:shd w:val="clear" w:color="auto" w:fill="D2D2D2"/>
          </w:tcPr>
          <w:p>
            <w:pPr/>
          </w:p>
        </w:tc>
        <w:tc>
          <w:tcPr>
            <w:tcW w:w="1620" w:type="dxa"/>
            <w:vMerge/>
            <w:tcBorders>
              <w:left w:val="single" w:sz="4" w:space="0" w:color="000000"/>
              <w:bottom w:val="nil" w:sz="6" w:space="0" w:color="auto"/>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7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3,466,438,732.64</w:t>
            </w:r>
          </w:p>
        </w:tc>
        <w:tc>
          <w:tcPr>
            <w:tcW w:w="799" w:type="dxa"/>
            <w:tcBorders>
              <w:top w:val="single" w:sz="18" w:space="0" w:color="D2D2D2"/>
              <w:left w:val="single" w:sz="4" w:space="0" w:color="000000"/>
              <w:bottom w:val="single" w:sz="4" w:space="0" w:color="000000"/>
              <w:right w:val="single" w:sz="4" w:space="0" w:color="000000"/>
            </w:tcBorders>
          </w:tcPr>
          <w:p>
            <w:pPr/>
          </w:p>
        </w:tc>
        <w:tc>
          <w:tcPr>
            <w:tcW w:w="797" w:type="dxa"/>
            <w:tcBorders>
              <w:top w:val="single" w:sz="18" w:space="0" w:color="D2D2D2"/>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62,233,155.29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144,824,917.64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4,841,336,031.57</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991" w:type="dxa"/>
            <w:tcBorders>
              <w:top w:val="single" w:sz="4" w:space="0" w:color="000000"/>
              <w:left w:val="single" w:sz="9" w:space="0" w:color="D2D2D2"/>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991" w:type="dxa"/>
            <w:tcBorders>
              <w:top w:val="single" w:sz="4" w:space="0" w:color="000000"/>
              <w:left w:val="single" w:sz="9" w:space="0" w:color="D2D2D2"/>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1" w:type="dxa"/>
            <w:tcBorders>
              <w:top w:val="single" w:sz="4" w:space="0" w:color="000000"/>
              <w:left w:val="single" w:sz="9" w:space="0" w:color="D2D2D2"/>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3,466,438,732.64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62,233,155.29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144,824,917.64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4,841,336,031.57</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1"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991" w:type="dxa"/>
            <w:tcBorders>
              <w:top w:val="single" w:sz="4" w:space="0" w:color="000000"/>
              <w:left w:val="single" w:sz="9" w:space="0" w:color="D2D2D2"/>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32,210,154.96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173,107,471.68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205,317,626.64</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991" w:type="dxa"/>
            <w:tcBorders>
              <w:top w:val="single" w:sz="4" w:space="0" w:color="000000"/>
              <w:left w:val="single" w:sz="9" w:space="0" w:color="D2D2D2"/>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322,101,549.64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322,101,549.64</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991" w:type="dxa"/>
            <w:tcBorders>
              <w:top w:val="single" w:sz="4" w:space="0" w:color="000000"/>
              <w:left w:val="single" w:sz="9" w:space="0" w:color="D2D2D2"/>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991" w:type="dxa"/>
            <w:tcBorders>
              <w:top w:val="single" w:sz="4" w:space="0" w:color="000000"/>
              <w:left w:val="single" w:sz="9" w:space="0" w:color="D2D2D2"/>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991" w:type="dxa"/>
            <w:tcBorders>
              <w:top w:val="single" w:sz="4" w:space="0" w:color="000000"/>
              <w:left w:val="single" w:sz="9" w:space="0" w:color="D2D2D2"/>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106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0"/>
        <w:gridCol w:w="1980"/>
        <w:gridCol w:w="721"/>
        <w:gridCol w:w="665"/>
        <w:gridCol w:w="665"/>
        <w:gridCol w:w="1731"/>
        <w:gridCol w:w="799"/>
        <w:gridCol w:w="797"/>
        <w:gridCol w:w="797"/>
        <w:gridCol w:w="1568"/>
        <w:gridCol w:w="1620"/>
        <w:gridCol w:w="1440"/>
      </w:tblGrid>
      <w:tr>
        <w:trPr>
          <w:trHeight w:val="1042" w:hRule="exact"/>
        </w:trPr>
        <w:tc>
          <w:tcPr>
            <w:tcW w:w="14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980" w:type="dxa"/>
            <w:tcBorders>
              <w:top w:val="single" w:sz="15" w:space="0" w:color="000000"/>
              <w:left w:val="single" w:sz="4" w:space="0" w:color="000000"/>
              <w:bottom w:val="single" w:sz="4" w:space="0" w:color="000000"/>
              <w:right w:val="single" w:sz="4" w:space="0" w:color="000000"/>
            </w:tcBorders>
          </w:tcPr>
          <w:p>
            <w:pPr/>
          </w:p>
        </w:tc>
        <w:tc>
          <w:tcPr>
            <w:tcW w:w="721"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731" w:type="dxa"/>
            <w:tcBorders>
              <w:top w:val="single" w:sz="15" w:space="0" w:color="000000"/>
              <w:left w:val="single" w:sz="4" w:space="0" w:color="000000"/>
              <w:bottom w:val="single" w:sz="4" w:space="0" w:color="000000"/>
              <w:right w:val="single" w:sz="4" w:space="0" w:color="000000"/>
            </w:tcBorders>
          </w:tcPr>
          <w:p>
            <w:pPr/>
          </w:p>
        </w:tc>
        <w:tc>
          <w:tcPr>
            <w:tcW w:w="799"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1568" w:type="dxa"/>
            <w:tcBorders>
              <w:top w:val="single" w:sz="15" w:space="0" w:color="000000"/>
              <w:left w:val="single" w:sz="4" w:space="0" w:color="000000"/>
              <w:bottom w:val="single" w:sz="4" w:space="0" w:color="000000"/>
              <w:right w:val="single" w:sz="4" w:space="0" w:color="000000"/>
            </w:tcBorders>
          </w:tcPr>
          <w:p>
            <w:pPr/>
          </w:p>
        </w:tc>
        <w:tc>
          <w:tcPr>
            <w:tcW w:w="1620"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32,210,154.96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-148,994,077.96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-116,783,923.00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32,210,154.96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-32,210,154.96</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-116,783,923.00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-116,783,923.00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6" w:right="0"/>
              <w:jc w:val="left"/>
              <w:rPr>
                <w:rFonts w:ascii="Times New Roman" w:hAnsi="Times New Roman" w:cs="Times New Roman" w:eastAsia="Times New Roman" w:hint="default"/>
                <w:sz w:val="18"/>
                <w:szCs w:val="18"/>
              </w:rPr>
            </w:pPr>
            <w:r>
              <w:rPr>
                <w:rFonts w:ascii="Times New Roman"/>
                <w:sz w:val="18"/>
              </w:rPr>
              <w:t>1,167,839,226.00</w:t>
            </w:r>
          </w:p>
        </w:tc>
        <w:tc>
          <w:tcPr>
            <w:tcW w:w="7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3,466,438,732.64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94,443,310.25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317,932,389.32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5,046,653,658.21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20" w:right="106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86" w:firstLine="360"/>
        <w:jc w:val="both"/>
      </w:pPr>
      <w:r>
        <w:rPr>
          <w:spacing w:val="-1"/>
        </w:rPr>
        <w:t>江苏中南建设集团股份有限公司（以下简称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）原名称为大连金牛股份有限公司（以下简称</w:t>
      </w:r>
      <w:r>
        <w:rPr>
          <w:rFonts w:ascii="Times New Roman" w:hAnsi="Times New Roman" w:cs="Times New Roman" w:eastAsia="Times New Roman" w:hint="default"/>
          <w:spacing w:val="-1"/>
        </w:rPr>
        <w:t>“</w:t>
      </w:r>
      <w:r>
        <w:rPr>
          <w:spacing w:val="-1"/>
        </w:rPr>
        <w:t>大连金牛</w:t>
      </w:r>
      <w:r>
        <w:rPr>
          <w:rFonts w:ascii="Times New Roman" w:hAnsi="Times New Roman" w:cs="Times New Roman" w:eastAsia="Times New Roman" w:hint="default"/>
          <w:spacing w:val="-1"/>
        </w:rPr>
        <w:t>”</w:t>
      </w:r>
      <w:r>
        <w:rPr>
          <w:spacing w:val="-1"/>
        </w:rPr>
        <w:t>），大连</w:t>
      </w:r>
      <w:r>
        <w:rPr/>
        <w:t> 金牛为东北特殊钢集团有限责任公司（以下简称</w:t>
      </w:r>
      <w:r>
        <w:rPr>
          <w:rFonts w:ascii="Times New Roman" w:hAnsi="Times New Roman" w:cs="Times New Roman" w:eastAsia="Times New Roman" w:hint="default"/>
        </w:rPr>
        <w:t>“</w:t>
      </w:r>
      <w:r>
        <w:rPr/>
        <w:t>东北特钢集团</w:t>
      </w:r>
      <w:r>
        <w:rPr>
          <w:rFonts w:ascii="Times New Roman" w:hAnsi="Times New Roman" w:cs="Times New Roman" w:eastAsia="Times New Roman" w:hint="default"/>
        </w:rPr>
        <w:t>”</w:t>
      </w:r>
      <w:r>
        <w:rPr/>
        <w:t>）旗下的一家上市公司。是经大连市人民政府（</w:t>
      </w:r>
      <w:r>
        <w:rPr>
          <w:rFonts w:ascii="Times New Roman" w:hAnsi="Times New Roman" w:cs="Times New Roman" w:eastAsia="Times New Roman" w:hint="default"/>
        </w:rPr>
        <w:t>1998</w:t>
      </w:r>
      <w:r>
        <w:rPr/>
        <w:t>）</w:t>
      </w:r>
      <w:r>
        <w:rPr>
          <w:rFonts w:ascii="Times New Roman" w:hAnsi="Times New Roman" w:cs="Times New Roman" w:eastAsia="Times New Roman" w:hint="default"/>
        </w:rPr>
        <w:t>58</w:t>
      </w:r>
      <w:r>
        <w:rPr>
          <w:rFonts w:ascii="Times New Roman" w:hAnsi="Times New Roman" w:cs="Times New Roman" w:eastAsia="Times New Roman" w:hint="default"/>
          <w:spacing w:val="6"/>
        </w:rPr>
        <w:t> </w:t>
      </w:r>
      <w:r>
        <w:rPr>
          <w:spacing w:val="-2"/>
        </w:rPr>
        <w:t>号文件批准，由东北特钢集团、吉林炭素股份有限公司、瓦房店轴承集团有限责任公司、兰州炭素（集团）有限公司、大连</w:t>
      </w:r>
      <w:r>
        <w:rPr>
          <w:spacing w:val="-71"/>
        </w:rPr>
        <w:t> </w:t>
      </w:r>
      <w:r>
        <w:rPr>
          <w:spacing w:val="-71"/>
        </w:rPr>
      </w:r>
      <w:r>
        <w:rPr>
          <w:spacing w:val="14"/>
        </w:rPr>
        <w:t>华信信托投资股份有限公司和吉林铁合金集团有限责任公司共同发起，</w:t>
      </w:r>
      <w:r>
        <w:rPr>
          <w:spacing w:val="-72"/>
        </w:rPr>
        <w:t> </w:t>
      </w:r>
      <w:r>
        <w:rPr/>
        <w:t>于</w:t>
      </w:r>
      <w:r>
        <w:rPr>
          <w:spacing w:val="-67"/>
        </w:rPr>
        <w:t> </w:t>
      </w:r>
      <w:r>
        <w:rPr>
          <w:rFonts w:ascii="Times New Roman" w:hAnsi="Times New Roman" w:cs="Times New Roman" w:eastAsia="Times New Roman" w:hint="default"/>
          <w:spacing w:val="11"/>
        </w:rPr>
        <w:t>1998</w:t>
      </w:r>
      <w:r>
        <w:rPr>
          <w:spacing w:val="11"/>
        </w:rPr>
        <w:t>年</w:t>
      </w:r>
      <w:r>
        <w:rPr>
          <w:rFonts w:ascii="Times New Roman" w:hAnsi="Times New Roman" w:cs="Times New Roman" w:eastAsia="Times New Roman" w:hint="default"/>
          <w:spacing w:val="11"/>
        </w:rPr>
        <w:t>7</w:t>
      </w:r>
      <w:r>
        <w:rPr>
          <w:spacing w:val="11"/>
        </w:rPr>
        <w:t>月</w:t>
      </w:r>
      <w:r>
        <w:rPr>
          <w:rFonts w:ascii="Times New Roman" w:hAnsi="Times New Roman" w:cs="Times New Roman" w:eastAsia="Times New Roman" w:hint="default"/>
          <w:spacing w:val="11"/>
        </w:rPr>
        <w:t>28</w:t>
      </w:r>
      <w:r>
        <w:rPr>
          <w:spacing w:val="11"/>
        </w:rPr>
        <w:t>日取得大连市工商局核发的</w:t>
      </w:r>
      <w:r>
        <w:rPr>
          <w:spacing w:val="-87"/>
        </w:rPr>
        <w:t> </w:t>
      </w:r>
      <w:r>
        <w:rPr>
          <w:spacing w:val="-87"/>
        </w:rPr>
      </w:r>
      <w:r>
        <w:rPr>
          <w:rFonts w:ascii="Times New Roman" w:hAnsi="Times New Roman" w:cs="Times New Roman" w:eastAsia="Times New Roman" w:hint="default"/>
        </w:rPr>
        <w:t>21020011035276-2916</w:t>
      </w:r>
      <w:r>
        <w:rPr/>
        <w:t>号企业法人营业执照，注册资本为人民币</w:t>
      </w:r>
      <w:r>
        <w:rPr>
          <w:rFonts w:ascii="Times New Roman" w:hAnsi="Times New Roman" w:cs="Times New Roman" w:eastAsia="Times New Roman" w:hint="default"/>
        </w:rPr>
        <w:t>17,053.00</w:t>
      </w:r>
      <w:r>
        <w:rPr/>
        <w:t>万元，业经大连会计师事务所于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日以大</w:t>
      </w:r>
      <w:r>
        <w:rPr>
          <w:spacing w:val="-65"/>
        </w:rPr>
        <w:t> </w:t>
      </w:r>
      <w:r>
        <w:rPr>
          <w:spacing w:val="-65"/>
        </w:rPr>
      </w:r>
      <w:r>
        <w:rPr>
          <w:spacing w:val="-2"/>
        </w:rPr>
        <w:t>会师内验字（</w:t>
      </w:r>
      <w:r>
        <w:rPr>
          <w:rFonts w:ascii="Times New Roman" w:hAnsi="Times New Roman" w:cs="Times New Roman" w:eastAsia="Times New Roman" w:hint="default"/>
          <w:spacing w:val="-2"/>
        </w:rPr>
        <w:t>1998</w:t>
      </w:r>
      <w:r>
        <w:rPr>
          <w:spacing w:val="-2"/>
        </w:rPr>
        <w:t>）</w:t>
      </w:r>
      <w:r>
        <w:rPr>
          <w:rFonts w:ascii="Times New Roman" w:hAnsi="Times New Roman" w:cs="Times New Roman" w:eastAsia="Times New Roman" w:hint="default"/>
          <w:spacing w:val="-2"/>
        </w:rPr>
        <w:t>9</w:t>
      </w:r>
      <w:r>
        <w:rPr>
          <w:spacing w:val="-2"/>
        </w:rPr>
        <w:t>号验资报告予以审验；而后根据中国证券监督管理委员会</w:t>
      </w:r>
      <w:r>
        <w:rPr>
          <w:rFonts w:ascii="Times New Roman" w:hAnsi="Times New Roman" w:cs="Times New Roman" w:eastAsia="Times New Roman" w:hint="default"/>
          <w:spacing w:val="-2"/>
        </w:rPr>
        <w:t>“</w:t>
      </w:r>
      <w:r>
        <w:rPr>
          <w:spacing w:val="-2"/>
        </w:rPr>
        <w:t>证监发行字（</w:t>
      </w:r>
      <w:r>
        <w:rPr>
          <w:rFonts w:ascii="Times New Roman" w:hAnsi="Times New Roman" w:cs="Times New Roman" w:eastAsia="Times New Roman" w:hint="default"/>
          <w:spacing w:val="-2"/>
        </w:rPr>
        <w:t>1999</w:t>
      </w:r>
      <w:r>
        <w:rPr>
          <w:spacing w:val="-2"/>
        </w:rPr>
        <w:t>）</w:t>
      </w:r>
      <w:r>
        <w:rPr>
          <w:rFonts w:ascii="Times New Roman" w:hAnsi="Times New Roman" w:cs="Times New Roman" w:eastAsia="Times New Roman" w:hint="default"/>
          <w:spacing w:val="-2"/>
        </w:rPr>
        <w:t>128</w:t>
      </w:r>
      <w:r>
        <w:rPr>
          <w:spacing w:val="-2"/>
        </w:rPr>
        <w:t>号</w:t>
      </w:r>
      <w:r>
        <w:rPr>
          <w:rFonts w:ascii="Times New Roman" w:hAnsi="Times New Roman" w:cs="Times New Roman" w:eastAsia="Times New Roman" w:hint="default"/>
          <w:spacing w:val="-2"/>
        </w:rPr>
        <w:t>”</w:t>
      </w:r>
      <w:r>
        <w:rPr>
          <w:spacing w:val="-2"/>
        </w:rPr>
        <w:t>文件的核准，于</w:t>
      </w:r>
      <w:r>
        <w:rPr>
          <w:spacing w:val="-37"/>
        </w:rPr>
        <w:t> </w:t>
      </w:r>
      <w:r>
        <w:rPr>
          <w:spacing w:val="-37"/>
        </w:rPr>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日向社会募集公开发行人民币普通股</w:t>
      </w:r>
      <w:r>
        <w:rPr>
          <w:rFonts w:ascii="Times New Roman" w:hAnsi="Times New Roman" w:cs="Times New Roman" w:eastAsia="Times New Roman" w:hint="default"/>
        </w:rPr>
        <w:t>10,000.00</w:t>
      </w:r>
      <w:r>
        <w:rPr/>
        <w:t>万股，公司注册资本增加为</w:t>
      </w:r>
      <w:r>
        <w:rPr>
          <w:rFonts w:ascii="Times New Roman" w:hAnsi="Times New Roman" w:cs="Times New Roman" w:eastAsia="Times New Roman" w:hint="default"/>
        </w:rPr>
        <w:t>27,053.00</w:t>
      </w:r>
      <w:r>
        <w:rPr/>
        <w:t>万元人民币，业经大连正元 </w:t>
      </w:r>
      <w:r>
        <w:rPr>
          <w:spacing w:val="-2"/>
        </w:rPr>
        <w:t>会计师事务所于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日以大正会内验字（</w:t>
      </w:r>
      <w:r>
        <w:rPr>
          <w:rFonts w:ascii="Times New Roman" w:hAnsi="Times New Roman" w:cs="Times New Roman" w:eastAsia="Times New Roman" w:hint="default"/>
          <w:spacing w:val="-2"/>
        </w:rPr>
        <w:t>1999</w:t>
      </w:r>
      <w:r>
        <w:rPr>
          <w:spacing w:val="-2"/>
        </w:rPr>
        <w:t>）</w:t>
      </w:r>
      <w:r>
        <w:rPr>
          <w:rFonts w:ascii="Times New Roman" w:hAnsi="Times New Roman" w:cs="Times New Roman" w:eastAsia="Times New Roman" w:hint="default"/>
          <w:spacing w:val="-2"/>
        </w:rPr>
        <w:t>19</w:t>
      </w:r>
      <w:r>
        <w:rPr>
          <w:spacing w:val="-2"/>
        </w:rPr>
        <w:t>号验资报告予以审验；</w:t>
      </w:r>
      <w:r>
        <w:rPr>
          <w:rFonts w:ascii="Times New Roman" w:hAnsi="Times New Roman" w:cs="Times New Roman" w:eastAsia="Times New Roman" w:hint="default"/>
          <w:spacing w:val="-2"/>
        </w:rPr>
        <w:t>2001</w:t>
      </w:r>
      <w:r>
        <w:rPr>
          <w:spacing w:val="-2"/>
        </w:rPr>
        <w:t>年度按照大连金牛股份有限公司</w:t>
      </w:r>
      <w:r>
        <w:rPr>
          <w:rFonts w:ascii="Times New Roman" w:hAnsi="Times New Roman" w:cs="Times New Roman" w:eastAsia="Times New Roman" w:hint="default"/>
          <w:spacing w:val="-2"/>
        </w:rPr>
        <w:t>2000</w:t>
      </w:r>
      <w:r>
        <w:rPr>
          <w:rFonts w:ascii="Times New Roman" w:hAnsi="Times New Roman" w:cs="Times New Roman" w:eastAsia="Times New Roman" w:hint="default"/>
          <w:spacing w:val="-3"/>
        </w:rPr>
        <w:t> </w:t>
      </w:r>
      <w:r>
        <w:rPr/>
        <w:t>年度股东会决议和中国证券监督管理委员会证监公司字</w:t>
      </w:r>
      <w:r>
        <w:rPr>
          <w:rFonts w:ascii="Times New Roman" w:hAnsi="Times New Roman" w:cs="Times New Roman" w:eastAsia="Times New Roman" w:hint="default"/>
        </w:rPr>
        <w:t>(2001)93</w:t>
      </w:r>
      <w:r>
        <w:rPr/>
        <w:t>号文批准，以</w:t>
      </w:r>
      <w:r>
        <w:rPr>
          <w:rFonts w:ascii="Times New Roman" w:hAnsi="Times New Roman" w:cs="Times New Roman" w:eastAsia="Times New Roman" w:hint="default"/>
        </w:rPr>
        <w:t>10:3</w:t>
      </w:r>
      <w:r>
        <w:rPr/>
        <w:t>比例向社会公众股股东配售</w:t>
      </w:r>
      <w:r>
        <w:rPr>
          <w:rFonts w:ascii="Times New Roman" w:hAnsi="Times New Roman" w:cs="Times New Roman" w:eastAsia="Times New Roman" w:hint="default"/>
        </w:rPr>
        <w:t>3000</w:t>
      </w:r>
      <w:r>
        <w:rPr/>
        <w:t>万股普通</w:t>
      </w:r>
      <w:r>
        <w:rPr>
          <w:spacing w:val="-76"/>
        </w:rPr>
        <w:t> </w:t>
      </w:r>
      <w:r>
        <w:rPr>
          <w:spacing w:val="-1"/>
        </w:rPr>
        <w:t>股</w:t>
      </w:r>
      <w:r>
        <w:rPr>
          <w:rFonts w:ascii="Times New Roman" w:hAnsi="Times New Roman" w:cs="Times New Roman" w:eastAsia="Times New Roman" w:hint="default"/>
          <w:spacing w:val="-1"/>
        </w:rPr>
        <w:t>,</w:t>
      </w:r>
      <w:r>
        <w:rPr>
          <w:spacing w:val="-1"/>
        </w:rPr>
        <w:t>公司注册资本增加为</w:t>
      </w:r>
      <w:r>
        <w:rPr>
          <w:rFonts w:ascii="Times New Roman" w:hAnsi="Times New Roman" w:cs="Times New Roman" w:eastAsia="Times New Roman" w:hint="default"/>
          <w:spacing w:val="-1"/>
        </w:rPr>
        <w:t>30,053.00</w:t>
      </w:r>
      <w:r>
        <w:rPr>
          <w:spacing w:val="-1"/>
        </w:rPr>
        <w:t>万元人民币，业经大连华连会计师事务所于</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日以华连内验字（</w:t>
      </w:r>
      <w:r>
        <w:rPr>
          <w:rFonts w:ascii="Times New Roman" w:hAnsi="Times New Roman" w:cs="Times New Roman" w:eastAsia="Times New Roman" w:hint="default"/>
          <w:spacing w:val="-1"/>
        </w:rPr>
        <w:t>2001</w:t>
      </w:r>
      <w:r>
        <w:rPr>
          <w:spacing w:val="-1"/>
        </w:rPr>
        <w:t>）</w:t>
      </w:r>
      <w:r>
        <w:rPr>
          <w:rFonts w:ascii="Times New Roman" w:hAnsi="Times New Roman" w:cs="Times New Roman" w:eastAsia="Times New Roman" w:hint="default"/>
          <w:spacing w:val="-1"/>
        </w:rPr>
        <w:t>30</w:t>
      </w:r>
      <w:r>
        <w:rPr>
          <w:spacing w:val="-1"/>
        </w:rPr>
        <w:t>号验资</w:t>
      </w:r>
      <w:r>
        <w:rPr>
          <w:spacing w:val="-70"/>
        </w:rPr>
        <w:t> </w:t>
      </w:r>
      <w:r>
        <w:rPr>
          <w:spacing w:val="-70"/>
        </w:rPr>
      </w:r>
      <w:r>
        <w:rPr/>
        <w:t>报告予以审验。</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月，经辽宁省人民政府国有资产监督管理委员会《关于大连金牛股份有限公司股权分置改革有关问</w:t>
      </w:r>
      <w:r>
        <w:rPr>
          <w:spacing w:val="-85"/>
        </w:rPr>
        <w:t> </w:t>
      </w:r>
      <w:r>
        <w:rPr>
          <w:spacing w:val="-85"/>
        </w:rPr>
      </w:r>
      <w:r>
        <w:rPr/>
        <w:t>题的批复》</w:t>
      </w:r>
      <w:r>
        <w:rPr>
          <w:rFonts w:ascii="Times New Roman" w:hAnsi="Times New Roman" w:cs="Times New Roman" w:eastAsia="Times New Roman" w:hint="default"/>
        </w:rPr>
        <w:t>“</w:t>
      </w:r>
      <w:r>
        <w:rPr/>
        <w:t>辽国资经营〔</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31</w:t>
      </w:r>
      <w:r>
        <w:rPr/>
        <w:t>号</w:t>
      </w:r>
      <w:r>
        <w:rPr>
          <w:rFonts w:ascii="Times New Roman" w:hAnsi="Times New Roman" w:cs="Times New Roman" w:eastAsia="Times New Roman" w:hint="default"/>
        </w:rPr>
        <w:t>”</w:t>
      </w:r>
      <w:r>
        <w:rPr/>
        <w:t>文批复和公司相关股东会议审议通过，公司非流通股股东以持有公司的</w:t>
      </w:r>
      <w:r>
        <w:rPr>
          <w:rFonts w:ascii="Times New Roman" w:hAnsi="Times New Roman" w:cs="Times New Roman" w:eastAsia="Times New Roman" w:hint="default"/>
        </w:rPr>
        <w:t>4,420</w:t>
      </w:r>
      <w:r>
        <w:rPr/>
        <w:t>万股股</w:t>
      </w:r>
      <w:r>
        <w:rPr>
          <w:spacing w:val="-26"/>
        </w:rPr>
        <w:t> </w:t>
      </w:r>
      <w:r>
        <w:rPr>
          <w:spacing w:val="-26"/>
        </w:rPr>
      </w:r>
      <w:r>
        <w:rPr/>
        <w:t>票向流通股股东支付对价，流通股股东每持有</w:t>
      </w:r>
      <w:r>
        <w:rPr>
          <w:rFonts w:ascii="Times New Roman" w:hAnsi="Times New Roman" w:cs="Times New Roman" w:eastAsia="Times New Roman" w:hint="default"/>
        </w:rPr>
        <w:t>10</w:t>
      </w:r>
      <w:r>
        <w:rPr/>
        <w:t>股流通股可获得</w:t>
      </w:r>
      <w:r>
        <w:rPr>
          <w:rFonts w:ascii="Times New Roman" w:hAnsi="Times New Roman" w:cs="Times New Roman" w:eastAsia="Times New Roman" w:hint="default"/>
        </w:rPr>
        <w:t>3.4</w:t>
      </w:r>
      <w:r>
        <w:rPr/>
        <w:t>股股票对价，原非流通股股东持有的非流通股股份性质</w:t>
      </w:r>
      <w:r>
        <w:rPr>
          <w:spacing w:val="-42"/>
        </w:rPr>
        <w:t> </w:t>
      </w:r>
      <w:r>
        <w:rPr>
          <w:spacing w:val="-42"/>
        </w:rPr>
      </w:r>
      <w:r>
        <w:rPr/>
        <w:t>变更为有限售条件的流通股，方案实施后公司的总股本仍为</w:t>
      </w:r>
      <w:r>
        <w:rPr>
          <w:rFonts w:ascii="Times New Roman" w:hAnsi="Times New Roman" w:cs="Times New Roman" w:eastAsia="Times New Roman" w:hint="default"/>
        </w:rPr>
        <w:t>30,053</w:t>
      </w:r>
      <w:r>
        <w:rPr/>
        <w:t>万股。</w:t>
      </w:r>
    </w:p>
    <w:p>
      <w:pPr>
        <w:pStyle w:val="BodyText"/>
        <w:spacing w:line="300" w:lineRule="auto" w:before="11"/>
        <w:ind w:right="188" w:firstLine="36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日，经中国证券监督管理委员会《关于核准大连金牛股份有限公司重大资产重组及向中南房地产业有限公 司等发行股份购买资产的批复》（证监许可</w:t>
      </w:r>
      <w:r>
        <w:rPr>
          <w:rFonts w:ascii="Times New Roman" w:hAnsi="Times New Roman" w:cs="Times New Roman" w:eastAsia="Times New Roman" w:hint="default"/>
        </w:rPr>
        <w:t>[2009]418</w:t>
      </w:r>
      <w:r>
        <w:rPr/>
        <w:t>号）及《关于核准豁免中南房产业有限公司及一致行动人公告大连金</w:t>
      </w:r>
      <w:r>
        <w:rPr>
          <w:spacing w:val="-27"/>
        </w:rPr>
        <w:t> </w:t>
      </w:r>
      <w:r>
        <w:rPr>
          <w:spacing w:val="-27"/>
        </w:rPr>
      </w:r>
      <w:r>
        <w:rPr>
          <w:spacing w:val="-1"/>
        </w:rPr>
        <w:t>牛股份有限公司收购报告书并豁免其要约收购义务的批复》（证监许可</w:t>
      </w:r>
      <w:r>
        <w:rPr>
          <w:rFonts w:ascii="Times New Roman" w:hAnsi="Times New Roman" w:cs="Times New Roman" w:eastAsia="Times New Roman" w:hint="default"/>
          <w:spacing w:val="-1"/>
        </w:rPr>
        <w:t>[2009]419</w:t>
      </w:r>
      <w:r>
        <w:rPr>
          <w:spacing w:val="-1"/>
        </w:rPr>
        <w:t>号）核准批复，</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日本公司向东</w:t>
      </w:r>
      <w:r>
        <w:rPr>
          <w:spacing w:val="-57"/>
        </w:rPr>
        <w:t> </w:t>
      </w:r>
      <w:r>
        <w:rPr>
          <w:spacing w:val="-57"/>
        </w:rPr>
      </w:r>
      <w:r>
        <w:rPr/>
        <w:t>北特钢集团大连特殊钢有限责任公司出售了全部资产、负债。</w:t>
      </w:r>
    </w:p>
    <w:p>
      <w:pPr>
        <w:pStyle w:val="BodyText"/>
        <w:spacing w:line="300" w:lineRule="auto" w:before="31"/>
        <w:ind w:right="109" w:firstLine="360"/>
        <w:jc w:val="both"/>
      </w:pPr>
      <w:r>
        <w:rPr/>
        <w:t>作为重大资产重组主要组成部分之一，</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日，中南房地产业有限公司受让东北特殊钢集团有限责任公司持有 的本公司</w:t>
      </w:r>
      <w:r>
        <w:rPr>
          <w:rFonts w:ascii="Times New Roman" w:hAnsi="Times New Roman" w:cs="Times New Roman" w:eastAsia="Times New Roman" w:hint="default"/>
        </w:rPr>
        <w:t>9000</w:t>
      </w:r>
      <w:r>
        <w:rPr/>
        <w:t>万股，持有公司</w:t>
      </w:r>
      <w:r>
        <w:rPr>
          <w:rFonts w:ascii="Times New Roman" w:hAnsi="Times New Roman" w:cs="Times New Roman" w:eastAsia="Times New Roman" w:hint="default"/>
        </w:rPr>
        <w:t>29.9471%</w:t>
      </w:r>
      <w:r>
        <w:rPr/>
        <w:t>股权，每股转让价格为</w:t>
      </w:r>
      <w:r>
        <w:rPr>
          <w:rFonts w:ascii="Times New Roman" w:hAnsi="Times New Roman" w:cs="Times New Roman" w:eastAsia="Times New Roman" w:hint="default"/>
        </w:rPr>
        <w:t>9.489</w:t>
      </w:r>
      <w:r>
        <w:rPr/>
        <w:t>元，过户手续办理完毕，并取得《中国证券登记结算有</w:t>
      </w:r>
      <w:r>
        <w:rPr>
          <w:spacing w:val="-61"/>
        </w:rPr>
        <w:t> </w:t>
      </w:r>
      <w:r>
        <w:rPr>
          <w:spacing w:val="-61"/>
        </w:rPr>
      </w:r>
      <w:r>
        <w:rPr/>
        <w:t>限责任公司深圳分公司证券过户登记确认书》，本次股权转让过户完成后，中南房地产业有限公司成为本公司第一大股东。</w:t>
      </w:r>
    </w:p>
    <w:p>
      <w:pPr>
        <w:pStyle w:val="BodyText"/>
        <w:spacing w:line="304" w:lineRule="auto" w:before="31"/>
        <w:ind w:right="188" w:firstLine="360"/>
        <w:jc w:val="both"/>
      </w:pPr>
      <w:r>
        <w:rPr>
          <w:spacing w:val="-2"/>
        </w:rPr>
        <w:t>本公司向中南房地产业有限公司、陈琳定向发行了</w:t>
      </w:r>
      <w:r>
        <w:rPr>
          <w:rFonts w:ascii="Times New Roman" w:hAnsi="Times New Roman" w:cs="Times New Roman" w:eastAsia="Times New Roman" w:hint="default"/>
          <w:spacing w:val="-2"/>
        </w:rPr>
        <w:t>47,802.9484</w:t>
      </w:r>
      <w:r>
        <w:rPr>
          <w:spacing w:val="-2"/>
        </w:rPr>
        <w:t>万股人民币普通股，用于购买上述特定投资者所持有的南</w:t>
      </w:r>
      <w:r>
        <w:rPr/>
        <w:t> </w:t>
      </w:r>
      <w:r>
        <w:rPr>
          <w:spacing w:val="-2"/>
        </w:rPr>
        <w:t>通中南新世界中心开发有限公司、常熟中南世纪城房地产开发有限公司、青岛海湾新城房地产开发有限公司、海门中南世纪</w:t>
      </w:r>
      <w:r>
        <w:rPr>
          <w:spacing w:val="-63"/>
        </w:rPr>
        <w:t> </w:t>
      </w:r>
      <w:r>
        <w:rPr>
          <w:spacing w:val="-63"/>
        </w:rPr>
      </w:r>
      <w:r>
        <w:rPr>
          <w:spacing w:val="-2"/>
        </w:rPr>
        <w:t>城开发有限公司、文昌中南房地产开发有限公司、中南镇江房地产开发有限公司、南京常锦房地产开发有限公司、南通华城</w:t>
      </w:r>
      <w:r>
        <w:rPr>
          <w:spacing w:val="-65"/>
        </w:rPr>
        <w:t> </w:t>
      </w:r>
      <w:r>
        <w:rPr>
          <w:spacing w:val="-65"/>
        </w:rPr>
      </w:r>
      <w:r>
        <w:rPr>
          <w:spacing w:val="-1"/>
        </w:rPr>
        <w:t>中南房地产开发有限公司等</w:t>
      </w:r>
      <w:r>
        <w:rPr>
          <w:rFonts w:ascii="Times New Roman" w:hAnsi="Times New Roman" w:cs="Times New Roman" w:eastAsia="Times New Roman" w:hint="default"/>
          <w:spacing w:val="-1"/>
        </w:rPr>
        <w:t>8</w:t>
      </w:r>
      <w:r>
        <w:rPr>
          <w:spacing w:val="-1"/>
        </w:rPr>
        <w:t>家房地产项目公司</w:t>
      </w:r>
      <w:r>
        <w:rPr>
          <w:rFonts w:ascii="Times New Roman" w:hAnsi="Times New Roman" w:cs="Times New Roman" w:eastAsia="Times New Roman" w:hint="default"/>
          <w:spacing w:val="-1"/>
        </w:rPr>
        <w:t>100%</w:t>
      </w:r>
      <w:r>
        <w:rPr>
          <w:spacing w:val="-1"/>
        </w:rPr>
        <w:t>股权、南通中南世纪城物业管理有限公司</w:t>
      </w:r>
      <w:r>
        <w:rPr>
          <w:rFonts w:ascii="Times New Roman" w:hAnsi="Times New Roman" w:cs="Times New Roman" w:eastAsia="Times New Roman" w:hint="default"/>
          <w:spacing w:val="-1"/>
        </w:rPr>
        <w:t>80%</w:t>
      </w:r>
      <w:r>
        <w:rPr>
          <w:spacing w:val="-1"/>
        </w:rPr>
        <w:t>股权、南通建筑工程总承</w:t>
      </w:r>
      <w:r>
        <w:rPr>
          <w:spacing w:val="-59"/>
        </w:rPr>
        <w:t> </w:t>
      </w:r>
      <w:r>
        <w:rPr>
          <w:spacing w:val="-59"/>
        </w:rPr>
      </w:r>
      <w:r>
        <w:rPr>
          <w:spacing w:val="-4"/>
        </w:rPr>
        <w:t>包有限公司</w:t>
      </w:r>
      <w:r>
        <w:rPr>
          <w:rFonts w:ascii="Times New Roman" w:hAnsi="Times New Roman" w:cs="Times New Roman" w:eastAsia="Times New Roman" w:hint="default"/>
          <w:spacing w:val="-4"/>
        </w:rPr>
        <w:t>100%</w:t>
      </w:r>
      <w:r>
        <w:rPr>
          <w:spacing w:val="-4"/>
        </w:rPr>
        <w:t>股权，本次非公开发行股票价格为</w:t>
      </w:r>
      <w:r>
        <w:rPr>
          <w:rFonts w:ascii="Times New Roman" w:hAnsi="Times New Roman" w:cs="Times New Roman" w:eastAsia="Times New Roman" w:hint="default"/>
          <w:spacing w:val="-4"/>
        </w:rPr>
        <w:t>7.82</w:t>
      </w:r>
      <w:r>
        <w:rPr>
          <w:spacing w:val="-4"/>
        </w:rPr>
        <w:t>元</w:t>
      </w:r>
      <w:r>
        <w:rPr>
          <w:rFonts w:ascii="Times New Roman" w:hAnsi="Times New Roman" w:cs="Times New Roman" w:eastAsia="Times New Roman" w:hint="default"/>
          <w:spacing w:val="-4"/>
        </w:rPr>
        <w:t>/</w:t>
      </w:r>
      <w:r>
        <w:rPr>
          <w:spacing w:val="-4"/>
        </w:rPr>
        <w:t>股，每股面值</w:t>
      </w:r>
      <w:r>
        <w:rPr>
          <w:rFonts w:ascii="Times New Roman" w:hAnsi="Times New Roman" w:cs="Times New Roman" w:eastAsia="Times New Roman" w:hint="default"/>
          <w:spacing w:val="-4"/>
        </w:rPr>
        <w:t>1</w:t>
      </w:r>
      <w:r>
        <w:rPr>
          <w:spacing w:val="-4"/>
        </w:rPr>
        <w:t>元，其中：向中南房地产业有限公司发行</w:t>
      </w:r>
      <w:r>
        <w:rPr>
          <w:rFonts w:ascii="Times New Roman" w:hAnsi="Times New Roman" w:cs="Times New Roman" w:eastAsia="Times New Roman" w:hint="default"/>
          <w:spacing w:val="-4"/>
        </w:rPr>
        <w:t>47,449.6845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1"/>
        </w:rPr>
        <w:t>万股，向陈琳发行</w:t>
      </w:r>
      <w:r>
        <w:rPr>
          <w:rFonts w:ascii="Times New Roman" w:hAnsi="Times New Roman" w:cs="Times New Roman" w:eastAsia="Times New Roman" w:hint="default"/>
          <w:spacing w:val="-1"/>
        </w:rPr>
        <w:t>353.2639</w:t>
      </w:r>
      <w:r>
        <w:rPr>
          <w:spacing w:val="-1"/>
        </w:rPr>
        <w:t>万股，本次非公开股份发行完成后中南房地产业有限公司持有</w:t>
      </w:r>
      <w:r>
        <w:rPr>
          <w:rFonts w:ascii="Times New Roman" w:hAnsi="Times New Roman" w:cs="Times New Roman" w:eastAsia="Times New Roman" w:hint="default"/>
          <w:spacing w:val="-1"/>
        </w:rPr>
        <w:t>72.5053%</w:t>
      </w:r>
      <w:r>
        <w:rPr>
          <w:spacing w:val="-1"/>
        </w:rPr>
        <w:t>的股份。公司的股本变更</w:t>
      </w:r>
      <w:r>
        <w:rPr>
          <w:spacing w:val="-84"/>
        </w:rPr>
        <w:t> </w:t>
      </w:r>
      <w:r>
        <w:rPr>
          <w:spacing w:val="-84"/>
        </w:rPr>
      </w:r>
      <w:r>
        <w:rPr/>
        <w:t>为人民币</w:t>
      </w:r>
      <w:r>
        <w:rPr>
          <w:rFonts w:ascii="Times New Roman" w:hAnsi="Times New Roman" w:cs="Times New Roman" w:eastAsia="Times New Roman" w:hint="default"/>
        </w:rPr>
        <w:t>77,855.9484</w:t>
      </w:r>
      <w:r>
        <w:rPr/>
        <w:t>万元，并经中和正信会计师事务所于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日出具中和正信验字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020</w:t>
      </w:r>
      <w:r>
        <w:rPr/>
        <w:t>号《验资报告》</w:t>
      </w:r>
      <w:r>
        <w:rPr>
          <w:spacing w:val="-37"/>
        </w:rPr>
        <w:t> </w:t>
      </w:r>
      <w:r>
        <w:rPr>
          <w:spacing w:val="-37"/>
        </w:rPr>
      </w:r>
      <w:r>
        <w:rPr/>
        <w:t>予以验证。</w:t>
      </w:r>
    </w:p>
    <w:p>
      <w:pPr>
        <w:pStyle w:val="BodyText"/>
        <w:spacing w:line="312" w:lineRule="auto" w:before="28"/>
        <w:ind w:left="513" w:right="4633"/>
        <w:jc w:val="left"/>
      </w:pPr>
      <w:r>
        <w:rPr/>
        <w:t>重组后公司变更工商注册信息情况如下： 公司中文名称：江苏中南建设集团股份有限公司 </w:t>
      </w:r>
      <w:r>
        <w:rPr>
          <w:spacing w:val="-1"/>
        </w:rPr>
        <w:t>公司英文名称：</w:t>
      </w:r>
      <w:r>
        <w:rPr>
          <w:rFonts w:ascii="Times New Roman" w:hAnsi="Times New Roman" w:cs="Times New Roman" w:eastAsia="Times New Roman" w:hint="default"/>
          <w:spacing w:val="-1"/>
        </w:rPr>
        <w:t>JiangsuZhongnanConstructionGroupCO.,LTD</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公司注册地址：江苏省海门市常乐镇 公司法定代表人：陈锦石</w:t>
      </w:r>
    </w:p>
    <w:p>
      <w:pPr>
        <w:pStyle w:val="BodyText"/>
        <w:spacing w:line="240" w:lineRule="auto" w:before="22"/>
        <w:ind w:left="513" w:right="94"/>
        <w:jc w:val="left"/>
        <w:rPr>
          <w:rFonts w:ascii="Times New Roman" w:hAnsi="Times New Roman" w:cs="Times New Roman" w:eastAsia="Times New Roman" w:hint="default"/>
        </w:rPr>
      </w:pPr>
      <w:r>
        <w:rPr/>
        <w:t>公司注册号：</w:t>
      </w:r>
      <w:r>
        <w:rPr>
          <w:rFonts w:ascii="Times New Roman" w:hAnsi="Times New Roman" w:cs="Times New Roman" w:eastAsia="Times New Roman" w:hint="default"/>
        </w:rPr>
        <w:t>320600000241314</w:t>
      </w:r>
    </w:p>
    <w:p>
      <w:pPr>
        <w:pStyle w:val="BodyText"/>
        <w:spacing w:line="316" w:lineRule="auto" w:before="63"/>
        <w:ind w:right="98" w:firstLine="360"/>
        <w:jc w:val="both"/>
      </w:pPr>
      <w:r>
        <w:rPr>
          <w:spacing w:val="-4"/>
        </w:rPr>
        <w:t>公司属于土木工程建筑业，经营范围包括，许可经营项目：房地产开发、销售（凭资质证书承接业务）。一般经营项目：</w:t>
      </w:r>
      <w:r>
        <w:rPr/>
        <w:t> 土木建筑工程施工，物业管理，实业投资。（经营范围中国家有专项规定的从其规定）。</w:t>
      </w:r>
    </w:p>
    <w:p>
      <w:pPr>
        <w:pStyle w:val="BodyText"/>
        <w:spacing w:line="240" w:lineRule="auto" w:before="19"/>
        <w:ind w:left="513" w:right="94"/>
        <w:jc w:val="left"/>
      </w:pPr>
      <w:r>
        <w:rPr/>
        <w:t>公司注册资本：人民币</w:t>
      </w:r>
      <w:r>
        <w:rPr>
          <w:rFonts w:ascii="Times New Roman" w:hAnsi="Times New Roman" w:cs="Times New Roman" w:eastAsia="Times New Roman" w:hint="default"/>
        </w:rPr>
        <w:t>77,855.9484</w:t>
      </w:r>
      <w:r>
        <w:rPr/>
        <w:t>万元。</w:t>
      </w:r>
    </w:p>
    <w:p>
      <w:pPr>
        <w:pStyle w:val="BodyText"/>
        <w:spacing w:line="300" w:lineRule="auto" w:before="63"/>
        <w:ind w:right="188"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日，经本公司</w:t>
      </w:r>
      <w:r>
        <w:rPr>
          <w:rFonts w:ascii="Times New Roman" w:hAnsi="Times New Roman" w:cs="Times New Roman" w:eastAsia="Times New Roman" w:hint="default"/>
        </w:rPr>
        <w:t>2009</w:t>
      </w:r>
      <w:r>
        <w:rPr/>
        <w:t>年度股东大会审议通过</w:t>
      </w:r>
      <w:r>
        <w:rPr>
          <w:rFonts w:ascii="Times New Roman" w:hAnsi="Times New Roman" w:cs="Times New Roman" w:eastAsia="Times New Roman" w:hint="default"/>
        </w:rPr>
        <w:t>2009</w:t>
      </w:r>
      <w:r>
        <w:rPr/>
        <w:t>年度权益分派方案，决定以公司股本总额</w:t>
      </w:r>
      <w:r>
        <w:rPr>
          <w:rFonts w:ascii="Times New Roman" w:hAnsi="Times New Roman" w:cs="Times New Roman" w:eastAsia="Times New Roman" w:hint="default"/>
        </w:rPr>
        <w:t>77,855.9484</w:t>
      </w:r>
      <w:r>
        <w:rPr/>
        <w:t>万股为 </w:t>
      </w:r>
      <w:r>
        <w:rPr>
          <w:spacing w:val="-2"/>
        </w:rPr>
        <w:t>基数，以资本公积向全体股东按照每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股，转增后公司股本总额增至</w:t>
      </w:r>
      <w:r>
        <w:rPr>
          <w:rFonts w:ascii="Times New Roman" w:hAnsi="Times New Roman" w:cs="Times New Roman" w:eastAsia="Times New Roman" w:hint="default"/>
          <w:spacing w:val="-2"/>
        </w:rPr>
        <w:t>116,783.9226</w:t>
      </w:r>
      <w:r>
        <w:rPr>
          <w:spacing w:val="-2"/>
        </w:rPr>
        <w:t>万股。本次权益分派股权登记日为</w:t>
      </w:r>
      <w:r>
        <w:rPr>
          <w:spacing w:val="-52"/>
        </w:rPr>
        <w:t> </w:t>
      </w:r>
      <w:r>
        <w:rPr>
          <w:spacing w:val="-52"/>
        </w:rPr>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日，除权除息日为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日，公司股本增加至人民币</w:t>
      </w:r>
      <w:r>
        <w:rPr>
          <w:rFonts w:ascii="Times New Roman" w:hAnsi="Times New Roman" w:cs="Times New Roman" w:eastAsia="Times New Roman" w:hint="default"/>
        </w:rPr>
        <w:t>116,783.9226</w:t>
      </w:r>
      <w:r>
        <w:rPr/>
        <w:t>万元。</w:t>
      </w:r>
    </w:p>
    <w:p>
      <w:pPr>
        <w:pStyle w:val="BodyText"/>
        <w:spacing w:line="240" w:lineRule="auto" w:before="13"/>
        <w:ind w:left="513" w:right="0"/>
        <w:jc w:val="left"/>
      </w:pPr>
      <w:r>
        <w:rPr/>
        <w:t>本公司的母公司为中南城市建设投资有限公司，更名并不影响大股东对公司的股权比例和控制关系）；集团最终母公司</w:t>
      </w:r>
    </w:p>
    <w:p>
      <w:pPr>
        <w:spacing w:after="0" w:line="240" w:lineRule="auto"/>
        <w:jc w:val="left"/>
        <w:sectPr>
          <w:headerReference w:type="default" r:id="rId26"/>
          <w:footerReference w:type="default" r:id="rId27"/>
          <w:pgSz w:w="11910" w:h="16840"/>
          <w:pgMar w:header="877" w:footer="979" w:top="1100" w:bottom="1160" w:left="980" w:right="940"/>
          <w:pgNumType w:start="83"/>
        </w:sectPr>
      </w:pPr>
    </w:p>
    <w:p>
      <w:pPr>
        <w:spacing w:line="240" w:lineRule="auto" w:before="11"/>
        <w:rPr>
          <w:rFonts w:ascii="宋体" w:hAnsi="宋体" w:cs="宋体" w:eastAsia="宋体" w:hint="default"/>
          <w:sz w:val="21"/>
          <w:szCs w:val="21"/>
        </w:rPr>
      </w:pPr>
    </w:p>
    <w:p>
      <w:pPr>
        <w:pStyle w:val="BodyText"/>
        <w:spacing w:line="309" w:lineRule="auto" w:before="44"/>
        <w:ind w:left="513" w:right="1393" w:hanging="361"/>
        <w:jc w:val="left"/>
      </w:pPr>
      <w:r>
        <w:rPr/>
        <w:t>为中南控股集团有限公司；本公司实质控制人为陈锦石。 本财务报表于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日由董事会通过及批准发布。 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2"/>
        <w:spacing w:line="240" w:lineRule="auto"/>
        <w:ind w:right="9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94" w:firstLine="360"/>
        <w:jc w:val="left"/>
      </w:pPr>
      <w:r>
        <w:rPr/>
        <w:t>本公司以持续经营为基础，根据实际发生的交易和事项，按照《企业会计准则</w:t>
      </w:r>
      <w:r>
        <w:rPr>
          <w:rFonts w:ascii="Times New Roman" w:hAnsi="Times New Roman" w:cs="Times New Roman" w:eastAsia="Times New Roman" w:hint="default"/>
        </w:rPr>
        <w:t>—</w:t>
      </w:r>
      <w:r>
        <w:rPr/>
        <w:t>基本准则》和其他各项具体会计准则、 </w:t>
      </w:r>
      <w:r>
        <w:rPr>
          <w:spacing w:val="-2"/>
        </w:rPr>
        <w:t>应用指南及准则解释的规定进行确认和计量，在此基础上编制财务报表。编制符合企业会计准则要求的财务报表需要使用估</w:t>
      </w:r>
      <w:r>
        <w:rPr>
          <w:spacing w:val="-64"/>
        </w:rPr>
        <w:t> </w:t>
      </w:r>
      <w:r>
        <w:rPr>
          <w:spacing w:val="-64"/>
        </w:rPr>
      </w:r>
      <w:r>
        <w:rPr/>
        <w:t>计和假设，这些估计和假设会影响到财务报告日的资产、负债和或有负债的披露，以及报告期间的收入和费用。</w:t>
      </w:r>
    </w:p>
    <w:p>
      <w:pPr>
        <w:spacing w:line="240" w:lineRule="auto" w:before="3"/>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五、重要会计政策及会计估计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13" w:right="94"/>
        <w:jc w:val="left"/>
      </w:pPr>
      <w:r>
        <w:rPr/>
        <w:t>具体会计政策和会计估计提示：</w:t>
      </w:r>
    </w:p>
    <w:p>
      <w:pPr>
        <w:pStyle w:val="BodyText"/>
        <w:spacing w:line="240" w:lineRule="auto" w:before="117"/>
        <w:ind w:right="94"/>
        <w:jc w:val="left"/>
      </w:pPr>
      <w:r>
        <w:rPr/>
        <w:t>无</w:t>
      </w:r>
    </w:p>
    <w:p>
      <w:pPr>
        <w:spacing w:line="240" w:lineRule="auto" w:before="6"/>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13" w:right="0"/>
        <w:jc w:val="left"/>
      </w:pPr>
      <w:r>
        <w:rPr/>
        <w:t>本公司编制的财务报表符合企业会计准则的要求，真实、完整地反映了公司的财务状况、经营成果和现金流量等有关信</w:t>
      </w:r>
    </w:p>
    <w:p>
      <w:pPr>
        <w:pStyle w:val="BodyText"/>
        <w:spacing w:line="240" w:lineRule="auto" w:before="76"/>
        <w:ind w:right="94"/>
        <w:jc w:val="left"/>
      </w:pPr>
      <w:r>
        <w:rPr/>
        <w:t>息。</w:t>
      </w:r>
    </w:p>
    <w:p>
      <w:pPr>
        <w:spacing w:line="240" w:lineRule="auto" w:before="6"/>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13" w:right="94"/>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p>
    <w:p>
      <w:pPr>
        <w:pStyle w:val="BodyText"/>
        <w:spacing w:line="240" w:lineRule="auto" w:before="63"/>
        <w:ind w:right="94"/>
        <w:jc w:val="left"/>
      </w:pPr>
      <w:r>
        <w:rPr/>
        <w:t>期。</w:t>
      </w:r>
    </w:p>
    <w:p>
      <w:pPr>
        <w:spacing w:line="240" w:lineRule="auto" w:before="6"/>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4" w:firstLine="168"/>
        <w:jc w:val="left"/>
      </w:pPr>
      <w:r>
        <w:rPr>
          <w:rFonts w:ascii="宋体" w:hAnsi="宋体" w:cs="宋体" w:eastAsia="宋体" w:hint="default"/>
        </w:rPr>
        <w:t>1</w:t>
      </w:r>
      <w:r>
        <w:rPr/>
        <w:t>、同一控制下的企业合并的会计处理方法 </w:t>
      </w:r>
      <w:r>
        <w:rPr>
          <w:spacing w:val="-2"/>
        </w:rPr>
        <w:t>本公司在企业合并中取得的资产和负债，按照合并日被合并方的账面价值计量。本公司取得的净资产账面价值与支付的</w:t>
      </w:r>
    </w:p>
    <w:p>
      <w:pPr>
        <w:pStyle w:val="BodyText"/>
        <w:spacing w:line="240" w:lineRule="auto" w:before="19"/>
        <w:ind w:right="94"/>
        <w:jc w:val="left"/>
      </w:pPr>
      <w:r>
        <w:rPr/>
        <w:t>合并对价账面价值（或发生股份面值总额）的差额，应当调整资本公积；资本公积不足冲减的，调整留存收益。</w:t>
      </w:r>
    </w:p>
    <w:p>
      <w:pPr>
        <w:pStyle w:val="BodyText"/>
        <w:spacing w:line="240" w:lineRule="auto" w:before="76"/>
        <w:ind w:left="513" w:right="94"/>
        <w:jc w:val="left"/>
      </w:pPr>
      <w:r>
        <w:rPr>
          <w:rFonts w:ascii="Times New Roman" w:hAnsi="Times New Roman" w:cs="Times New Roman" w:eastAsia="Times New Roman" w:hint="default"/>
        </w:rPr>
        <w:t>2</w:t>
      </w:r>
      <w:r>
        <w:rPr/>
        <w:t>、非同一控制下的企业合并的会计处理方法</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94" w:firstLine="360"/>
        <w:jc w:val="left"/>
      </w:pPr>
      <w:r>
        <w:rPr>
          <w:spacing w:val="-2"/>
        </w:rPr>
        <w:t>本公司在购买日对合并成本大于合并中取得的被购买方可辨认净资产公允价值份额的差额，确认为商誉；如果合并成本</w:t>
      </w:r>
      <w:r>
        <w:rPr/>
        <w:t> </w:t>
      </w:r>
      <w:r>
        <w:rPr>
          <w:spacing w:val="-2"/>
        </w:rPr>
        <w:t>小于合并中取得的被购买方可辨认净资产公允价值份额的差额，首先对取得的被购买方的各项可辨认资产、负债及或有负债</w:t>
      </w:r>
      <w:r>
        <w:rPr>
          <w:spacing w:val="-64"/>
        </w:rPr>
        <w:t> </w:t>
      </w:r>
      <w:r>
        <w:rPr>
          <w:spacing w:val="-64"/>
        </w:rPr>
      </w:r>
      <w:r>
        <w:rPr/>
        <w:t>的公允价值以及合并成本的计量进行复核，经复核后合并成本仍小于合并中取得的被购买方可辨认净资产公允价值份额的，</w:t>
      </w:r>
      <w:r>
        <w:rPr/>
        <w:t> 其差额应当计入当期损益。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b/>
          <w:bCs/>
        </w:rPr>
        <w:t>1</w:t>
      </w:r>
      <w:r>
        <w:rPr>
          <w:rFonts w:ascii="宋体" w:hAnsi="宋体" w:cs="宋体" w:eastAsia="宋体" w:hint="default"/>
          <w:b/>
          <w:bCs/>
        </w:rPr>
        <w:t>、合并范围的确定</w:t>
      </w:r>
      <w:r>
        <w:rPr>
          <w:rFonts w:ascii="宋体" w:hAnsi="宋体" w:cs="宋体" w:eastAsia="宋体" w:hint="default"/>
          <w:b/>
          <w:bCs/>
          <w:w w:val="99"/>
        </w:rPr>
        <w:t> </w:t>
      </w:r>
      <w:r>
        <w:rPr>
          <w:spacing w:val="-2"/>
        </w:rPr>
        <w:t>合并财务报表的合并范围以控制为基础予以确定。控制是指本公司拥有对被投资方的权力，通过参与被投资方的相关活</w:t>
      </w:r>
    </w:p>
    <w:p>
      <w:pPr>
        <w:pStyle w:val="BodyText"/>
        <w:spacing w:line="319" w:lineRule="auto" w:before="31"/>
        <w:ind w:right="94"/>
        <w:jc w:val="left"/>
      </w:pPr>
      <w:r>
        <w:rPr>
          <w:spacing w:val="-2"/>
        </w:rPr>
        <w:t>动而享有可变回报，并且有能力运用对被投资方的权力影响其回报金额。相关活动是指对被投资方的回报产生重大影响的活</w:t>
      </w:r>
      <w:r>
        <w:rPr>
          <w:spacing w:val="-64"/>
        </w:rPr>
        <w:t> </w:t>
      </w:r>
      <w:r>
        <w:rPr>
          <w:spacing w:val="-64"/>
        </w:rPr>
      </w:r>
      <w:r>
        <w:rPr>
          <w:spacing w:val="-4"/>
        </w:rPr>
        <w:t>动。被投资方的相关活动根据具体情况进行判断，通常包括商品或劳务的销售和购买、金融资产的管理、资产的购买和处臵、</w:t>
      </w:r>
      <w:r>
        <w:rPr>
          <w:spacing w:val="-46"/>
        </w:rPr>
        <w:t> </w:t>
      </w:r>
      <w:r>
        <w:rPr>
          <w:spacing w:val="-46"/>
        </w:rPr>
      </w:r>
      <w:r>
        <w:rPr/>
        <w:t>研究与开发活动以及融资活动等。</w:t>
      </w:r>
    </w:p>
    <w:p>
      <w:pPr>
        <w:spacing w:line="316" w:lineRule="auto" w:before="17"/>
        <w:ind w:left="573" w:right="2433" w:hanging="60"/>
        <w:jc w:val="left"/>
        <w:rPr>
          <w:rFonts w:ascii="宋体" w:hAnsi="宋体" w:cs="宋体" w:eastAsia="宋体" w:hint="default"/>
          <w:sz w:val="18"/>
          <w:szCs w:val="18"/>
        </w:rPr>
      </w:pPr>
      <w:r>
        <w:rPr>
          <w:rFonts w:ascii="宋体" w:hAnsi="宋体" w:cs="宋体" w:eastAsia="宋体" w:hint="default"/>
          <w:sz w:val="18"/>
          <w:szCs w:val="18"/>
        </w:rPr>
        <w:t>母公司将其全部子公司（包括母公司所控制的单独主体）纳入合并财务报表的合并范围。 </w:t>
      </w:r>
      <w:r>
        <w:rPr>
          <w:rFonts w:ascii="宋体" w:hAnsi="宋体" w:cs="宋体" w:eastAsia="宋体" w:hint="default"/>
          <w:b/>
          <w:bCs/>
          <w:sz w:val="18"/>
          <w:szCs w:val="18"/>
        </w:rPr>
        <w:t>2.</w:t>
      </w:r>
      <w:r>
        <w:rPr>
          <w:rFonts w:ascii="宋体" w:hAnsi="宋体" w:cs="宋体" w:eastAsia="宋体" w:hint="default"/>
          <w:b/>
          <w:bCs/>
          <w:spacing w:val="85"/>
          <w:sz w:val="18"/>
          <w:szCs w:val="18"/>
        </w:rPr>
        <w:t> </w:t>
      </w:r>
      <w:r>
        <w:rPr>
          <w:rFonts w:ascii="宋体" w:hAnsi="宋体" w:cs="宋体" w:eastAsia="宋体" w:hint="default"/>
          <w:b/>
          <w:bCs/>
          <w:sz w:val="18"/>
          <w:szCs w:val="18"/>
        </w:rPr>
        <w:t>合并财务报表编制的方法</w:t>
      </w:r>
      <w:r>
        <w:rPr>
          <w:rFonts w:ascii="宋体" w:hAnsi="宋体" w:cs="宋体" w:eastAsia="宋体" w:hint="default"/>
          <w:sz w:val="18"/>
          <w:szCs w:val="18"/>
        </w:rPr>
      </w:r>
    </w:p>
    <w:p>
      <w:pPr>
        <w:pStyle w:val="BodyText"/>
        <w:spacing w:line="316" w:lineRule="auto" w:before="19"/>
        <w:ind w:right="192" w:firstLine="360"/>
        <w:jc w:val="both"/>
      </w:pPr>
      <w:r>
        <w:rPr>
          <w:spacing w:val="-2"/>
        </w:rPr>
        <w:t>母公司编制合并财务报表，将整个企业集团视为一个会计主体；合并财务报表以母公司和纳入合并范围的子公司的财务</w:t>
      </w:r>
      <w:r>
        <w:rPr/>
        <w:t> 报表为基础，根据其他有关资料编制合并财务报表，以反映企业集团整体财务状况、经营成果和现金流量。</w:t>
      </w:r>
    </w:p>
    <w:p>
      <w:pPr>
        <w:pStyle w:val="BodyText"/>
        <w:spacing w:line="240" w:lineRule="auto" w:before="19"/>
        <w:ind w:left="513" w:right="94"/>
        <w:jc w:val="left"/>
      </w:pPr>
      <w:r>
        <w:rPr/>
        <w:t>（</w:t>
      </w:r>
      <w:r>
        <w:rPr>
          <w:rFonts w:ascii="Times New Roman" w:hAnsi="Times New Roman" w:cs="Times New Roman" w:eastAsia="Times New Roman" w:hint="default"/>
        </w:rPr>
        <w:t>1</w:t>
      </w:r>
      <w:r>
        <w:rPr/>
        <w:t>）合并母公司与子公司的资产、负债、所有者权益、收入、费用和现金流等项目。</w:t>
      </w:r>
    </w:p>
    <w:p>
      <w:pPr>
        <w:pStyle w:val="BodyText"/>
        <w:spacing w:line="240" w:lineRule="auto" w:before="63"/>
        <w:ind w:left="513" w:right="94"/>
        <w:jc w:val="left"/>
      </w:pPr>
      <w:r>
        <w:rPr/>
        <w:t>（</w:t>
      </w:r>
      <w:r>
        <w:rPr>
          <w:rFonts w:ascii="Times New Roman" w:hAnsi="Times New Roman" w:cs="Times New Roman" w:eastAsia="Times New Roman" w:hint="default"/>
        </w:rPr>
        <w:t>2</w:t>
      </w:r>
      <w:r>
        <w:rPr/>
        <w:t>）抵销母公司对子公司的长期股权投资与母公司在子公司所有者权益中所享有的份额。</w:t>
      </w:r>
    </w:p>
    <w:p>
      <w:pPr>
        <w:pStyle w:val="BodyText"/>
        <w:spacing w:line="300" w:lineRule="auto" w:before="63"/>
        <w:ind w:right="191" w:firstLine="360"/>
        <w:jc w:val="both"/>
      </w:pPr>
      <w:r>
        <w:rPr/>
        <w:t>（</w:t>
      </w:r>
      <w:r>
        <w:rPr>
          <w:rFonts w:ascii="Times New Roman" w:hAnsi="Times New Roman" w:cs="Times New Roman" w:eastAsia="Times New Roman" w:hint="default"/>
        </w:rPr>
        <w:t>3</w:t>
      </w:r>
      <w:r>
        <w:rPr/>
        <w:t>）抵销母公司与子公司、子公司相互之间发生的内部交易的影响。内部交易表明相关资产发生减值损失的，应当全 额确认该部分损失。</w:t>
      </w:r>
    </w:p>
    <w:p>
      <w:pPr>
        <w:pStyle w:val="BodyText"/>
        <w:spacing w:line="300" w:lineRule="auto" w:before="31"/>
        <w:ind w:left="513" w:right="94"/>
        <w:jc w:val="left"/>
      </w:pPr>
      <w:r>
        <w:rPr/>
        <w:t>（</w:t>
      </w:r>
      <w:r>
        <w:rPr>
          <w:rFonts w:ascii="Times New Roman" w:hAnsi="Times New Roman" w:cs="Times New Roman" w:eastAsia="Times New Roman" w:hint="default"/>
        </w:rPr>
        <w:t>4</w:t>
      </w:r>
      <w:r>
        <w:rPr/>
        <w:t>）站在企业集团角度对特殊交易事项予以调整。 </w:t>
      </w:r>
      <w:r>
        <w:rPr>
          <w:spacing w:val="-2"/>
        </w:rPr>
        <w:t>少数股东权益，在合并资产负债表中所有者权益项目下以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项目列示。少数股东损益，在合并利润表中净</w:t>
      </w:r>
    </w:p>
    <w:p>
      <w:pPr>
        <w:pStyle w:val="BodyText"/>
        <w:spacing w:line="300" w:lineRule="auto" w:before="13"/>
        <w:ind w:right="94"/>
        <w:jc w:val="left"/>
      </w:pPr>
      <w:r>
        <w:rPr>
          <w:spacing w:val="-2"/>
        </w:rPr>
        <w:t>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项目列示。在合并财务报表中，子公司少数股东分担的当期亏损超过了少数股东在该子公司期</w:t>
      </w:r>
      <w:r>
        <w:rPr>
          <w:spacing w:val="-44"/>
        </w:rPr>
        <w:t> </w:t>
      </w:r>
      <w:r>
        <w:rPr>
          <w:spacing w:val="-44"/>
        </w:rPr>
      </w:r>
      <w:r>
        <w:rPr/>
        <w:t>初所有者权益中所享有的份额的，其余额仍应当冲减少数股东权益。</w:t>
      </w:r>
    </w:p>
    <w:p>
      <w:pPr>
        <w:pStyle w:val="BodyText"/>
        <w:spacing w:line="316" w:lineRule="auto" w:before="31"/>
        <w:ind w:right="190" w:firstLine="360"/>
        <w:jc w:val="both"/>
      </w:pPr>
      <w:r>
        <w:rPr>
          <w:spacing w:val="-2"/>
        </w:rPr>
        <w:t>本公司在编制合并财务报表时，如果子公司所采用的会计政策、会计期间与母公司不一致的，需要按照母公司的会计政</w:t>
      </w:r>
      <w:r>
        <w:rPr/>
        <w:t> 策和会计期间对子公司财务报表进行必要的调整；或者要求子公司按照母公司的会计政策和会计期间另行编报财务报表。</w:t>
      </w:r>
    </w:p>
    <w:p>
      <w:pPr>
        <w:pStyle w:val="BodyText"/>
        <w:spacing w:line="316" w:lineRule="auto" w:before="19"/>
        <w:ind w:right="190" w:firstLine="360"/>
        <w:jc w:val="both"/>
      </w:pPr>
      <w:r>
        <w:rPr>
          <w:spacing w:val="-2"/>
        </w:rPr>
        <w:t>母公司在报告期内因同一控制下企业合并增加的子公司以及业务，编制合并资产负债表时，应当调整合并资产负债表的</w:t>
      </w:r>
      <w:r>
        <w:rPr/>
        <w:t> </w:t>
      </w:r>
      <w:r>
        <w:rPr>
          <w:spacing w:val="-2"/>
        </w:rPr>
        <w:t>期初数，同时对比较报表的相关项目进行调整，视同合并后的报告主体自最终控制方开始控制时点起一直存在。因非同一控</w:t>
      </w:r>
      <w:r>
        <w:rPr>
          <w:spacing w:val="-63"/>
        </w:rPr>
        <w:t> </w:t>
      </w:r>
      <w:r>
        <w:rPr>
          <w:spacing w:val="-63"/>
        </w:rPr>
      </w:r>
      <w:r>
        <w:rPr>
          <w:spacing w:val="-2"/>
        </w:rPr>
        <w:t>制下企业合并增加的子公司以及业务，编制合并资产负债表时，不调整合并资产负债表的期初数。母公司在报告期内处置子</w:t>
      </w:r>
      <w:r>
        <w:rPr>
          <w:spacing w:val="-63"/>
        </w:rPr>
        <w:t> </w:t>
      </w:r>
      <w:r>
        <w:rPr>
          <w:spacing w:val="-63"/>
        </w:rPr>
      </w:r>
      <w:r>
        <w:rPr/>
        <w:t>公司以及业务，编制合并资产负债表时，不调整合并资产负债表的期初数。</w:t>
      </w:r>
    </w:p>
    <w:p>
      <w:pPr>
        <w:pStyle w:val="BodyText"/>
        <w:spacing w:line="319" w:lineRule="auto" w:before="19"/>
        <w:ind w:right="190" w:firstLine="360"/>
        <w:jc w:val="both"/>
      </w:pPr>
      <w:r>
        <w:rPr/>
        <w:t>母公司在报告期内因同一控制下企业合并增加的子公司以及业务，将该子公司以及业务合并当期期初至报告期末的收 </w:t>
      </w:r>
      <w:r>
        <w:rPr>
          <w:spacing w:val="-2"/>
        </w:rPr>
        <w:t>入、费用、利润纳入合并利润表。同时对比较报表的相关项目进行调整，视同合并后的报告主体自最终控制方开始控制时点</w:t>
      </w:r>
      <w:r>
        <w:rPr>
          <w:spacing w:val="-64"/>
        </w:rPr>
        <w:t> </w:t>
      </w:r>
      <w:r>
        <w:rPr>
          <w:spacing w:val="-64"/>
        </w:rPr>
      </w:r>
      <w:r>
        <w:rPr>
          <w:spacing w:val="-2"/>
        </w:rPr>
        <w:t>起一直存在。因非同一控制下企业合并增加的子公司以及业务，将该子公司以及业务购买日至报告期末的收入、费用、利润</w:t>
      </w:r>
      <w:r>
        <w:rPr>
          <w:spacing w:val="-64"/>
        </w:rPr>
        <w:t> </w:t>
      </w:r>
      <w:r>
        <w:rPr>
          <w:spacing w:val="-64"/>
        </w:rPr>
      </w:r>
      <w:r>
        <w:rPr>
          <w:spacing w:val="-2"/>
        </w:rPr>
        <w:t>纳入合并利润表。母公司在报告期内处置子公司以及业务，将该子公司以及业务期初至处置日的收入、费用、利润纳入合并</w:t>
      </w:r>
      <w:r>
        <w:rPr>
          <w:spacing w:val="-64"/>
        </w:rPr>
        <w:t> </w:t>
      </w:r>
      <w:r>
        <w:rPr>
          <w:spacing w:val="-64"/>
        </w:rPr>
      </w:r>
      <w:r>
        <w:rPr/>
        <w:t>利润表。</w:t>
      </w:r>
    </w:p>
    <w:p>
      <w:pPr>
        <w:pStyle w:val="BodyText"/>
        <w:spacing w:line="316" w:lineRule="auto" w:before="14"/>
        <w:ind w:right="192" w:firstLine="360"/>
        <w:jc w:val="both"/>
      </w:pPr>
      <w:r>
        <w:rPr>
          <w:spacing w:val="-2"/>
        </w:rPr>
        <w:t>母公司在报告期内因同一控制下企业合并增加的子公司以及业务，将该子公司以及业务合并当期期初至报告期末的现金</w:t>
      </w:r>
      <w:r>
        <w:rPr/>
        <w:t> </w:t>
      </w:r>
      <w:r>
        <w:rPr>
          <w:spacing w:val="-2"/>
        </w:rPr>
        <w:t>流量纳入合并现金流量表，同时对比较报表的相关项目进行调整，视同合并后的报告主体自最终控制方开始控制时点起一直</w:t>
      </w:r>
      <w:r>
        <w:rPr>
          <w:spacing w:val="-63"/>
        </w:rPr>
        <w:t> </w:t>
      </w:r>
      <w:r>
        <w:rPr>
          <w:spacing w:val="-63"/>
        </w:rPr>
      </w:r>
      <w:r>
        <w:rPr>
          <w:spacing w:val="-2"/>
        </w:rPr>
        <w:t>存在。因非同一控制下企业合并增加的子公司以及业务，将该子公司以及业务购买日至报告期末的现金流量纳入合并现金流</w:t>
      </w:r>
      <w:r>
        <w:rPr>
          <w:spacing w:val="-64"/>
        </w:rPr>
        <w:t> </w:t>
      </w:r>
      <w:r>
        <w:rPr>
          <w:spacing w:val="-64"/>
        </w:rPr>
      </w:r>
      <w:r>
        <w:rPr/>
        <w:t>量表。母公司在报告期内处置子公司，将该子公司以及业务期初至处置日的现金流量纳入合并现金流量表。</w:t>
      </w:r>
    </w:p>
    <w:p>
      <w:pPr>
        <w:pStyle w:val="BodyText"/>
        <w:spacing w:line="309" w:lineRule="auto" w:before="19"/>
        <w:ind w:right="190" w:firstLine="360"/>
        <w:jc w:val="both"/>
      </w:pPr>
      <w:r>
        <w:rPr>
          <w:spacing w:val="-2"/>
        </w:rPr>
        <w:t>子公司持有母公司的长期股权投资，视为企业集团的库存股，作为所有者权益的减项，在合并资产负债表中所有者权益</w:t>
      </w:r>
      <w:r>
        <w:rPr/>
        <w:t> </w:t>
      </w:r>
      <w:r>
        <w:rPr>
          <w:spacing w:val="-2"/>
        </w:rPr>
        <w:t>项目下以</w:t>
      </w:r>
      <w:r>
        <w:rPr>
          <w:rFonts w:ascii="Times New Roman" w:hAnsi="Times New Roman" w:cs="Times New Roman" w:eastAsia="Times New Roman" w:hint="default"/>
          <w:spacing w:val="-2"/>
        </w:rPr>
        <w:t>“</w:t>
      </w:r>
      <w:r>
        <w:rPr>
          <w:spacing w:val="-2"/>
        </w:rPr>
        <w:t>减：库存股</w:t>
      </w:r>
      <w:r>
        <w:rPr>
          <w:rFonts w:ascii="Times New Roman" w:hAnsi="Times New Roman" w:cs="Times New Roman" w:eastAsia="Times New Roman" w:hint="default"/>
          <w:spacing w:val="-2"/>
        </w:rPr>
        <w:t>”</w:t>
      </w:r>
      <w:r>
        <w:rPr>
          <w:spacing w:val="-2"/>
        </w:rPr>
        <w:t>项目列示。子公司相互之间持有的长期股权投资，比照母公司对子公司的股权投资的抵销方法，将长</w:t>
      </w:r>
      <w:r>
        <w:rPr>
          <w:spacing w:val="-43"/>
        </w:rPr>
        <w:t> </w:t>
      </w:r>
      <w:r>
        <w:rPr>
          <w:spacing w:val="-43"/>
        </w:rPr>
      </w:r>
      <w:r>
        <w:rPr/>
        <w:t>期股权投资与其对应的子公司所有者权益中所享有的份额相互抵销。</w:t>
      </w:r>
    </w:p>
    <w:p>
      <w:pPr>
        <w:spacing w:after="0" w:line="309"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2"/>
        </w:rPr>
        <w:t>合营安排，是指一项由两个或两个以上的参与方共同控制的安排。合营安排分为共同经营和合营企业。共同经营，是指</w:t>
      </w:r>
    </w:p>
    <w:p>
      <w:pPr>
        <w:pStyle w:val="BodyText"/>
        <w:spacing w:line="316" w:lineRule="auto" w:before="31"/>
        <w:ind w:right="178"/>
        <w:jc w:val="left"/>
      </w:pPr>
      <w:r>
        <w:rPr/>
        <w:t>合营方享有该安排相关资产且承担该安排相关负债的合营安排。</w:t>
      </w:r>
      <w:r>
        <w:rPr>
          <w:spacing w:val="6"/>
        </w:rPr>
        <w:t> </w:t>
      </w:r>
      <w:r>
        <w:rPr/>
        <w:t>合营企业，是指合营方仅对该安排的净资产享有权利的合</w:t>
      </w:r>
      <w:r>
        <w:rPr>
          <w:spacing w:val="-88"/>
        </w:rPr>
        <w:t> </w:t>
      </w:r>
      <w:r>
        <w:rPr>
          <w:spacing w:val="-88"/>
        </w:rPr>
      </w:r>
      <w:r>
        <w:rPr/>
        <w:t>营安排。</w:t>
      </w:r>
    </w:p>
    <w:p>
      <w:pPr>
        <w:spacing w:line="300" w:lineRule="auto" w:before="19"/>
        <w:ind w:left="513" w:right="15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、共同经营的会计处理方法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本公司确认与共同经营中利益份额相关的下列项目，并按照相关企业会计准则的规定进行会计处理：</w:t>
      </w:r>
    </w:p>
    <w:p>
      <w:pPr>
        <w:pStyle w:val="BodyText"/>
        <w:spacing w:line="240" w:lineRule="auto" w:before="31"/>
        <w:ind w:left="513" w:right="94"/>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left="513" w:right="94"/>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left="513" w:right="94"/>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513" w:right="94"/>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3"/>
        <w:ind w:left="513" w:right="94"/>
        <w:jc w:val="left"/>
      </w:pPr>
      <w:r>
        <w:rPr/>
        <w:t>（</w:t>
      </w:r>
      <w:r>
        <w:rPr>
          <w:rFonts w:ascii="Times New Roman" w:hAnsi="Times New Roman" w:cs="Times New Roman" w:eastAsia="Times New Roman" w:hint="default"/>
        </w:rPr>
        <w:t>5</w:t>
      </w:r>
      <w:r>
        <w:rPr/>
        <w:t>）确认单独所发生的费用，以及按其份额确认共同经营发生的费用。</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420"/>
        <w:jc w:val="left"/>
      </w:pPr>
      <w:r>
        <w:rPr/>
        <w:t>现金，是指企业库存现金以及可以随时用于支付的存款。现金等价物，是指企业持有的同时具备期限短（一般指从购 入日起不超过</w:t>
      </w:r>
      <w:r>
        <w:rPr>
          <w:rFonts w:ascii="Times New Roman" w:hAnsi="Times New Roman" w:cs="Times New Roman" w:eastAsia="Times New Roman" w:hint="default"/>
        </w:rPr>
        <w:t>3</w:t>
      </w:r>
      <w:r>
        <w:rPr/>
        <w:t>个月内到期）、流动性强、易于转换为已知金额现金、价值变动风险很小的投资。</w:t>
      </w:r>
    </w:p>
    <w:p>
      <w:pPr>
        <w:spacing w:line="240" w:lineRule="auto" w:before="4"/>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b/>
          <w:bCs/>
        </w:rPr>
        <w:t>1</w:t>
      </w:r>
      <w:r>
        <w:rPr>
          <w:rFonts w:ascii="宋体" w:hAnsi="宋体" w:cs="宋体" w:eastAsia="宋体" w:hint="default"/>
          <w:b/>
          <w:bCs/>
        </w:rPr>
        <w:t>、外币交易</w:t>
      </w:r>
      <w:r>
        <w:rPr>
          <w:rFonts w:ascii="宋体" w:hAnsi="宋体" w:cs="宋体" w:eastAsia="宋体" w:hint="default"/>
          <w:b/>
          <w:bCs/>
          <w:w w:val="99"/>
        </w:rPr>
        <w:t> </w:t>
      </w:r>
      <w:r>
        <w:rPr>
          <w:spacing w:val="-2"/>
        </w:rPr>
        <w:t>本公司发生的外币交易，采用交易发生日的即期汇率（通常指中国人民银行公布的当日外汇牌价的中间价，下同）折合</w:t>
      </w:r>
    </w:p>
    <w:p>
      <w:pPr>
        <w:pStyle w:val="BodyText"/>
        <w:spacing w:line="316" w:lineRule="auto" w:before="31"/>
        <w:ind w:left="513" w:right="94" w:hanging="361"/>
        <w:jc w:val="left"/>
      </w:pPr>
      <w:r>
        <w:rPr/>
        <w:t>算成人民币记账。 </w:t>
      </w:r>
      <w:r>
        <w:rPr>
          <w:spacing w:val="-2"/>
        </w:rPr>
        <w:t>在资产负债表日，对外币货币性项目，采用资产负债表日即期汇率折算，因资产负债表日即期汇率与初始确认时或者前</w:t>
      </w:r>
    </w:p>
    <w:p>
      <w:pPr>
        <w:pStyle w:val="BodyText"/>
        <w:spacing w:line="316" w:lineRule="auto" w:before="19"/>
        <w:ind w:right="94"/>
        <w:jc w:val="left"/>
      </w:pPr>
      <w:r>
        <w:rPr>
          <w:spacing w:val="-2"/>
        </w:rPr>
        <w:t>一资产负债表日即期汇率不同而产生的汇兑差额，计入当期损益。以历史成本计量的外币非货币性项目，仍采用交易发生日</w:t>
      </w:r>
      <w:r>
        <w:rPr>
          <w:spacing w:val="-63"/>
        </w:rPr>
        <w:t> </w:t>
      </w:r>
      <w:r>
        <w:rPr>
          <w:spacing w:val="-63"/>
        </w:rPr>
      </w:r>
      <w:r>
        <w:rPr/>
        <w:t>的即期汇率折算，不改变其记账本位币金额。以公允价值计量的外币非货币性项目，采用公允价值确定日的即期汇率折算， 折算后的记账本位币金额与原记账本位币金额的差额，作为公允价值变动处理，计入当期损益或确认为其他综合收益。</w:t>
      </w:r>
    </w:p>
    <w:p>
      <w:pPr>
        <w:spacing w:line="300" w:lineRule="auto" w:before="19"/>
        <w:ind w:left="513" w:right="27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、外币财务报表的折算</w:t>
      </w:r>
      <w:r>
        <w:rPr>
          <w:rFonts w:ascii="宋体" w:hAnsi="宋体" w:cs="宋体" w:eastAsia="宋体" w:hint="default"/>
          <w:b/>
          <w:bCs/>
          <w:w w:val="99"/>
          <w:sz w:val="18"/>
          <w:szCs w:val="18"/>
        </w:rPr>
        <w:t> </w:t>
      </w:r>
      <w:r>
        <w:rPr>
          <w:rFonts w:ascii="宋体" w:hAnsi="宋体" w:cs="宋体" w:eastAsia="宋体" w:hint="default"/>
          <w:sz w:val="18"/>
          <w:szCs w:val="18"/>
        </w:rPr>
        <w:t>本公司按照以下规定，将以外币表示的财务报表折算为人民币金额表示的财务报表。</w:t>
      </w:r>
    </w:p>
    <w:p>
      <w:pPr>
        <w:pStyle w:val="BodyText"/>
        <w:spacing w:line="307" w:lineRule="auto" w:before="31"/>
        <w:ind w:right="190" w:firstLine="360"/>
        <w:jc w:val="both"/>
      </w:pPr>
      <w:r>
        <w:rPr>
          <w:spacing w:val="-2"/>
        </w:rPr>
        <w:t>资产负债表中的资产和负债项目，采用资产负债表日的即期汇率折算；所有者权益类项目除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r>
        <w:rPr/>
        <w:t> </w:t>
      </w:r>
      <w:r>
        <w:rPr>
          <w:spacing w:val="-2"/>
        </w:rPr>
        <w:t>项目采用发生时的即期汇率折算。利润表中的收入和费用项目，采用交易发生日的即期汇率折算。按照上述方法折算产生的</w:t>
      </w:r>
      <w:r>
        <w:rPr>
          <w:spacing w:val="-63"/>
        </w:rPr>
        <w:t> </w:t>
      </w:r>
      <w:r>
        <w:rPr>
          <w:spacing w:val="-63"/>
        </w:rPr>
      </w:r>
      <w:r>
        <w:rPr>
          <w:spacing w:val="-2"/>
        </w:rPr>
        <w:t>外币财务报表折算差额，在资产负债表中所有者权益项目</w:t>
      </w:r>
      <w:r>
        <w:rPr>
          <w:rFonts w:ascii="Times New Roman" w:hAnsi="Times New Roman" w:cs="Times New Roman" w:eastAsia="Times New Roman" w:hint="default"/>
          <w:spacing w:val="-2"/>
        </w:rPr>
        <w:t>“</w:t>
      </w:r>
      <w:r>
        <w:rPr>
          <w:spacing w:val="-2"/>
        </w:rPr>
        <w:t>其他综合收益</w:t>
      </w:r>
      <w:r>
        <w:rPr>
          <w:rFonts w:ascii="Times New Roman" w:hAnsi="Times New Roman" w:cs="Times New Roman" w:eastAsia="Times New Roman" w:hint="default"/>
          <w:spacing w:val="-2"/>
        </w:rPr>
        <w:t>”</w:t>
      </w:r>
      <w:r>
        <w:rPr>
          <w:spacing w:val="-2"/>
        </w:rPr>
        <w:t>中单独列示。以外币表示的现金流量表采用现金流</w:t>
      </w:r>
      <w:r>
        <w:rPr>
          <w:spacing w:val="-46"/>
        </w:rPr>
        <w:t> </w:t>
      </w:r>
      <w:r>
        <w:rPr>
          <w:spacing w:val="-46"/>
        </w:rPr>
      </w:r>
      <w:r>
        <w:rPr/>
        <w:t>量发生日的即期汇率折算。汇率变动对现金的影响额作为调节项目，在现金流量表中单独列报。</w:t>
      </w:r>
    </w:p>
    <w:p>
      <w:pPr>
        <w:spacing w:line="240" w:lineRule="auto" w:before="4"/>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83"/>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t>按照投资目的和经济实质将本公司拥有的金融资产划分为四类：（</w:t>
      </w:r>
      <w:r>
        <w:rPr>
          <w:rFonts w:ascii="Times New Roman" w:hAnsi="Times New Roman" w:cs="Times New Roman" w:eastAsia="Times New Roman" w:hint="default"/>
        </w:rPr>
        <w:t>1</w:t>
      </w:r>
      <w:r>
        <w:rPr/>
        <w:t>）以公允价值计量且其变动计入当期损益的金融资</w:t>
      </w:r>
    </w:p>
    <w:p>
      <w:pPr>
        <w:pStyle w:val="BodyText"/>
        <w:spacing w:line="300" w:lineRule="auto" w:before="13"/>
        <w:ind w:right="94"/>
        <w:jc w:val="left"/>
      </w:pPr>
      <w:r>
        <w:rPr>
          <w:spacing w:val="-2"/>
        </w:rPr>
        <w:t>产，包括交易性金融资产和指定为以公允价值计量且其变动计入当期损益的金融资产；（</w:t>
      </w:r>
      <w:r>
        <w:rPr>
          <w:rFonts w:ascii="Times New Roman" w:hAnsi="Times New Roman" w:cs="Times New Roman" w:eastAsia="Times New Roman" w:hint="default"/>
          <w:spacing w:val="-2"/>
        </w:rPr>
        <w:t>2</w:t>
      </w:r>
      <w:r>
        <w:rPr>
          <w:spacing w:val="-2"/>
        </w:rPr>
        <w:t>）持有至到期投资；（</w:t>
      </w:r>
      <w:r>
        <w:rPr>
          <w:rFonts w:ascii="Times New Roman" w:hAnsi="Times New Roman" w:cs="Times New Roman" w:eastAsia="Times New Roman" w:hint="default"/>
          <w:spacing w:val="-2"/>
        </w:rPr>
        <w:t>3</w:t>
      </w:r>
      <w:r>
        <w:rPr>
          <w:spacing w:val="-2"/>
        </w:rPr>
        <w:t>）贷款和</w:t>
      </w:r>
      <w:r>
        <w:rPr>
          <w:spacing w:val="-64"/>
        </w:rPr>
        <w:t> </w:t>
      </w:r>
      <w:r>
        <w:rPr>
          <w:spacing w:val="-64"/>
        </w:rPr>
      </w:r>
      <w:r>
        <w:rPr/>
        <w:t>应收款项；（</w:t>
      </w:r>
      <w:r>
        <w:rPr>
          <w:rFonts w:ascii="Times New Roman" w:hAnsi="Times New Roman" w:cs="Times New Roman" w:eastAsia="Times New Roman" w:hint="default"/>
        </w:rPr>
        <w:t>4</w:t>
      </w:r>
      <w:r>
        <w:rPr/>
        <w:t>）可供出售金融资产。</w:t>
      </w:r>
    </w:p>
    <w:p>
      <w:pPr>
        <w:pStyle w:val="BodyText"/>
        <w:spacing w:line="300" w:lineRule="auto" w:before="13"/>
        <w:ind w:right="184" w:firstLine="360"/>
        <w:jc w:val="left"/>
      </w:pPr>
      <w:r>
        <w:rPr/>
        <w:t>按照经济实质将承担的金融负债划分为两类：（</w:t>
      </w:r>
      <w:r>
        <w:rPr>
          <w:rFonts w:ascii="Times New Roman" w:hAnsi="Times New Roman" w:cs="Times New Roman" w:eastAsia="Times New Roman" w:hint="default"/>
        </w:rPr>
        <w:t>1</w:t>
      </w:r>
      <w:r>
        <w:rPr/>
        <w:t>）以公允价值计量且其变动计入当期损益的金融负债，包括交易性金 融负债和指定为以公允价值计量且其变动计入当期损益的金融负债；（</w:t>
      </w:r>
      <w:r>
        <w:rPr>
          <w:rFonts w:ascii="Times New Roman" w:hAnsi="Times New Roman" w:cs="Times New Roman" w:eastAsia="Times New Roman" w:hint="default"/>
        </w:rPr>
        <w:t>2</w:t>
      </w:r>
      <w:r>
        <w:rPr/>
        <w:t>）其他金融负债。</w:t>
      </w:r>
    </w:p>
    <w:p>
      <w:pPr>
        <w:pStyle w:val="BodyText"/>
        <w:spacing w:line="300" w:lineRule="auto" w:before="13"/>
        <w:ind w:left="513" w:right="94"/>
        <w:jc w:val="left"/>
      </w:pPr>
      <w:r>
        <w:rPr>
          <w:rFonts w:ascii="Times New Roman" w:hAnsi="Times New Roman" w:cs="Times New Roman" w:eastAsia="Times New Roman" w:hint="default"/>
          <w:b/>
          <w:bCs/>
        </w:rPr>
        <w:t>2</w:t>
      </w:r>
      <w:r>
        <w:rPr>
          <w:rFonts w:ascii="宋体" w:hAnsi="宋体" w:cs="宋体" w:eastAsia="宋体" w:hint="default"/>
          <w:b/>
          <w:bCs/>
        </w:rPr>
        <w:t>、金融工具的确认依据</w:t>
      </w:r>
      <w:r>
        <w:rPr>
          <w:rFonts w:ascii="宋体" w:hAnsi="宋体" w:cs="宋体" w:eastAsia="宋体" w:hint="default"/>
          <w:b/>
          <w:bCs/>
          <w:w w:val="99"/>
        </w:rPr>
        <w:t> </w:t>
      </w:r>
      <w:r>
        <w:rPr>
          <w:spacing w:val="-2"/>
        </w:rPr>
        <w:t>金融工具是指形成一个企业的金融资产，并形成其他单位的金融负债或权益工具的合同。本公司于成为金融工具合同的</w:t>
      </w:r>
    </w:p>
    <w:p>
      <w:pPr>
        <w:spacing w:after="0" w:line="30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513" w:right="94" w:hanging="361"/>
        <w:jc w:val="left"/>
      </w:pPr>
      <w:r>
        <w:rPr/>
        <w:t>一方时确认一项金融资产或金融负债。 </w:t>
      </w:r>
      <w:r>
        <w:rPr>
          <w:spacing w:val="-2"/>
        </w:rPr>
        <w:t>金融资产满足下列条件之一的，终止确认：收取该金融资产现金流量的合同权利终止；该金融资产已转移，且符合《企</w:t>
      </w:r>
    </w:p>
    <w:p>
      <w:pPr>
        <w:pStyle w:val="BodyText"/>
        <w:spacing w:line="309" w:lineRule="auto" w:before="19"/>
        <w:ind w:left="513" w:right="2973" w:hanging="361"/>
        <w:jc w:val="left"/>
        <w:rPr>
          <w:rFonts w:ascii="宋体" w:hAnsi="宋体" w:cs="宋体" w:eastAsia="宋体" w:hint="default"/>
        </w:rPr>
      </w:pPr>
      <w:r>
        <w:rPr/>
        <w:t>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金融资产转移》规定的终止确认条件。 金融负债的现时义务全部或部分已经解除的，才终止确认该金融负债或其一部分。 </w:t>
      </w:r>
      <w:r>
        <w:rPr>
          <w:rFonts w:ascii="Times New Roman" w:hAnsi="Times New Roman" w:cs="Times New Roman" w:eastAsia="Times New Roman" w:hint="default"/>
          <w:b/>
          <w:bCs/>
        </w:rPr>
        <w:t>3</w:t>
      </w:r>
      <w:r>
        <w:rPr>
          <w:rFonts w:ascii="宋体" w:hAnsi="宋体" w:cs="宋体" w:eastAsia="宋体" w:hint="default"/>
          <w:b/>
          <w:bCs/>
        </w:rPr>
        <w:t>、金融工具的计量方法</w:t>
      </w:r>
      <w:r>
        <w:rPr>
          <w:rFonts w:ascii="宋体" w:hAnsi="宋体" w:cs="宋体" w:eastAsia="宋体" w:hint="default"/>
        </w:rPr>
      </w:r>
    </w:p>
    <w:p>
      <w:pPr>
        <w:pStyle w:val="BodyText"/>
        <w:spacing w:line="316" w:lineRule="auto" w:before="5"/>
        <w:ind w:right="94" w:firstLine="360"/>
        <w:jc w:val="left"/>
      </w:pPr>
      <w:r>
        <w:rPr>
          <w:spacing w:val="-2"/>
        </w:rPr>
        <w:t>本公司初始确认金融资产或金融负债，按照公允价值计量。对于以公允价值计量且其变动计入当期损益的金融资产或金</w:t>
      </w:r>
      <w:r>
        <w:rPr/>
        <w:t> 融负债，相关交易费用直接计入当期损益；对于其他类别的金融资产或金融负债，相关交易费用计入初始确认金额。</w:t>
      </w:r>
    </w:p>
    <w:p>
      <w:pPr>
        <w:pStyle w:val="BodyText"/>
        <w:spacing w:line="240" w:lineRule="auto" w:before="19"/>
        <w:ind w:left="513" w:right="94"/>
        <w:jc w:val="left"/>
      </w:pPr>
      <w:r>
        <w:rPr/>
        <w:t>本公司对金融资产和金融负债的后续计量主要方法：</w:t>
      </w:r>
    </w:p>
    <w:p>
      <w:pPr>
        <w:pStyle w:val="BodyText"/>
        <w:spacing w:line="300" w:lineRule="auto" w:before="76"/>
        <w:ind w:right="184" w:firstLine="360"/>
        <w:jc w:val="left"/>
      </w:pPr>
      <w:r>
        <w:rPr/>
        <w:t>（</w:t>
      </w:r>
      <w:r>
        <w:rPr>
          <w:rFonts w:ascii="Times New Roman" w:hAnsi="Times New Roman" w:cs="Times New Roman" w:eastAsia="Times New Roman" w:hint="default"/>
        </w:rPr>
        <w:t>1</w:t>
      </w:r>
      <w:r>
        <w:rPr/>
        <w:t>）以公允价值计量且其变动计入当期损益的金融资产和金融负债，按照公允价值进行后续计量，公允价值变动计入 当期损益。</w:t>
      </w:r>
    </w:p>
    <w:p>
      <w:pPr>
        <w:pStyle w:val="BodyText"/>
        <w:spacing w:line="240" w:lineRule="auto" w:before="31"/>
        <w:ind w:left="513" w:right="94"/>
        <w:jc w:val="left"/>
      </w:pPr>
      <w:r>
        <w:rPr/>
        <w:t>（</w:t>
      </w:r>
      <w:r>
        <w:rPr>
          <w:rFonts w:ascii="Times New Roman" w:hAnsi="Times New Roman" w:cs="Times New Roman" w:eastAsia="Times New Roman" w:hint="default"/>
        </w:rPr>
        <w:t>2</w:t>
      </w:r>
      <w:r>
        <w:rPr/>
        <w:t>）持有至到期投资和应收款项，采用实际利率法，按摊余成本计量。</w:t>
      </w:r>
    </w:p>
    <w:p>
      <w:pPr>
        <w:pStyle w:val="BodyText"/>
        <w:spacing w:line="300" w:lineRule="auto" w:before="63"/>
        <w:ind w:right="184" w:firstLine="360"/>
        <w:jc w:val="left"/>
      </w:pPr>
      <w:r>
        <w:rPr/>
        <w:t>（</w:t>
      </w:r>
      <w:r>
        <w:rPr>
          <w:rFonts w:ascii="Times New Roman" w:hAnsi="Times New Roman" w:cs="Times New Roman" w:eastAsia="Times New Roman" w:hint="default"/>
        </w:rPr>
        <w:t>3</w:t>
      </w:r>
      <w:r>
        <w:rPr/>
        <w:t>）可供出售金融资产按照公允价值进行后续计量，公允价值变动形成的利得或损失，除减值损失和外币货币性金融 资产形成的汇兑损益外，计入其他综合收益，在该金融资产终止确认时转出，计入当期损益。</w:t>
      </w:r>
    </w:p>
    <w:p>
      <w:pPr>
        <w:pStyle w:val="BodyText"/>
        <w:spacing w:line="300" w:lineRule="auto" w:before="31"/>
        <w:ind w:right="184" w:firstLine="360"/>
        <w:jc w:val="left"/>
      </w:pPr>
      <w:r>
        <w:rPr/>
        <w:t>（</w:t>
      </w:r>
      <w:r>
        <w:rPr>
          <w:rFonts w:ascii="Times New Roman" w:hAnsi="Times New Roman" w:cs="Times New Roman" w:eastAsia="Times New Roman" w:hint="default"/>
        </w:rPr>
        <w:t>4</w:t>
      </w:r>
      <w:r>
        <w:rPr/>
        <w:t>）在活跃市场中没有报价且其公允价值不能可靠计量的权益工具投资，以及与该权益工具挂钩并须通过交付该权益 工具结算的衍生金融资产，按照成本计量。</w:t>
      </w:r>
    </w:p>
    <w:p>
      <w:pPr>
        <w:pStyle w:val="BodyText"/>
        <w:spacing w:line="240" w:lineRule="auto" w:before="31"/>
        <w:ind w:left="513" w:right="94"/>
        <w:jc w:val="left"/>
      </w:pPr>
      <w:r>
        <w:rPr/>
        <w:t>（</w:t>
      </w:r>
      <w:r>
        <w:rPr>
          <w:rFonts w:ascii="Times New Roman" w:hAnsi="Times New Roman" w:cs="Times New Roman" w:eastAsia="Times New Roman" w:hint="default"/>
        </w:rPr>
        <w:t>5</w:t>
      </w:r>
      <w:r>
        <w:rPr/>
        <w:t>）其他金融负债按摊余成本进行后续计量。但是下列情况除外：</w:t>
      </w:r>
    </w:p>
    <w:p>
      <w:pPr>
        <w:pStyle w:val="BodyText"/>
        <w:spacing w:line="316" w:lineRule="auto" w:before="63"/>
        <w:ind w:right="94" w:firstLine="360"/>
        <w:jc w:val="left"/>
      </w:pPr>
      <w:r>
        <w:rPr>
          <w:spacing w:val="-2"/>
        </w:rPr>
        <w:t>①与在活跃市场中没有报价，公允价值不能可靠计量的权益工具挂钩并须通过交付该权益工具结算的衍生金融负债，按</w:t>
      </w:r>
      <w:r>
        <w:rPr/>
        <w:t> 照成本计量。</w:t>
      </w:r>
    </w:p>
    <w:p>
      <w:pPr>
        <w:pStyle w:val="BodyText"/>
        <w:spacing w:line="316" w:lineRule="auto" w:before="19"/>
        <w:ind w:right="94" w:firstLine="360"/>
        <w:jc w:val="left"/>
      </w:pPr>
      <w:r>
        <w:rPr>
          <w:spacing w:val="-2"/>
        </w:rPr>
        <w:t>②不属于指定为以公允价值计量且其变动计入当期损益的金融负债的财务担保合同，或没有指定为以公允价值计量且其</w:t>
      </w:r>
      <w:r>
        <w:rPr/>
        <w:t> 变动计入当期损益并将以低于市场利率贷款的贷款承诺，在初始确认后按照下列两项金额之中的较高者进行后续计量：</w:t>
      </w:r>
    </w:p>
    <w:p>
      <w:pPr>
        <w:pStyle w:val="BodyText"/>
        <w:spacing w:line="304" w:lineRule="auto" w:before="19"/>
        <w:ind w:left="513" w:right="94"/>
        <w:jc w:val="left"/>
      </w:pPr>
      <w:r>
        <w:rPr>
          <w:rFonts w:ascii="Times New Roman" w:hAnsi="Times New Roman" w:cs="Times New Roman" w:eastAsia="Times New Roman" w:hint="default"/>
        </w:rPr>
        <w:t>A.</w:t>
      </w:r>
      <w:r>
        <w:rPr/>
        <w:t>《企业会计准则第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 </w:t>
      </w:r>
      <w:r>
        <w:rPr>
          <w:rFonts w:ascii="Times New Roman" w:hAnsi="Times New Roman" w:cs="Times New Roman" w:eastAsia="Times New Roman" w:hint="default"/>
        </w:rPr>
        <w:t>B.</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 </w:t>
      </w:r>
      <w:r>
        <w:rPr>
          <w:rFonts w:ascii="Times New Roman" w:hAnsi="Times New Roman" w:cs="Times New Roman" w:eastAsia="Times New Roman" w:hint="default"/>
          <w:b/>
          <w:bCs/>
        </w:rPr>
        <w:t>4</w:t>
      </w:r>
      <w:r>
        <w:rPr>
          <w:rFonts w:ascii="宋体" w:hAnsi="宋体" w:cs="宋体" w:eastAsia="宋体" w:hint="default"/>
          <w:b/>
          <w:bCs/>
        </w:rPr>
        <w:t>、金融资产转移的确认依据和计量方法</w:t>
      </w:r>
      <w:r>
        <w:rPr>
          <w:rFonts w:ascii="宋体" w:hAnsi="宋体" w:cs="宋体" w:eastAsia="宋体" w:hint="default"/>
          <w:b/>
          <w:bCs/>
          <w:w w:val="99"/>
        </w:rPr>
        <w:t> </w:t>
      </w:r>
      <w:r>
        <w:rPr/>
        <w:t>金融资产转移，是指公司（转出方）将金融资产让与或交付给该金融资产发行方以外的另一方（转入方）。 </w:t>
      </w:r>
      <w:r>
        <w:rPr>
          <w:spacing w:val="-2"/>
        </w:rPr>
        <w:t>本公司已将金融资产所有权上几乎所有的风险和报酬转移给转入方的，终止确认该金融资产；保留了金融资产所有权上</w:t>
      </w:r>
    </w:p>
    <w:p>
      <w:pPr>
        <w:pStyle w:val="BodyText"/>
        <w:spacing w:line="316" w:lineRule="auto" w:before="28"/>
        <w:ind w:left="513" w:right="94" w:hanging="361"/>
        <w:jc w:val="left"/>
      </w:pPr>
      <w:r>
        <w:rPr/>
        <w:t>几乎所有的风险和报酬的，不终止确认该金融资产。 </w:t>
      </w:r>
      <w:r>
        <w:rPr>
          <w:spacing w:val="-2"/>
        </w:rPr>
        <w:t>本公司既没有转移也没有保留金融资产所有权上几乎所有的风险和报酬的，分别下列情况处理：放弃了对该金融资产控</w:t>
      </w:r>
    </w:p>
    <w:p>
      <w:pPr>
        <w:pStyle w:val="BodyText"/>
        <w:spacing w:line="316" w:lineRule="auto" w:before="19"/>
        <w:ind w:right="94"/>
        <w:jc w:val="left"/>
      </w:pP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pStyle w:val="BodyText"/>
        <w:spacing w:line="300" w:lineRule="auto" w:before="19"/>
        <w:ind w:left="513" w:right="94"/>
        <w:jc w:val="left"/>
      </w:pPr>
      <w:r>
        <w:rPr>
          <w:rFonts w:ascii="Times New Roman" w:hAnsi="Times New Roman" w:cs="Times New Roman" w:eastAsia="Times New Roman" w:hint="default"/>
          <w:b/>
          <w:bCs/>
        </w:rPr>
        <w:t>5</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319" w:lineRule="auto" w:before="31"/>
        <w:ind w:right="94"/>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7"/>
        <w:ind w:right="9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00" w:lineRule="auto" w:before="19"/>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公允价值，是指市场参与者在计量日发生的有序交易中，出售一项资产所能收到或者转移一项负债所需支付的价格。本</w:t>
      </w:r>
    </w:p>
    <w:p>
      <w:pPr>
        <w:pStyle w:val="BodyText"/>
        <w:spacing w:line="240" w:lineRule="auto" w:before="31"/>
        <w:ind w:right="94"/>
        <w:jc w:val="left"/>
      </w:pPr>
      <w:r>
        <w:rPr/>
        <w:t>公司公允价值计量按《企业会计准则第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公允价值计量》的相关规定执行，具体包括：</w:t>
      </w:r>
    </w:p>
    <w:p>
      <w:pPr>
        <w:pStyle w:val="BodyText"/>
        <w:spacing w:line="240" w:lineRule="auto" w:before="63"/>
        <w:ind w:left="513" w:right="94"/>
        <w:jc w:val="left"/>
      </w:pPr>
      <w:r>
        <w:rPr/>
        <w:t>（</w:t>
      </w:r>
      <w:r>
        <w:rPr>
          <w:rFonts w:ascii="Times New Roman" w:hAnsi="Times New Roman" w:cs="Times New Roman" w:eastAsia="Times New Roman" w:hint="default"/>
        </w:rPr>
        <w:t>1</w:t>
      </w:r>
      <w:r>
        <w:rPr/>
        <w:t>）公允价值初始计量</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2" w:firstLine="360"/>
        <w:jc w:val="both"/>
      </w:pPr>
      <w:r>
        <w:rPr>
          <w:spacing w:val="-2"/>
        </w:rPr>
        <w:t>本公司根据交易性质和相关资产或负债的特征等，判断初始确认时的公允价值是否与其交易价格相等。其他相关会计准</w:t>
      </w:r>
      <w:r>
        <w:rPr/>
        <w:t> </w:t>
      </w:r>
      <w:r>
        <w:rPr>
          <w:spacing w:val="-2"/>
        </w:rPr>
        <w:t>则要求或者允许企业以公允价值对相关资产或负债进行初始计量，且其交易价格与公允价值不相等的，公司将相关利得或损</w:t>
      </w:r>
      <w:r>
        <w:rPr>
          <w:spacing w:val="-64"/>
        </w:rPr>
        <w:t> </w:t>
      </w:r>
      <w:r>
        <w:rPr>
          <w:spacing w:val="-64"/>
        </w:rPr>
      </w:r>
      <w:r>
        <w:rPr/>
        <w:t>失计入当期损益，但其他相关会计准则另有规定的除外。</w:t>
      </w:r>
    </w:p>
    <w:p>
      <w:pPr>
        <w:pStyle w:val="BodyText"/>
        <w:spacing w:line="300" w:lineRule="auto" w:before="19"/>
        <w:ind w:left="513" w:right="94"/>
        <w:jc w:val="left"/>
      </w:pPr>
      <w:r>
        <w:rPr/>
        <w:t>（</w:t>
      </w:r>
      <w:r>
        <w:rPr>
          <w:rFonts w:ascii="Times New Roman" w:hAnsi="Times New Roman" w:cs="Times New Roman" w:eastAsia="Times New Roman" w:hint="default"/>
        </w:rPr>
        <w:t>2</w:t>
      </w:r>
      <w:r>
        <w:rPr/>
        <w:t>）公允价值的估值技术 </w:t>
      </w:r>
      <w:r>
        <w:rPr>
          <w:spacing w:val="-2"/>
        </w:rPr>
        <w:t>本公司以公允价值计量相关资产或负债使用的估值技术主要包括市场法、收益法和成本法。本公司使用多种估值技术计</w:t>
      </w:r>
    </w:p>
    <w:p>
      <w:pPr>
        <w:pStyle w:val="BodyText"/>
        <w:spacing w:line="316" w:lineRule="auto" w:before="31"/>
        <w:ind w:right="190"/>
        <w:jc w:val="both"/>
      </w:pPr>
      <w:r>
        <w:rPr>
          <w:spacing w:val="-2"/>
        </w:rPr>
        <w:t>量公允价值时，会充分考虑各估值结果的合理性，选取在当前情下最能代表公允价值的金额作为公允价值。公司在估值技术</w:t>
      </w:r>
      <w:r>
        <w:rPr>
          <w:spacing w:val="-63"/>
        </w:rPr>
        <w:t> </w:t>
      </w:r>
      <w:r>
        <w:rPr>
          <w:spacing w:val="-63"/>
        </w:rPr>
      </w:r>
      <w:r>
        <w:rPr>
          <w:spacing w:val="-2"/>
        </w:rPr>
        <w:t>的应用中，优先使用相关可观察输入值，只有在相关可观察输入值无法取得或取得不切实可行的情况下，才使用不可观察输</w:t>
      </w:r>
      <w:r>
        <w:rPr>
          <w:spacing w:val="-63"/>
        </w:rPr>
        <w:t> </w:t>
      </w:r>
      <w:r>
        <w:rPr>
          <w:spacing w:val="-63"/>
        </w:rPr>
      </w:r>
      <w:r>
        <w:rPr/>
        <w:t>入值。</w:t>
      </w:r>
    </w:p>
    <w:p>
      <w:pPr>
        <w:pStyle w:val="BodyText"/>
        <w:spacing w:line="300" w:lineRule="auto" w:before="19"/>
        <w:ind w:left="513" w:right="94"/>
        <w:jc w:val="left"/>
      </w:pPr>
      <w:r>
        <w:rPr/>
        <w:t>（</w:t>
      </w:r>
      <w:r>
        <w:rPr>
          <w:rFonts w:ascii="Times New Roman" w:hAnsi="Times New Roman" w:cs="Times New Roman" w:eastAsia="Times New Roman" w:hint="default"/>
        </w:rPr>
        <w:t>3</w:t>
      </w:r>
      <w:r>
        <w:rPr/>
        <w:t>）公允价值的层次划分 </w:t>
      </w:r>
      <w:r>
        <w:rPr>
          <w:spacing w:val="-2"/>
        </w:rPr>
        <w:t>本公司将公允价值计量所使用的输入值划分为三个层次，并首先使用第一层次输入值，其次使用第二层次输入值，最后</w:t>
      </w:r>
    </w:p>
    <w:p>
      <w:pPr>
        <w:pStyle w:val="BodyText"/>
        <w:spacing w:line="319" w:lineRule="auto" w:before="31"/>
        <w:ind w:left="513" w:right="94" w:hanging="361"/>
        <w:jc w:val="left"/>
      </w:pPr>
      <w:r>
        <w:rPr/>
        <w:t>使用第三层次输入值。 </w:t>
      </w:r>
      <w:r>
        <w:rPr>
          <w:spacing w:val="-2"/>
        </w:rPr>
        <w:t>第一层次输入值是在计量日能够取得的相同资产或负债在活跃市场上未经调整的报价。第二层次输入值是除第一层次输</w:t>
      </w:r>
    </w:p>
    <w:p>
      <w:pPr>
        <w:pStyle w:val="BodyText"/>
        <w:spacing w:line="316" w:lineRule="auto" w:before="17"/>
        <w:ind w:left="513" w:right="94" w:hanging="361"/>
        <w:jc w:val="left"/>
      </w:pPr>
      <w:r>
        <w:rPr/>
        <w:t>入值外相关资产或负债直接或间接可观察的输入值。第三层次输入值是相关资产或负债的不可观察输入值。 </w:t>
      </w:r>
      <w:r>
        <w:rPr>
          <w:spacing w:val="-2"/>
        </w:rPr>
        <w:t>以上层次划分具体表现为：金融工具存在活跃市场的，本公司采用活跃市场中的报价确定其公允价值。活跃市场中的报</w:t>
      </w:r>
    </w:p>
    <w:p>
      <w:pPr>
        <w:pStyle w:val="BodyText"/>
        <w:spacing w:line="316" w:lineRule="auto" w:before="19"/>
        <w:ind w:right="190"/>
        <w:jc w:val="both"/>
      </w:pPr>
      <w:r>
        <w:rPr>
          <w:spacing w:val="-2"/>
        </w:rPr>
        <w:t>价是指易于定期从交易所、经纪商、行业协会、定价服务机构等获得的价格，且代表了在公平交易中实际发生的市场交易的</w:t>
      </w:r>
      <w:r>
        <w:rPr>
          <w:spacing w:val="-64"/>
        </w:rPr>
        <w:t> </w:t>
      </w:r>
      <w:r>
        <w:rPr>
          <w:spacing w:val="-64"/>
        </w:rPr>
      </w:r>
      <w:r>
        <w:rPr>
          <w:spacing w:val="-2"/>
        </w:rPr>
        <w:t>价格。金融工具不存在活跃市场的，本公司采用估值技术确定其公允价值。估值技术包括参考熟悉情况并自愿交易的各方最</w:t>
      </w:r>
      <w:r>
        <w:rPr>
          <w:spacing w:val="-63"/>
        </w:rPr>
        <w:t> </w:t>
      </w:r>
      <w:r>
        <w:rPr>
          <w:spacing w:val="-63"/>
        </w:rPr>
      </w:r>
      <w:r>
        <w:rPr/>
        <w:t>近进行的市场交易中使用的价格、参照实质上相同的其他金融工具当前的公允价值、现金流量折现法和期权定价模型等。</w:t>
      </w:r>
    </w:p>
    <w:p>
      <w:pPr>
        <w:pStyle w:val="Heading4"/>
        <w:spacing w:line="240" w:lineRule="auto"/>
        <w:ind w:right="94"/>
        <w:jc w:val="left"/>
        <w:rPr>
          <w:b w:val="0"/>
          <w:bCs w:val="0"/>
        </w:rPr>
      </w:pPr>
      <w:r>
        <w:rPr>
          <w:rFonts w:ascii="Times New Roman" w:hAnsi="Times New Roman" w:cs="Times New Roman" w:eastAsia="Times New Roman" w:hint="default"/>
        </w:rPr>
        <w:t>7</w:t>
      </w:r>
      <w:r>
        <w:rPr/>
        <w:t>、金融资产减值测试方法及会计处理方法</w:t>
      </w:r>
      <w:r>
        <w:rPr>
          <w:b w:val="0"/>
          <w:bCs w:val="0"/>
        </w:rPr>
      </w:r>
    </w:p>
    <w:p>
      <w:pPr>
        <w:pStyle w:val="BodyText"/>
        <w:spacing w:line="300" w:lineRule="auto" w:before="63"/>
        <w:ind w:right="193" w:firstLine="360"/>
        <w:jc w:val="both"/>
      </w:pPr>
      <w:r>
        <w:rPr/>
        <w:t>（</w:t>
      </w:r>
      <w:r>
        <w:rPr>
          <w:rFonts w:ascii="Times New Roman" w:hAnsi="Times New Roman" w:cs="Times New Roman" w:eastAsia="Times New Roman" w:hint="default"/>
        </w:rPr>
        <w:t>1</w:t>
      </w:r>
      <w:r>
        <w:rPr/>
        <w:t>）资产负债表日对以公允价值计量且其变动计入当期损益的金融资产以外的金融资产的账面价值进行检查，如有客 观证据表明该金融资产发生减值的，计提减值准备。</w:t>
      </w:r>
    </w:p>
    <w:p>
      <w:pPr>
        <w:pStyle w:val="BodyText"/>
        <w:spacing w:line="300" w:lineRule="auto" w:before="31"/>
        <w:ind w:left="513" w:right="94"/>
        <w:jc w:val="left"/>
      </w:pPr>
      <w:r>
        <w:rPr/>
        <w:t>（</w:t>
      </w:r>
      <w:r>
        <w:rPr>
          <w:rFonts w:ascii="Times New Roman" w:hAnsi="Times New Roman" w:cs="Times New Roman" w:eastAsia="Times New Roman" w:hint="default"/>
        </w:rPr>
        <w:t>2</w:t>
      </w:r>
      <w:r>
        <w:rPr/>
        <w:t>）持有至到期投资 </w:t>
      </w:r>
      <w:r>
        <w:rPr>
          <w:spacing w:val="-2"/>
        </w:rPr>
        <w:t>有客观证据表明其发生了减值的，根据其账面价值与预计未来现金流量现值之间差额计算确认减值损失；计提后如有证</w:t>
      </w:r>
    </w:p>
    <w:p>
      <w:pPr>
        <w:pStyle w:val="BodyText"/>
        <w:spacing w:line="316" w:lineRule="auto" w:before="32"/>
        <w:ind w:right="190"/>
        <w:jc w:val="both"/>
      </w:pPr>
      <w:r>
        <w:rPr>
          <w:spacing w:val="-2"/>
        </w:rPr>
        <w:t>据表明其价值已恢复，原确认的减值损失可予以转回，记入当期损益，但该转回的账面价值不超过假定不计提减值准备情况</w:t>
      </w:r>
      <w:r>
        <w:rPr>
          <w:spacing w:val="-63"/>
        </w:rPr>
        <w:t> </w:t>
      </w:r>
      <w:r>
        <w:rPr>
          <w:spacing w:val="-63"/>
        </w:rPr>
      </w:r>
      <w:r>
        <w:rPr/>
        <w:t>下该金融资产在转回日的摊余成本</w:t>
      </w:r>
    </w:p>
    <w:p>
      <w:pPr>
        <w:pStyle w:val="BodyText"/>
        <w:spacing w:line="300" w:lineRule="auto" w:before="19"/>
        <w:ind w:left="513" w:right="93"/>
        <w:jc w:val="left"/>
      </w:pPr>
      <w:r>
        <w:rPr/>
        <w:t>（</w:t>
      </w:r>
      <w:r>
        <w:rPr>
          <w:rFonts w:ascii="Times New Roman" w:hAnsi="Times New Roman" w:cs="Times New Roman" w:eastAsia="Times New Roman" w:hint="default"/>
        </w:rPr>
        <w:t>3</w:t>
      </w:r>
      <w:r>
        <w:rPr/>
        <w:t>）可供出售金融资产的减值准备 可供出售金融资产的公允价值发生较大幅度下降，或在综合考虑各种相关因素后，预期这种下降趋势属于非暂时性的，</w:t>
      </w:r>
    </w:p>
    <w:p>
      <w:pPr>
        <w:pStyle w:val="BodyText"/>
        <w:spacing w:line="316" w:lineRule="auto" w:before="31"/>
        <w:ind w:right="191"/>
        <w:jc w:val="both"/>
      </w:pPr>
      <w:r>
        <w:rPr>
          <w:spacing w:val="-2"/>
        </w:rPr>
        <w:t>则按其公允价值低于其账面价值的差额，确认减值损失，计提减值准备。在确认减值损失时，将原直接计入其他综合收益的</w:t>
      </w:r>
      <w:r>
        <w:rPr>
          <w:spacing w:val="-64"/>
        </w:rPr>
        <w:t> </w:t>
      </w:r>
      <w:r>
        <w:rPr>
          <w:spacing w:val="-64"/>
        </w:rPr>
      </w:r>
      <w:r>
        <w:rPr/>
        <w:t>公允价值下降形成的累计损失一并转出，计入减值损失。</w:t>
      </w:r>
    </w:p>
    <w:p>
      <w:pPr>
        <w:pStyle w:val="BodyText"/>
        <w:spacing w:line="316" w:lineRule="auto" w:before="19"/>
        <w:ind w:right="192" w:firstLine="360"/>
        <w:jc w:val="both"/>
      </w:pPr>
      <w:r>
        <w:rPr>
          <w:spacing w:val="-2"/>
        </w:rPr>
        <w:t>对于已确认减值损失的可供出售债务工具，在随后的会计期间公允价值已上升且客观与确认原减值损失后发生的事项有</w:t>
      </w:r>
      <w:r>
        <w:rPr/>
        <w:t> 关的，原确认的减值损失予以转回，计入当期损益。</w:t>
      </w:r>
    </w:p>
    <w:p>
      <w:pPr>
        <w:pStyle w:val="BodyText"/>
        <w:spacing w:line="319" w:lineRule="auto" w:before="19"/>
        <w:ind w:right="193" w:firstLine="360"/>
        <w:jc w:val="both"/>
      </w:pPr>
      <w:r>
        <w:rPr>
          <w:spacing w:val="-2"/>
        </w:rPr>
        <w:t>对于可供出售权益工具投资发生的减值损失，在该权益工具价值回升时，通过权益转回，不通过损益转回。但是，在活</w:t>
      </w:r>
      <w:r>
        <w:rPr/>
        <w:t> </w:t>
      </w:r>
      <w:r>
        <w:rPr>
          <w:spacing w:val="-2"/>
        </w:rPr>
        <w:t>跃市场中没有报价且其公允价值不能可靠计量的权益工具投资，或与该权益工具挂钩并须通过交付该权益工具结算的衍生金</w:t>
      </w:r>
      <w:r>
        <w:rPr>
          <w:spacing w:val="-64"/>
        </w:rPr>
        <w:t> </w:t>
      </w:r>
      <w:r>
        <w:rPr>
          <w:spacing w:val="-64"/>
        </w:rPr>
      </w:r>
      <w:r>
        <w:rPr/>
        <w:t>融资产发生的减值损失，不予转回。</w:t>
      </w:r>
    </w:p>
    <w:p>
      <w:pPr>
        <w:pStyle w:val="BodyText"/>
        <w:spacing w:line="300" w:lineRule="auto" w:before="17"/>
        <w:ind w:left="513" w:right="4053"/>
        <w:jc w:val="left"/>
      </w:pPr>
      <w:r>
        <w:rPr/>
        <w:t>（</w:t>
      </w:r>
      <w:r>
        <w:rPr>
          <w:rFonts w:ascii="Times New Roman" w:hAnsi="Times New Roman" w:cs="Times New Roman" w:eastAsia="Times New Roman" w:hint="default"/>
        </w:rPr>
        <w:t>4</w:t>
      </w:r>
      <w:r>
        <w:rPr/>
        <w:t>）应收款项 应收款项减值测试方法及减值准备计提方法详见本附注四（十一）。</w:t>
      </w:r>
    </w:p>
    <w:p>
      <w:pPr>
        <w:pStyle w:val="BodyText"/>
        <w:spacing w:line="300" w:lineRule="auto" w:before="31"/>
        <w:ind w:left="513" w:right="94"/>
        <w:jc w:val="left"/>
      </w:pPr>
      <w:r>
        <w:rPr/>
        <w:t>（</w:t>
      </w:r>
      <w:r>
        <w:rPr>
          <w:rFonts w:ascii="Times New Roman" w:hAnsi="Times New Roman" w:cs="Times New Roman" w:eastAsia="Times New Roman" w:hint="default"/>
        </w:rPr>
        <w:t>5</w:t>
      </w:r>
      <w:r>
        <w:rPr/>
        <w:t>）其他 </w:t>
      </w:r>
      <w:r>
        <w:rPr>
          <w:spacing w:val="-2"/>
        </w:rPr>
        <w:t>在活跃市场中没有报价且其公允价值不能可靠计量的权益工具投资，或与该权益工具挂钩并须通过交付该权益工具结算</w:t>
      </w:r>
    </w:p>
    <w:p>
      <w:pPr>
        <w:pStyle w:val="BodyText"/>
        <w:spacing w:line="316" w:lineRule="auto" w:before="31"/>
        <w:ind w:right="193"/>
        <w:jc w:val="both"/>
      </w:pPr>
      <w:r>
        <w:rPr>
          <w:spacing w:val="-2"/>
        </w:rPr>
        <w:t>的衍生金融资产发生减值时，将该权益工具投资或衍生金融资产的账面价值，与按照类似金融资产当时市场收益率对未来现</w:t>
      </w:r>
      <w:r>
        <w:rPr>
          <w:spacing w:val="-64"/>
        </w:rPr>
        <w:t> </w:t>
      </w:r>
      <w:r>
        <w:rPr>
          <w:spacing w:val="-64"/>
        </w:rPr>
      </w:r>
      <w:r>
        <w:rPr/>
        <w:t>金流量折现确定的现值之间的差额，确认为减值损失，计入当期损益。</w:t>
      </w:r>
    </w:p>
    <w:p>
      <w:pPr>
        <w:spacing w:after="0" w:line="316"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万元的应收账款、其他 应收款</w:t>
            </w:r>
          </w:p>
        </w:tc>
      </w:tr>
      <w:tr>
        <w:trPr>
          <w:trHeight w:val="227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 行减值测试，经测试发生了减值的，按其未来现金流量现值 低于其账面价值的差额，确定减值损失，计提坏账准备；对 单项测试未减值的应收款项，汇同对单项金额非重大的应收 款项，按类似的信用风险特征划分为若干组合，再按这些应 收款项组合在资产负债表日余额的一定比例计算确定减值损 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42"/>
        <w:jc w:val="left"/>
      </w:pPr>
      <w:r>
        <w:rPr/>
        <w:t>组合中，采用账龄分析法计提坏账准备的：</w:t>
      </w:r>
    </w:p>
    <w:p>
      <w:pPr>
        <w:pStyle w:val="BodyText"/>
        <w:spacing w:line="240" w:lineRule="auto" w:before="117"/>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42"/>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对于单项金额不重大但有客观证据表明可能发生了减值的应</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p>
      <w:pPr>
        <w:pStyle w:val="BodyText"/>
        <w:spacing w:line="240" w:lineRule="auto"/>
        <w:ind w:left="0" w:right="201"/>
        <w:jc w:val="right"/>
      </w:pPr>
      <w:r>
        <w:rPr/>
        <w:pict>
          <v:shape style="position:absolute;margin-left:56.459999pt;margin-top:-32.108292pt;width:479.2pt;height:147.9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2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both"/>
                          <w:rPr>
                            <w:rFonts w:ascii="宋体" w:hAnsi="宋体" w:cs="宋体" w:eastAsia="宋体" w:hint="default"/>
                            <w:sz w:val="18"/>
                            <w:szCs w:val="18"/>
                          </w:rPr>
                        </w:pPr>
                        <w:r>
                          <w:rPr>
                            <w:rFonts w:ascii="宋体" w:hAnsi="宋体" w:cs="宋体" w:eastAsia="宋体" w:hint="default"/>
                            <w:sz w:val="18"/>
                            <w:szCs w:val="18"/>
                          </w:rPr>
                          <w:t>收款项，将其从相关组合中分离出来，单独进行减值测试， 确认减值损失。有客观证据表明可能发生了减值，主要是指 </w:t>
                        </w:r>
                        <w:r>
                          <w:rPr>
                            <w:rFonts w:ascii="宋体" w:hAnsi="宋体" w:cs="宋体" w:eastAsia="宋体" w:hint="default"/>
                            <w:spacing w:val="-2"/>
                            <w:sz w:val="18"/>
                            <w:szCs w:val="18"/>
                          </w:rPr>
                          <w:t>债务人出现撤销、破产或死亡，以其破产财产或遗产清偿后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仍不能收回、现金流量严重不足等情况的。</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对于经常发生的，债务单位信誉较好的，确实有把握收回的 应收款项不计提坏账准备；合并范围内的关联方单位除非有 确凿证据证明已经发生了减值的（如债务人已经撤销、破产 死亡等，以其破产财产或遗产清偿后，仍不能收回、现金流 </w:t>
                        </w:r>
                        <w:r>
                          <w:rPr>
                            <w:rFonts w:ascii="宋体" w:hAnsi="宋体" w:cs="宋体" w:eastAsia="宋体" w:hint="default"/>
                            <w:spacing w:val="-5"/>
                            <w:sz w:val="18"/>
                            <w:szCs w:val="18"/>
                          </w:rPr>
                          <w:t>量严重不足等情况的），不计提坏账准备。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240" w:lineRule="auto" w:before="36"/>
        <w:ind w:right="9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4"/>
        </w:rPr>
        <w:t>本公司存货分为房地产存货和非房地产存货两类。房地产存货主要包括在建开发产品（开发成本）、已完工开发产品等。</w:t>
      </w:r>
    </w:p>
    <w:p>
      <w:pPr>
        <w:pStyle w:val="BodyText"/>
        <w:spacing w:line="240" w:lineRule="auto" w:before="31"/>
        <w:ind w:right="94"/>
        <w:jc w:val="left"/>
      </w:pPr>
      <w:r>
        <w:rPr/>
        <w:t>非房地产存货包括原材料、库存商品、低值易耗品、周转材料等。</w:t>
      </w:r>
    </w:p>
    <w:p>
      <w:pPr>
        <w:pStyle w:val="BodyText"/>
        <w:spacing w:line="300" w:lineRule="auto" w:before="76"/>
        <w:ind w:left="513" w:right="94"/>
        <w:jc w:val="left"/>
      </w:pPr>
      <w:r>
        <w:rPr/>
        <w:t>（</w:t>
      </w:r>
      <w:r>
        <w:rPr>
          <w:rFonts w:ascii="Times New Roman" w:hAnsi="Times New Roman" w:cs="Times New Roman" w:eastAsia="Times New Roman" w:hint="default"/>
        </w:rPr>
        <w:t>2</w:t>
      </w:r>
      <w:r>
        <w:rPr/>
        <w:t>）存货取得和发出的计价方法 </w:t>
      </w:r>
      <w:r>
        <w:rPr>
          <w:spacing w:val="-2"/>
        </w:rPr>
        <w:t>房地产存货按成本进行初始计量，开发产品的成本包括土地出让金、基础配套设施支出、建筑安装工程支出、开发项目</w:t>
      </w:r>
    </w:p>
    <w:p>
      <w:pPr>
        <w:pStyle w:val="BodyText"/>
        <w:spacing w:line="316" w:lineRule="auto" w:before="31"/>
        <w:ind w:right="5134"/>
        <w:jc w:val="left"/>
      </w:pPr>
      <w:r>
        <w:rPr/>
        <w:t>完工之前所发生的借款费用及开发过程中的其他相关费用。 </w:t>
      </w:r>
      <w:r>
        <w:rPr>
          <w:rFonts w:ascii="宋体" w:hAnsi="宋体" w:cs="宋体" w:eastAsia="宋体" w:hint="default"/>
        </w:rPr>
        <w:t>1.  </w:t>
      </w:r>
      <w:r>
        <w:rPr/>
        <w:t>开发用土地的核算方法</w:t>
      </w:r>
    </w:p>
    <w:p>
      <w:pPr>
        <w:pStyle w:val="BodyText"/>
        <w:spacing w:line="316" w:lineRule="auto" w:before="19"/>
        <w:ind w:left="513" w:right="94" w:firstLine="360"/>
        <w:jc w:val="left"/>
      </w:pPr>
      <w:r>
        <w:rPr>
          <w:spacing w:val="-2"/>
        </w:rPr>
        <w:t>开发用土地所发生的购买成本、征地拆迁补偿费及基础设施费等，在开发成本中单独核算，并根据开发项目的土地</w:t>
      </w:r>
      <w:r>
        <w:rPr/>
        <w:t> 使用情况计入相应的开发产品成本中。</w:t>
      </w:r>
    </w:p>
    <w:p>
      <w:pPr>
        <w:pStyle w:val="BodyText"/>
        <w:tabs>
          <w:tab w:pos="585" w:val="left" w:leader="none"/>
        </w:tabs>
        <w:spacing w:line="316" w:lineRule="auto" w:before="19"/>
        <w:ind w:left="513" w:right="188" w:hanging="361"/>
        <w:jc w:val="left"/>
      </w:pPr>
      <w:r>
        <w:rPr>
          <w:rFonts w:ascii="宋体" w:hAnsi="宋体" w:cs="宋体" w:eastAsia="宋体" w:hint="default"/>
        </w:rPr>
        <w:t>1.</w:t>
        <w:tab/>
        <w:tab/>
      </w:r>
      <w:r>
        <w:rPr/>
        <w:t>公共配套设施费用的核算方法 </w:t>
      </w:r>
      <w:r>
        <w:rPr>
          <w:spacing w:val="-2"/>
        </w:rPr>
        <w:t>不能有偿转让的公共配套设施：按受益比例确定标准分配计入商品房成本；能有偿转让的公共配套设施：以各配套设施</w:t>
      </w:r>
    </w:p>
    <w:p>
      <w:pPr>
        <w:pStyle w:val="BodyText"/>
        <w:spacing w:line="316" w:lineRule="auto" w:before="19"/>
        <w:ind w:left="513" w:right="94" w:hanging="361"/>
        <w:jc w:val="left"/>
      </w:pPr>
      <w:r>
        <w:rPr/>
        <w:t>项目作为成本核算对象，归集所发生的成本。 </w:t>
      </w:r>
      <w:r>
        <w:rPr>
          <w:spacing w:val="-2"/>
        </w:rPr>
        <w:t>非房地产存货在取得时按实际成本计价，存货成本包括采购成本、加工成本和其他成本。领用和发出时，采用加权平均</w:t>
      </w:r>
    </w:p>
    <w:p>
      <w:pPr>
        <w:pStyle w:val="BodyText"/>
        <w:spacing w:line="240" w:lineRule="auto" w:before="19"/>
        <w:ind w:right="94"/>
        <w:jc w:val="left"/>
      </w:pPr>
      <w:r>
        <w:rPr/>
        <w:t>法核算。</w:t>
      </w:r>
    </w:p>
    <w:p>
      <w:pPr>
        <w:pStyle w:val="Heading4"/>
        <w:spacing w:line="240" w:lineRule="auto" w:before="76"/>
        <w:ind w:right="94"/>
        <w:jc w:val="left"/>
        <w:rPr>
          <w:b w:val="0"/>
          <w:bCs w:val="0"/>
        </w:rPr>
      </w:pPr>
      <w:r>
        <w:rPr>
          <w:rFonts w:ascii="Times New Roman" w:hAnsi="Times New Roman" w:cs="Times New Roman" w:eastAsia="Times New Roman" w:hint="default"/>
        </w:rPr>
        <w:t>3</w:t>
      </w:r>
      <w:r>
        <w:rPr/>
        <w:t>、存货可变现净值的确定依据及存货跌价准备的计提方法</w:t>
      </w:r>
      <w:r>
        <w:rPr>
          <w:b w:val="0"/>
          <w:bCs w:val="0"/>
        </w:rPr>
      </w:r>
    </w:p>
    <w:p>
      <w:pPr>
        <w:pStyle w:val="BodyText"/>
        <w:spacing w:line="316" w:lineRule="auto" w:before="63"/>
        <w:ind w:right="190" w:firstLine="360"/>
        <w:jc w:val="both"/>
      </w:pPr>
      <w:r>
        <w:rPr>
          <w:spacing w:val="-2"/>
        </w:rPr>
        <w:t>①存货可变现净值的确定：产成品、商品和用于出售的材料等直接用于出售的商品存货，以该存货的估计售价减去估计</w:t>
      </w:r>
      <w:r>
        <w:rPr/>
        <w:t> </w:t>
      </w:r>
      <w:r>
        <w:rPr>
          <w:spacing w:val="-2"/>
        </w:rPr>
        <w:t>的销售费用和相关税费后的金额，确定其可变现净值。需要经过加工的材料存货，以所生产的产品的估计售价减去至完工时</w:t>
      </w:r>
      <w:r>
        <w:rPr>
          <w:spacing w:val="-66"/>
        </w:rPr>
        <w:t> </w:t>
      </w:r>
      <w:r>
        <w:rPr>
          <w:spacing w:val="-66"/>
        </w:rPr>
      </w:r>
      <w:r>
        <w:rPr>
          <w:spacing w:val="-2"/>
        </w:rPr>
        <w:t>估计将要发生的成本、估计的销售费用和相关税费后的金额，确定其可变现净值。为执行销售合同或者劳务合同而持有的存</w:t>
      </w:r>
      <w:r>
        <w:rPr>
          <w:spacing w:val="-65"/>
        </w:rPr>
        <w:t> </w:t>
      </w:r>
      <w:r>
        <w:rPr>
          <w:spacing w:val="-65"/>
        </w:rPr>
      </w:r>
      <w:r>
        <w:rPr>
          <w:spacing w:val="-2"/>
        </w:rPr>
        <w:t>货，其可变现净值以合同价格为基础计算。若持有存货的数量多于销售合同订购数量的，超出部分的存货的可变现净值应当</w:t>
      </w:r>
      <w:r>
        <w:rPr>
          <w:spacing w:val="-63"/>
        </w:rPr>
        <w:t> </w:t>
      </w:r>
      <w:r>
        <w:rPr>
          <w:spacing w:val="-63"/>
        </w:rPr>
      </w:r>
      <w:r>
        <w:rPr/>
        <w:t>以一般销售价格为基础计算。</w:t>
      </w:r>
    </w:p>
    <w:p>
      <w:pPr>
        <w:pStyle w:val="BodyText"/>
        <w:spacing w:line="316" w:lineRule="auto" w:before="19"/>
        <w:ind w:left="513" w:right="94"/>
        <w:jc w:val="left"/>
      </w:pPr>
      <w:r>
        <w:rPr/>
        <w:t>②存货跌价准备的计提方法 资产负债表日，公司存货按照成本与可变现净值孰低计量。当其可变现净值低于成本时，提取存货跌价准备。 </w:t>
      </w:r>
      <w:r>
        <w:rPr>
          <w:spacing w:val="-2"/>
        </w:rPr>
        <w:t>计提存货减值准备以后，如果以前减记存货价值的影响因素已经消失的，减记的金额予以恢复，并在原已计提的存货跌</w:t>
      </w:r>
    </w:p>
    <w:p>
      <w:pPr>
        <w:spacing w:line="309" w:lineRule="auto" w:before="19"/>
        <w:ind w:left="513" w:right="6034" w:hanging="361"/>
        <w:jc w:val="left"/>
        <w:rPr>
          <w:rFonts w:ascii="宋体" w:hAnsi="宋体" w:cs="宋体" w:eastAsia="宋体" w:hint="default"/>
          <w:sz w:val="18"/>
          <w:szCs w:val="18"/>
        </w:rPr>
      </w:pPr>
      <w:r>
        <w:rPr>
          <w:rFonts w:ascii="宋体" w:hAnsi="宋体" w:cs="宋体" w:eastAsia="宋体" w:hint="default"/>
          <w:sz w:val="18"/>
          <w:szCs w:val="18"/>
        </w:rPr>
        <w:t>价准备金额内转回，转回的金额计入当期损益。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本公司存货采用永续盘存制。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、低值易耗品和周转材料的摊销方法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低值易耗品采用一次转销法。</w:t>
      </w:r>
    </w:p>
    <w:p>
      <w:pPr>
        <w:pStyle w:val="BodyText"/>
        <w:spacing w:line="240" w:lineRule="auto" w:before="24"/>
        <w:ind w:left="513" w:right="94"/>
        <w:jc w:val="left"/>
      </w:pPr>
      <w:r>
        <w:rPr/>
        <w:t>建造所用的模板、钢管、扣件和其他周转材料等，按估计经济使用年限，采用直线法摊销。</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420"/>
        <w:jc w:val="both"/>
      </w:pPr>
      <w:r>
        <w:rPr/>
        <w:t>同时满足下列条件的组成部分（或非流动资产，下同）应当确认为持有待售：该组成部分必须在其当前状况下仅根据 </w:t>
      </w:r>
      <w:r>
        <w:rPr>
          <w:spacing w:val="-2"/>
        </w:rPr>
        <w:t>出售此类组成部分的惯常条款即可立即出售；企业已经就处置该组成部分作出决议，如按规定需得到股东批准的，应当已经</w:t>
      </w:r>
      <w:r>
        <w:rPr>
          <w:spacing w:val="-63"/>
        </w:rPr>
        <w:t> </w:t>
      </w:r>
      <w:r>
        <w:rPr>
          <w:spacing w:val="-63"/>
        </w:rPr>
      </w:r>
      <w:r>
        <w:rPr/>
        <w:t>取得股东大会或相应权力机构的批准；企业已经与受让方签订了不可撤销的转让协议；该项转让将在一年内完成。</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spacing w:line="300" w:lineRule="auto" w:before="0"/>
        <w:ind w:left="513" w:right="94" w:firstLine="6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长期股权投资包括本公司持有的能够对被投资单位实施控制、共同控制或重大影响的权益性共同控制，是指按照相关约</w:t>
      </w:r>
    </w:p>
    <w:p>
      <w:pPr>
        <w:pStyle w:val="BodyText"/>
        <w:spacing w:line="319" w:lineRule="auto" w:before="31"/>
        <w:ind w:left="513" w:right="94" w:hanging="361"/>
        <w:jc w:val="left"/>
      </w:pPr>
      <w:r>
        <w:rPr/>
        <w:t>定对某项安排所共有的控制，并且该安排的相关活动必须经过分享控制权的参与方一致同意后才能决策。 </w:t>
      </w:r>
      <w:r>
        <w:rPr>
          <w:spacing w:val="-2"/>
        </w:rPr>
        <w:t>重大影响，是指投资方对被投资单位的财务和经营政策有参与决策的权力，但并不能够控制或者与其他方一起共同控制</w:t>
      </w:r>
    </w:p>
    <w:p>
      <w:pPr>
        <w:pStyle w:val="BodyText"/>
        <w:spacing w:line="316" w:lineRule="auto" w:before="17"/>
        <w:ind w:right="193"/>
        <w:jc w:val="both"/>
      </w:pPr>
      <w:r>
        <w:rPr>
          <w:spacing w:val="-2"/>
        </w:rPr>
        <w:t>这些政策的制定。在确定能否对被投资单位施加重大影响时，应当考虑投资方和其他方持有的被投资单位当期可转换公司债</w:t>
      </w:r>
      <w:r>
        <w:rPr>
          <w:spacing w:val="-64"/>
        </w:rPr>
        <w:t> </w:t>
      </w:r>
      <w:r>
        <w:rPr>
          <w:spacing w:val="-64"/>
        </w:rPr>
      </w:r>
      <w:r>
        <w:rPr/>
        <w:t>券、当期可执行认股权证等潜在表决权因素。投资方能够对被投资单位施加重大影响的，被投资单位为其联营企业。</w:t>
      </w:r>
    </w:p>
    <w:p>
      <w:pPr>
        <w:pStyle w:val="Heading4"/>
        <w:spacing w:line="240" w:lineRule="auto"/>
        <w:ind w:right="94"/>
        <w:jc w:val="left"/>
        <w:rPr>
          <w:b w:val="0"/>
          <w:bCs w:val="0"/>
        </w:rPr>
      </w:pPr>
      <w:r>
        <w:rPr>
          <w:rFonts w:ascii="Times New Roman" w:hAnsi="Times New Roman" w:cs="Times New Roman" w:eastAsia="Times New Roman" w:hint="default"/>
        </w:rPr>
        <w:t>2</w:t>
      </w:r>
      <w:r>
        <w:rPr/>
        <w:t>、初始投资成本确定</w:t>
      </w:r>
      <w:r>
        <w:rPr>
          <w:b w:val="0"/>
          <w:bCs w:val="0"/>
        </w:rPr>
      </w:r>
    </w:p>
    <w:p>
      <w:pPr>
        <w:pStyle w:val="BodyText"/>
        <w:spacing w:line="300" w:lineRule="auto" w:before="63"/>
        <w:ind w:right="193" w:firstLine="360"/>
        <w:jc w:val="both"/>
      </w:pPr>
      <w:r>
        <w:rPr/>
        <w:t>（</w:t>
      </w:r>
      <w:r>
        <w:rPr>
          <w:rFonts w:ascii="Times New Roman" w:hAnsi="Times New Roman" w:cs="Times New Roman" w:eastAsia="Times New Roman" w:hint="default"/>
        </w:rPr>
        <w:t>1</w:t>
      </w:r>
      <w:r>
        <w:rPr/>
        <w:t>）本公司合并形成的长期股权投资，按照本附注四（五）（同一控制下和非同一控制下企业合并的会计处理方法） 确定其初始投资成本。</w:t>
      </w:r>
    </w:p>
    <w:p>
      <w:pPr>
        <w:pStyle w:val="BodyText"/>
        <w:spacing w:line="300" w:lineRule="auto" w:before="31"/>
        <w:ind w:left="513" w:right="94"/>
        <w:jc w:val="left"/>
      </w:pPr>
      <w:r>
        <w:rPr/>
        <w:t>（</w:t>
      </w:r>
      <w:r>
        <w:rPr>
          <w:rFonts w:ascii="Times New Roman" w:hAnsi="Times New Roman" w:cs="Times New Roman" w:eastAsia="Times New Roman" w:hint="default"/>
        </w:rPr>
        <w:t>2</w:t>
      </w:r>
      <w:r>
        <w:rPr/>
        <w:t>）除本公司合并形成的长期股权投资以外，其他方式取得的长期股权投资，按照下列规定确定其初始投资成本： </w:t>
      </w:r>
      <w:r>
        <w:rPr>
          <w:spacing w:val="-2"/>
        </w:rPr>
        <w:t>以支付现金取得的长期股权投资，应当按照实际支付的购买价款作为初始投资成本。初始投资成本包括与取得长期股权</w:t>
      </w:r>
    </w:p>
    <w:p>
      <w:pPr>
        <w:pStyle w:val="BodyText"/>
        <w:spacing w:line="316" w:lineRule="auto" w:before="31"/>
        <w:ind w:left="513" w:right="94" w:hanging="361"/>
        <w:jc w:val="left"/>
      </w:pPr>
      <w:r>
        <w:rPr/>
        <w:t>投资直接相关的费用、税金及其他必要支出。 以发行权益性证券取得的长期股权投资，应当按照发行权益性证券的公允价值作为初始投资成本。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193"/>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w:t>
      </w:r>
    </w:p>
    <w:p>
      <w:pPr>
        <w:pStyle w:val="BodyText"/>
        <w:spacing w:line="240" w:lineRule="auto" w:before="19"/>
        <w:ind w:left="513" w:right="94"/>
        <w:jc w:val="left"/>
      </w:pPr>
      <w:r>
        <w:rPr/>
        <w:t>通过债务重组取得的长期股权投资，其初始投资成本按照公允价值为基础确定。</w:t>
      </w:r>
    </w:p>
    <w:p>
      <w:pPr>
        <w:spacing w:line="300" w:lineRule="auto" w:before="76"/>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pacing w:val="-2"/>
          <w:sz w:val="18"/>
          <w:szCs w:val="18"/>
        </w:rPr>
        <w:t>投资方能够对被投资单位实施控制的长期股权投资应当采用成本法核算；对被投资单位具有共同控制或重大影响的长期</w:t>
      </w:r>
    </w:p>
    <w:p>
      <w:pPr>
        <w:pStyle w:val="BodyText"/>
        <w:spacing w:line="316" w:lineRule="auto" w:before="31"/>
        <w:ind w:right="193"/>
        <w:jc w:val="both"/>
      </w:pPr>
      <w:r>
        <w:rPr>
          <w:spacing w:val="-2"/>
        </w:rPr>
        <w:t>股权投资，采用权益法核算，投资方对联营企业的权益性投资，其中一部分通过风险投资机构、共同基金、信托公司或包括</w:t>
      </w:r>
      <w:r>
        <w:rPr>
          <w:spacing w:val="-67"/>
        </w:rPr>
        <w:t> </w:t>
      </w:r>
      <w:r>
        <w:rPr>
          <w:spacing w:val="-67"/>
        </w:rPr>
      </w:r>
      <w:r>
        <w:rPr>
          <w:spacing w:val="-2"/>
        </w:rPr>
        <w:t>投连险基金在内的类似主体间接持有的，无论以上主体是否对这部分投资具有重大影响，都可以对间接持有的该部分投资选</w:t>
      </w:r>
      <w:r>
        <w:rPr>
          <w:spacing w:val="-64"/>
        </w:rPr>
        <w:t> </w:t>
      </w:r>
      <w:r>
        <w:rPr>
          <w:spacing w:val="-64"/>
        </w:rPr>
      </w:r>
      <w:r>
        <w:rPr/>
        <w:t>择以公允价值计量且其变动计入损益，并对其余部分采用权益法核算。</w:t>
      </w:r>
    </w:p>
    <w:p>
      <w:pPr>
        <w:pStyle w:val="BodyText"/>
        <w:spacing w:line="300" w:lineRule="auto" w:before="19"/>
        <w:ind w:right="193" w:firstLine="360"/>
        <w:jc w:val="both"/>
      </w:pPr>
      <w:r>
        <w:rPr/>
        <w:t>（</w:t>
      </w:r>
      <w:r>
        <w:rPr>
          <w:rFonts w:ascii="Times New Roman" w:hAnsi="Times New Roman" w:cs="Times New Roman" w:eastAsia="Times New Roman" w:hint="default"/>
        </w:rPr>
        <w:t>1</w:t>
      </w:r>
      <w:r>
        <w:rPr/>
        <w:t>）采用成本法核算的长期股权投资，追加或收回投资应当调整长期股权投资的成本；被投资单位宣告分派的现金股 利或利润，确认为当期投资收益。</w:t>
      </w:r>
    </w:p>
    <w:p>
      <w:pPr>
        <w:pStyle w:val="BodyText"/>
        <w:spacing w:line="312" w:lineRule="auto" w:before="31"/>
        <w:ind w:right="191" w:firstLine="360"/>
        <w:jc w:val="both"/>
      </w:pPr>
      <w:r>
        <w:rPr/>
        <w:t>（</w:t>
      </w:r>
      <w:r>
        <w:rPr>
          <w:rFonts w:ascii="Times New Roman" w:hAnsi="Times New Roman" w:cs="Times New Roman" w:eastAsia="Times New Roman" w:hint="default"/>
        </w:rPr>
        <w:t>2</w:t>
      </w:r>
      <w:r>
        <w:rPr/>
        <w:t>）采用权益法核算的长期股权投资，长期股权投资的初始投资成本大于投资时应享有被投资单位可辨认净资产公允 </w:t>
      </w:r>
      <w:r>
        <w:rPr>
          <w:spacing w:val="-2"/>
        </w:rPr>
        <w:t>价值份额的，不调整长期股权投资的初始投资成本；长期股权投资的初始投资成本小于投资时应享有被投资单位可辨认净资</w:t>
      </w:r>
      <w:r>
        <w:rPr>
          <w:spacing w:val="-64"/>
        </w:rPr>
        <w:t> </w:t>
      </w:r>
      <w:r>
        <w:rPr>
          <w:spacing w:val="-64"/>
        </w:rPr>
      </w:r>
      <w:r>
        <w:rPr>
          <w:spacing w:val="-2"/>
        </w:rPr>
        <w:t>产公允价值份额的，其差额计入当期损益，同时调整长期股权投资的成本。被投资单位可辨认净资产的公允价值，比照《企</w:t>
      </w:r>
      <w:r>
        <w:rPr>
          <w:spacing w:val="-67"/>
        </w:rPr>
        <w:t> </w:t>
      </w:r>
      <w:r>
        <w:rPr>
          <w:spacing w:val="-67"/>
        </w:rPr>
      </w:r>
      <w:r>
        <w:rPr/>
        <w:t>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企业合并》的有关规定确定。</w:t>
      </w:r>
    </w:p>
    <w:p>
      <w:pPr>
        <w:pStyle w:val="BodyText"/>
        <w:spacing w:line="316" w:lineRule="auto" w:before="3"/>
        <w:ind w:right="94" w:firstLine="360"/>
        <w:jc w:val="left"/>
      </w:pPr>
      <w:r>
        <w:rPr>
          <w:spacing w:val="-2"/>
        </w:rPr>
        <w:t>本公司取得长期股权投资后，按照应享有或应分担的被投资单位当年实现的净损益和其他综合收益的份额，分别确认投</w:t>
      </w:r>
      <w:r>
        <w:rPr/>
        <w:t> </w:t>
      </w:r>
      <w:r>
        <w:rPr>
          <w:spacing w:val="-4"/>
        </w:rPr>
        <w:t>资收益和其他综合收益，同时调整长期股权投资的账面价值。按照被投资单位宣告分派的利润或现金股利计算应享有的部分，</w:t>
      </w:r>
      <w:r>
        <w:rPr>
          <w:spacing w:val="-44"/>
        </w:rPr>
        <w:t> </w:t>
      </w:r>
      <w:r>
        <w:rPr>
          <w:spacing w:val="-44"/>
        </w:rPr>
      </w:r>
      <w:r>
        <w:rPr/>
        <w:t>相应减少长期股权投资的账面价值；本公司于被投资单位除净损益、其他综合收益和利润分配之外所有者权益的其他变动， </w:t>
      </w:r>
      <w:r>
        <w:rPr>
          <w:spacing w:val="-2"/>
        </w:rPr>
        <w:t>调整长期股权投资的账面价值并计入所有者权益。在确认应享有或应分担被投资单位的净损益份额时，以取得投资时被投资</w:t>
      </w:r>
      <w:r>
        <w:rPr>
          <w:spacing w:val="-64"/>
        </w:rPr>
        <w:t> </w:t>
      </w:r>
      <w:r>
        <w:rPr>
          <w:spacing w:val="-64"/>
        </w:rPr>
      </w:r>
      <w:r>
        <w:rPr>
          <w:spacing w:val="-2"/>
        </w:rPr>
        <w:t>单位可辨认净资产的公允价值为基础，对被投资单位净利润进行调整后确认。对被投资单位采用的与本公司不一致的会计政</w:t>
      </w:r>
      <w:r>
        <w:rPr>
          <w:spacing w:val="-64"/>
        </w:rPr>
        <w:t> </w:t>
      </w:r>
      <w:r>
        <w:rPr>
          <w:spacing w:val="-64"/>
        </w:rPr>
      </w:r>
      <w:r>
        <w:rPr>
          <w:spacing w:val="-2"/>
        </w:rPr>
        <w:t>策及会计期间、以本公司取得投资时被投资单位固定资产及无形资产的公允价值为基础计提的折旧额或摊销额，以及以本公</w:t>
      </w:r>
      <w:r>
        <w:rPr>
          <w:spacing w:val="-64"/>
        </w:rPr>
        <w:t> </w:t>
      </w:r>
      <w:r>
        <w:rPr>
          <w:spacing w:val="-64"/>
        </w:rPr>
      </w:r>
      <w:r>
        <w:rPr>
          <w:spacing w:val="-2"/>
        </w:rPr>
        <w:t>司取得投资时有关资产的公允价值为基础计算确定的资产减值准备金额等对被投资单位净利润的影响进行调整，并且将本公</w:t>
      </w:r>
    </w:p>
    <w:p>
      <w:pPr>
        <w:spacing w:after="0" w:line="316"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513" w:right="142" w:hanging="361"/>
        <w:jc w:val="left"/>
      </w:pPr>
      <w:r>
        <w:rPr/>
        <w:t>司与联营企业及合营企业之间发生的内部交易损益予以抵销，在此基础上确认投资损益和其他综合收益等。 </w:t>
      </w:r>
      <w:r>
        <w:rPr>
          <w:spacing w:val="-2"/>
        </w:rPr>
        <w:t>在确认应分担的被投资单位发生的净亏损时，以长期股权投资及其他实质上构成对被投资单位净投资的长期权益减记至</w:t>
      </w:r>
    </w:p>
    <w:p>
      <w:pPr>
        <w:pStyle w:val="BodyText"/>
        <w:spacing w:line="316" w:lineRule="auto" w:before="19"/>
        <w:ind w:right="142"/>
        <w:jc w:val="left"/>
      </w:pPr>
      <w:r>
        <w:rPr>
          <w:spacing w:val="-2"/>
        </w:rPr>
        <w:t>零为限（投资企业负有承担额外损失义务的除外）；如果被投资单位以后各期实现盈利的，在收益分享额超过未确认的亏损</w:t>
      </w:r>
      <w:r>
        <w:rPr>
          <w:spacing w:val="-64"/>
        </w:rPr>
        <w:t> </w:t>
      </w:r>
      <w:r>
        <w:rPr>
          <w:spacing w:val="-64"/>
        </w:rPr>
      </w:r>
      <w:r>
        <w:rPr/>
        <w:t>分担额以后，按超过未确认的亏损分担额的金额，依次恢复长期权益、长期股权投资的账面价值。</w:t>
      </w:r>
    </w:p>
    <w:p>
      <w:pPr>
        <w:spacing w:line="240" w:lineRule="auto" w:before="10"/>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4"/>
        <w:jc w:val="left"/>
      </w:pPr>
      <w:r>
        <w:rPr/>
        <w:t>投资性房地产计量模式 成本法计量 折旧或摊销方法</w:t>
      </w:r>
    </w:p>
    <w:p>
      <w:pPr>
        <w:pStyle w:val="BodyText"/>
        <w:spacing w:line="240" w:lineRule="auto" w:before="29"/>
        <w:ind w:left="513" w:right="142"/>
        <w:jc w:val="left"/>
      </w:pPr>
      <w:r>
        <w:rPr/>
        <w:t>本公司的投资性房地产为已出租的建筑物。</w:t>
      </w:r>
    </w:p>
    <w:p>
      <w:pPr>
        <w:spacing w:line="300" w:lineRule="auto" w:before="77"/>
        <w:ind w:left="513" w:right="14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、采用成本模式计量的投资性房地产的折旧方法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本公司采用成本模式对所有投资性房地产进行后续计量，按其预计使用寿命及净残值率对建筑物计提折旧。投资性房地</w:t>
      </w:r>
    </w:p>
    <w:p>
      <w:pPr>
        <w:pStyle w:val="BodyText"/>
        <w:spacing w:line="240" w:lineRule="auto" w:before="31"/>
        <w:ind w:right="142"/>
        <w:jc w:val="left"/>
      </w:pPr>
      <w:r>
        <w:rPr/>
        <w:t>产的预计使用寿命、净残值率及年折旧率列示如下：</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72"/>
        <w:gridCol w:w="2689"/>
        <w:gridCol w:w="2124"/>
        <w:gridCol w:w="2403"/>
      </w:tblGrid>
      <w:tr>
        <w:trPr>
          <w:trHeight w:val="461"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投资性房地产类别</w:t>
            </w:r>
            <w:r>
              <w:rPr>
                <w:rFonts w:ascii="宋体" w:hAnsi="宋体" w:cs="宋体" w:eastAsia="宋体" w:hint="default"/>
                <w:sz w:val="18"/>
                <w:szCs w:val="18"/>
              </w:rPr>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7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预计残值率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预计使用寿命</w:t>
            </w:r>
            <w:r>
              <w:rPr>
                <w:rFonts w:ascii="宋体" w:hAnsi="宋体" w:cs="宋体" w:eastAsia="宋体" w:hint="default"/>
                <w:sz w:val="18"/>
                <w:szCs w:val="18"/>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年折旧（摊销）率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43"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4" w:right="0"/>
              <w:jc w:val="left"/>
              <w:rPr>
                <w:rFonts w:ascii="Times New Roman" w:hAnsi="Times New Roman" w:cs="Times New Roman" w:eastAsia="Times New Roman" w:hint="default"/>
                <w:sz w:val="18"/>
                <w:szCs w:val="18"/>
              </w:rPr>
            </w:pPr>
            <w:r>
              <w:rPr>
                <w:rFonts w:ascii="Times New Roman"/>
                <w:sz w:val="18"/>
              </w:rPr>
              <w:t>3.00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76"/>
              <w:jc w:val="center"/>
              <w:rPr>
                <w:rFonts w:ascii="Times New Roman" w:hAnsi="Times New Roman" w:cs="Times New Roman" w:eastAsia="Times New Roman" w:hint="default"/>
                <w:sz w:val="18"/>
                <w:szCs w:val="18"/>
              </w:rPr>
            </w:pPr>
            <w:r>
              <w:rPr>
                <w:rFonts w:ascii="Times New Roman"/>
                <w:sz w:val="18"/>
              </w:rPr>
              <w:t>20-30</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08" w:right="0"/>
              <w:jc w:val="left"/>
              <w:rPr>
                <w:rFonts w:ascii="Times New Roman" w:hAnsi="Times New Roman" w:cs="Times New Roman" w:eastAsia="Times New Roman" w:hint="default"/>
                <w:sz w:val="18"/>
                <w:szCs w:val="18"/>
              </w:rPr>
            </w:pPr>
            <w:r>
              <w:rPr>
                <w:rFonts w:ascii="Times New Roman"/>
                <w:sz w:val="18"/>
              </w:rPr>
              <w:t>3.23-4.85</w:t>
            </w:r>
          </w:p>
        </w:tc>
      </w:tr>
    </w:tbl>
    <w:p>
      <w:pPr>
        <w:spacing w:line="300" w:lineRule="auto" w:before="8"/>
        <w:ind w:left="513" w:right="14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、采用成本模式计量的投资性房地产减值准备计提依据</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资产负债表日按投资性房产的成本与可收回金额孰低计价，可收回金额低于成本的，按两者的差额计提减值准备。如果</w:t>
      </w:r>
    </w:p>
    <w:p>
      <w:pPr>
        <w:pStyle w:val="BodyText"/>
        <w:spacing w:line="240" w:lineRule="auto" w:before="31"/>
        <w:ind w:right="142"/>
        <w:jc w:val="left"/>
      </w:pPr>
      <w:r>
        <w:rPr/>
        <w:t>已经计提减值准备的投资性房地产的价值又得以恢复，前期已计提的减值准备不得转回。</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34"/>
        <w:jc w:val="left"/>
      </w:pPr>
      <w:r>
        <w:rPr/>
        <w:t>固定资产指同时满足与该固定资产有关的经济利益很可能流入企业和该固定资产的成本能够可靠地计量条件的，为生产商 品、提供劳务、出租或经营管理而持有的使用寿命超过一个会计年度的有形资产。</w:t>
      </w:r>
    </w:p>
    <w:p>
      <w:pPr>
        <w:spacing w:line="240" w:lineRule="auto" w:before="8"/>
        <w:rPr>
          <w:rFonts w:ascii="宋体" w:hAnsi="宋体" w:cs="宋体" w:eastAsia="宋体" w:hint="default"/>
          <w:sz w:val="22"/>
          <w:szCs w:val="22"/>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3.23%-4.85%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12.13%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19.4%/6.33%</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9" w:firstLine="360"/>
        <w:jc w:val="both"/>
      </w:pPr>
      <w:r>
        <w:rPr/>
        <w:t>当本公司租入的固定资产符合下列一项或数项标准时</w:t>
      </w:r>
      <w:r>
        <w:rPr>
          <w:spacing w:val="-22"/>
        </w:rPr>
        <w:t>，</w:t>
      </w:r>
      <w:r>
        <w:rPr/>
        <w:t>确</w:t>
      </w:r>
      <w:r>
        <w:rPr>
          <w:spacing w:val="2"/>
        </w:rPr>
        <w:t>认</w:t>
      </w:r>
      <w:r>
        <w:rPr/>
        <w:t>为融资租入固定资产</w:t>
      </w:r>
      <w:r>
        <w:rPr>
          <w:spacing w:val="-113"/>
        </w:rPr>
        <w:t>：</w:t>
      </w:r>
      <w:r>
        <w:rPr>
          <w:spacing w:val="1"/>
        </w:rPr>
        <w:t>（</w:t>
      </w:r>
      <w:r>
        <w:rPr>
          <w:rFonts w:ascii="Times New Roman" w:hAnsi="Times New Roman" w:cs="Times New Roman" w:eastAsia="Times New Roman" w:hint="default"/>
          <w:spacing w:val="1"/>
        </w:rPr>
        <w:t>1</w:t>
      </w:r>
      <w:r>
        <w:rPr>
          <w:spacing w:val="-22"/>
        </w:rPr>
        <w:t>）</w:t>
      </w:r>
      <w:r>
        <w:rPr>
          <w:spacing w:val="2"/>
        </w:rPr>
        <w:t>在</w:t>
      </w:r>
      <w:r>
        <w:rPr/>
        <w:t>租赁期届满时</w:t>
      </w:r>
      <w:r>
        <w:rPr>
          <w:spacing w:val="-22"/>
        </w:rPr>
        <w:t>，</w:t>
      </w:r>
      <w:r>
        <w:rPr/>
        <w:t>租赁资产的所</w:t>
      </w:r>
      <w:r>
        <w:rPr/>
        <w:t> 有权转移给本公司</w:t>
      </w:r>
      <w:r>
        <w:rPr>
          <w:spacing w:val="-118"/>
        </w:rPr>
        <w:t>。</w:t>
      </w:r>
      <w:r>
        <w:rPr/>
        <w:t>（</w:t>
      </w:r>
      <w:r>
        <w:rPr>
          <w:rFonts w:ascii="Times New Roman" w:hAnsi="Times New Roman" w:cs="Times New Roman" w:eastAsia="Times New Roman" w:hint="default"/>
          <w:spacing w:val="1"/>
        </w:rPr>
        <w:t>2</w:t>
      </w:r>
      <w:r>
        <w:rPr>
          <w:spacing w:val="-27"/>
        </w:rPr>
        <w:t>）</w:t>
      </w:r>
      <w:r>
        <w:rPr/>
        <w:t>本</w:t>
      </w:r>
      <w:r>
        <w:rPr>
          <w:spacing w:val="-3"/>
        </w:rPr>
        <w:t>公</w:t>
      </w:r>
      <w:r>
        <w:rPr/>
        <w:t>司有购买租赁资产的选择权</w:t>
      </w:r>
      <w:r>
        <w:rPr>
          <w:spacing w:val="-27"/>
        </w:rPr>
        <w:t>，</w:t>
      </w:r>
      <w:r>
        <w:rPr/>
        <w:t>所订立的购买价款预计将远低于行使选择权时租赁资产的公允价</w:t>
      </w:r>
      <w:r>
        <w:rPr/>
        <w:t> 值</w:t>
      </w:r>
      <w:r>
        <w:rPr>
          <w:spacing w:val="-22"/>
        </w:rPr>
        <w:t>，</w:t>
      </w:r>
      <w:r>
        <w:rPr/>
        <w:t>因而在租赁开始日就可</w:t>
      </w:r>
      <w:r>
        <w:rPr>
          <w:spacing w:val="2"/>
        </w:rPr>
        <w:t>以</w:t>
      </w:r>
      <w:r>
        <w:rPr/>
        <w:t>合理</w:t>
      </w:r>
      <w:r>
        <w:rPr>
          <w:spacing w:val="1"/>
        </w:rPr>
        <w:t>确</w:t>
      </w:r>
      <w:r>
        <w:rPr/>
        <w:t>定本公司将会行使这种选择权</w:t>
      </w:r>
      <w:r>
        <w:rPr>
          <w:spacing w:val="-113"/>
        </w:rPr>
        <w:t>。</w:t>
      </w:r>
      <w:r>
        <w:rPr/>
        <w:t>（</w:t>
      </w:r>
      <w:r>
        <w:rPr>
          <w:rFonts w:ascii="Times New Roman" w:hAnsi="Times New Roman" w:cs="Times New Roman" w:eastAsia="Times New Roman" w:hint="default"/>
          <w:spacing w:val="1"/>
        </w:rPr>
        <w:t>3</w:t>
      </w:r>
      <w:r>
        <w:rPr>
          <w:spacing w:val="-22"/>
        </w:rPr>
        <w:t>）</w:t>
      </w:r>
      <w:r>
        <w:rPr/>
        <w:t>即使资产的所</w:t>
      </w:r>
      <w:r>
        <w:rPr>
          <w:spacing w:val="2"/>
        </w:rPr>
        <w:t>有</w:t>
      </w:r>
      <w:r>
        <w:rPr/>
        <w:t>权不转移</w:t>
      </w:r>
      <w:r>
        <w:rPr>
          <w:spacing w:val="-22"/>
        </w:rPr>
        <w:t>，</w:t>
      </w:r>
      <w:r>
        <w:rPr/>
        <w:t>但租赁期占租赁</w:t>
      </w:r>
      <w:r>
        <w:rPr>
          <w:spacing w:val="2"/>
        </w:rPr>
        <w:t>资</w:t>
      </w:r>
      <w:r>
        <w:rPr/>
        <w:t>产使</w:t>
      </w:r>
    </w:p>
    <w:p>
      <w:pPr>
        <w:spacing w:after="0" w:line="300" w:lineRule="auto"/>
        <w:jc w:val="both"/>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00" w:lineRule="auto" w:before="44"/>
        <w:ind w:right="94"/>
        <w:jc w:val="left"/>
      </w:pPr>
      <w:r>
        <w:rPr>
          <w:spacing w:val="-5"/>
        </w:rPr>
        <w:t>用寿命的大部分。（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r>
      <w:r>
        <w:rPr>
          <w:rFonts w:ascii="Times New Roman" w:hAnsi="Times New Roman" w:cs="Times New Roman" w:eastAsia="Times New Roman" w:hint="default"/>
          <w:spacing w:val="-5"/>
        </w:rPr>
        <w:t>5</w:t>
      </w:r>
      <w:r>
        <w:rPr>
          <w:spacing w:val="-5"/>
        </w:rPr>
        <w:t>）租赁资</w:t>
      </w:r>
      <w:r>
        <w:rPr>
          <w:spacing w:val="-74"/>
        </w:rPr>
        <w:t> </w:t>
      </w:r>
      <w:r>
        <w:rPr>
          <w:spacing w:val="-74"/>
        </w:rPr>
      </w:r>
      <w:r>
        <w:rPr/>
        <w:t>产性质特殊，如果不作较大改造，只有本公司才能使用。</w:t>
      </w:r>
    </w:p>
    <w:p>
      <w:pPr>
        <w:pStyle w:val="BodyText"/>
        <w:spacing w:line="316" w:lineRule="auto" w:before="72"/>
        <w:ind w:right="190" w:firstLine="360"/>
        <w:jc w:val="both"/>
      </w:pPr>
      <w:r>
        <w:rPr>
          <w:spacing w:val="-2"/>
        </w:rPr>
        <w:t>融资租赁租入的固定资产，按租赁开始日租赁资产公允价值与最低租赁付款额的现值两者中较低者，作为入账价值。最</w:t>
      </w:r>
      <w:r>
        <w:rPr/>
        <w:t> </w:t>
      </w:r>
      <w:r>
        <w:rPr>
          <w:spacing w:val="-2"/>
        </w:rPr>
        <w:t>低租赁付款额作为长期应付款的入账价值，其差额作为未确认融资费用。在租赁谈判和签订租赁合同过程中发生的，可归属</w:t>
      </w:r>
      <w:r>
        <w:rPr>
          <w:spacing w:val="-63"/>
        </w:rPr>
        <w:t> </w:t>
      </w:r>
      <w:r>
        <w:rPr>
          <w:spacing w:val="-63"/>
        </w:rPr>
      </w:r>
      <w:r>
        <w:rPr>
          <w:spacing w:val="-2"/>
        </w:rPr>
        <w:t>于租赁项目的手续费、律师费、差旅费、印花税等初始直接费用，计入租入资产价值。未确认融资费用在租赁期内各个期间</w:t>
      </w:r>
      <w:r>
        <w:rPr>
          <w:spacing w:val="-67"/>
        </w:rPr>
        <w:t> </w:t>
      </w:r>
      <w:r>
        <w:rPr>
          <w:spacing w:val="-67"/>
        </w:rPr>
      </w:r>
      <w:r>
        <w:rPr/>
        <w:t>采用实际利率法进行分摊。</w:t>
      </w:r>
    </w:p>
    <w:p>
      <w:pPr>
        <w:pStyle w:val="BodyText"/>
        <w:spacing w:line="316" w:lineRule="auto" w:before="57"/>
        <w:ind w:right="190" w:firstLine="360"/>
        <w:jc w:val="both"/>
      </w:pPr>
      <w:r>
        <w:rPr>
          <w:spacing w:val="-2"/>
        </w:rPr>
        <w:t>本公司采用与自有固定资产相一致的折旧政策计提融资租入固定资产折旧。能够合理确定租赁期届满时取得租赁资产所</w:t>
      </w:r>
      <w:r>
        <w:rPr/>
        <w:t> </w:t>
      </w:r>
      <w:r>
        <w:rPr>
          <w:spacing w:val="-2"/>
        </w:rPr>
        <w:t>有权的，在租赁资产使用寿命内计提折旧。无法合理确定租赁期届满时能够取得租赁资产所有权的，在租赁期与租赁资产使</w:t>
      </w:r>
      <w:r>
        <w:rPr>
          <w:spacing w:val="-63"/>
        </w:rPr>
        <w:t> </w:t>
      </w:r>
      <w:r>
        <w:rPr>
          <w:spacing w:val="-63"/>
        </w:rPr>
      </w:r>
      <w:r>
        <w:rPr/>
        <w:t>用寿命两者中较短的期间内计提折旧。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本公司自行建造的在建工程按实际成本计价，实际成本由建造该项资产达到预定可使用状态前所发生的必要支出构成。</w:t>
      </w:r>
    </w:p>
    <w:p>
      <w:pPr>
        <w:spacing w:line="240" w:lineRule="auto" w:before="0"/>
        <w:rPr>
          <w:rFonts w:ascii="宋体" w:hAnsi="宋体" w:cs="宋体" w:eastAsia="宋体" w:hint="default"/>
          <w:sz w:val="18"/>
          <w:szCs w:val="18"/>
        </w:rPr>
      </w:pPr>
    </w:p>
    <w:p>
      <w:pPr>
        <w:pStyle w:val="Heading3"/>
        <w:spacing w:line="240" w:lineRule="auto" w:before="122"/>
        <w:ind w:right="94"/>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2"/>
        <w:rPr>
          <w:rFonts w:ascii="宋体" w:hAnsi="宋体" w:cs="宋体" w:eastAsia="宋体" w:hint="default"/>
          <w:b/>
          <w:bCs/>
          <w:sz w:val="25"/>
          <w:szCs w:val="25"/>
        </w:rPr>
      </w:pPr>
    </w:p>
    <w:p>
      <w:pPr>
        <w:pStyle w:val="BodyText"/>
        <w:spacing w:line="316" w:lineRule="auto"/>
        <w:ind w:right="111" w:firstLine="360"/>
        <w:jc w:val="both"/>
      </w:pPr>
      <w:r>
        <w:rPr/>
        <w:t>已达到预定可使用状态但尚未办理竣工决算的固定资产，按照估计价值确定其成本，并计提折旧；待办理竣工决算后， 再按实际成本调整原来的暂估价值，但不调整原已计提的折旧额。</w:t>
      </w:r>
    </w:p>
    <w:p>
      <w:pPr>
        <w:spacing w:line="240" w:lineRule="auto" w:before="13"/>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3"/>
        <w:rPr>
          <w:rFonts w:ascii="宋体" w:hAnsi="宋体" w:cs="宋体" w:eastAsia="宋体" w:hint="default"/>
          <w:b/>
          <w:bCs/>
          <w:sz w:val="25"/>
          <w:szCs w:val="25"/>
        </w:rPr>
      </w:pPr>
    </w:p>
    <w:p>
      <w:pPr>
        <w:pStyle w:val="BodyText"/>
        <w:spacing w:line="316" w:lineRule="auto"/>
        <w:ind w:right="94" w:firstLine="360"/>
        <w:jc w:val="left"/>
      </w:pPr>
      <w:r>
        <w:rPr/>
        <w:t>资产负债表日，本公司对在建工程按照账面价值与可收回金额孰低计量，按单项工程可收回金额低于账面价值的差额， </w:t>
      </w:r>
      <w:r>
        <w:rPr>
          <w:spacing w:val="-2"/>
        </w:rPr>
        <w:t>计提在建工程减值准备，计入当期损益，同时计提相应的资产减值准备。在建工程减值损失一经确认，在以后会计期间不再</w:t>
      </w:r>
      <w:r>
        <w:rPr>
          <w:spacing w:val="-65"/>
        </w:rPr>
        <w:t> </w:t>
      </w:r>
      <w:r>
        <w:rPr>
          <w:spacing w:val="-65"/>
        </w:rPr>
      </w:r>
      <w:r>
        <w:rPr/>
        <w:t>转回。</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1" w:firstLine="360"/>
        <w:jc w:val="both"/>
      </w:pPr>
      <w:r>
        <w:rPr/>
        <w:t>同时满足下列条件时，借款费用开始资本化：（</w:t>
      </w:r>
      <w:r>
        <w:rPr>
          <w:rFonts w:ascii="Times New Roman" w:hAnsi="Times New Roman" w:cs="Times New Roman" w:eastAsia="Times New Roman" w:hint="default"/>
        </w:rPr>
        <w:t>1</w:t>
      </w:r>
      <w:r>
        <w:rPr/>
        <w:t>）资产支出已经发生，资产支出包括为购建或者生产符合资本化条件 </w:t>
      </w:r>
      <w:r>
        <w:rPr>
          <w:spacing w:val="-2"/>
        </w:rPr>
        <w:t>的资产而以支付现金、转移非现金资产或者承担带息债务形式发生的支出；（</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）为使资产达到预</w:t>
      </w:r>
      <w:r>
        <w:rPr>
          <w:spacing w:val="-64"/>
        </w:rPr>
        <w:t> </w:t>
      </w:r>
      <w:r>
        <w:rPr>
          <w:spacing w:val="-64"/>
        </w:rPr>
      </w:r>
      <w:r>
        <w:rPr/>
        <w:t>定可使用或者可销售状态所必要的购建或者生产活动已经开始。</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在资本化期间内，每一会计期间的资本化金额，为购建或者生产符合资本化条件的资产而借入专门借款的，以专门借款</w:t>
      </w:r>
      <w:r>
        <w:rPr/>
        <w:t> </w:t>
      </w:r>
      <w:r>
        <w:rPr>
          <w:spacing w:val="-2"/>
        </w:rPr>
        <w:t>当期实际发生的利息费用，减去将尚未动用的借款资金存入银行取得的利息收入或进行暂时性投资取得的投资收益后的金额</w:t>
      </w:r>
      <w:r>
        <w:rPr>
          <w:spacing w:val="-64"/>
        </w:rPr>
        <w:t> </w:t>
      </w:r>
      <w:r>
        <w:rPr>
          <w:spacing w:val="-64"/>
        </w:rPr>
      </w:r>
      <w:r>
        <w:rPr>
          <w:spacing w:val="-2"/>
        </w:rPr>
        <w:t>确定。为购建或者生产符合资本化条件的资产而占用了一般借款的，根据累计资产支出超过专门借款部分的资产支出加权平</w:t>
      </w:r>
      <w:r>
        <w:rPr>
          <w:spacing w:val="-64"/>
        </w:rPr>
        <w:t> </w:t>
      </w:r>
      <w:r>
        <w:rPr>
          <w:spacing w:val="-64"/>
        </w:rPr>
      </w:r>
      <w:r>
        <w:rPr>
          <w:spacing w:val="-2"/>
        </w:rPr>
        <w:t>均数乘以所占用一般借款的资本化率，计算确定一般借款应予资本化的利息金额。利息资本化金额，不超过当期相关借款实</w:t>
      </w:r>
      <w:r>
        <w:rPr>
          <w:spacing w:val="-63"/>
        </w:rPr>
        <w:t> </w:t>
      </w:r>
      <w:r>
        <w:rPr>
          <w:spacing w:val="-63"/>
        </w:rPr>
      </w:r>
      <w:r>
        <w:rPr/>
        <w:t>际发生的利息金额。</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b/>
          <w:bCs/>
          <w:sz w:val="21"/>
          <w:szCs w:val="21"/>
        </w:rPr>
      </w:pPr>
    </w:p>
    <w:p>
      <w:pPr>
        <w:pStyle w:val="BodyText"/>
        <w:spacing w:line="312" w:lineRule="auto" w:before="44"/>
        <w:ind w:right="94" w:firstLine="360"/>
        <w:jc w:val="left"/>
      </w:pP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r>
        <w:rPr/>
        <w:t> </w:t>
      </w:r>
      <w:r>
        <w:rPr>
          <w:spacing w:val="-2"/>
        </w:rPr>
        <w:t>在中断期间发生的借款费用确认为费用，计入当期损益，直至资产的购建或者生产活动重新开始。如果中断是所购建或者生</w:t>
      </w:r>
      <w:r>
        <w:rPr>
          <w:spacing w:val="-66"/>
        </w:rPr>
        <w:t> </w:t>
      </w:r>
      <w:r>
        <w:rPr>
          <w:spacing w:val="-66"/>
        </w:rPr>
      </w:r>
      <w:r>
        <w:rPr>
          <w:spacing w:val="-2"/>
        </w:rPr>
        <w:t>产的符合资本化条件的资产达到预定可使用或者可销售状态必要的程序，借款费用继续资本化。购建或者生产符合资本化条</w:t>
      </w:r>
      <w:r>
        <w:rPr>
          <w:spacing w:val="-63"/>
        </w:rPr>
        <w:t> </w:t>
      </w:r>
      <w:r>
        <w:rPr>
          <w:spacing w:val="-63"/>
        </w:rPr>
      </w:r>
      <w:r>
        <w:rPr/>
        <w:t>件的资产达到预定可使用或者可销售状态时，停止借款费用资本化。</w:t>
      </w:r>
    </w:p>
    <w:p>
      <w:pPr>
        <w:spacing w:line="240" w:lineRule="auto" w:before="1"/>
        <w:rPr>
          <w:rFonts w:ascii="宋体" w:hAnsi="宋体" w:cs="宋体" w:eastAsia="宋体" w:hint="default"/>
          <w:sz w:val="23"/>
          <w:szCs w:val="23"/>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288"/>
        <w:jc w:val="both"/>
      </w:pPr>
      <w:r>
        <w:rPr>
          <w:spacing w:val="-1"/>
        </w:rPr>
        <w:t>在资本化期间内，每一会计期间的资本化金额，为购建或者生产符合资本化条件的资产而借入专门借款的，以专门借款</w:t>
      </w:r>
      <w:r>
        <w:rPr/>
        <w:t> </w:t>
      </w:r>
      <w:r>
        <w:rPr>
          <w:spacing w:val="-2"/>
        </w:rPr>
        <w:t>当期实际发生的利息费用，减去将尚未动用的借款资金存入银行取得的利息收入或进行暂时性投资取得的投资收益后的金额</w:t>
      </w:r>
      <w:r>
        <w:rPr>
          <w:spacing w:val="-64"/>
        </w:rPr>
        <w:t> </w:t>
      </w:r>
      <w:r>
        <w:rPr>
          <w:spacing w:val="-64"/>
        </w:rPr>
      </w:r>
      <w:r>
        <w:rPr/>
        <w:t>确定。</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不涉及</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不涉及</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1" w:firstLine="360"/>
        <w:jc w:val="both"/>
      </w:pPr>
      <w:r>
        <w:rPr>
          <w:spacing w:val="-2"/>
        </w:rPr>
        <w:t>无形资产是指本公司拥有或者控制的没有实物形态的可辨认非货币性资产，包括土地使用权、专利权、软件等。无形资</w:t>
      </w:r>
      <w:r>
        <w:rPr/>
        <w:t> </w:t>
      </w:r>
      <w:r>
        <w:rPr>
          <w:spacing w:val="-2"/>
        </w:rPr>
        <w:t>产按照成本进行初始计量。购入的无形资产，按实际支付的价款和相关支出作为实际成本。投资者投入的无形资产，按投资</w:t>
      </w:r>
      <w:r>
        <w:rPr>
          <w:spacing w:val="-64"/>
        </w:rPr>
        <w:t> </w:t>
      </w:r>
      <w:r>
        <w:rPr>
          <w:spacing w:val="-64"/>
        </w:rPr>
      </w:r>
      <w:r>
        <w:rPr/>
        <w:t>合同或协议约定的价值确定实际成本，但合同或协议约定价值不公允的，按公允价值确定实际成本。</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 w:firstLine="360"/>
        <w:jc w:val="both"/>
      </w:pPr>
      <w:r>
        <w:rPr>
          <w:spacing w:val="-4"/>
        </w:rPr>
        <w:t>使用寿命有限的无形资产，在使用寿命内采用直线法摊销，并在年度终了，对无形资产的使用寿命和摊销方法进行复核，</w:t>
      </w:r>
      <w:r>
        <w:rPr/>
        <w:t> 如与原先估计数存在差异的，进行相应的调整。使用寿命有限的无形资产摊销方法如下：</w:t>
      </w:r>
    </w:p>
    <w:tbl>
      <w:tblPr>
        <w:tblW w:w="0" w:type="auto"/>
        <w:jc w:val="left"/>
        <w:tblInd w:w="145" w:type="dxa"/>
        <w:tblLayout w:type="fixed"/>
        <w:tblCellMar>
          <w:top w:w="0" w:type="dxa"/>
          <w:left w:w="0" w:type="dxa"/>
          <w:bottom w:w="0" w:type="dxa"/>
          <w:right w:w="0" w:type="dxa"/>
        </w:tblCellMar>
        <w:tblLook w:val="01E0"/>
      </w:tblPr>
      <w:tblGrid>
        <w:gridCol w:w="2280"/>
        <w:gridCol w:w="2216"/>
        <w:gridCol w:w="5075"/>
      </w:tblGrid>
      <w:tr>
        <w:trPr>
          <w:trHeight w:val="427" w:hRule="exact"/>
        </w:trPr>
        <w:tc>
          <w:tcPr>
            <w:tcW w:w="22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6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商业土地</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土地使用权存续期间</w:t>
            </w:r>
          </w:p>
        </w:tc>
        <w:tc>
          <w:tcPr>
            <w:tcW w:w="5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2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2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5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0"/>
        <w:rPr>
          <w:rFonts w:ascii="宋体" w:hAnsi="宋体" w:cs="宋体" w:eastAsia="宋体" w:hint="default"/>
          <w:sz w:val="20"/>
          <w:szCs w:val="20"/>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91" w:firstLine="360"/>
        <w:jc w:val="both"/>
      </w:pPr>
      <w:r>
        <w:rPr>
          <w:spacing w:val="-2"/>
        </w:rPr>
        <w:t>使用寿命不确定的无形资产不予摊销。本公司在每个会计期间对使用寿命不确定的无形资产的使用寿命进行复核，当有</w:t>
      </w:r>
      <w:r>
        <w:rPr/>
        <w:t> </w:t>
      </w:r>
      <w:r>
        <w:rPr>
          <w:spacing w:val="-2"/>
        </w:rPr>
        <w:t>确凿证据表明其使用寿命是有限的，则估计其使用寿命，按直线法进行摊销。使用寿命不确定的无形资产，无论是否存在减</w:t>
      </w:r>
      <w:r>
        <w:rPr>
          <w:spacing w:val="-64"/>
        </w:rPr>
        <w:t> </w:t>
      </w:r>
      <w:r>
        <w:rPr>
          <w:spacing w:val="-64"/>
        </w:rPr>
      </w:r>
      <w:r>
        <w:rPr/>
        <w:t>值迹象，每年都进行减值测试。</w:t>
      </w:r>
    </w:p>
    <w:p>
      <w:pPr>
        <w:spacing w:after="0" w:line="319"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资产负债表日，本公司对无形资产按照其账面价值与可收回金额孰低计量，按单项资产可收回金额低于账面价值的差额</w:t>
      </w:r>
      <w:r>
        <w:rPr/>
        <w:t> 计提无形资产减值准备，相应的资产减值损失计入当期损益。无形资产减值损失一经确认，在以后会计期间不再转回。</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94"/>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6" w:lineRule="auto" w:before="19"/>
        <w:ind w:left="513" w:right="4593" w:hanging="361"/>
        <w:jc w:val="left"/>
      </w:pPr>
      <w:r>
        <w:rPr/>
        <w:t>进的材料、装置、产品等活动的阶段。 内部研究开发项目研究阶段的支出，在发生时计入当期损益。</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left="513" w:right="1578"/>
        <w:jc w:val="left"/>
      </w:pPr>
      <w:r>
        <w:rPr/>
        <w:t>内部研究开发项目开发阶段的支出，同时满足下列条件时确认为无形资产：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无形资产产生经济利益的方式，包括能够证明运用该无形资产生产的产品存在市场或无形资产自身 存在市场，无形资产将在内部使用的，能够证明其有用性； </w:t>
      </w:r>
      <w:r>
        <w:rPr>
          <w:rFonts w:ascii="Times New Roman" w:hAnsi="Times New Roman" w:cs="Times New Roman" w:eastAsia="Times New Roman" w:hint="default"/>
        </w:rPr>
        <w:t>d.</w:t>
      </w:r>
      <w:r>
        <w:rPr/>
        <w:t>有足够的技术、财务资源和其他资源支持，以完成该无形资产的开发，并有能力使用或出售该无形 资产；</w:t>
      </w:r>
    </w:p>
    <w:p>
      <w:pPr>
        <w:pStyle w:val="BodyText"/>
        <w:spacing w:line="240" w:lineRule="auto" w:before="26"/>
        <w:ind w:left="513" w:right="94"/>
        <w:jc w:val="left"/>
      </w:pPr>
      <w:r>
        <w:rPr>
          <w:rFonts w:ascii="Times New Roman" w:hAnsi="Times New Roman" w:cs="Times New Roman" w:eastAsia="Times New Roman" w:hint="default"/>
        </w:rPr>
        <w:t>e.</w:t>
      </w:r>
      <w:r>
        <w:rPr/>
        <w:t>归属于该无形资产开发阶段的支出能够可靠地计量。</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84" w:firstLine="360"/>
        <w:jc w:val="left"/>
      </w:pPr>
      <w:r>
        <w:rPr>
          <w:rFonts w:ascii="Times New Roman" w:hAnsi="Times New Roman" w:cs="Times New Roman" w:eastAsia="Times New Roman" w:hint="default"/>
        </w:rPr>
        <w:t>1</w:t>
      </w:r>
      <w:r>
        <w:rPr/>
        <w:t>、长期股权投资、采用成本模式计量的投资性房地产、固定资产、在建工程、采用成本模式计量的生产性生物资产、 油气资产、无形资产、商誉等长期资产的减值测试方法及会计处理方法：</w:t>
      </w:r>
    </w:p>
    <w:p>
      <w:pPr>
        <w:pStyle w:val="BodyText"/>
        <w:spacing w:line="314" w:lineRule="auto" w:before="31"/>
        <w:ind w:right="94" w:firstLine="199"/>
        <w:jc w:val="left"/>
      </w:pPr>
      <w:r>
        <w:rPr/>
        <w:t>（</w:t>
      </w:r>
      <w:r>
        <w:rPr>
          <w:rFonts w:ascii="Times New Roman" w:hAnsi="Times New Roman" w:cs="Times New Roman" w:eastAsia="Times New Roman" w:hint="default"/>
        </w:rPr>
        <w:t>1</w:t>
      </w:r>
      <w:r>
        <w:rPr/>
        <w:t>）公司在资产负债表日按照单项资产是否存在可能发生减值的迹象。存在减值迹象的，进行减值测试，估计资产的可 收回金额。资产的可收回金额低于其账面价值的，将资产的账面价值减记至可收回金额，减记的金额确认为资产减值损失， </w:t>
      </w:r>
      <w:r>
        <w:rPr>
          <w:spacing w:val="-2"/>
        </w:rPr>
        <w:t>计入当期损益，同时计提相应的资产减值准备。资产减值损失确认后，减值资产的折旧或者摊销费用应当在未来期间作相应</w:t>
      </w:r>
      <w:r>
        <w:rPr>
          <w:spacing w:val="-63"/>
        </w:rPr>
        <w:t> </w:t>
      </w:r>
      <w:r>
        <w:rPr>
          <w:spacing w:val="-63"/>
        </w:rPr>
      </w:r>
      <w:r>
        <w:rPr>
          <w:spacing w:val="-2"/>
        </w:rPr>
        <w:t>调整，以使该资产在剩余使用寿命内，系统地分摊调整后的资产账面价值（扣除预计净残值）。资产减值损失一经确认，在</w:t>
      </w:r>
      <w:r>
        <w:rPr>
          <w:spacing w:val="-69"/>
        </w:rPr>
        <w:t> </w:t>
      </w:r>
      <w:r>
        <w:rPr>
          <w:spacing w:val="-69"/>
        </w:rPr>
      </w:r>
      <w:r>
        <w:rPr/>
        <w:t>以后会计期间不得转回。</w:t>
      </w:r>
    </w:p>
    <w:p>
      <w:pPr>
        <w:pStyle w:val="BodyText"/>
        <w:spacing w:line="240" w:lineRule="auto" w:before="20"/>
        <w:ind w:left="513" w:right="94"/>
        <w:jc w:val="left"/>
      </w:pPr>
      <w:r>
        <w:rPr/>
        <w:t>（</w:t>
      </w:r>
      <w:r>
        <w:rPr>
          <w:rFonts w:ascii="Times New Roman" w:hAnsi="Times New Roman" w:cs="Times New Roman" w:eastAsia="Times New Roman" w:hint="default"/>
        </w:rPr>
        <w:t>2</w:t>
      </w:r>
      <w:r>
        <w:rPr/>
        <w:t>）存在下列迹象的，表明资产可能发生了减值：</w:t>
      </w:r>
    </w:p>
    <w:p>
      <w:pPr>
        <w:pStyle w:val="BodyText"/>
        <w:spacing w:line="240" w:lineRule="auto" w:before="63"/>
        <w:ind w:left="513" w:right="94"/>
        <w:jc w:val="left"/>
      </w:pPr>
      <w:r>
        <w:rPr/>
        <w:t>①资产的市价当期大幅度下跌，其跌幅明显高于因时间的推移或者正常使用而预计的下跌。</w:t>
      </w:r>
    </w:p>
    <w:p>
      <w:pPr>
        <w:pStyle w:val="BodyText"/>
        <w:spacing w:line="316" w:lineRule="auto" w:before="76"/>
        <w:ind w:right="94" w:firstLine="360"/>
        <w:jc w:val="left"/>
      </w:pPr>
      <w:r>
        <w:rPr>
          <w:spacing w:val="-2"/>
        </w:rPr>
        <w:t>②公司经营所处的经济、技术或者法律等环境以及资产所处的市场在当期或者将在近期发生重大变化，从而对公司产生</w:t>
      </w:r>
      <w:r>
        <w:rPr/>
        <w:t> 不利影响。</w:t>
      </w:r>
    </w:p>
    <w:p>
      <w:pPr>
        <w:pStyle w:val="BodyText"/>
        <w:spacing w:line="316" w:lineRule="auto" w:before="19"/>
        <w:ind w:right="94" w:firstLine="360"/>
        <w:jc w:val="left"/>
      </w:pPr>
      <w:r>
        <w:rPr>
          <w:spacing w:val="-2"/>
        </w:rPr>
        <w:t>③市场利率或者其他市场投资报酬率在当期已经提高，从而影响公司计算资产预计未来现金流量现值的折现率，导致资</w:t>
      </w:r>
      <w:r>
        <w:rPr/>
        <w:t> 产可收回金额大幅度降低。</w:t>
      </w:r>
    </w:p>
    <w:p>
      <w:pPr>
        <w:pStyle w:val="BodyText"/>
        <w:spacing w:line="240" w:lineRule="auto" w:before="19"/>
        <w:ind w:left="513" w:right="94"/>
        <w:jc w:val="left"/>
      </w:pPr>
      <w:r>
        <w:rPr/>
        <w:t>④有证据表明资产已经陈旧过时或者其实体已经损坏。</w:t>
      </w:r>
    </w:p>
    <w:p>
      <w:pPr>
        <w:pStyle w:val="BodyText"/>
        <w:spacing w:line="240" w:lineRule="auto" w:before="76"/>
        <w:ind w:left="513" w:right="94"/>
        <w:jc w:val="left"/>
      </w:pPr>
      <w:r>
        <w:rPr/>
        <w:t>⑤资产已经或者将被闲置、终止使用或者计划提前处置。</w:t>
      </w:r>
    </w:p>
    <w:p>
      <w:pPr>
        <w:pStyle w:val="BodyText"/>
        <w:spacing w:line="240" w:lineRule="auto" w:before="76"/>
        <w:ind w:left="513" w:right="94"/>
        <w:jc w:val="left"/>
      </w:pPr>
      <w:r>
        <w:rPr/>
        <w:t>⑥公司内部报告的证据表明资产的经济绩效已经低于或者将低于预期</w:t>
      </w:r>
      <w:r>
        <w:rPr>
          <w:spacing w:val="-82"/>
        </w:rPr>
        <w:t>，</w:t>
      </w:r>
      <w:r>
        <w:rPr/>
        <w:t>如资产所创造的净现金流量或者实现的营业利润</w:t>
      </w:r>
    </w:p>
    <w:p>
      <w:pPr>
        <w:pStyle w:val="BodyText"/>
        <w:spacing w:line="240" w:lineRule="auto" w:before="76"/>
        <w:ind w:right="94"/>
        <w:jc w:val="left"/>
      </w:pPr>
      <w:r>
        <w:rPr/>
        <w:t>（或者亏损）远远低于（或者高于）预计金额等。</w:t>
      </w:r>
    </w:p>
    <w:p>
      <w:pPr>
        <w:pStyle w:val="BodyText"/>
        <w:spacing w:line="240" w:lineRule="auto" w:before="76"/>
        <w:ind w:left="503" w:right="94"/>
        <w:jc w:val="left"/>
      </w:pPr>
      <w:r>
        <w:rPr/>
        <w:t>⑦其他表明资产可能已经发生减值的迹象。</w:t>
      </w:r>
    </w:p>
    <w:p>
      <w:pPr>
        <w:pStyle w:val="BodyText"/>
        <w:spacing w:line="300" w:lineRule="auto" w:before="77"/>
        <w:ind w:right="184" w:firstLine="360"/>
        <w:jc w:val="left"/>
      </w:pPr>
      <w:r>
        <w:rPr>
          <w:rFonts w:ascii="Times New Roman" w:hAnsi="Times New Roman" w:cs="Times New Roman" w:eastAsia="Times New Roman" w:hint="default"/>
        </w:rPr>
        <w:t>2</w:t>
      </w:r>
      <w:r>
        <w:rPr/>
        <w:t>、有迹象表明一项资产可能发生减值的，公司应当以单项资产为基础估计其可收回金额。公司难以对单项资产的可收 回金额进行估计的，应当以该资产所属的资产组为基础确定资产组的可收回金额。</w:t>
      </w:r>
    </w:p>
    <w:p>
      <w:pPr>
        <w:spacing w:after="0" w:line="30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1" w:firstLine="528"/>
        <w:jc w:val="both"/>
      </w:pPr>
      <w:r>
        <w:rPr>
          <w:spacing w:val="-2"/>
        </w:rPr>
        <w:t>资产组的认定，以资产组产生的主要现金流入是否独立于其他资产或者资产组的现金流入为依据。同时，在认定资产</w:t>
      </w:r>
      <w:r>
        <w:rPr/>
        <w:t> </w:t>
      </w:r>
      <w:r>
        <w:rPr>
          <w:spacing w:val="-2"/>
        </w:rPr>
        <w:t>组时，考虑公司管理层管理生产经营活动的方式（如是按照生产线、业务种类还是按照地区或者区域等）和对资产的持续使</w:t>
      </w:r>
      <w:r>
        <w:rPr>
          <w:spacing w:val="-65"/>
        </w:rPr>
        <w:t> </w:t>
      </w:r>
      <w:r>
        <w:rPr>
          <w:spacing w:val="-65"/>
        </w:rPr>
      </w:r>
      <w:r>
        <w:rPr/>
        <w:t>用或者处置的决策方式等。资产组一经确定，各个会计期间应当保持一致，不得随意变更。</w:t>
      </w:r>
    </w:p>
    <w:p>
      <w:pPr>
        <w:pStyle w:val="BodyText"/>
        <w:spacing w:line="300" w:lineRule="auto" w:before="19"/>
        <w:ind w:right="94" w:firstLine="350"/>
        <w:jc w:val="left"/>
      </w:pPr>
      <w:r>
        <w:rPr>
          <w:rFonts w:ascii="Times New Roman" w:hAnsi="Times New Roman" w:cs="Times New Roman" w:eastAsia="Times New Roman" w:hint="default"/>
        </w:rPr>
        <w:t>3</w:t>
      </w:r>
      <w:r>
        <w:rPr/>
        <w:t>、因企业合并所形成的商誉和使用寿命不确定的无形资产以及未探明矿区权益，无论是否存在减值迹象，每年都应当 进行减值测试。</w:t>
      </w:r>
    </w:p>
    <w:p>
      <w:pPr>
        <w:pStyle w:val="BodyText"/>
        <w:spacing w:line="300" w:lineRule="auto" w:before="31"/>
        <w:ind w:right="94" w:firstLine="350"/>
        <w:jc w:val="left"/>
      </w:pPr>
      <w:r>
        <w:rPr>
          <w:rFonts w:ascii="Times New Roman" w:hAnsi="Times New Roman" w:cs="Times New Roman" w:eastAsia="Times New Roman" w:hint="default"/>
        </w:rPr>
        <w:t>4</w:t>
      </w:r>
      <w:r>
        <w:rPr/>
        <w:t>、资产减值损失确认后，减值资产的折旧或者摊销费用应当在未来期间作相应调整，以使该资产在剩余使用寿命内， 系统地分摊调整后的资产账面价值（扣除预计净残值）。</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94"/>
        <w:jc w:val="left"/>
      </w:pPr>
      <w:r>
        <w:rPr>
          <w:spacing w:val="-4"/>
        </w:rPr>
        <w:t>本公司长期待摊费用是指已经支出，但受益期限在一年以上（不含一年）的各项费用，按照项目的预计受益期平均摊销。</w:t>
      </w:r>
      <w:r>
        <w:rPr>
          <w:spacing w:val="-54"/>
        </w:rPr>
        <w:t> </w:t>
      </w:r>
      <w:r>
        <w:rPr>
          <w:spacing w:val="-54"/>
        </w:rPr>
      </w:r>
      <w:r>
        <w:rPr>
          <w:spacing w:val="-4"/>
        </w:rPr>
        <w:t>长期待摊费用包括待摊税金，公司房地产业务以预收收入为计税依据预缴营业税、土地增值税等税金计入长期待摊费用，</w:t>
      </w:r>
    </w:p>
    <w:p>
      <w:pPr>
        <w:pStyle w:val="BodyText"/>
        <w:spacing w:line="240" w:lineRule="auto" w:before="17"/>
        <w:ind w:right="94"/>
        <w:jc w:val="left"/>
      </w:pPr>
      <w:r>
        <w:rPr/>
        <w:t>实现收入后与收入匹配的税金由长期待摊费用转入相关损益项目。</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公司在职工为公司提供的会计期间，将实际发生的短期薪酬确认为负债，并计入当期损益或相关资产成本。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离职后福利分为设定提存计划和设定受益计划。</w:t>
      </w:r>
    </w:p>
    <w:p>
      <w:pPr>
        <w:pStyle w:val="BodyText"/>
        <w:spacing w:line="300" w:lineRule="auto" w:before="76"/>
        <w:ind w:right="184" w:firstLine="360"/>
        <w:jc w:val="left"/>
      </w:pPr>
      <w:r>
        <w:rPr/>
        <w:t>（</w:t>
      </w:r>
      <w:r>
        <w:rPr>
          <w:rFonts w:ascii="Times New Roman" w:hAnsi="Times New Roman" w:cs="Times New Roman" w:eastAsia="Times New Roman" w:hint="default"/>
        </w:rPr>
        <w:t>1</w:t>
      </w:r>
      <w:r>
        <w:rPr/>
        <w:t>）公司在职工为公司提供服务的会计期间，将根据设定提存计划计算的应缴存金额确认为负债，并计入当期损益或 相关资产成本。</w:t>
      </w:r>
    </w:p>
    <w:p>
      <w:pPr>
        <w:pStyle w:val="BodyText"/>
        <w:spacing w:line="240" w:lineRule="auto" w:before="31"/>
        <w:ind w:left="513" w:right="94"/>
        <w:jc w:val="left"/>
      </w:pPr>
      <w:r>
        <w:rPr/>
        <w:t>（</w:t>
      </w:r>
      <w:r>
        <w:rPr>
          <w:rFonts w:ascii="Times New Roman" w:hAnsi="Times New Roman" w:cs="Times New Roman" w:eastAsia="Times New Roman" w:hint="default"/>
        </w:rPr>
        <w:t>2</w:t>
      </w:r>
      <w:r>
        <w:rPr/>
        <w:t>）对设定受益计划的会计处理通常包括如下步骤：</w:t>
      </w:r>
    </w:p>
    <w:p>
      <w:pPr>
        <w:pStyle w:val="BodyText"/>
        <w:spacing w:line="316" w:lineRule="auto" w:before="63"/>
        <w:ind w:right="94" w:firstLine="360"/>
        <w:jc w:val="left"/>
      </w:pPr>
      <w:r>
        <w:rPr>
          <w:spacing w:val="-2"/>
        </w:rPr>
        <w:t>①根据预期累计福利单位法，采用无偏且相互一致的精算假设对有关人口统计变量和财务变量等作出估计，计量设定受</w:t>
      </w:r>
      <w:r>
        <w:rPr/>
        <w:t> 益计划所产生的义务，并确定相关义务的所属期间；</w:t>
      </w:r>
    </w:p>
    <w:p>
      <w:pPr>
        <w:pStyle w:val="BodyText"/>
        <w:spacing w:line="316" w:lineRule="auto" w:before="19"/>
        <w:ind w:right="192" w:firstLine="360"/>
        <w:jc w:val="both"/>
      </w:pPr>
      <w:r>
        <w:rPr>
          <w:spacing w:val="-2"/>
        </w:rPr>
        <w:t>②设定受益计划存在资产的，将设定受益计划义务现值减去设定受益计划资产公允价值所形成的赤字或盈余确认为一项</w:t>
      </w:r>
      <w:r>
        <w:rPr/>
        <w:t> </w:t>
      </w:r>
      <w:r>
        <w:rPr>
          <w:spacing w:val="-2"/>
        </w:rPr>
        <w:t>设定受益计划净负债或净资产。设定受益计划存在盈余的，以设定受益计划的盈余和资产上限两项的孰低者计量设定受益计</w:t>
      </w:r>
      <w:r>
        <w:rPr>
          <w:spacing w:val="-64"/>
        </w:rPr>
        <w:t> </w:t>
      </w:r>
      <w:r>
        <w:rPr>
          <w:spacing w:val="-64"/>
        </w:rPr>
      </w:r>
      <w:r>
        <w:rPr/>
        <w:t>划净资产。资产上限是指公司可从设定受益计划退款或减少未来对设定受益计划缴存资金而获得的经济利益的现值；</w:t>
      </w:r>
    </w:p>
    <w:p>
      <w:pPr>
        <w:pStyle w:val="BodyText"/>
        <w:spacing w:line="319" w:lineRule="auto" w:before="19"/>
        <w:ind w:right="94" w:firstLine="360"/>
        <w:jc w:val="left"/>
      </w:pPr>
      <w:r>
        <w:rPr>
          <w:spacing w:val="-2"/>
        </w:rPr>
        <w:t>③期末，将设定受益计划产生的职工薪酬成本确认为服务成本、设定受益计划净负债或净资产的利息净额以及重新计量</w:t>
      </w:r>
      <w:r>
        <w:rPr/>
        <w:t> </w:t>
      </w:r>
      <w:r>
        <w:rPr>
          <w:spacing w:val="-2"/>
        </w:rPr>
        <w:t>设定受益计划净负债或净资产所产生的变动，其中服务成本和设定受益计划净负债或净资产的利息净额计入当期损益或相关</w:t>
      </w:r>
      <w:r>
        <w:rPr>
          <w:spacing w:val="-64"/>
        </w:rPr>
        <w:t> </w:t>
      </w:r>
      <w:r>
        <w:rPr>
          <w:spacing w:val="-64"/>
        </w:rPr>
      </w:r>
      <w:r>
        <w:rPr>
          <w:spacing w:val="-4"/>
        </w:rPr>
        <w:t>资产成本，重新计量设定受益计划净负债或净资产所产生的变动计入其他综合收益，并且在后续会计期间不允许转回至损益，</w:t>
      </w:r>
      <w:r>
        <w:rPr>
          <w:spacing w:val="-44"/>
        </w:rPr>
        <w:t> </w:t>
      </w:r>
      <w:r>
        <w:rPr>
          <w:spacing w:val="-44"/>
        </w:rPr>
      </w:r>
      <w:r>
        <w:rPr/>
        <w:t>但可以在权益范围内转移这些在其他综合收益确认的金额；</w:t>
      </w:r>
    </w:p>
    <w:p>
      <w:pPr>
        <w:pStyle w:val="BodyText"/>
        <w:spacing w:line="240" w:lineRule="auto" w:before="17"/>
        <w:ind w:left="513" w:right="94"/>
        <w:jc w:val="left"/>
      </w:pPr>
      <w:r>
        <w:rPr/>
        <w:t>④在设定受益计划结算时，确认一项结算利得或损失。</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公司向职工提供辞退福利的，在下列两者孰早日确认辞退福利产生的职工薪酬负债，并计入当期损益：①公司不能单方</w:t>
      </w:r>
      <w:r>
        <w:rPr/>
        <w:t> 面撤回因解除劳动关系计划或裁减建议所提供的辞退福利时；②公司确认与涉及支付辞退福利的重组相关的成本或费用时。</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公司向职工提供的其他长期福利，符合设定提存计划条件的，按照设定提存计划进行会计处理；除此之外的其他长期福</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spacing w:val="-2"/>
        </w:rPr>
        <w:t>利，按照设定受益计划进行会计处理，但是重新计量其他长期职工福利净负债或净资产所产生的变动计入当期损益后相关资</w:t>
      </w:r>
      <w:r>
        <w:rPr>
          <w:spacing w:val="-64"/>
        </w:rPr>
        <w:t> </w:t>
      </w:r>
      <w:r>
        <w:rPr>
          <w:spacing w:val="-64"/>
        </w:rPr>
      </w:r>
      <w:r>
        <w:rPr/>
        <w:t>产成本。</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firstLine="60"/>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spacing w:val="-2"/>
        </w:rPr>
        <w:t>当与对外担保、未决诉讼或仲裁、产品质量保证、亏损合同、重组义务、固定资产弃置义务等或有事项相关的义务同时</w:t>
      </w:r>
    </w:p>
    <w:p>
      <w:pPr>
        <w:pStyle w:val="BodyText"/>
        <w:spacing w:line="240" w:lineRule="auto" w:before="31"/>
        <w:ind w:right="94"/>
        <w:jc w:val="left"/>
      </w:pPr>
      <w:r>
        <w:rPr/>
        <w:t>符合以下条件，则将其确认为负债：</w:t>
      </w:r>
    </w:p>
    <w:p>
      <w:pPr>
        <w:pStyle w:val="BodyText"/>
        <w:spacing w:line="240" w:lineRule="auto" w:before="76"/>
        <w:ind w:left="513" w:right="94"/>
        <w:jc w:val="left"/>
      </w:pPr>
      <w:r>
        <w:rPr/>
        <w:t>①</w:t>
      </w:r>
      <w:r>
        <w:rPr>
          <w:spacing w:val="-18"/>
        </w:rPr>
        <w:t> </w:t>
      </w:r>
      <w:r>
        <w:rPr/>
        <w:t>该义务是公司承担的现时义务；</w:t>
      </w:r>
    </w:p>
    <w:p>
      <w:pPr>
        <w:pStyle w:val="BodyText"/>
        <w:tabs>
          <w:tab w:pos="585" w:val="left" w:leader="none"/>
        </w:tabs>
        <w:spacing w:line="240" w:lineRule="auto" w:before="76"/>
        <w:ind w:right="94"/>
        <w:jc w:val="left"/>
      </w:pPr>
      <w:r>
        <w:rPr>
          <w:rFonts w:ascii="宋体" w:hAnsi="宋体" w:cs="宋体" w:eastAsia="宋体" w:hint="default"/>
        </w:rPr>
        <w:t>1.</w:t>
        <w:tab/>
      </w:r>
      <w:r>
        <w:rPr/>
        <w:t>该义务的履行很可能导致经济利益流出公司；</w:t>
      </w:r>
    </w:p>
    <w:p>
      <w:pPr>
        <w:pStyle w:val="BodyText"/>
        <w:tabs>
          <w:tab w:pos="585" w:val="left" w:leader="none"/>
        </w:tabs>
        <w:spacing w:line="319" w:lineRule="auto" w:before="76"/>
        <w:ind w:left="513" w:right="3891" w:hanging="361"/>
        <w:jc w:val="left"/>
        <w:rPr>
          <w:rFonts w:ascii="宋体" w:hAnsi="宋体" w:cs="宋体" w:eastAsia="宋体" w:hint="default"/>
        </w:rPr>
      </w:pPr>
      <w:r>
        <w:rPr>
          <w:rFonts w:ascii="宋体" w:hAnsi="宋体" w:cs="宋体" w:eastAsia="宋体" w:hint="default"/>
        </w:rPr>
        <w:t>2.</w:t>
        <w:tab/>
        <w:tab/>
      </w:r>
      <w:r>
        <w:rPr/>
        <w:t>该义务的金额能够可靠地计量。 公司的亏损合同和承担的重组义务符合上述条件的，确认为预计负债。 </w:t>
      </w:r>
      <w:r>
        <w:rPr>
          <w:rFonts w:ascii="Times New Roman" w:hAnsi="Times New Roman" w:cs="Times New Roman" w:eastAsia="Times New Roman" w:hint="default"/>
          <w:b/>
          <w:bCs/>
        </w:rPr>
        <w:t>2</w:t>
      </w:r>
      <w:r>
        <w:rPr>
          <w:rFonts w:ascii="宋体" w:hAnsi="宋体" w:cs="宋体" w:eastAsia="宋体" w:hint="default"/>
          <w:b/>
          <w:bCs/>
        </w:rPr>
        <w:t>、预计负债的计量</w:t>
      </w:r>
      <w:r>
        <w:rPr>
          <w:rFonts w:ascii="宋体" w:hAnsi="宋体" w:cs="宋体" w:eastAsia="宋体" w:hint="default"/>
        </w:rPr>
      </w:r>
    </w:p>
    <w:p>
      <w:pPr>
        <w:pStyle w:val="BodyText"/>
        <w:spacing w:line="316" w:lineRule="auto"/>
        <w:ind w:right="185" w:firstLine="360"/>
        <w:jc w:val="both"/>
      </w:pPr>
      <w:r>
        <w:rPr/>
        <w:t>预计负债按照履行相关现时义务可能导致经济利益流出的最佳估计数进行初始计量，并综合考虑与或有事项相关的风</w:t>
      </w:r>
      <w:r>
        <w:rPr>
          <w:spacing w:val="2"/>
        </w:rPr>
        <w:t> </w:t>
      </w:r>
      <w:r>
        <w:rPr>
          <w:spacing w:val="-2"/>
        </w:rPr>
        <w:t>险、不确定性及货币时间价值等因素。货币时间价值影响重大的，通过对相关未来现金流出进行折现后确定最佳估计数。于</w:t>
      </w:r>
      <w:r>
        <w:rPr>
          <w:spacing w:val="-64"/>
        </w:rPr>
        <w:t> </w:t>
      </w:r>
      <w:r>
        <w:rPr>
          <w:spacing w:val="-64"/>
        </w:rPr>
      </w:r>
      <w:r>
        <w:rPr>
          <w:spacing w:val="-2"/>
        </w:rPr>
        <w:t>资产负债表日对预计负债的账面价值进行复核，并对账面价值进行调整以反映当前最佳估计数。因时间推移导致的预计负债</w:t>
      </w:r>
      <w:r>
        <w:rPr>
          <w:spacing w:val="-64"/>
        </w:rPr>
        <w:t> </w:t>
      </w:r>
      <w:r>
        <w:rPr>
          <w:spacing w:val="-64"/>
        </w:rPr>
      </w:r>
      <w:r>
        <w:rPr/>
        <w:t>账面价值的增加金额，确认为利息费用。</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2"/>
          <w:szCs w:val="22"/>
        </w:rPr>
      </w:pPr>
    </w:p>
    <w:p>
      <w:pPr>
        <w:spacing w:line="300" w:lineRule="auto" w:before="44"/>
        <w:ind w:left="513" w:right="36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本公司的股份支付分为以现金结算的股份支付和以权益结算的股份支付。</w:t>
      </w:r>
    </w:p>
    <w:p>
      <w:pPr>
        <w:pStyle w:val="BodyText"/>
        <w:spacing w:line="316" w:lineRule="auto" w:before="32"/>
        <w:ind w:left="513" w:right="94"/>
        <w:jc w:val="left"/>
      </w:pPr>
      <w:r>
        <w:rPr/>
        <w:t>①以现金结算的股份支付 以现金结算的股份支付，按照本公司承担的以股份或其他权益工具为基础计算确定的负债的公允价值计量。 </w:t>
      </w:r>
      <w:r>
        <w:rPr>
          <w:spacing w:val="-2"/>
        </w:rPr>
        <w:t>授予后立即可行权的以现金结算的股份支付，在授予日以本公司承担负债的公允价值计入相关成本或费用，相应增加负</w:t>
      </w:r>
    </w:p>
    <w:p>
      <w:pPr>
        <w:pStyle w:val="BodyText"/>
        <w:spacing w:line="240" w:lineRule="auto" w:before="19"/>
        <w:ind w:right="94"/>
        <w:jc w:val="left"/>
      </w:pPr>
      <w:r>
        <w:rPr/>
        <w:t>债。</w:t>
      </w:r>
    </w:p>
    <w:p>
      <w:pPr>
        <w:pStyle w:val="BodyText"/>
        <w:spacing w:line="240" w:lineRule="auto" w:before="76"/>
        <w:ind w:left="513" w:right="0"/>
        <w:jc w:val="left"/>
      </w:pPr>
      <w:r>
        <w:rPr/>
        <w:t>存在等待期的以现金结算的股份支付，在等待期内的每个资产负债表日以对可行权情况的最佳估计为基础，按本公司承</w:t>
      </w:r>
    </w:p>
    <w:p>
      <w:pPr>
        <w:pStyle w:val="BodyText"/>
        <w:spacing w:line="240" w:lineRule="auto" w:before="76"/>
        <w:ind w:right="94"/>
        <w:jc w:val="left"/>
      </w:pPr>
      <w:r>
        <w:rPr/>
        <w:t>担负债的公允价值金额，将当期取得的服务计入成本或费用和相应的负债。</w:t>
      </w:r>
    </w:p>
    <w:p>
      <w:pPr>
        <w:pStyle w:val="BodyText"/>
        <w:spacing w:line="316" w:lineRule="auto" w:before="76"/>
        <w:ind w:left="513" w:right="2793"/>
        <w:jc w:val="left"/>
      </w:pPr>
      <w:r>
        <w:rPr/>
        <w:t>②以权益工具结算的股份支付 以权益结算的股份支付换取职工提供服务的，以授予职工权益工具的公允价值计量。</w:t>
      </w:r>
    </w:p>
    <w:p>
      <w:pPr>
        <w:pStyle w:val="BodyText"/>
        <w:spacing w:line="316" w:lineRule="auto" w:before="19"/>
        <w:ind w:right="94" w:firstLine="360"/>
        <w:jc w:val="left"/>
      </w:pPr>
      <w:r>
        <w:rPr/>
        <w:t>授予后立即可行权的换取职工提供服务的权益结算的股份支付，在授予日以权益工具的公允价值计入相关成本或费用， 相应增加资本公积。</w:t>
      </w:r>
    </w:p>
    <w:p>
      <w:pPr>
        <w:pStyle w:val="BodyText"/>
        <w:spacing w:line="319" w:lineRule="auto" w:before="19"/>
        <w:ind w:right="94" w:firstLine="360"/>
        <w:jc w:val="left"/>
      </w:pPr>
      <w:r>
        <w:rPr/>
        <w:t>存在等待期的以权益结算的股份支付，在等待期内的每个资产负债表日，以对可行权权益工具数量的最佳估计为基础， 按权益工具授予日的公允价值，将当期取得的服务计入成本或费用和资本公积。</w:t>
      </w:r>
    </w:p>
    <w:p>
      <w:pPr>
        <w:pStyle w:val="Heading4"/>
        <w:spacing w:line="240" w:lineRule="auto" w:before="17"/>
        <w:ind w:right="94"/>
        <w:jc w:val="left"/>
        <w:rPr>
          <w:b w:val="0"/>
          <w:bCs w:val="0"/>
        </w:rPr>
      </w:pPr>
      <w:r>
        <w:rPr>
          <w:rFonts w:ascii="Times New Roman" w:hAnsi="Times New Roman" w:cs="Times New Roman" w:eastAsia="Times New Roman" w:hint="default"/>
        </w:rPr>
        <w:t>2</w:t>
      </w:r>
      <w:r>
        <w:rPr/>
        <w:t>、权益工具公允价值的确定方法</w:t>
      </w:r>
      <w:r>
        <w:rPr>
          <w:b w:val="0"/>
          <w:bCs w:val="0"/>
        </w:rPr>
      </w:r>
    </w:p>
    <w:p>
      <w:pPr>
        <w:pStyle w:val="BodyText"/>
        <w:spacing w:line="316" w:lineRule="auto" w:before="63"/>
        <w:ind w:left="513" w:right="172" w:hanging="361"/>
        <w:jc w:val="left"/>
      </w:pPr>
      <w:r>
        <w:rPr>
          <w:rFonts w:ascii="宋体" w:hAnsi="宋体" w:cs="宋体" w:eastAsia="宋体" w:hint="default"/>
        </w:rPr>
        <w:t>1.</w:t>
      </w:r>
      <w:r>
        <w:rPr>
          <w:rFonts w:ascii="宋体" w:hAnsi="宋体" w:cs="宋体" w:eastAsia="宋体" w:hint="default"/>
          <w:spacing w:val="12"/>
        </w:rPr>
        <w:t> </w:t>
      </w:r>
      <w:r>
        <w:rPr/>
        <w:t>对于授予职工的股份，其公允价值按公司股份的市场价格计量，同时考虑授予股份所依据的条款和条件（不包括市场条 件之外的可行权条件）进行调整。</w:t>
      </w:r>
    </w:p>
    <w:p>
      <w:pPr>
        <w:pStyle w:val="BodyText"/>
        <w:spacing w:line="316" w:lineRule="auto" w:before="19"/>
        <w:ind w:right="94" w:firstLine="360"/>
        <w:jc w:val="left"/>
      </w:pPr>
      <w:r>
        <w:rPr>
          <w:spacing w:val="-2"/>
        </w:rPr>
        <w:t>②对于授予职工的股票期权，在许多情况下难以获得其市场价格。如果不存在条款和条件相似的交易期权，公司选择适</w:t>
      </w:r>
      <w:r>
        <w:rPr/>
        <w:t> 用的期权定价模型估计所授予的期权的公允价值</w:t>
      </w:r>
      <w:r>
        <w:rPr>
          <w:color w:val="FF0000"/>
        </w:rPr>
        <w:t>。</w:t>
      </w:r>
      <w:r>
        <w:rPr/>
      </w:r>
    </w:p>
    <w:p>
      <w:pPr>
        <w:spacing w:line="300" w:lineRule="auto" w:before="19"/>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在等待期内每个资产负债表日，公司根据最新取得的可行权职工人数变动等后续信息作出最佳估计，修正预计可行权的</w:t>
      </w:r>
    </w:p>
    <w:p>
      <w:pPr>
        <w:pStyle w:val="BodyText"/>
        <w:spacing w:line="240" w:lineRule="auto" w:before="31"/>
        <w:ind w:right="94"/>
        <w:jc w:val="left"/>
      </w:pPr>
      <w:r>
        <w:rPr/>
        <w:t>权益工具数量，以作出可行权权益工具的最佳估计。</w:t>
      </w:r>
    </w:p>
    <w:p>
      <w:pPr>
        <w:pStyle w:val="Heading4"/>
        <w:spacing w:line="240" w:lineRule="auto" w:before="76"/>
        <w:ind w:right="94"/>
        <w:jc w:val="left"/>
        <w:rPr>
          <w:b w:val="0"/>
          <w:bCs w:val="0"/>
        </w:rPr>
      </w:pPr>
      <w:r>
        <w:rPr>
          <w:rFonts w:ascii="Times New Roman" w:hAnsi="Times New Roman" w:cs="Times New Roman" w:eastAsia="Times New Roman" w:hint="default"/>
        </w:rPr>
        <w:t>4</w:t>
      </w:r>
      <w:r>
        <w:rPr/>
        <w:t>、实施股份支付计划的会计处理</w:t>
      </w:r>
      <w:r>
        <w:rPr>
          <w:b w:val="0"/>
          <w:bCs w:val="0"/>
        </w:rPr>
      </w:r>
    </w:p>
    <w:p>
      <w:pPr>
        <w:pStyle w:val="BodyText"/>
        <w:spacing w:line="316" w:lineRule="auto" w:before="63"/>
        <w:ind w:left="513" w:right="173" w:hanging="361"/>
        <w:jc w:val="left"/>
      </w:pPr>
      <w:r>
        <w:rPr>
          <w:rFonts w:ascii="宋体" w:hAnsi="宋体" w:cs="宋体" w:eastAsia="宋体" w:hint="default"/>
        </w:rPr>
        <w:t>1.</w:t>
      </w:r>
      <w:r>
        <w:rPr>
          <w:rFonts w:ascii="宋体" w:hAnsi="宋体" w:cs="宋体" w:eastAsia="宋体" w:hint="default"/>
          <w:spacing w:val="11"/>
        </w:rPr>
        <w:t> </w:t>
      </w:r>
      <w:r>
        <w:rPr/>
        <w:t>授予后立即可行权的以现金结算的股份支付，在授予日以本公司承担负债的公允价值计入相关成本或费用，相应增加负 债。并在结算前的每个资产负债表日和结算日对负债的公允价值重新计量，将其变动计入损益。</w:t>
      </w:r>
    </w:p>
    <w:p>
      <w:pPr>
        <w:spacing w:after="0" w:line="316" w:lineRule="auto"/>
        <w:jc w:val="left"/>
        <w:sectPr>
          <w:footerReference w:type="default" r:id="rId28"/>
          <w:pgSz w:w="11910" w:h="16840"/>
          <w:pgMar w:footer="979" w:header="877" w:top="1100" w:bottom="1160" w:left="980" w:right="940"/>
          <w:pgNumType w:start="97"/>
        </w:sectPr>
      </w:pPr>
    </w:p>
    <w:p>
      <w:pPr>
        <w:spacing w:line="240" w:lineRule="auto" w:before="11"/>
        <w:rPr>
          <w:rFonts w:ascii="宋体" w:hAnsi="宋体" w:cs="宋体" w:eastAsia="宋体" w:hint="default"/>
          <w:sz w:val="21"/>
          <w:szCs w:val="21"/>
        </w:rPr>
      </w:pPr>
    </w:p>
    <w:p>
      <w:pPr>
        <w:pStyle w:val="BodyText"/>
        <w:spacing w:line="316" w:lineRule="auto" w:before="44"/>
        <w:ind w:left="513" w:right="110" w:hanging="361"/>
        <w:jc w:val="both"/>
      </w:pPr>
      <w:r>
        <w:rPr>
          <w:rFonts w:ascii="宋体" w:hAnsi="宋体" w:cs="宋体" w:eastAsia="宋体" w:hint="default"/>
        </w:rPr>
        <w:t>2. </w:t>
      </w:r>
      <w:r>
        <w:rPr>
          <w:spacing w:val="-2"/>
        </w:rPr>
        <w:t>完成等待期内的服务或达到规定业绩条件以后才可行权的以现金结算的股份支付，在等待期内的每个资产负债表日以对</w:t>
      </w:r>
      <w:r>
        <w:rPr>
          <w:spacing w:val="-68"/>
        </w:rPr>
        <w:t> </w:t>
      </w:r>
      <w:r>
        <w:rPr>
          <w:spacing w:val="-68"/>
        </w:rPr>
      </w:r>
      <w:r>
        <w:rPr/>
        <w:t>可行权情况的最佳估计为基础，按本公司承担负债的公允价值金额，将当期取得的服务计入成本或费用和相应的负债。</w:t>
      </w:r>
    </w:p>
    <w:p>
      <w:pPr>
        <w:pStyle w:val="BodyText"/>
        <w:spacing w:line="316" w:lineRule="auto" w:before="19"/>
        <w:ind w:left="513" w:right="192" w:hanging="361"/>
        <w:jc w:val="both"/>
      </w:pPr>
      <w:r>
        <w:rPr>
          <w:rFonts w:ascii="宋体" w:hAnsi="宋体" w:cs="宋体" w:eastAsia="宋体" w:hint="default"/>
        </w:rPr>
        <w:t>3.</w:t>
      </w:r>
      <w:r>
        <w:rPr>
          <w:rFonts w:ascii="宋体" w:hAnsi="宋体" w:cs="宋体" w:eastAsia="宋体" w:hint="default"/>
          <w:spacing w:val="11"/>
        </w:rPr>
        <w:t> </w:t>
      </w:r>
      <w:r>
        <w:rPr/>
        <w:t>授予后立即可行权的换取职工服务的以权益结算的股份支付，在授予日以权益工具的公允价值计入相关成本或费用，相 应增加资本公积。</w:t>
      </w:r>
    </w:p>
    <w:p>
      <w:pPr>
        <w:pStyle w:val="BodyText"/>
        <w:spacing w:line="316" w:lineRule="auto" w:before="19"/>
        <w:ind w:left="513" w:right="190" w:hanging="361"/>
        <w:jc w:val="both"/>
      </w:pPr>
      <w:r>
        <w:rPr>
          <w:rFonts w:ascii="宋体" w:hAnsi="宋体" w:cs="宋体" w:eastAsia="宋体" w:hint="default"/>
        </w:rPr>
        <w:t>4.</w:t>
      </w:r>
      <w:r>
        <w:rPr>
          <w:rFonts w:ascii="宋体" w:hAnsi="宋体" w:cs="宋体" w:eastAsia="宋体" w:hint="default"/>
          <w:spacing w:val="20"/>
        </w:rPr>
        <w:t> </w:t>
      </w:r>
      <w:r>
        <w:rPr>
          <w:spacing w:val="-2"/>
        </w:rPr>
        <w:t>完成等待期内的服务或达到规定业绩条件以后才可行权换取职工服务的以权益结算的股份支付，在等待期内的每个资产</w:t>
      </w:r>
      <w:r>
        <w:rPr/>
        <w:t> </w:t>
      </w:r>
      <w:r>
        <w:rPr>
          <w:spacing w:val="-2"/>
        </w:rPr>
        <w:t>负债表日，以对可行权权益工具数量的最佳估计为基础，按权益工具授予日的公允价值，将当期取得的服务计入成本或</w:t>
      </w:r>
      <w:r>
        <w:rPr/>
        <w:t> 费用和资本公积。</w:t>
      </w:r>
    </w:p>
    <w:p>
      <w:pPr>
        <w:spacing w:line="300" w:lineRule="auto" w:before="19"/>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、修改、终止股份支付计划的会计处理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如果修改增加了所授予的权益工具的公允价值，公司按照权益工具公允价值的增加相应地确认取得服务的增加；如果修</w:t>
      </w:r>
    </w:p>
    <w:p>
      <w:pPr>
        <w:pStyle w:val="BodyText"/>
        <w:spacing w:line="316" w:lineRule="auto" w:before="31"/>
        <w:ind w:right="94"/>
        <w:jc w:val="left"/>
      </w:pPr>
      <w:r>
        <w:rPr>
          <w:spacing w:val="-2"/>
        </w:rPr>
        <w:t>改增加了所授予的权益工具的数量，公司将增加的权益工具的公允价值相应地确认为取得服务的增加；如果公司按照有利于</w:t>
      </w:r>
      <w:r>
        <w:rPr>
          <w:spacing w:val="-64"/>
        </w:rPr>
        <w:t> </w:t>
      </w:r>
      <w:r>
        <w:rPr>
          <w:spacing w:val="-64"/>
        </w:rPr>
      </w:r>
      <w:r>
        <w:rPr/>
        <w:t>职工的方式修改可行权条件，公司在处理可行权条件时，考虑修改后的可行权条件。</w:t>
      </w:r>
    </w:p>
    <w:p>
      <w:pPr>
        <w:pStyle w:val="BodyText"/>
        <w:spacing w:line="316" w:lineRule="auto" w:before="19"/>
        <w:ind w:right="94" w:firstLine="360"/>
        <w:jc w:val="left"/>
      </w:pPr>
      <w:r>
        <w:rPr/>
        <w:t>如果修改减少了授予的权益工具的公允价值，公司继续以权益工具在授予日的公允价值为基础，确认取得服务的金额， </w:t>
      </w: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316" w:lineRule="auto" w:before="19"/>
        <w:ind w:right="94" w:firstLine="360"/>
        <w:jc w:val="left"/>
      </w:pPr>
      <w:r>
        <w:rPr>
          <w:spacing w:val="-2"/>
        </w:rPr>
        <w:t>如果公司在等待期内取消了所授予的权益工具或结算了所授予的权益工具（因未满足可行权条件而被取消的除外，则将</w:t>
      </w:r>
      <w:r>
        <w:rPr/>
        <w:t> 取消或结算作为加速可行权处理，立即确认原本在剩余等待期内确认的金额。</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44" w:right="94"/>
        <w:jc w:val="left"/>
      </w:pPr>
      <w:r>
        <w:rPr/>
        <w:t>不涉及</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收入确认原则和计量方法：</w:t>
      </w:r>
    </w:p>
    <w:p>
      <w:pPr>
        <w:pStyle w:val="BodyText"/>
        <w:spacing w:line="300" w:lineRule="auto" w:before="76"/>
        <w:ind w:left="513" w:right="4953" w:hanging="180"/>
        <w:jc w:val="left"/>
      </w:pPr>
      <w:r>
        <w:rPr/>
        <w:t>（</w:t>
      </w:r>
      <w:r>
        <w:rPr>
          <w:rFonts w:ascii="Times New Roman" w:hAnsi="Times New Roman" w:cs="Times New Roman" w:eastAsia="Times New Roman" w:hint="default"/>
        </w:rPr>
        <w:t>1</w:t>
      </w:r>
      <w:r>
        <w:rPr/>
        <w:t>）商品销售收入 本公司商品销售收入同时满足下列条件时才能予以确认：</w:t>
      </w:r>
    </w:p>
    <w:p>
      <w:pPr>
        <w:pStyle w:val="BodyText"/>
        <w:spacing w:line="240" w:lineRule="auto" w:before="31"/>
        <w:ind w:left="513" w:right="94"/>
        <w:jc w:val="left"/>
      </w:pPr>
      <w:r>
        <w:rPr/>
        <w:t>①</w:t>
      </w:r>
      <w:r>
        <w:rPr>
          <w:spacing w:val="-18"/>
        </w:rPr>
        <w:t> </w:t>
      </w:r>
      <w:r>
        <w:rPr/>
        <w:t>本公司已将商品所有权上的主要风险和报酬转移给购货方；</w:t>
      </w:r>
    </w:p>
    <w:p>
      <w:pPr>
        <w:pStyle w:val="BodyText"/>
        <w:spacing w:line="240" w:lineRule="auto" w:before="76"/>
        <w:ind w:left="513" w:right="94"/>
        <w:jc w:val="left"/>
      </w:pPr>
      <w:r>
        <w:rPr/>
        <w:t>②</w:t>
      </w:r>
      <w:r>
        <w:rPr>
          <w:spacing w:val="-17"/>
        </w:rPr>
        <w:t> </w:t>
      </w:r>
      <w:r>
        <w:rPr/>
        <w:t>本公司既没有保留通常与所有权相联系的继续管理权，也没有对已售出的商品实施有效控制；</w:t>
      </w:r>
    </w:p>
    <w:p>
      <w:pPr>
        <w:pStyle w:val="BodyText"/>
        <w:tabs>
          <w:tab w:pos="585" w:val="left" w:leader="none"/>
        </w:tabs>
        <w:spacing w:line="316" w:lineRule="auto" w:before="76"/>
        <w:ind w:right="6699" w:firstLine="360"/>
        <w:jc w:val="left"/>
      </w:pPr>
      <w:r>
        <w:rPr/>
        <w:t>③</w:t>
      </w:r>
      <w:r>
        <w:rPr>
          <w:spacing w:val="-11"/>
        </w:rPr>
        <w:t> </w:t>
      </w:r>
      <w:r>
        <w:rPr/>
        <w:t>收入的金额能够可靠地计量；</w:t>
      </w:r>
      <w:r>
        <w:rPr/>
        <w:t> </w:t>
      </w:r>
      <w:r>
        <w:rPr>
          <w:rFonts w:ascii="宋体" w:hAnsi="宋体" w:cs="宋体" w:eastAsia="宋体" w:hint="default"/>
        </w:rPr>
        <w:t>1.</w:t>
        <w:tab/>
      </w:r>
      <w:r>
        <w:rPr/>
        <w:t>相关的经济利益很可能流入企业；</w:t>
      </w:r>
    </w:p>
    <w:p>
      <w:pPr>
        <w:pStyle w:val="BodyText"/>
        <w:spacing w:line="316" w:lineRule="auto" w:before="19"/>
        <w:ind w:left="513" w:right="190" w:hanging="361"/>
        <w:jc w:val="both"/>
      </w:pPr>
      <w:r>
        <w:rPr>
          <w:rFonts w:ascii="宋体" w:hAnsi="宋体" w:cs="宋体" w:eastAsia="宋体" w:hint="default"/>
        </w:rPr>
        <w:t>2.</w:t>
      </w:r>
      <w:r>
        <w:rPr>
          <w:rFonts w:ascii="宋体" w:hAnsi="宋体" w:cs="宋体" w:eastAsia="宋体" w:hint="default"/>
          <w:spacing w:val="89"/>
        </w:rPr>
        <w:t> </w:t>
      </w:r>
      <w:r>
        <w:rPr/>
        <w:t>相关的已发生或将发生的成本能够可靠地计量。 </w:t>
      </w:r>
      <w:r>
        <w:rPr>
          <w:spacing w:val="-2"/>
        </w:rPr>
        <w:t>房地产销售除符合商品销售收入确认条件外，以竣工验收合格并签订了销售合同，达到了销售合同约定的交付条件，并</w:t>
      </w:r>
    </w:p>
    <w:p>
      <w:pPr>
        <w:pStyle w:val="BodyText"/>
        <w:spacing w:line="319" w:lineRule="auto" w:before="19"/>
        <w:ind w:right="94"/>
        <w:jc w:val="left"/>
      </w:pPr>
      <w:r>
        <w:rPr>
          <w:spacing w:val="-2"/>
        </w:rPr>
        <w:t>取得了买方按销售合同约定交付房产的付款证明时（通常收到销售合同首期款及已确认余下房款的付款安排）确认销售收入</w:t>
      </w:r>
      <w:r>
        <w:rPr>
          <w:spacing w:val="-64"/>
        </w:rPr>
        <w:t> </w:t>
      </w:r>
      <w:r>
        <w:rPr>
          <w:spacing w:val="-64"/>
        </w:rPr>
      </w:r>
      <w:r>
        <w:rPr/>
        <w:t>的实现。</w:t>
      </w:r>
    </w:p>
    <w:p>
      <w:pPr>
        <w:pStyle w:val="BodyText"/>
        <w:spacing w:line="240" w:lineRule="auto" w:before="17"/>
        <w:ind w:left="333" w:right="94"/>
        <w:jc w:val="left"/>
      </w:pPr>
      <w:r>
        <w:rPr/>
        <w:t>（</w:t>
      </w:r>
      <w:r>
        <w:rPr>
          <w:rFonts w:ascii="Times New Roman" w:hAnsi="Times New Roman" w:cs="Times New Roman" w:eastAsia="Times New Roman" w:hint="default"/>
        </w:rPr>
        <w:t>2</w:t>
      </w:r>
      <w:r>
        <w:rPr/>
        <w:t>）租赁收入：按合同或协议约定的租金在租赁期内的各个期间按直线法确认为租赁收入。</w:t>
      </w:r>
    </w:p>
    <w:p>
      <w:pPr>
        <w:pStyle w:val="BodyText"/>
        <w:spacing w:line="300" w:lineRule="auto" w:before="63"/>
        <w:ind w:right="184" w:firstLine="180"/>
        <w:jc w:val="left"/>
      </w:pPr>
      <w:r>
        <w:rPr/>
        <w:t>（</w:t>
      </w:r>
      <w:r>
        <w:rPr>
          <w:rFonts w:ascii="Times New Roman" w:hAnsi="Times New Roman" w:cs="Times New Roman" w:eastAsia="Times New Roman" w:hint="default"/>
        </w:rPr>
        <w:t>3</w:t>
      </w:r>
      <w:r>
        <w:rPr/>
        <w:t>）物业管理收入：公司在物业管理服务已经提供，与物业管理服务相关的经济利益能够流入企业，与物业管理服务相 关的成本能够可靠计量时，确认物业管理收入的实现。</w:t>
      </w:r>
    </w:p>
    <w:p>
      <w:pPr>
        <w:pStyle w:val="BodyText"/>
        <w:spacing w:line="240" w:lineRule="auto" w:before="31"/>
        <w:ind w:left="333" w:right="94"/>
        <w:jc w:val="left"/>
      </w:pPr>
      <w:r>
        <w:rPr/>
        <w:t>（</w:t>
      </w:r>
      <w:r>
        <w:rPr>
          <w:rFonts w:ascii="Times New Roman" w:hAnsi="Times New Roman" w:cs="Times New Roman" w:eastAsia="Times New Roman" w:hint="default"/>
        </w:rPr>
        <w:t>4</w:t>
      </w:r>
      <w:r>
        <w:rPr/>
        <w:t>）建造合同收入</w:t>
      </w:r>
    </w:p>
    <w:p>
      <w:pPr>
        <w:pStyle w:val="BodyText"/>
        <w:spacing w:line="316" w:lineRule="auto" w:before="63"/>
        <w:ind w:right="193" w:firstLine="360"/>
        <w:jc w:val="both"/>
      </w:pPr>
      <w:r>
        <w:rPr/>
        <w:t>①</w:t>
      </w:r>
      <w:r>
        <w:rPr>
          <w:spacing w:val="-1"/>
        </w:rPr>
        <w:t> </w:t>
      </w:r>
      <w:r>
        <w:rPr/>
        <w:t>当建造合同的结果可以可靠地估计时，与其相关的合同收入和合同费用在资产负债表日按完工百分比法予以确认。</w:t>
      </w:r>
      <w:r>
        <w:rPr/>
        <w:t> </w:t>
      </w:r>
      <w:r>
        <w:rPr>
          <w:spacing w:val="-2"/>
        </w:rPr>
        <w:t>完工百分比法，是指根据合同完工进度确认合同收入和合同费用的方法。合同完工程度按照累计实际发生的合同费用占合同</w:t>
      </w:r>
      <w:r>
        <w:rPr>
          <w:spacing w:val="-64"/>
        </w:rPr>
        <w:t> </w:t>
      </w:r>
      <w:r>
        <w:rPr>
          <w:spacing w:val="-64"/>
        </w:rPr>
      </w:r>
      <w:r>
        <w:rPr/>
        <w:t>预计总成本的比例确定</w:t>
      </w:r>
      <w:r>
        <w:rPr>
          <w:color w:val="0000FF"/>
        </w:rPr>
        <w:t>。</w:t>
      </w:r>
      <w:r>
        <w:rPr/>
      </w:r>
    </w:p>
    <w:p>
      <w:pPr>
        <w:pStyle w:val="BodyText"/>
        <w:spacing w:line="309" w:lineRule="auto" w:before="19"/>
        <w:ind w:left="513" w:right="94"/>
        <w:jc w:val="left"/>
      </w:pPr>
      <w:r>
        <w:rPr/>
        <w:t>②</w:t>
      </w:r>
      <w:r>
        <w:rPr>
          <w:spacing w:val="-18"/>
        </w:rPr>
        <w:t> </w:t>
      </w:r>
      <w:r>
        <w:rPr/>
        <w:t>建造合同的结果不能可靠估计的，分别下列情况处理：</w:t>
      </w:r>
      <w:r>
        <w:rPr/>
        <w:t> </w:t>
      </w:r>
      <w:r>
        <w:rPr>
          <w:rFonts w:ascii="Times New Roman" w:hAnsi="Times New Roman" w:cs="Times New Roman" w:eastAsia="Times New Roman" w:hint="default"/>
          <w:spacing w:val="-2"/>
        </w:rPr>
        <w:t>a</w:t>
      </w:r>
      <w:r>
        <w:rPr>
          <w:spacing w:val="-2"/>
        </w:rPr>
        <w:t>、合同成本能够收回的，合同收入根据能够收回的实际合同成本予以确认，合同成本在其发生的当期确认为合同费用。</w:t>
      </w:r>
      <w:r>
        <w:rPr>
          <w:spacing w:val="-57"/>
        </w:rPr>
        <w:t> </w:t>
      </w:r>
      <w:r>
        <w:rPr>
          <w:spacing w:val="-57"/>
        </w:rPr>
      </w:r>
      <w:r>
        <w:rPr>
          <w:rFonts w:ascii="Times New Roman" w:hAnsi="Times New Roman" w:cs="Times New Roman" w:eastAsia="Times New Roman" w:hint="default"/>
        </w:rPr>
        <w:t>b</w:t>
      </w:r>
      <w:r>
        <w:rPr/>
        <w:t>、合同成本不可能收回的，在发生时立即确认为合同费用，不确认合同收入。</w:t>
      </w:r>
    </w:p>
    <w:p>
      <w:pPr>
        <w:pStyle w:val="BodyText"/>
        <w:spacing w:line="240" w:lineRule="auto" w:before="5"/>
        <w:ind w:left="513" w:right="94"/>
        <w:jc w:val="left"/>
      </w:pPr>
      <w:r>
        <w:rPr/>
        <w:t>③</w:t>
      </w:r>
      <w:r>
        <w:rPr>
          <w:spacing w:val="-18"/>
        </w:rPr>
        <w:t> </w:t>
      </w:r>
      <w:r>
        <w:rPr/>
        <w:t>如果合同总成本很可能超过合同总收入，则预期损失立即确认为费用。</w:t>
      </w:r>
    </w:p>
    <w:p>
      <w:pPr>
        <w:spacing w:after="0" w:line="240" w:lineRule="auto"/>
        <w:jc w:val="left"/>
        <w:sectPr>
          <w:footerReference w:type="default" r:id="rId29"/>
          <w:pgSz w:w="11910" w:h="16840"/>
          <w:pgMar w:footer="979" w:header="877" w:top="1100" w:bottom="1160" w:left="980" w:right="940"/>
          <w:pgNumType w:start="98"/>
        </w:sectPr>
      </w:pPr>
    </w:p>
    <w:p>
      <w:pPr>
        <w:spacing w:line="240" w:lineRule="auto" w:before="11"/>
        <w:rPr>
          <w:rFonts w:ascii="宋体" w:hAnsi="宋体" w:cs="宋体" w:eastAsia="宋体" w:hint="default"/>
          <w:sz w:val="21"/>
          <w:szCs w:val="21"/>
        </w:rPr>
      </w:pPr>
    </w:p>
    <w:p>
      <w:pPr>
        <w:pStyle w:val="BodyText"/>
        <w:spacing w:line="240" w:lineRule="auto" w:before="44"/>
        <w:ind w:left="333" w:right="94"/>
        <w:jc w:val="left"/>
      </w:pPr>
      <w:r>
        <w:rPr/>
        <w:t>（</w:t>
      </w:r>
      <w:r>
        <w:rPr>
          <w:rFonts w:ascii="Times New Roman" w:hAnsi="Times New Roman" w:cs="Times New Roman" w:eastAsia="Times New Roman" w:hint="default"/>
        </w:rPr>
        <w:t>5</w:t>
      </w:r>
      <w:r>
        <w:rPr/>
        <w:t>）提供劳务</w:t>
      </w:r>
    </w:p>
    <w:p>
      <w:pPr>
        <w:pStyle w:val="BodyText"/>
        <w:spacing w:line="316" w:lineRule="auto" w:before="63"/>
        <w:ind w:right="91" w:firstLine="360"/>
        <w:jc w:val="left"/>
      </w:pPr>
      <w:r>
        <w:rPr/>
        <w:t>①</w:t>
      </w:r>
      <w:r>
        <w:rPr>
          <w:spacing w:val="15"/>
        </w:rPr>
        <w:t> </w:t>
      </w:r>
      <w:r>
        <w:rPr>
          <w:spacing w:val="-2"/>
        </w:rPr>
        <w:t>本公司在资产负债表日提供劳务交易的结果能够可靠估计的，采用完工百分比法确认提供劳务收入。完工百分比法，</w:t>
      </w:r>
      <w:r>
        <w:rPr/>
        <w:t> 是指按照提供劳务交易的完工进度确认收入与费用的方法。</w:t>
      </w:r>
    </w:p>
    <w:p>
      <w:pPr>
        <w:pStyle w:val="BodyText"/>
        <w:spacing w:line="304" w:lineRule="auto" w:before="19"/>
        <w:ind w:left="513" w:right="4593"/>
        <w:jc w:val="left"/>
      </w:pPr>
      <w:r>
        <w:rPr/>
        <w:t>提供劳务交易的结果能够可靠估计，是指同时满足下列条件： </w:t>
      </w:r>
      <w:r>
        <w:rPr>
          <w:rFonts w:ascii="Times New Roman" w:hAnsi="Times New Roman" w:cs="Times New Roman" w:eastAsia="Times New Roman" w:hint="default"/>
        </w:rPr>
        <w:t>a</w:t>
      </w:r>
      <w:r>
        <w:rPr/>
        <w:t>、收入的金额能够可靠地计量； </w:t>
      </w:r>
      <w:r>
        <w:rPr>
          <w:rFonts w:ascii="Times New Roman" w:hAnsi="Times New Roman" w:cs="Times New Roman" w:eastAsia="Times New Roman" w:hint="default"/>
        </w:rPr>
        <w:t>b</w:t>
      </w:r>
      <w:r>
        <w:rPr/>
        <w:t>、相关的经济利益很可能流入企业； </w:t>
      </w:r>
      <w:r>
        <w:rPr>
          <w:rFonts w:ascii="Times New Roman" w:hAnsi="Times New Roman" w:cs="Times New Roman" w:eastAsia="Times New Roman" w:hint="default"/>
        </w:rPr>
        <w:t>c</w:t>
      </w:r>
      <w:r>
        <w:rPr/>
        <w:t>、交易的完工进度能够可靠地确定； </w:t>
      </w:r>
      <w:r>
        <w:rPr>
          <w:rFonts w:ascii="Times New Roman" w:hAnsi="Times New Roman" w:cs="Times New Roman" w:eastAsia="Times New Roman" w:hint="default"/>
        </w:rPr>
        <w:t>d</w:t>
      </w:r>
      <w:r>
        <w:rPr/>
        <w:t>、交易中已发生和将发生的成本能够可靠地计量。</w:t>
      </w:r>
    </w:p>
    <w:p>
      <w:pPr>
        <w:pStyle w:val="BodyText"/>
        <w:spacing w:line="240" w:lineRule="auto" w:before="9"/>
        <w:ind w:left="513" w:right="94"/>
        <w:jc w:val="left"/>
      </w:pPr>
      <w:r>
        <w:rPr/>
        <w:t>②</w:t>
      </w:r>
      <w:r>
        <w:rPr>
          <w:spacing w:val="-18"/>
        </w:rPr>
        <w:t> </w:t>
      </w:r>
      <w:r>
        <w:rPr/>
        <w:t>提供劳务交易的结果在资产负债表日不能够可靠估计的，分别下列情况处理：</w:t>
      </w:r>
    </w:p>
    <w:p>
      <w:pPr>
        <w:pStyle w:val="BodyText"/>
        <w:spacing w:line="240" w:lineRule="auto" w:before="76"/>
        <w:ind w:left="513" w:right="94"/>
        <w:jc w:val="left"/>
      </w:pPr>
      <w:r>
        <w:rPr>
          <w:rFonts w:ascii="Times New Roman" w:hAnsi="Times New Roman" w:cs="Times New Roman" w:eastAsia="Times New Roman" w:hint="default"/>
        </w:rPr>
        <w:t>a</w:t>
      </w:r>
      <w:r>
        <w:rPr/>
        <w:t>、已经发生的劳务成本预计能够得到补偿，按已经发生的劳务成本金额确认提供劳务收入，并按相同金额结转劳务成</w:t>
      </w:r>
    </w:p>
    <w:p>
      <w:pPr>
        <w:pStyle w:val="BodyText"/>
        <w:spacing w:line="240" w:lineRule="auto" w:before="63"/>
        <w:ind w:right="94"/>
        <w:jc w:val="left"/>
      </w:pPr>
      <w:r>
        <w:rPr/>
        <w:t>本；</w:t>
      </w:r>
    </w:p>
    <w:p>
      <w:pPr>
        <w:pStyle w:val="BodyText"/>
        <w:spacing w:line="240" w:lineRule="auto" w:before="77"/>
        <w:ind w:left="513" w:right="94"/>
        <w:jc w:val="left"/>
      </w:pPr>
      <w:r>
        <w:rPr>
          <w:rFonts w:ascii="Times New Roman" w:hAnsi="Times New Roman" w:cs="Times New Roman" w:eastAsia="Times New Roman" w:hint="default"/>
        </w:rPr>
        <w:t>b</w:t>
      </w:r>
      <w:r>
        <w:rPr/>
        <w:t>、已经发生的劳务成本预计不能够得到补偿，将已经发生的劳务成本计入当期损益不确认劳务收入。</w:t>
      </w:r>
    </w:p>
    <w:p>
      <w:pPr>
        <w:pStyle w:val="BodyText"/>
        <w:spacing w:line="300" w:lineRule="auto" w:before="63"/>
        <w:ind w:left="513" w:right="2613" w:hanging="180"/>
        <w:jc w:val="left"/>
      </w:pPr>
      <w:r>
        <w:rPr/>
        <w:t>（</w:t>
      </w:r>
      <w:r>
        <w:rPr>
          <w:rFonts w:ascii="Times New Roman" w:hAnsi="Times New Roman" w:cs="Times New Roman" w:eastAsia="Times New Roman" w:hint="default"/>
        </w:rPr>
        <w:t>6</w:t>
      </w:r>
      <w:r>
        <w:rPr/>
        <w:t>）让渡资产使用权 让渡资产使用权收入包括利息收入、使用费收入等，在同时满足以下条件时予以确认：</w:t>
      </w:r>
    </w:p>
    <w:p>
      <w:pPr>
        <w:pStyle w:val="BodyText"/>
        <w:spacing w:line="240" w:lineRule="auto" w:before="31"/>
        <w:ind w:left="513" w:right="94"/>
        <w:jc w:val="left"/>
      </w:pPr>
      <w:r>
        <w:rPr/>
        <w:t>①</w:t>
      </w:r>
      <w:r>
        <w:rPr>
          <w:spacing w:val="-18"/>
        </w:rPr>
        <w:t> </w:t>
      </w:r>
      <w:r>
        <w:rPr/>
        <w:t>与交易相关的经济利益能够流入企业公司；</w:t>
      </w:r>
    </w:p>
    <w:p>
      <w:pPr>
        <w:pStyle w:val="BodyText"/>
        <w:spacing w:line="316" w:lineRule="auto" w:before="76"/>
        <w:ind w:left="513" w:right="3513"/>
        <w:jc w:val="left"/>
      </w:pPr>
      <w:r>
        <w:rPr/>
        <w:t>②</w:t>
      </w:r>
      <w:r>
        <w:rPr>
          <w:spacing w:val="-18"/>
        </w:rPr>
        <w:t> </w:t>
      </w:r>
      <w:r>
        <w:rPr/>
        <w:t>收入的金额能够可靠地计量。</w:t>
      </w:r>
      <w:r>
        <w:rPr/>
        <w:t> 利息收入金额，按照他人使用本企业货币资金的时间和实际利率计算确定。 使用费收入金额，按照有关合同或协议约定的收费时间和方法计算确定。</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5" w:firstLine="360"/>
        <w:jc w:val="both"/>
      </w:pPr>
      <w:r>
        <w:rPr/>
        <w:t>①</w:t>
      </w:r>
      <w:r>
        <w:rPr>
          <w:spacing w:val="-1"/>
        </w:rPr>
        <w:t> </w:t>
      </w:r>
      <w:r>
        <w:rPr/>
        <w:t>与资产相关的政府补助，公司取得时确认为递延收益，自相关资产达到预定可使用状态时，在该资产使用寿命内平</w:t>
      </w:r>
      <w:r>
        <w:rPr/>
        <w:t> </w:t>
      </w:r>
      <w:r>
        <w:rPr>
          <w:spacing w:val="-2"/>
        </w:rPr>
        <w:t>均分配，分次计入以后各期的损益。相关资产在使用寿命结束前被出售、转让、报废或发生毁损的，将尚未分配的递延收益</w:t>
      </w:r>
      <w:r>
        <w:rPr>
          <w:spacing w:val="-67"/>
        </w:rPr>
        <w:t> </w:t>
      </w:r>
      <w:r>
        <w:rPr>
          <w:spacing w:val="-67"/>
        </w:rPr>
      </w:r>
      <w:r>
        <w:rPr/>
        <w:t>余额一次性转入资产处置当期的损益。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360"/>
        <w:jc w:val="both"/>
      </w:pPr>
      <w:r>
        <w:rPr>
          <w:spacing w:val="-2"/>
        </w:rPr>
        <w:t>②与收益相关的政府补助，用于补偿公司以后期间的相关费用或损失的，取得时确认为递延收益，在确认相关费用的期</w:t>
      </w:r>
      <w:r>
        <w:rPr/>
        <w:t> 间计入当期损益；用于补偿公司已发生的相关费用或损失的，取得时直接计入当期损益。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94"/>
        <w:jc w:val="left"/>
      </w:pPr>
      <w:r>
        <w:rPr/>
        <w:t>本公司采用资产负债表债务法对企业所得税进行核算。 </w:t>
      </w:r>
      <w:r>
        <w:rPr>
          <w:spacing w:val="-2"/>
        </w:rPr>
        <w:t>本公司根据资产、负债的账面价值与其计税基础之间的差额，按照预期收回该资产或清偿该负债期间的适用税率计算确</w:t>
      </w:r>
    </w:p>
    <w:p>
      <w:pPr>
        <w:pStyle w:val="BodyText"/>
        <w:spacing w:line="240" w:lineRule="auto" w:before="19"/>
        <w:ind w:right="94"/>
        <w:jc w:val="left"/>
      </w:pPr>
      <w:r>
        <w:rPr/>
        <w:t>认递延所得税资产或递延所得税负债。</w:t>
      </w:r>
    </w:p>
    <w:p>
      <w:pPr>
        <w:pStyle w:val="BodyText"/>
        <w:spacing w:line="240" w:lineRule="auto" w:before="76"/>
        <w:ind w:left="513" w:right="94"/>
        <w:jc w:val="left"/>
      </w:pPr>
      <w:r>
        <w:rPr/>
        <w:t>（</w:t>
      </w:r>
      <w:r>
        <w:rPr>
          <w:rFonts w:ascii="Times New Roman" w:hAnsi="Times New Roman" w:cs="Times New Roman" w:eastAsia="Times New Roman" w:hint="default"/>
        </w:rPr>
        <w:t>1</w:t>
      </w:r>
      <w:r>
        <w:rPr/>
        <w:t>）递延所得税资产的确认依据</w:t>
      </w:r>
    </w:p>
    <w:p>
      <w:pPr>
        <w:pStyle w:val="BodyText"/>
        <w:spacing w:line="316" w:lineRule="auto" w:before="63"/>
        <w:ind w:right="197" w:firstLine="360"/>
        <w:jc w:val="both"/>
      </w:pPr>
      <w:r>
        <w:rPr/>
        <w:t>①</w:t>
      </w:r>
      <w:r>
        <w:rPr>
          <w:spacing w:val="-1"/>
        </w:rPr>
        <w:t> </w:t>
      </w:r>
      <w:r>
        <w:rPr/>
        <w:t>本公司以很可能取得用来抵扣可抵扣暂时性差异的应纳税所得额为限，确认由可抵扣暂时性差异产生的递延所得税</w:t>
      </w:r>
      <w:r>
        <w:rPr/>
        <w:t> 资产。但是同时具有下列特征的交易中因资产或负债的初始确认所产生的递延所得税资产不予确认：</w:t>
      </w:r>
    </w:p>
    <w:p>
      <w:pPr>
        <w:pStyle w:val="BodyText"/>
        <w:spacing w:line="300" w:lineRule="auto" w:before="19"/>
        <w:ind w:left="513" w:right="3663"/>
        <w:jc w:val="left"/>
      </w:pP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rPr>
        <w:t>b</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p>
    <w:p>
      <w:pPr>
        <w:pStyle w:val="BodyText"/>
        <w:spacing w:line="319" w:lineRule="auto" w:before="13"/>
        <w:ind w:right="197" w:firstLine="360"/>
        <w:jc w:val="both"/>
      </w:pPr>
      <w:r>
        <w:rPr/>
        <w:t>②</w:t>
      </w:r>
      <w:r>
        <w:rPr>
          <w:spacing w:val="-1"/>
        </w:rPr>
        <w:t> </w:t>
      </w:r>
      <w:r>
        <w:rPr/>
        <w:t>本公司对与子公司、联营公司及合营企业投资相关的可抵扣暂时性差异，同时满足下列条件的，确认相应的递延所</w:t>
      </w:r>
      <w:r>
        <w:rPr/>
        <w:t> 得税资产：</w:t>
      </w:r>
    </w:p>
    <w:p>
      <w:pPr>
        <w:pStyle w:val="BodyText"/>
        <w:spacing w:line="240" w:lineRule="auto" w:before="17"/>
        <w:ind w:left="513" w:right="94"/>
        <w:jc w:val="left"/>
      </w:pPr>
      <w:r>
        <w:rPr>
          <w:rFonts w:ascii="Times New Roman" w:hAnsi="Times New Roman" w:cs="Times New Roman" w:eastAsia="Times New Roman" w:hint="default"/>
        </w:rPr>
        <w:t>a</w:t>
      </w:r>
      <w:r>
        <w:rPr/>
        <w:t>、暂时性差异在可预见的未来很可能转回；</w:t>
      </w:r>
    </w:p>
    <w:p>
      <w:pPr>
        <w:spacing w:after="0" w:line="240" w:lineRule="auto"/>
        <w:jc w:val="left"/>
        <w:sectPr>
          <w:footerReference w:type="default" r:id="rId30"/>
          <w:pgSz w:w="11910" w:h="16840"/>
          <w:pgMar w:footer="979" w:header="877"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13" w:right="94"/>
        <w:jc w:val="left"/>
      </w:pPr>
      <w:r>
        <w:rPr>
          <w:rFonts w:ascii="Times New Roman" w:hAnsi="Times New Roman" w:cs="Times New Roman" w:eastAsia="Times New Roman" w:hint="default"/>
        </w:rPr>
        <w:t>b</w:t>
      </w:r>
      <w:r>
        <w:rPr/>
        <w:t>、未来很可能获得用来抵扣暂时性差异的应纳税所得额。</w:t>
      </w:r>
    </w:p>
    <w:p>
      <w:pPr>
        <w:pStyle w:val="BodyText"/>
        <w:spacing w:line="316" w:lineRule="auto" w:before="63"/>
        <w:ind w:right="197" w:firstLine="360"/>
        <w:jc w:val="both"/>
      </w:pPr>
      <w:r>
        <w:rPr/>
        <w:t>③</w:t>
      </w:r>
      <w:r>
        <w:rPr>
          <w:spacing w:val="-1"/>
        </w:rPr>
        <w:t> </w:t>
      </w:r>
      <w:r>
        <w:rPr/>
        <w:t>本公司对于能够结转以后年度的可抵扣亏损和税款抵减，以很可能获得用来抵扣可抵扣亏损和税款抵减的未来应纳</w:t>
      </w:r>
      <w:r>
        <w:rPr/>
        <w:t> 税所得额为限，确认相应的递延所得税资产。</w:t>
      </w:r>
    </w:p>
    <w:p>
      <w:pPr>
        <w:pStyle w:val="BodyText"/>
        <w:spacing w:line="300" w:lineRule="auto" w:before="19"/>
        <w:ind w:left="513" w:right="1533"/>
        <w:jc w:val="left"/>
      </w:pPr>
      <w:r>
        <w:rPr/>
        <w:t>（</w:t>
      </w:r>
      <w:r>
        <w:rPr>
          <w:rFonts w:ascii="Times New Roman" w:hAnsi="Times New Roman" w:cs="Times New Roman" w:eastAsia="Times New Roman" w:hint="default"/>
        </w:rPr>
        <w:t>2</w:t>
      </w:r>
      <w:r>
        <w:rPr/>
        <w:t>）递延所得税负债的确认 除下列情况产生的递延所得税负债以外，本公司确认所有应纳税暂时性差异产生的递延所得税负债：</w:t>
      </w:r>
    </w:p>
    <w:p>
      <w:pPr>
        <w:pStyle w:val="BodyText"/>
        <w:spacing w:line="240" w:lineRule="auto" w:before="31"/>
        <w:ind w:left="513" w:right="94"/>
        <w:jc w:val="left"/>
      </w:pPr>
      <w:r>
        <w:rPr/>
        <w:t>①</w:t>
      </w:r>
      <w:r>
        <w:rPr>
          <w:spacing w:val="-18"/>
        </w:rPr>
        <w:t> </w:t>
      </w:r>
      <w:r>
        <w:rPr/>
        <w:t>商誉的初始确认；</w:t>
      </w:r>
    </w:p>
    <w:p>
      <w:pPr>
        <w:pStyle w:val="BodyText"/>
        <w:spacing w:line="309" w:lineRule="auto" w:before="76"/>
        <w:ind w:left="513" w:right="3663"/>
        <w:jc w:val="left"/>
      </w:pPr>
      <w:r>
        <w:rPr/>
        <w:t>②</w:t>
      </w:r>
      <w:r>
        <w:rPr>
          <w:spacing w:val="-18"/>
        </w:rPr>
        <w:t> </w:t>
      </w:r>
      <w:r>
        <w:rPr/>
        <w:t>同时满足具有下列特征的交易中产生的资产或负债的初始确认：</w:t>
      </w:r>
      <w:r>
        <w:rPr/>
        <w:t> </w:t>
      </w: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rPr>
        <w:t>b</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p>
    <w:p>
      <w:pPr>
        <w:pStyle w:val="BodyText"/>
        <w:spacing w:line="240" w:lineRule="auto" w:before="5"/>
        <w:ind w:left="513" w:right="94"/>
        <w:jc w:val="left"/>
      </w:pPr>
      <w:r>
        <w:rPr/>
        <w:t>③</w:t>
      </w:r>
      <w:r>
        <w:rPr>
          <w:spacing w:val="-18"/>
        </w:rPr>
        <w:t> </w:t>
      </w:r>
      <w:r>
        <w:rPr/>
        <w:t>本公司对与子公司、联营公司及合营企业投资产生相关的应纳税暂时性差异，同时满足下列条件的：</w:t>
      </w:r>
    </w:p>
    <w:p>
      <w:pPr>
        <w:pStyle w:val="BodyText"/>
        <w:spacing w:line="300" w:lineRule="auto" w:before="76"/>
        <w:ind w:left="513" w:right="5403"/>
        <w:jc w:val="left"/>
      </w:pPr>
      <w:r>
        <w:rPr>
          <w:rFonts w:ascii="Times New Roman" w:hAnsi="Times New Roman" w:cs="Times New Roman" w:eastAsia="Times New Roman" w:hint="default"/>
        </w:rPr>
        <w:t>a</w:t>
      </w:r>
      <w:r>
        <w:rPr/>
        <w:t>、投资企业能够控制暂时性差异的转回的时间； </w:t>
      </w:r>
      <w:r>
        <w:rPr>
          <w:rFonts w:ascii="Times New Roman" w:hAnsi="Times New Roman" w:cs="Times New Roman" w:eastAsia="Times New Roman" w:hint="default"/>
        </w:rPr>
        <w:t>b</w:t>
      </w:r>
      <w:r>
        <w:rPr/>
        <w:t>、该暂时性差异在可预见的未来很可能不会转回。</w:t>
      </w:r>
    </w:p>
    <w:p>
      <w:pPr>
        <w:pStyle w:val="BodyText"/>
        <w:spacing w:line="300" w:lineRule="auto" w:before="13"/>
        <w:ind w:right="111" w:firstLine="360"/>
        <w:jc w:val="both"/>
      </w:pPr>
      <w:r>
        <w:rPr/>
        <w:t>（</w:t>
      </w:r>
      <w:r>
        <w:rPr>
          <w:rFonts w:ascii="Times New Roman" w:hAnsi="Times New Roman" w:cs="Times New Roman" w:eastAsia="Times New Roman" w:hint="default"/>
        </w:rPr>
        <w:t>3</w:t>
      </w:r>
      <w:r>
        <w:rPr/>
        <w:t>）资产负债表日，对递延所得税资产的账面价值进行复核，如果未来期间很可能无法获得足够的应纳税所得额用以 抵扣递延所得税资产的利益，则减记递延所得税资产的账面价值。在很可能获得足够的应纳税所得额时，转回减记的金额。</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104" w:firstLine="360"/>
        <w:jc w:val="both"/>
      </w:pPr>
      <w:r>
        <w:rPr/>
        <w:t>（</w:t>
      </w:r>
      <w:r>
        <w:rPr>
          <w:rFonts w:ascii="Times New Roman" w:hAnsi="Times New Roman" w:cs="Times New Roman" w:eastAsia="Times New Roman" w:hint="default"/>
        </w:rPr>
        <w:t>1</w:t>
      </w:r>
      <w:r>
        <w:rPr/>
        <w:t>）本公司作为经营租赁承租人时，将经营租赁的租金支出，在租赁期内各个期间按照直线法或根据租赁资产的使用 </w:t>
      </w:r>
      <w:r>
        <w:rPr>
          <w:spacing w:val="-2"/>
        </w:rPr>
        <w:t>量计入当期损益。作为承租人发生的初始直接费用，计入管理费用，或有租金于发生时确认为当期费用。出租人提供免租期</w:t>
      </w:r>
      <w:r>
        <w:rPr>
          <w:spacing w:val="-65"/>
        </w:rPr>
        <w:t> </w:t>
      </w:r>
      <w:r>
        <w:rPr>
          <w:spacing w:val="-65"/>
        </w:rPr>
      </w:r>
      <w:r>
        <w:rPr>
          <w:spacing w:val="-2"/>
        </w:rPr>
        <w:t>的，本公司将租金总额在不扣除免租期的整个租赁期内，按直线法或其他合理的方法进行分摊，免租期内确认租金费用及相</w:t>
      </w:r>
      <w:r>
        <w:rPr>
          <w:spacing w:val="-62"/>
        </w:rPr>
        <w:t> </w:t>
      </w:r>
      <w:r>
        <w:rPr>
          <w:spacing w:val="-62"/>
        </w:rPr>
      </w:r>
      <w:r>
        <w:rPr>
          <w:spacing w:val="-4"/>
        </w:rPr>
        <w:t>应的负债。出租人承担了承租人某些费用的，本公司按该费用从租金费用总额中扣除后的租金费用余额在租赁期内进行分摊。</w:t>
      </w:r>
    </w:p>
    <w:p>
      <w:pPr>
        <w:pStyle w:val="BodyText"/>
        <w:spacing w:line="314" w:lineRule="auto" w:before="22"/>
        <w:ind w:right="94" w:firstLine="360"/>
        <w:jc w:val="left"/>
      </w:pPr>
      <w:r>
        <w:rPr>
          <w:spacing w:val="-2"/>
        </w:rPr>
        <w:t>（</w:t>
      </w:r>
      <w:r>
        <w:rPr>
          <w:rFonts w:ascii="Times New Roman" w:hAnsi="Times New Roman" w:cs="Times New Roman" w:eastAsia="Times New Roman" w:hint="default"/>
          <w:spacing w:val="-2"/>
        </w:rPr>
        <w:t>2</w:t>
      </w:r>
      <w:r>
        <w:rPr>
          <w:spacing w:val="-2"/>
        </w:rPr>
        <w:t>）本公司作为经营租赁出租人时，采用直线法将收到的租金在租赁期内确认为收益。初始直接费用，计入当期损益。</w:t>
      </w:r>
      <w:r>
        <w:rPr/>
        <w:t> </w:t>
      </w:r>
      <w:r>
        <w:rPr>
          <w:spacing w:val="-2"/>
        </w:rPr>
        <w:t>金额较大的予以资本化，在整个经营租赁期内按照与确认租金收入相同的基础分期计入当期损益。如协议约定或有租金的在</w:t>
      </w:r>
      <w:r>
        <w:rPr>
          <w:spacing w:val="-64"/>
        </w:rPr>
        <w:t> </w:t>
      </w:r>
      <w:r>
        <w:rPr>
          <w:spacing w:val="-64"/>
        </w:rPr>
      </w:r>
      <w:r>
        <w:rPr>
          <w:spacing w:val="-2"/>
        </w:rPr>
        <w:t>实际发生时计入当期收益。出租人提供免租期的，出租人将租金总额在不扣除免租期的整个租赁期内，按直线法或其他合理</w:t>
      </w:r>
      <w:r>
        <w:rPr>
          <w:spacing w:val="-63"/>
        </w:rPr>
        <w:t> </w:t>
      </w:r>
      <w:r>
        <w:rPr>
          <w:spacing w:val="-63"/>
        </w:rPr>
      </w:r>
      <w:r>
        <w:rPr>
          <w:spacing w:val="-2"/>
        </w:rPr>
        <w:t>的方法进行分配，免租期内出租人也确认租金收入。承担了承租人某些费用的，本公司按该费用自租金收入总额中扣除后的</w:t>
      </w:r>
      <w:r>
        <w:rPr>
          <w:spacing w:val="-62"/>
        </w:rPr>
        <w:t> </w:t>
      </w:r>
      <w:r>
        <w:rPr>
          <w:spacing w:val="-62"/>
        </w:rPr>
      </w:r>
      <w:r>
        <w:rPr/>
        <w:t>租金收入余额在租赁期内进行分配。</w:t>
      </w:r>
    </w:p>
    <w:p>
      <w:pPr>
        <w:spacing w:line="240" w:lineRule="auto" w:before="12"/>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1" w:firstLine="360"/>
        <w:jc w:val="both"/>
      </w:pPr>
      <w:r>
        <w:rPr/>
        <w:t>（</w:t>
      </w:r>
      <w:r>
        <w:rPr>
          <w:rFonts w:ascii="Times New Roman" w:hAnsi="Times New Roman" w:cs="Times New Roman" w:eastAsia="Times New Roman" w:hint="default"/>
        </w:rPr>
        <w:t>1</w:t>
      </w:r>
      <w:r>
        <w:rPr/>
        <w:t>）本公司作为融资租赁承租人时，在租赁期开始日，将租赁开始日租赁资产公允价值与最低租赁付款额现值两者中 </w:t>
      </w:r>
      <w:r>
        <w:rPr>
          <w:spacing w:val="-2"/>
        </w:rPr>
        <w:t>较低者作为租入资产的入账价值，将最低租赁付款额作为长期应付款的入账价值，其差额作为未确认融资费用。在租赁期内</w:t>
      </w:r>
      <w:r>
        <w:rPr>
          <w:spacing w:val="-63"/>
        </w:rPr>
        <w:t> </w:t>
      </w:r>
      <w:r>
        <w:rPr>
          <w:spacing w:val="-63"/>
        </w:rPr>
      </w:r>
      <w:r>
        <w:rPr/>
        <w:t>各个期间采用实际利率法进行分摊，确认为当期融资费用，计入财务费用。发生的初始直接费用，应当计入租入资产价值。</w:t>
      </w:r>
    </w:p>
    <w:p>
      <w:pPr>
        <w:pStyle w:val="BodyText"/>
        <w:spacing w:line="316" w:lineRule="auto" w:before="24"/>
        <w:ind w:right="189" w:firstLine="360"/>
        <w:jc w:val="both"/>
      </w:pPr>
      <w:r>
        <w:rPr>
          <w:spacing w:val="-2"/>
        </w:rPr>
        <w:t>在计提融资租赁资产折旧时，本公司采用与自有应折旧资产相一致的折旧政策，折旧期间以租赁合同而定。如果能够合</w:t>
      </w:r>
      <w:r>
        <w:rPr/>
        <w:t> </w:t>
      </w: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p>
    <w:p>
      <w:pPr>
        <w:pStyle w:val="BodyText"/>
        <w:spacing w:line="307" w:lineRule="auto" w:before="19"/>
        <w:ind w:right="191" w:firstLine="360"/>
        <w:jc w:val="both"/>
      </w:pPr>
      <w:r>
        <w:rPr/>
        <w:t>（</w:t>
      </w:r>
      <w:r>
        <w:rPr>
          <w:rFonts w:ascii="Times New Roman" w:hAnsi="Times New Roman" w:cs="Times New Roman" w:eastAsia="Times New Roman" w:hint="default"/>
        </w:rPr>
        <w:t>2</w:t>
      </w:r>
      <w:r>
        <w:rPr/>
        <w:t>）本公司作为融资租赁出租人时，于租赁期开始日将租赁开始日最低租赁应收款额与初始直接费用之和作为应收融 </w:t>
      </w:r>
      <w:r>
        <w:rPr>
          <w:spacing w:val="-2"/>
        </w:rPr>
        <w:t>资租赁款的入账价值，计入资产负债表的长期应收款，同时记录未担保余值；将最低租赁应收款额、初始直接费用及未担保</w:t>
      </w:r>
      <w:r>
        <w:rPr>
          <w:spacing w:val="-65"/>
        </w:rPr>
        <w:t> </w:t>
      </w:r>
      <w:r>
        <w:rPr>
          <w:spacing w:val="-65"/>
        </w:rPr>
      </w:r>
      <w:r>
        <w:rPr/>
        <w:t>余值之和与其现值之和的差额作为未实现融资收益，在租赁期内各个期间采用实际利率法确认为租赁收入，计入租赁收入</w:t>
      </w:r>
      <w:r>
        <w:rPr>
          <w:rFonts w:ascii="Times New Roman" w:hAnsi="Times New Roman" w:cs="Times New Roman" w:eastAsia="Times New Roman" w:hint="default"/>
        </w:rPr>
        <w:t>/ </w:t>
      </w:r>
      <w:r>
        <w:rPr/>
        <w:t>业务业务收入。</w:t>
      </w:r>
    </w:p>
    <w:p>
      <w:pPr>
        <w:spacing w:after="0" w:line="307" w:lineRule="auto"/>
        <w:jc w:val="both"/>
        <w:sectPr>
          <w:footerReference w:type="default" r:id="rId31"/>
          <w:pgSz w:w="11910" w:h="16840"/>
          <w:pgMar w:footer="979" w:header="877"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96"/>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年陆续颁布或修订了一 系列企业会计准则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本公司已按要求于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执行新的该等企业会计准则，并按照新 准则的衔接规定对比较财务报表进行调 整。</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573" w:right="94"/>
        <w:jc w:val="left"/>
      </w:pPr>
      <w:r>
        <w:rPr/>
        <w:t>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63"/>
        <w:ind w:left="573" w:right="94"/>
        <w:jc w:val="left"/>
        <w:rPr>
          <w:rFonts w:ascii="Times New Roman" w:hAnsi="Times New Roman" w:cs="Times New Roman" w:eastAsia="Times New Roman" w:hint="default"/>
        </w:rPr>
      </w:pPr>
      <w:r>
        <w:rPr>
          <w:spacing w:val="-6"/>
        </w:rPr>
        <w:t>《企业会计准则</w:t>
      </w:r>
      <w:r>
        <w:rPr>
          <w:rFonts w:ascii="Times New Roman" w:hAnsi="Times New Roman" w:cs="Times New Roman" w:eastAsia="Times New Roman" w:hint="default"/>
          <w:spacing w:val="-6"/>
        </w:rPr>
        <w:t>——</w:t>
      </w:r>
      <w:r>
        <w:rPr>
          <w:spacing w:val="-6"/>
        </w:rPr>
        <w:t>基本准则（修订）》、《企业会计准则第 </w:t>
      </w:r>
      <w:r>
        <w:rPr>
          <w:rFonts w:ascii="Times New Roman" w:hAnsi="Times New Roman" w:cs="Times New Roman" w:eastAsia="Times New Roman" w:hint="default"/>
        </w:rPr>
        <w:t>39  </w:t>
      </w:r>
      <w:r>
        <w:rPr>
          <w:spacing w:val="-6"/>
        </w:rPr>
        <w:t>号</w:t>
      </w:r>
      <w:r>
        <w:rPr>
          <w:rFonts w:ascii="Times New Roman" w:hAnsi="Times New Roman" w:cs="Times New Roman" w:eastAsia="Times New Roman" w:hint="default"/>
          <w:spacing w:val="-6"/>
        </w:rPr>
        <w:t>——</w:t>
      </w:r>
      <w:r>
        <w:rPr>
          <w:spacing w:val="-6"/>
        </w:rPr>
        <w:t>公允价值计量》、《企业会计准则第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p>
    <w:p>
      <w:pPr>
        <w:pStyle w:val="BodyText"/>
        <w:spacing w:line="240" w:lineRule="auto" w:before="63"/>
        <w:ind w:right="94"/>
        <w:jc w:val="left"/>
      </w:pPr>
      <w:r>
        <w:rPr/>
        <w:t>财务报表列报（修订）》、《企业会计准则第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职工薪酬（修订）》、 《企业会计准则第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合并财务报表</w:t>
      </w:r>
    </w:p>
    <w:p>
      <w:pPr>
        <w:pStyle w:val="BodyText"/>
        <w:spacing w:line="240" w:lineRule="auto" w:before="63"/>
        <w:ind w:right="94"/>
        <w:jc w:val="left"/>
      </w:pPr>
      <w:r>
        <w:rPr/>
        <w:t>（修订）》、《企业会计准则第 </w:t>
      </w:r>
      <w:r>
        <w:rPr>
          <w:rFonts w:ascii="Times New Roman" w:hAnsi="Times New Roman" w:cs="Times New Roman" w:eastAsia="Times New Roman" w:hint="default"/>
        </w:rPr>
        <w:t>40 </w:t>
      </w:r>
      <w:r>
        <w:rPr/>
        <w:t>号 </w:t>
      </w:r>
      <w:r>
        <w:rPr>
          <w:rFonts w:ascii="Times New Roman" w:hAnsi="Times New Roman" w:cs="Times New Roman" w:eastAsia="Times New Roman" w:hint="default"/>
        </w:rPr>
        <w:t>——</w:t>
      </w:r>
      <w:r>
        <w:rPr/>
        <w:t>合营安排》、《企业会计准则第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长期股权投资（修订）》、《企业会</w:t>
      </w:r>
    </w:p>
    <w:p>
      <w:pPr>
        <w:pStyle w:val="BodyText"/>
        <w:spacing w:line="240" w:lineRule="auto" w:before="63"/>
        <w:ind w:right="94"/>
        <w:jc w:val="left"/>
      </w:pPr>
      <w:r>
        <w:rPr/>
        <w:t>计准则第 </w:t>
      </w:r>
      <w:r>
        <w:rPr>
          <w:rFonts w:ascii="Times New Roman" w:hAnsi="Times New Roman" w:cs="Times New Roman" w:eastAsia="Times New Roman" w:hint="default"/>
        </w:rPr>
        <w:t>41 </w:t>
      </w:r>
      <w:r>
        <w:rPr/>
        <w:t>号</w:t>
      </w:r>
      <w:r>
        <w:rPr>
          <w:rFonts w:ascii="Times New Roman" w:hAnsi="Times New Roman" w:cs="Times New Roman" w:eastAsia="Times New Roman" w:hint="default"/>
        </w:rPr>
        <w:t>——</w:t>
      </w:r>
      <w:r>
        <w:rPr/>
        <w:t>在其他主体中权益的披露》及《企业会计准则第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w:t>
      </w:r>
      <w:r>
        <w:rPr/>
        <w:t>金融工具列报（修订）》。</w:t>
      </w:r>
    </w:p>
    <w:p>
      <w:pPr>
        <w:pStyle w:val="BodyText"/>
        <w:spacing w:line="240" w:lineRule="auto" w:before="63"/>
        <w:ind w:left="573" w:right="94"/>
        <w:jc w:val="left"/>
      </w:pPr>
      <w:r>
        <w:rPr/>
        <w:t>本公司在编制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年度报告时，执行了相关会计准则，并对比较报表进行了重述：</w:t>
      </w:r>
    </w:p>
    <w:p>
      <w:pPr>
        <w:pStyle w:val="BodyText"/>
        <w:spacing w:line="300" w:lineRule="auto" w:before="63"/>
        <w:ind w:right="186" w:firstLine="420"/>
        <w:jc w:val="both"/>
      </w:pPr>
      <w:r>
        <w:rPr/>
        <w:t>（</w:t>
      </w:r>
      <w:r>
        <w:rPr>
          <w:rFonts w:ascii="宋体" w:hAnsi="宋体" w:cs="宋体" w:eastAsia="宋体" w:hint="default"/>
        </w:rPr>
        <w:t>1</w:t>
      </w:r>
      <w:r>
        <w:rPr/>
        <w:t>）根据修订的《企业会计准则第 </w:t>
      </w:r>
      <w:r>
        <w:rPr>
          <w:rFonts w:ascii="宋体" w:hAnsi="宋体" w:cs="宋体" w:eastAsia="宋体" w:hint="default"/>
        </w:rPr>
        <w:t>30</w:t>
      </w:r>
      <w:r>
        <w:rPr>
          <w:rFonts w:ascii="宋体" w:hAnsi="宋体" w:cs="宋体" w:eastAsia="宋体" w:hint="default"/>
          <w:spacing w:val="-52"/>
        </w:rPr>
        <w:t> </w:t>
      </w:r>
      <w:r>
        <w:rPr/>
        <w:t>号</w:t>
      </w:r>
      <w:r>
        <w:rPr>
          <w:rFonts w:ascii="Times New Roman" w:hAnsi="Times New Roman" w:cs="Times New Roman" w:eastAsia="Times New Roman" w:hint="default"/>
        </w:rPr>
        <w:t>——</w:t>
      </w:r>
      <w:r>
        <w:rPr/>
        <w:t>财务报表列报》规定，财务报告中资产负债表新增递延收益项目，本公 司采用追溯调整法，</w:t>
      </w:r>
      <w:r>
        <w:rPr>
          <w:rFonts w:ascii="宋体" w:hAnsi="宋体" w:cs="宋体" w:eastAsia="宋体" w:hint="default"/>
        </w:rPr>
        <w:t>2014</w:t>
      </w:r>
      <w:r>
        <w:rPr>
          <w:rFonts w:ascii="宋体" w:hAnsi="宋体" w:cs="宋体" w:eastAsia="宋体" w:hint="default"/>
          <w:spacing w:val="9"/>
        </w:rPr>
        <w:t> </w:t>
      </w:r>
      <w:r>
        <w:rPr/>
        <w:t>年比较报表已重新表述，</w:t>
      </w:r>
      <w:r>
        <w:rPr>
          <w:rFonts w:ascii="宋体" w:hAnsi="宋体" w:cs="宋体" w:eastAsia="宋体" w:hint="default"/>
        </w:rPr>
        <w:t>2013</w:t>
      </w:r>
      <w:r>
        <w:rPr>
          <w:rFonts w:ascii="宋体" w:hAnsi="宋体" w:cs="宋体" w:eastAsia="宋体" w:hint="default"/>
          <w:spacing w:val="9"/>
        </w:rPr>
        <w:t> </w:t>
      </w:r>
      <w:r>
        <w:rPr/>
        <w:t>年</w:t>
      </w:r>
      <w:r>
        <w:rPr>
          <w:rFonts w:ascii="宋体" w:hAnsi="宋体" w:cs="宋体" w:eastAsia="宋体" w:hint="default"/>
        </w:rPr>
        <w:t>12</w:t>
      </w:r>
      <w:r>
        <w:rPr/>
        <w:t>月</w:t>
      </w:r>
      <w:r>
        <w:rPr>
          <w:rFonts w:ascii="宋体" w:hAnsi="宋体" w:cs="宋体" w:eastAsia="宋体" w:hint="default"/>
        </w:rPr>
        <w:t>31</w:t>
      </w:r>
      <w:r>
        <w:rPr/>
        <w:t>日资产负债表调减其他非流动负债</w:t>
      </w:r>
      <w:r>
        <w:rPr>
          <w:spacing w:val="10"/>
        </w:rPr>
        <w:t> </w:t>
      </w:r>
      <w:r>
        <w:rPr>
          <w:rFonts w:ascii="Times New Roman" w:hAnsi="Times New Roman" w:cs="Times New Roman" w:eastAsia="Times New Roman" w:hint="default"/>
        </w:rPr>
        <w:t>8,198,500.00</w:t>
      </w:r>
      <w:r>
        <w:rPr>
          <w:rFonts w:ascii="Times New Roman" w:hAnsi="Times New Roman" w:cs="Times New Roman" w:eastAsia="Times New Roman" w:hint="default"/>
          <w:spacing w:val="10"/>
        </w:rPr>
        <w:t> </w:t>
      </w:r>
      <w:r>
        <w:rPr/>
        <w:t>元，调</w:t>
      </w:r>
      <w:r>
        <w:rPr>
          <w:spacing w:val="-88"/>
        </w:rPr>
        <w:t> </w:t>
      </w:r>
      <w:r>
        <w:rPr/>
        <w:t>增递延收益</w:t>
      </w:r>
      <w:r>
        <w:rPr>
          <w:rFonts w:ascii="Times New Roman" w:hAnsi="Times New Roman" w:cs="Times New Roman" w:eastAsia="Times New Roman" w:hint="default"/>
        </w:rPr>
        <w:t>8,198,500.00</w:t>
      </w:r>
      <w:r>
        <w:rPr>
          <w:rFonts w:ascii="Times New Roman" w:hAnsi="Times New Roman" w:cs="Times New Roman" w:eastAsia="Times New Roman" w:hint="default"/>
          <w:spacing w:val="31"/>
        </w:rPr>
        <w:t> </w:t>
      </w:r>
      <w:r>
        <w:rPr/>
        <w:t>元。</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日资产负债表调减其他非流动负债</w:t>
      </w:r>
      <w:r>
        <w:rPr>
          <w:rFonts w:ascii="Times New Roman" w:hAnsi="Times New Roman" w:cs="Times New Roman" w:eastAsia="Times New Roman" w:hint="default"/>
        </w:rPr>
        <w:t>8,630,000.00</w:t>
      </w:r>
      <w:r>
        <w:rPr/>
        <w:t>元，调增递延收益</w:t>
      </w:r>
      <w:r>
        <w:rPr>
          <w:rFonts w:ascii="Times New Roman" w:hAnsi="Times New Roman" w:cs="Times New Roman" w:eastAsia="Times New Roman" w:hint="default"/>
        </w:rPr>
        <w:t>8,630,000.00</w:t>
      </w:r>
      <w:r>
        <w:rPr/>
        <w:t>元。</w:t>
      </w:r>
      <w:r>
        <w:rPr>
          <w:spacing w:val="-82"/>
        </w:rPr>
        <w:t> </w:t>
      </w:r>
      <w:r>
        <w:rPr/>
        <w:t>负债总额无影响。</w:t>
      </w:r>
    </w:p>
    <w:p>
      <w:pPr>
        <w:pStyle w:val="BodyText"/>
        <w:spacing w:line="300" w:lineRule="auto" w:before="31"/>
        <w:ind w:right="174" w:firstLine="420"/>
        <w:jc w:val="both"/>
      </w:pPr>
      <w:r>
        <w:rPr/>
        <w:t>（</w:t>
      </w:r>
      <w:r>
        <w:rPr>
          <w:rFonts w:ascii="Times New Roman" w:hAnsi="Times New Roman" w:cs="Times New Roman" w:eastAsia="Times New Roman" w:hint="default"/>
        </w:rPr>
        <w:t>2</w:t>
      </w:r>
      <w:r>
        <w:rPr/>
        <w:t>）根据修订的《企业会计准则第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财务报表列报》规定，财务报告中资产负债表新增其他综合收益项目， 本公司采用追溯调整法，</w:t>
      </w:r>
      <w:r>
        <w:rPr>
          <w:rFonts w:ascii="Times New Roman" w:hAnsi="Times New Roman" w:cs="Times New Roman" w:eastAsia="Times New Roman" w:hint="default"/>
        </w:rPr>
        <w:t>2014 </w:t>
      </w:r>
      <w:r>
        <w:rPr/>
        <w:t>年比较报表已重新表述，将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日外币报表折算差额</w:t>
      </w:r>
      <w:r>
        <w:rPr>
          <w:rFonts w:ascii="Times New Roman" w:hAnsi="Times New Roman" w:cs="Times New Roman" w:eastAsia="Times New Roman" w:hint="default"/>
        </w:rPr>
        <w:t>-56,405.70</w:t>
      </w:r>
      <w:r>
        <w:rPr/>
        <w:t>列示为其他综合收益 明细项目。将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日外币报表折算差额</w:t>
      </w:r>
      <w:r>
        <w:rPr>
          <w:rFonts w:ascii="Times New Roman" w:hAnsi="Times New Roman" w:cs="Times New Roman" w:eastAsia="Times New Roman" w:hint="default"/>
        </w:rPr>
        <w:t>-34,652.96</w:t>
      </w:r>
      <w:r>
        <w:rPr/>
        <w:t>列示为其他综合收益明细项目。</w:t>
      </w:r>
    </w:p>
    <w:p>
      <w:pPr>
        <w:pStyle w:val="BodyText"/>
        <w:spacing w:line="307" w:lineRule="auto" w:before="13"/>
        <w:ind w:right="94" w:firstLine="420"/>
        <w:jc w:val="left"/>
      </w:pPr>
      <w:r>
        <w:rPr/>
        <w:t>（</w:t>
      </w:r>
      <w:r>
        <w:rPr>
          <w:rFonts w:ascii="Times New Roman" w:hAnsi="Times New Roman" w:cs="Times New Roman" w:eastAsia="Times New Roman" w:hint="default"/>
        </w:rPr>
        <w:t>3</w:t>
      </w:r>
      <w:r>
        <w:rPr/>
        <w:t>）根据修订的《企业会计准则第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长期股权投资》规定，将原成本法核算的对被投资单位不具有控制、共同 </w:t>
      </w:r>
      <w:r>
        <w:rPr>
          <w:spacing w:val="-2"/>
        </w:rPr>
        <w:t>控制或重大影响的权益性投资纳入可供出售金融资产核算，其中：在活跃市场中没有报价、公允价值不能可靠计量的权益工</w:t>
      </w:r>
      <w:r>
        <w:rPr>
          <w:spacing w:val="-63"/>
        </w:rPr>
        <w:t> </w:t>
      </w:r>
      <w:r>
        <w:rPr>
          <w:spacing w:val="-63"/>
        </w:rPr>
      </w:r>
      <w:r>
        <w:rPr>
          <w:spacing w:val="-2"/>
        </w:rPr>
        <w:t>具按照成本进行后续计量，其他权益工具按公允价值进行后续计量。本公司采用追溯调整法，</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2"/>
        </w:rPr>
        <w:t> </w:t>
      </w:r>
      <w:r>
        <w:rPr>
          <w:spacing w:val="-1"/>
        </w:rPr>
        <w:t>年比较报表已重新表述，</w:t>
      </w:r>
      <w:r>
        <w:rPr>
          <w:spacing w:val="-86"/>
        </w:rPr>
        <w:t> </w:t>
      </w:r>
      <w:r>
        <w:rPr>
          <w:spacing w:val="-86"/>
        </w:rPr>
      </w:r>
      <w:r>
        <w:rPr/>
        <w:t>由于被投资单位已经停业，本公司已于</w:t>
      </w:r>
      <w:r>
        <w:rPr>
          <w:rFonts w:ascii="Times New Roman" w:hAnsi="Times New Roman" w:cs="Times New Roman" w:eastAsia="Times New Roman" w:hint="default"/>
        </w:rPr>
        <w:t>2008</w:t>
      </w:r>
      <w:r>
        <w:rPr/>
        <w:t>年对其投资额</w:t>
      </w:r>
      <w:r>
        <w:rPr>
          <w:rFonts w:ascii="Times New Roman" w:hAnsi="Times New Roman" w:cs="Times New Roman" w:eastAsia="Times New Roman" w:hint="default"/>
        </w:rPr>
        <w:t>300,000.00</w:t>
      </w:r>
      <w:r>
        <w:rPr/>
        <w:t>元全额计提减值准备。</w:t>
      </w:r>
    </w:p>
    <w:p>
      <w:pPr>
        <w:pStyle w:val="BodyText"/>
        <w:spacing w:line="240" w:lineRule="auto" w:before="7"/>
        <w:ind w:left="573" w:right="94"/>
        <w:jc w:val="left"/>
      </w:pPr>
      <w:r>
        <w:rPr/>
        <w:t>上述可供出售金融资产与长期股权投资、递延收益与其他非流动负债，其他综合收益与外币报表折算差额的重分类对</w:t>
      </w:r>
    </w:p>
    <w:p>
      <w:pPr>
        <w:pStyle w:val="BodyText"/>
        <w:spacing w:line="240" w:lineRule="auto" w:before="76"/>
        <w:ind w:right="94"/>
        <w:jc w:val="left"/>
      </w:pP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t>日及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日的股东权益没有影响，对其他财务报表项目无重大影响。</w:t>
      </w:r>
    </w:p>
    <w:p>
      <w:pPr>
        <w:spacing w:line="240" w:lineRule="auto" w:before="3"/>
        <w:rPr>
          <w:rFonts w:ascii="宋体" w:hAnsi="宋体" w:cs="宋体" w:eastAsia="宋体" w:hint="default"/>
          <w:sz w:val="26"/>
          <w:szCs w:val="26"/>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5" w:right="94"/>
        <w:jc w:val="left"/>
      </w:pPr>
      <w:r>
        <w:rPr/>
        <w:t>无</w:t>
      </w:r>
    </w:p>
    <w:p>
      <w:pPr>
        <w:spacing w:after="0" w:line="240" w:lineRule="auto"/>
        <w:jc w:val="left"/>
        <w:sectPr>
          <w:footerReference w:type="default" r:id="rId32"/>
          <w:pgSz w:w="11910" w:h="16840"/>
          <w:pgMar w:footer="979" w:header="877" w:top="1100" w:bottom="1160" w:left="980" w:right="940"/>
          <w:pgNumType w:start="101"/>
        </w:sectPr>
      </w:pPr>
    </w:p>
    <w:p>
      <w:pPr>
        <w:spacing w:line="240" w:lineRule="auto" w:before="10"/>
        <w:rPr>
          <w:rFonts w:ascii="宋体" w:hAnsi="宋体" w:cs="宋体" w:eastAsia="宋体" w:hint="default"/>
          <w:sz w:val="19"/>
          <w:szCs w:val="19"/>
        </w:rPr>
      </w:pPr>
    </w:p>
    <w:p>
      <w:pPr>
        <w:pStyle w:val="Heading2"/>
        <w:spacing w:line="240" w:lineRule="auto" w:before="26"/>
        <w:ind w:right="14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境内销售，提供加工、修理修配劳务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提供建筑劳务收入、销售房屋收入、出 租收入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预收房款、营业收入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江堤基金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0.03%</w:t>
            </w:r>
            <w:r>
              <w:rPr>
                <w:rFonts w:ascii="宋体" w:hAnsi="宋体" w:cs="宋体" w:eastAsia="宋体" w:hint="default"/>
                <w:sz w:val="18"/>
                <w:szCs w:val="18"/>
              </w:rPr>
              <w:t>、</w:t>
            </w:r>
            <w:r>
              <w:rPr>
                <w:rFonts w:ascii="Times New Roman" w:hAnsi="Times New Roman" w:cs="Times New Roman" w:eastAsia="Times New Roman" w:hint="default"/>
                <w:sz w:val="18"/>
                <w:szCs w:val="18"/>
              </w:rPr>
              <w:t>0.08%</w:t>
            </w:r>
            <w:r>
              <w:rPr>
                <w:rFonts w:ascii="宋体" w:hAnsi="宋体" w:cs="宋体" w:eastAsia="宋体" w:hint="default"/>
                <w:sz w:val="18"/>
                <w:szCs w:val="18"/>
              </w:rPr>
              <w:t>、</w:t>
            </w:r>
            <w:r>
              <w:rPr>
                <w:rFonts w:ascii="Times New Roman" w:hAnsi="Times New Roman" w:cs="Times New Roman" w:eastAsia="Times New Roman" w:hint="default"/>
                <w:sz w:val="18"/>
                <w:szCs w:val="18"/>
              </w:rPr>
              <w:t>0.1%</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土地增值额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超率累进税率。预缴税率为预收房款的</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1.5%-4%</w:t>
            </w:r>
          </w:p>
        </w:tc>
      </w:tr>
    </w:tbl>
    <w:p>
      <w:pPr>
        <w:pStyle w:val="BodyText"/>
        <w:spacing w:line="240" w:lineRule="auto" w:before="49"/>
        <w:ind w:right="142"/>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1"/>
        <w:rPr>
          <w:rFonts w:ascii="宋体" w:hAnsi="宋体" w:cs="宋体" w:eastAsia="宋体" w:hint="default"/>
          <w:sz w:val="18"/>
          <w:szCs w:val="18"/>
        </w:rPr>
      </w:pPr>
    </w:p>
    <w:p>
      <w:pPr>
        <w:pStyle w:val="Heading2"/>
        <w:spacing w:line="240" w:lineRule="auto" w:before="26"/>
        <w:ind w:right="142"/>
        <w:jc w:val="left"/>
        <w:rPr>
          <w:b w:val="0"/>
          <w:bCs w:val="0"/>
        </w:rPr>
      </w:pPr>
      <w:r>
        <w:rPr/>
        <w:t>七、合并财务报表项目注释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2,579,474.04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3,769,299.30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4,689,605,564.97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4,647,591,442.56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1,950,680,512.85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1,772,706,029.42</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6,642,865,551.86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6,424,066,771.28</w:t>
            </w:r>
          </w:p>
        </w:tc>
      </w:tr>
    </w:tbl>
    <w:p>
      <w:pPr>
        <w:pStyle w:val="BodyText"/>
        <w:spacing w:line="240" w:lineRule="auto" w:before="49"/>
        <w:ind w:right="142"/>
        <w:jc w:val="left"/>
      </w:pPr>
      <w:r>
        <w:rPr/>
        <w:t>其他说明</w:t>
      </w:r>
    </w:p>
    <w:p>
      <w:pPr>
        <w:pStyle w:val="BodyText"/>
        <w:spacing w:line="240" w:lineRule="auto" w:before="115"/>
        <w:ind w:left="573" w:right="142"/>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日止，货币资金中使用受到限制的资金具体明细如下：</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5401"/>
        <w:gridCol w:w="2341"/>
        <w:gridCol w:w="1942"/>
      </w:tblGrid>
      <w:tr>
        <w:trPr>
          <w:trHeight w:val="343"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tabs>
                <w:tab w:pos="473" w:val="left" w:leader="none"/>
              </w:tabs>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41"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汇票、信用证及保函保证金</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1,145,441,121.63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1,457,429,450.37</w:t>
            </w:r>
          </w:p>
        </w:tc>
      </w:tr>
      <w:tr>
        <w:trPr>
          <w:trHeight w:val="343"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按揭保证金</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216,403,042.22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116,294,575.43</w:t>
            </w:r>
          </w:p>
        </w:tc>
      </w:tr>
      <w:tr>
        <w:trPr>
          <w:trHeight w:val="341"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房地产开发项目货币资本金</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193,290,915.49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105,392,182.19</w:t>
            </w:r>
          </w:p>
        </w:tc>
      </w:tr>
      <w:tr>
        <w:trPr>
          <w:trHeight w:val="343"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贷款保证金</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371,357,282.81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522,524.15</w:t>
            </w:r>
          </w:p>
        </w:tc>
      </w:tr>
      <w:tr>
        <w:trPr>
          <w:trHeight w:val="341"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民工保证金</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30,894,618.04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19,068,505.35</w:t>
            </w:r>
          </w:p>
        </w:tc>
      </w:tr>
      <w:tr>
        <w:trPr>
          <w:trHeight w:val="343"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保证金共管账户</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7,928,869.06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8,620,423.77</w:t>
            </w:r>
          </w:p>
        </w:tc>
      </w:tr>
      <w:tr>
        <w:trPr>
          <w:trHeight w:val="344"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90,000,000.00</w:t>
            </w:r>
          </w:p>
        </w:tc>
        <w:tc>
          <w:tcPr>
            <w:tcW w:w="19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401"/>
        <w:gridCol w:w="1073"/>
        <w:gridCol w:w="1268"/>
        <w:gridCol w:w="1942"/>
      </w:tblGrid>
      <w:tr>
        <w:trPr>
          <w:trHeight w:val="341"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质量监管保证金</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93" w:right="0"/>
              <w:jc w:val="left"/>
              <w:rPr>
                <w:rFonts w:ascii="Times New Roman" w:hAnsi="Times New Roman" w:cs="Times New Roman" w:eastAsia="Times New Roman" w:hint="default"/>
                <w:sz w:val="18"/>
                <w:szCs w:val="18"/>
              </w:rPr>
            </w:pPr>
            <w:r>
              <w:rPr>
                <w:rFonts w:ascii="Times New Roman"/>
                <w:sz w:val="18"/>
              </w:rPr>
              <w:t>10,435,507.40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5,189,312.42</w:t>
            </w:r>
          </w:p>
        </w:tc>
      </w:tr>
      <w:tr>
        <w:trPr>
          <w:trHeight w:val="301"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tabs>
                <w:tab w:pos="395" w:val="left" w:leader="none"/>
              </w:tabs>
              <w:spacing w:line="240" w:lineRule="auto" w:before="20"/>
              <w:ind w:right="83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73" w:type="dxa"/>
            <w:tcBorders>
              <w:top w:val="single" w:sz="4" w:space="0" w:color="000000"/>
              <w:left w:val="single" w:sz="4" w:space="0" w:color="000000"/>
              <w:bottom w:val="single" w:sz="4" w:space="0" w:color="000000"/>
              <w:right w:val="nil" w:sz="6" w:space="0" w:color="auto"/>
            </w:tcBorders>
          </w:tcPr>
          <w:p>
            <w:pPr/>
          </w:p>
        </w:tc>
        <w:tc>
          <w:tcPr>
            <w:tcW w:w="1268" w:type="dxa"/>
            <w:tcBorders>
              <w:top w:val="single" w:sz="4" w:space="0" w:color="000000"/>
              <w:left w:val="nil" w:sz="6" w:space="0" w:color="auto"/>
              <w:bottom w:val="single" w:sz="37" w:space="0" w:color="000000"/>
              <w:right w:val="single" w:sz="4"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2,065,751,356.65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1,712,516,973.68</w:t>
            </w:r>
            <w:r>
              <w:rPr>
                <w:rFonts w:ascii="Times New Roman"/>
                <w:spacing w:val="-1"/>
                <w:sz w:val="18"/>
              </w:rPr>
            </w:r>
          </w:p>
        </w:tc>
      </w:tr>
    </w:tbl>
    <w:p>
      <w:pPr>
        <w:pStyle w:val="BodyText"/>
        <w:spacing w:line="202" w:lineRule="exact"/>
        <w:ind w:left="0" w:right="153"/>
        <w:jc w:val="right"/>
      </w:pPr>
      <w:r>
        <w:rPr>
          <w:spacing w:val="-2"/>
        </w:rPr>
        <w:t>注：根据东北特殊钢集团有限责任公司、中南房地产业有限公司、大连金牛股份有限公司、中国建设银行股份有限公司</w:t>
      </w:r>
    </w:p>
    <w:p>
      <w:pPr>
        <w:pStyle w:val="BodyText"/>
        <w:spacing w:line="300" w:lineRule="auto" w:before="76"/>
        <w:ind w:right="152"/>
        <w:jc w:val="both"/>
      </w:pPr>
      <w:r>
        <w:rPr/>
        <w:t>海门支行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日关于监管账户的协议，东北特殊钢集团有限责任公司汇入大连金牛股份有限公司在中国建设银行股</w:t>
      </w:r>
      <w:r>
        <w:rPr>
          <w:spacing w:val="-86"/>
        </w:rPr>
        <w:t> </w:t>
      </w:r>
      <w:r>
        <w:rPr>
          <w:spacing w:val="-86"/>
        </w:rPr>
      </w:r>
      <w:r>
        <w:rPr>
          <w:spacing w:val="-2"/>
        </w:rPr>
        <w:t>份有限公司海门支行开立的四方监管银行账户</w:t>
      </w:r>
      <w:r>
        <w:rPr>
          <w:rFonts w:ascii="Times New Roman" w:hAnsi="Times New Roman" w:cs="Times New Roman" w:eastAsia="Times New Roman" w:hint="default"/>
          <w:spacing w:val="-2"/>
        </w:rPr>
        <w:t>2200</w:t>
      </w:r>
      <w:r>
        <w:rPr>
          <w:spacing w:val="-2"/>
        </w:rPr>
        <w:t>万元货币资金，该货币资金及利息用于归还《债务处理协议》中规定的阶</w:t>
      </w:r>
      <w:r>
        <w:rPr>
          <w:spacing w:val="-63"/>
        </w:rPr>
        <w:t> </w:t>
      </w:r>
      <w:r>
        <w:rPr>
          <w:spacing w:val="-63"/>
        </w:rPr>
      </w:r>
      <w:r>
        <w:rPr/>
        <w:t>段性保证金。该账户年初余额为</w:t>
      </w:r>
      <w:r>
        <w:rPr>
          <w:rFonts w:ascii="Times New Roman" w:hAnsi="Times New Roman" w:cs="Times New Roman" w:eastAsia="Times New Roman" w:hint="default"/>
        </w:rPr>
        <w:t>8,620,423.77</w:t>
      </w:r>
      <w:r>
        <w:rPr/>
        <w:t>元，年末余额为</w:t>
      </w:r>
      <w:r>
        <w:rPr>
          <w:rFonts w:ascii="Times New Roman" w:hAnsi="Times New Roman" w:cs="Times New Roman" w:eastAsia="Times New Roman" w:hint="default"/>
        </w:rPr>
        <w:t>7,928,869.06</w:t>
      </w:r>
      <w:r>
        <w:rPr/>
        <w:t>元。</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3,759,572.55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2,794,245.22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3,759,572.55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2,794,245.22</w:t>
            </w:r>
          </w:p>
        </w:tc>
      </w:tr>
    </w:tbl>
    <w:p>
      <w:pPr>
        <w:pStyle w:val="BodyText"/>
        <w:spacing w:line="240" w:lineRule="auto" w:before="49"/>
        <w:ind w:right="142"/>
        <w:jc w:val="left"/>
      </w:pPr>
      <w:r>
        <w:rPr/>
        <w:t>其他说明：</w:t>
      </w:r>
    </w:p>
    <w:p>
      <w:pPr>
        <w:pStyle w:val="BodyText"/>
        <w:spacing w:line="240" w:lineRule="auto" w:before="115"/>
        <w:ind w:left="513" w:right="142"/>
        <w:jc w:val="left"/>
      </w:pPr>
      <w:r>
        <w:rPr/>
        <w:t>指定为以公允价值计量且其变动计入当期损益的金融资产全部为基金投资，具体情况如下：</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452"/>
        <w:gridCol w:w="1409"/>
        <w:gridCol w:w="1620"/>
        <w:gridCol w:w="1395"/>
        <w:gridCol w:w="1608"/>
      </w:tblGrid>
      <w:tr>
        <w:trPr>
          <w:trHeight w:val="34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名称</w:t>
            </w:r>
            <w:r>
              <w:rPr>
                <w:rFonts w:ascii="宋体" w:hAnsi="宋体" w:cs="宋体" w:eastAsia="宋体" w:hint="default"/>
                <w:sz w:val="18"/>
                <w:szCs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代码</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期末持有数量</w:t>
            </w:r>
            <w:r>
              <w:rPr>
                <w:rFonts w:ascii="宋体" w:hAnsi="宋体" w:cs="宋体" w:eastAsia="宋体" w:hint="default"/>
                <w:sz w:val="18"/>
                <w:szCs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报表日净值</w:t>
            </w:r>
            <w:r>
              <w:rPr>
                <w:rFonts w:ascii="宋体" w:hAnsi="宋体" w:cs="宋体" w:eastAsia="宋体" w:hint="default"/>
                <w:sz w:val="18"/>
                <w:szCs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期末公允价值</w:t>
            </w:r>
            <w:r>
              <w:rPr>
                <w:rFonts w:ascii="宋体" w:hAnsi="宋体" w:cs="宋体" w:eastAsia="宋体" w:hint="default"/>
                <w:sz w:val="18"/>
                <w:szCs w:val="18"/>
              </w:rPr>
            </w:r>
          </w:p>
        </w:tc>
      </w:tr>
      <w:tr>
        <w:trPr>
          <w:trHeight w:val="341"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、浦银安盛价值成长股票型证券投资基金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519110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1,928,000.00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1.442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2,780,176.00</w:t>
            </w:r>
          </w:p>
        </w:tc>
      </w:tr>
      <w:tr>
        <w:trPr>
          <w:trHeight w:val="655"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、工银瑞信中国机会全球配置股票型证券投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资基金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486002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200,400.00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1.328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266,131.20</w:t>
            </w:r>
          </w:p>
        </w:tc>
      </w:tr>
      <w:tr>
        <w:trPr>
          <w:trHeight w:val="341"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、海富通收益增长证券投资基金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519003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985,173.14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0.724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713,265.35</w:t>
            </w:r>
          </w:p>
        </w:tc>
      </w:tr>
      <w:tr>
        <w:trPr>
          <w:trHeight w:val="34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4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3,759,572.55</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42"/>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2"/>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25,361,977.99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16,674,464.60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16,056,426.02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41,418,404.01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16,924,464.60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53,046,190.56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90,099,325.12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143,145,515.68</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3"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6,748,56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9,219.78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635,743,</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867.36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9.42%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6,112,825</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,352.42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31,219.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514,723,7</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65.78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6,016,407,4</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53.86</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6,748,56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9,219.78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635,743,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867.36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9.42%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6,112,825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,352.42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31,219.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514,723,7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65.78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7.88%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6,016,407,4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53.86</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20"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4"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4,370,565,295.37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218,528,264.77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1,491,464,344.80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149,146,434.49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407,965,626.35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61,194,843.94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403,024,854.50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132,571,976.10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229,801,503.85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45,960,300.77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173,223,350.65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86,611,675.34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74,302,348.05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74,302,348.05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6,747,322,469.07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635,743,867.36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确定该组合依据的说明：</w:t>
      </w:r>
    </w:p>
    <w:p>
      <w:pPr>
        <w:spacing w:after="0" w:line="240" w:lineRule="auto"/>
        <w:jc w:val="left"/>
        <w:sectPr>
          <w:type w:val="continuous"/>
          <w:pgSz w:w="11910" w:h="16840"/>
          <w:pgMar w:top="106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142"/>
        <w:jc w:val="left"/>
      </w:pPr>
      <w:r>
        <w:rPr/>
        <w:t>组合中，采用余额百分比法计提坏账准备的应收账款：</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left="693" w:right="142"/>
        <w:jc w:val="left"/>
      </w:pPr>
      <w:r>
        <w:rPr/>
        <w:t>组合中，不计提坏账准备的应收账款</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055"/>
        <w:gridCol w:w="2266"/>
        <w:gridCol w:w="1980"/>
        <w:gridCol w:w="1645"/>
        <w:gridCol w:w="1644"/>
      </w:tblGrid>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款项内容</w:t>
            </w:r>
            <w:r>
              <w:rPr>
                <w:rFonts w:ascii="宋体" w:hAnsi="宋体" w:cs="宋体" w:eastAsia="宋体" w:hint="default"/>
                <w:sz w:val="18"/>
                <w:szCs w:val="18"/>
              </w:rPr>
            </w:r>
          </w:p>
        </w:tc>
        <w:tc>
          <w:tcPr>
            <w:tcW w:w="75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tc>
      </w:tr>
      <w:tr>
        <w:trPr>
          <w:trHeight w:val="343" w:hRule="exact"/>
        </w:trPr>
        <w:tc>
          <w:tcPr>
            <w:tcW w:w="2055"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计提理由</w:t>
            </w:r>
            <w:r>
              <w:rPr>
                <w:rFonts w:ascii="宋体" w:hAnsi="宋体" w:cs="宋体" w:eastAsia="宋体" w:hint="default"/>
                <w:sz w:val="18"/>
                <w:szCs w:val="18"/>
              </w:rPr>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应收其他关联方款项</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1,246,750.71</w:t>
            </w:r>
          </w:p>
        </w:tc>
        <w:tc>
          <w:tcPr>
            <w:tcW w:w="1980"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1,246,750.71</w:t>
            </w:r>
          </w:p>
        </w:tc>
        <w:tc>
          <w:tcPr>
            <w:tcW w:w="1980"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980"/>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121,020,101.58</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640" w:space="219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临沂市工业品金鹰房地产开发有限公司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5,245,053.76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临沂瑞生供水有限公司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3,022,769.79</w:t>
            </w: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临沂市工业品金鹰 房地产开发有限公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5,245,053.76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临沂瑞生供水有限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3,022,769.79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8,267,823.55</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19"/>
        <w:gridCol w:w="2103"/>
        <w:gridCol w:w="2521"/>
        <w:gridCol w:w="1836"/>
      </w:tblGrid>
      <w:tr>
        <w:trPr>
          <w:trHeight w:val="34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占应收账款余额比例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34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盐城市城南新区开发建设投资有限公司</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251,241,477.82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12,562,073.89</w:t>
            </w:r>
          </w:p>
        </w:tc>
      </w:tr>
      <w:tr>
        <w:trPr>
          <w:trHeight w:val="34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盐城金融城建设发展有限公司</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246,368,476.07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3.65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12,318,423.80</w:t>
            </w:r>
          </w:p>
        </w:tc>
      </w:tr>
      <w:tr>
        <w:trPr>
          <w:trHeight w:val="34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潜江市兴城投资开发有限公司</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233,431,382.98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19,338,952.80</w:t>
            </w:r>
          </w:p>
        </w:tc>
      </w:tr>
      <w:tr>
        <w:trPr>
          <w:trHeight w:val="34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北京华恒兴业房地产开发有限公司</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200,312,831.47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2.97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10,637,789.97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19"/>
        <w:gridCol w:w="2103"/>
        <w:gridCol w:w="2105"/>
        <w:gridCol w:w="415"/>
        <w:gridCol w:w="1836"/>
      </w:tblGrid>
      <w:tr>
        <w:trPr>
          <w:trHeight w:val="34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天洋地产（唐山）有限公司</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62" w:right="0"/>
              <w:jc w:val="left"/>
              <w:rPr>
                <w:rFonts w:ascii="Times New Roman" w:hAnsi="Times New Roman" w:cs="Times New Roman" w:eastAsia="Times New Roman" w:hint="default"/>
                <w:sz w:val="18"/>
                <w:szCs w:val="18"/>
              </w:rPr>
            </w:pPr>
            <w:r>
              <w:rPr>
                <w:rFonts w:ascii="Times New Roman"/>
                <w:sz w:val="18"/>
              </w:rPr>
              <w:t>185,155,488.46</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12,149,387.32</w:t>
            </w:r>
          </w:p>
        </w:tc>
      </w:tr>
      <w:tr>
        <w:trPr>
          <w:trHeight w:val="30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1,116,509,656.80</w:t>
            </w:r>
            <w:r>
              <w:rPr>
                <w:rFonts w:ascii="Times New Roman"/>
                <w:sz w:val="18"/>
              </w:rPr>
            </w:r>
          </w:p>
        </w:tc>
        <w:tc>
          <w:tcPr>
            <w:tcW w:w="2105" w:type="dxa"/>
            <w:tcBorders>
              <w:top w:val="single" w:sz="4" w:space="0" w:color="000000"/>
              <w:left w:val="single" w:sz="4" w:space="0" w:color="000000"/>
              <w:bottom w:val="single" w:sz="4" w:space="0" w:color="000000"/>
              <w:right w:val="nil" w:sz="6" w:space="0" w:color="auto"/>
            </w:tcBorders>
          </w:tcPr>
          <w:p>
            <w:pPr/>
          </w:p>
        </w:tc>
        <w:tc>
          <w:tcPr>
            <w:tcW w:w="415" w:type="dxa"/>
            <w:tcBorders>
              <w:top w:val="single" w:sz="4" w:space="0" w:color="000000"/>
              <w:left w:val="nil" w:sz="6" w:space="0" w:color="auto"/>
              <w:bottom w:val="single" w:sz="37" w:space="0" w:color="000000"/>
              <w:right w:val="single" w:sz="4"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16.54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67,006,627.78</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1,629,836,777.73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2,220,088,265.09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490,914,565.99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451,981,160.16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12.25%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265,368,542.72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313,656,513.05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477,288,192.80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704,564,360.12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2,863,408,079.24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3,690,290,298.42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3294"/>
        <w:jc w:val="left"/>
      </w:pPr>
      <w:r>
        <w:rPr/>
        <w:t>账龄超过</w:t>
      </w:r>
      <w:r>
        <w:rPr>
          <w:spacing w:val="-45"/>
        </w:rPr>
        <w:t> </w:t>
      </w:r>
      <w:r>
        <w:rPr>
          <w:rFonts w:ascii="Times New Roman" w:hAnsi="Times New Roman" w:cs="Times New Roman" w:eastAsia="Times New Roman" w:hint="default"/>
        </w:rPr>
        <w:t>1 </w:t>
      </w:r>
      <w:r>
        <w:rPr/>
        <w:t>年且金额重要的预付款项未及时结算原因的说明： 账龄超过一年的预付款项，主要因土地未交付、工程未完工，款项尚未结算所致。</w:t>
      </w:r>
    </w:p>
    <w:p>
      <w:pPr>
        <w:spacing w:line="240" w:lineRule="auto" w:before="8"/>
        <w:rPr>
          <w:rFonts w:ascii="宋体" w:hAnsi="宋体" w:cs="宋体" w:eastAsia="宋体" w:hint="default"/>
          <w:sz w:val="21"/>
          <w:szCs w:val="21"/>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501"/>
        <w:gridCol w:w="1253"/>
        <w:gridCol w:w="1267"/>
        <w:gridCol w:w="1853"/>
        <w:gridCol w:w="487"/>
      </w:tblGrid>
      <w:tr>
        <w:trPr>
          <w:trHeight w:val="34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占预付款项余额比例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4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青岛市李沧区湘潭路街道办事处大枣园社区居民委员会</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82" w:right="0"/>
              <w:jc w:val="left"/>
              <w:rPr>
                <w:rFonts w:ascii="Times New Roman" w:hAnsi="Times New Roman" w:cs="Times New Roman" w:eastAsia="Times New Roman" w:hint="default"/>
                <w:sz w:val="18"/>
                <w:szCs w:val="18"/>
              </w:rPr>
            </w:pPr>
            <w:r>
              <w:rPr>
                <w:rFonts w:ascii="Times New Roman"/>
                <w:sz w:val="18"/>
              </w:rPr>
              <w:t>655,504,785.30</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22.89</w:t>
            </w:r>
          </w:p>
        </w:tc>
      </w:tr>
      <w:tr>
        <w:trPr>
          <w:trHeight w:val="34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海门市城市建设指挥部</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82" w:right="0"/>
              <w:jc w:val="left"/>
              <w:rPr>
                <w:rFonts w:ascii="Times New Roman" w:hAnsi="Times New Roman" w:cs="Times New Roman" w:eastAsia="Times New Roman" w:hint="default"/>
                <w:sz w:val="18"/>
                <w:szCs w:val="18"/>
              </w:rPr>
            </w:pPr>
            <w:r>
              <w:rPr>
                <w:rFonts w:ascii="Times New Roman"/>
                <w:sz w:val="18"/>
              </w:rPr>
              <w:t>286,112,229.00</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9.99</w:t>
            </w:r>
          </w:p>
        </w:tc>
      </w:tr>
      <w:tr>
        <w:trPr>
          <w:trHeight w:val="34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青岛市李沧区湘潭路街道办事处南岭社区居民委员会</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82" w:right="0"/>
              <w:jc w:val="left"/>
              <w:rPr>
                <w:rFonts w:ascii="Times New Roman" w:hAnsi="Times New Roman" w:cs="Times New Roman" w:eastAsia="Times New Roman" w:hint="default"/>
                <w:sz w:val="18"/>
                <w:szCs w:val="18"/>
              </w:rPr>
            </w:pPr>
            <w:r>
              <w:rPr>
                <w:rFonts w:ascii="Times New Roman"/>
                <w:sz w:val="18"/>
              </w:rPr>
              <w:t>141,761,642.07</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4.95</w:t>
            </w:r>
          </w:p>
        </w:tc>
      </w:tr>
      <w:tr>
        <w:trPr>
          <w:trHeight w:val="34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金丰环球装饰工程（天津）有限公司</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73" w:right="0"/>
              <w:jc w:val="left"/>
              <w:rPr>
                <w:rFonts w:ascii="Times New Roman" w:hAnsi="Times New Roman" w:cs="Times New Roman" w:eastAsia="Times New Roman" w:hint="default"/>
                <w:sz w:val="18"/>
                <w:szCs w:val="18"/>
              </w:rPr>
            </w:pPr>
            <w:r>
              <w:rPr>
                <w:rFonts w:ascii="Times New Roman"/>
                <w:sz w:val="18"/>
              </w:rPr>
              <w:t>71,138,944.63</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2.49</w:t>
            </w:r>
          </w:p>
        </w:tc>
      </w:tr>
      <w:tr>
        <w:trPr>
          <w:trHeight w:val="34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北京城建中南市政工程有限公司</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73" w:right="0"/>
              <w:jc w:val="left"/>
              <w:rPr>
                <w:rFonts w:ascii="Times New Roman" w:hAnsi="Times New Roman" w:cs="Times New Roman" w:eastAsia="Times New Roman" w:hint="default"/>
                <w:sz w:val="18"/>
                <w:szCs w:val="18"/>
              </w:rPr>
            </w:pPr>
            <w:r>
              <w:rPr>
                <w:rFonts w:ascii="Times New Roman"/>
                <w:sz w:val="18"/>
              </w:rPr>
              <w:t>69,952,182.75</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2.44</w:t>
            </w:r>
          </w:p>
        </w:tc>
      </w:tr>
      <w:tr>
        <w:trPr>
          <w:trHeight w:val="30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53" w:type="dxa"/>
            <w:tcBorders>
              <w:top w:val="single" w:sz="4" w:space="0" w:color="000000"/>
              <w:left w:val="single" w:sz="4" w:space="0" w:color="000000"/>
              <w:bottom w:val="single" w:sz="4" w:space="0" w:color="000000"/>
              <w:right w:val="nil" w:sz="6" w:space="0" w:color="auto"/>
            </w:tcBorders>
          </w:tcPr>
          <w:p>
            <w:pPr/>
          </w:p>
        </w:tc>
        <w:tc>
          <w:tcPr>
            <w:tcW w:w="1267" w:type="dxa"/>
            <w:tcBorders>
              <w:top w:val="single" w:sz="4" w:space="0" w:color="000000"/>
              <w:left w:val="nil" w:sz="6" w:space="0" w:color="auto"/>
              <w:bottom w:val="single" w:sz="37" w:space="0" w:color="000000"/>
              <w:right w:val="single" w:sz="4"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1,224,469,783.75</w:t>
            </w:r>
          </w:p>
        </w:tc>
        <w:tc>
          <w:tcPr>
            <w:tcW w:w="1853" w:type="dxa"/>
            <w:tcBorders>
              <w:top w:val="single" w:sz="4" w:space="0" w:color="000000"/>
              <w:left w:val="single" w:sz="4" w:space="0" w:color="000000"/>
              <w:bottom w:val="single" w:sz="4" w:space="0" w:color="000000"/>
              <w:right w:val="nil" w:sz="6" w:space="0" w:color="auto"/>
            </w:tcBorders>
          </w:tcPr>
          <w:p>
            <w:pPr/>
          </w:p>
        </w:tc>
        <w:tc>
          <w:tcPr>
            <w:tcW w:w="487" w:type="dxa"/>
            <w:tcBorders>
              <w:top w:val="single" w:sz="4" w:space="0" w:color="000000"/>
              <w:left w:val="nil" w:sz="6" w:space="0" w:color="auto"/>
              <w:bottom w:val="single" w:sz="37" w:space="0" w:color="000000"/>
              <w:right w:val="single" w:sz="4" w:space="0" w:color="000000"/>
            </w:tcBorders>
          </w:tcPr>
          <w:p>
            <w:pPr>
              <w:pStyle w:val="TableParagraph"/>
              <w:spacing w:line="240" w:lineRule="auto" w:before="62"/>
              <w:ind w:left="72" w:right="0"/>
              <w:jc w:val="left"/>
              <w:rPr>
                <w:rFonts w:ascii="Times New Roman" w:hAnsi="Times New Roman" w:cs="Times New Roman" w:eastAsia="Times New Roman" w:hint="default"/>
                <w:sz w:val="18"/>
                <w:szCs w:val="18"/>
              </w:rPr>
            </w:pPr>
            <w:r>
              <w:rPr>
                <w:rFonts w:ascii="Times New Roman"/>
                <w:sz w:val="18"/>
              </w:rPr>
              <w:t>42.76</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4"/>
        <w:gridCol w:w="751"/>
        <w:gridCol w:w="801"/>
        <w:gridCol w:w="653"/>
        <w:gridCol w:w="761"/>
        <w:gridCol w:w="814"/>
        <w:gridCol w:w="934"/>
        <w:gridCol w:w="93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3"/>
              <w:ind w:left="94" w:right="0"/>
              <w:jc w:val="left"/>
              <w:rPr>
                <w:rFonts w:ascii="Times New Roman" w:hAnsi="Times New Roman" w:cs="Times New Roman" w:eastAsia="Times New Roman" w:hint="default"/>
                <w:sz w:val="18"/>
                <w:szCs w:val="18"/>
              </w:rPr>
            </w:pPr>
            <w:r>
              <w:rPr>
                <w:rFonts w:ascii="Times New Roman"/>
                <w:sz w:val="18"/>
              </w:rPr>
              <w:t>3,958,86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98" w:right="0"/>
              <w:jc w:val="left"/>
              <w:rPr>
                <w:rFonts w:ascii="Times New Roman" w:hAnsi="Times New Roman" w:cs="Times New Roman" w:eastAsia="Times New Roman" w:hint="default"/>
                <w:sz w:val="18"/>
                <w:szCs w:val="18"/>
              </w:rPr>
            </w:pPr>
            <w:r>
              <w:rPr>
                <w:rFonts w:ascii="Times New Roman"/>
                <w:sz w:val="18"/>
              </w:rPr>
              <w:t>130,097,</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5" w:right="0"/>
              <w:jc w:val="left"/>
              <w:rPr>
                <w:rFonts w:ascii="Times New Roman" w:hAnsi="Times New Roman" w:cs="Times New Roman" w:eastAsia="Times New Roman" w:hint="default"/>
                <w:sz w:val="18"/>
                <w:szCs w:val="18"/>
              </w:rPr>
            </w:pPr>
            <w:r>
              <w:rPr>
                <w:rFonts w:ascii="Times New Roman"/>
                <w:sz w:val="18"/>
              </w:rPr>
              <w:t>3.29%</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6" w:right="0"/>
              <w:jc w:val="left"/>
              <w:rPr>
                <w:rFonts w:ascii="Times New Roman" w:hAnsi="Times New Roman" w:cs="Times New Roman" w:eastAsia="Times New Roman" w:hint="default"/>
                <w:sz w:val="18"/>
                <w:szCs w:val="18"/>
              </w:rPr>
            </w:pPr>
            <w:r>
              <w:rPr>
                <w:rFonts w:ascii="Times New Roman"/>
                <w:sz w:val="18"/>
              </w:rPr>
              <w:t>3,828,764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1" w:right="0"/>
              <w:jc w:val="left"/>
              <w:rPr>
                <w:rFonts w:ascii="Times New Roman" w:hAnsi="Times New Roman" w:cs="Times New Roman" w:eastAsia="Times New Roman" w:hint="default"/>
                <w:sz w:val="18"/>
                <w:szCs w:val="18"/>
              </w:rPr>
            </w:pPr>
            <w:r>
              <w:rPr>
                <w:rFonts w:ascii="Times New Roman"/>
                <w:sz w:val="18"/>
              </w:rPr>
              <w:t>5,044,7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2" w:right="0"/>
              <w:jc w:val="left"/>
              <w:rPr>
                <w:rFonts w:ascii="Times New Roman" w:hAnsi="Times New Roman" w:cs="Times New Roman" w:eastAsia="Times New Roman" w:hint="default"/>
                <w:sz w:val="18"/>
                <w:szCs w:val="18"/>
              </w:rPr>
            </w:pPr>
            <w:r>
              <w:rPr>
                <w:rFonts w:ascii="Times New Roman"/>
                <w:sz w:val="18"/>
              </w:rPr>
              <w:t>99,057,30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4" w:right="0"/>
              <w:jc w:val="left"/>
              <w:rPr>
                <w:rFonts w:ascii="Times New Roman" w:hAnsi="Times New Roman" w:cs="Times New Roman" w:eastAsia="Times New Roman" w:hint="default"/>
                <w:sz w:val="18"/>
                <w:szCs w:val="18"/>
              </w:rPr>
            </w:pPr>
            <w:r>
              <w:rPr>
                <w:rFonts w:ascii="Times New Roman"/>
                <w:sz w:val="18"/>
              </w:rPr>
              <w:t>1.96%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5" w:right="0"/>
              <w:jc w:val="left"/>
              <w:rPr>
                <w:rFonts w:ascii="Times New Roman" w:hAnsi="Times New Roman" w:cs="Times New Roman" w:eastAsia="Times New Roman" w:hint="default"/>
                <w:sz w:val="18"/>
                <w:szCs w:val="18"/>
              </w:rPr>
            </w:pPr>
            <w:r>
              <w:rPr>
                <w:rFonts w:ascii="Times New Roman"/>
                <w:sz w:val="18"/>
              </w:rPr>
              <w:t>4,945,672,1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2,028.90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214.91</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6" w:right="0"/>
              <w:jc w:val="left"/>
              <w:rPr>
                <w:rFonts w:ascii="Times New Roman" w:hAnsi="Times New Roman" w:cs="Times New Roman" w:eastAsia="Times New Roman" w:hint="default"/>
                <w:sz w:val="18"/>
                <w:szCs w:val="18"/>
              </w:rPr>
            </w:pPr>
            <w:r>
              <w:rPr>
                <w:rFonts w:ascii="Times New Roman"/>
                <w:sz w:val="18"/>
              </w:rPr>
              <w:t>,813.99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29,425.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1.47</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23.69</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3,958,86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2,028.90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130,097,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214.91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3.29%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3,828,764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,813.99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29,425.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99,057,30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4,945,672,1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23.69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3"/>
        <w:gridCol w:w="2393"/>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528,993,482.09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26,449,674.11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204,271,073.59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20,427,107.39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152,717,886.44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22,907,682.97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146,343,137.20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36,987,708.20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120,612,868.05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24,122,573.61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25,730,269.11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12,865,134.57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23,325,042.26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23,325,042.26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1,055,650,621.54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130,097,214.91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31,039,913.44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48" w:space="2281"/>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各类保证金、押金等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968,405,115.93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2,225,839,905.10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113,221,878.49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128,391,927.62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应收政府款项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1,821,584,412.94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1,095,904,545.00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1,055,650,621.54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1,594,593,047.44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3,958,862,028.90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5,044,729,425.16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5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泰安市鼎盛投资开 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代垫拆迁款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19.30%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海门市城市发展投 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前期工程预付款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大连欧美亚投资集 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11,650,000.00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淮安新城投资开发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前期工程预付款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209,286,907.72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江苏环宇建筑设备 制造有限公司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159,768,983.26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18,815,845.58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1,766,055,890.98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30,465,845.58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523"/>
        <w:gridCol w:w="1260"/>
        <w:gridCol w:w="1620"/>
        <w:gridCol w:w="1587"/>
        <w:gridCol w:w="1186"/>
        <w:gridCol w:w="1515"/>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4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404" w:type="dxa"/>
            <w:gridSpan w:val="3"/>
            <w:vMerge/>
            <w:tcBorders>
              <w:left w:val="single" w:sz="4" w:space="0" w:color="000000"/>
              <w:bottom w:val="single" w:sz="4" w:space="0" w:color="000000"/>
              <w:right w:val="single" w:sz="4" w:space="0" w:color="000000"/>
            </w:tcBorders>
            <w:shd w:val="clear" w:color="auto" w:fill="D2D2D2"/>
          </w:tcPr>
          <w:p>
            <w:pPr/>
          </w:p>
        </w:tc>
        <w:tc>
          <w:tcPr>
            <w:tcW w:w="428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3"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1587"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5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647,025,095.71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647,025,095.71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532,947,733.46</w:t>
            </w:r>
          </w:p>
        </w:tc>
        <w:tc>
          <w:tcPr>
            <w:tcW w:w="118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532,947,733.46</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53,303,629,104.76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32,154,155.12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53,271,474,949.64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36,497,391,958.58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32,154,155.12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36,465,237,803.46</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24,217,000.33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24,217,000.33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30,277,772.69</w:t>
            </w:r>
          </w:p>
        </w:tc>
        <w:tc>
          <w:tcPr>
            <w:tcW w:w="118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30,277,772.69</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335,545,769.62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335,545,769.62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243,037,911.75</w:t>
            </w:r>
          </w:p>
        </w:tc>
        <w:tc>
          <w:tcPr>
            <w:tcW w:w="118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243,037,911.75</w:t>
            </w:r>
          </w:p>
        </w:tc>
      </w:tr>
      <w:tr>
        <w:trPr>
          <w:trHeight w:val="1027"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2,933,562,179.07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2,933,562,179.07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1,564,593,572.02</w:t>
            </w:r>
          </w:p>
        </w:tc>
        <w:tc>
          <w:tcPr>
            <w:tcW w:w="118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1,564,593,572.02</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57,243,979,149.49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32,154,155.12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57,211,824,994.37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38,868,248,948.50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32,154,155.12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38,836,094,793.38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60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32,154,155.12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32,154,155.12</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32,154,155.12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32,154,155.12</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42"/>
        <w:jc w:val="left"/>
      </w:pPr>
      <w:r>
        <w:rPr/>
        <w:t>存货期末余额中借款费用资本化金额为</w:t>
      </w:r>
      <w:r>
        <w:rPr>
          <w:rFonts w:ascii="Times New Roman" w:hAnsi="Times New Roman" w:cs="Times New Roman" w:eastAsia="Times New Roman" w:hint="default"/>
        </w:rPr>
        <w:t>4,706,179,370.29</w:t>
      </w:r>
      <w:r>
        <w:rPr/>
        <w:t>元。</w:t>
      </w:r>
    </w:p>
    <w:p>
      <w:pPr>
        <w:spacing w:line="240" w:lineRule="auto" w:before="2"/>
        <w:rPr>
          <w:rFonts w:ascii="宋体" w:hAnsi="宋体" w:cs="宋体" w:eastAsia="宋体" w:hint="default"/>
          <w:sz w:val="26"/>
          <w:szCs w:val="26"/>
        </w:rPr>
      </w:pPr>
    </w:p>
    <w:p>
      <w:pPr>
        <w:pStyle w:val="Heading3"/>
        <w:spacing w:line="240" w:lineRule="auto"/>
        <w:ind w:right="142"/>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35,962,832,328.85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4,926,086,475.41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37,955,356,625.19</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2,933,562,179.07</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629,050,000.00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629,050,000.00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海门市岩 土工程公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国信中南 城市开发 投资基金 管理（北 京）有限 责任公司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-951,310.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14,048,68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14,048,68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9.02</w:t>
            </w:r>
          </w:p>
        </w:tc>
        <w:tc>
          <w:tcPr>
            <w:tcW w:w="797" w:type="dxa"/>
            <w:vMerge w:val="restart"/>
            <w:tcBorders>
              <w:top w:val="single" w:sz="4" w:space="0" w:color="000000"/>
              <w:left w:val="single" w:sz="4" w:space="0" w:color="000000"/>
              <w:right w:val="single" w:sz="4" w:space="0" w:color="000000"/>
            </w:tcBorders>
          </w:tcPr>
          <w:p>
            <w:pPr/>
          </w:p>
        </w:tc>
      </w:tr>
      <w:tr>
        <w:trPr>
          <w:trHeight w:val="394"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青岛中南 物业管理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2,159,123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520,748.5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2,679,871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南京中南 天生桥旅 游开发有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-794,653.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18,805,34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6.77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2,159,123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21,485,21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2,159,123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34,600,00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-1,225,21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35,533,90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7.55</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其他说明</w:t>
      </w:r>
    </w:p>
    <w:p>
      <w:pPr>
        <w:spacing w:after="0" w:line="240" w:lineRule="auto"/>
        <w:jc w:val="left"/>
        <w:sectPr>
          <w:footerReference w:type="default" r:id="rId33"/>
          <w:pgSz w:w="11910" w:h="16840"/>
          <w:pgMar w:footer="979" w:header="877" w:top="1100" w:bottom="1160" w:left="980" w:right="980"/>
          <w:pgNumType w:start="11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2"/>
        <w:jc w:val="left"/>
      </w:pPr>
      <w:r>
        <w:rPr/>
        <w:t>√ 适用 □</w:t>
      </w:r>
      <w:r>
        <w:rPr>
          <w:spacing w:val="3"/>
        </w:rPr>
        <w:t> </w:t>
      </w:r>
      <w:r>
        <w:rPr/>
        <w:t>不适用</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657,333,379.51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657,333,379.51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744,038,332.74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744,038,332.74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744,038,332.74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744,038,332.74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1,401,371,712.25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1,401,371,712.25</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69,905,008.67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69,905,008.67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31,314,299.09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31,314,299.09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31,314,299.09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31,314,299.09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101,219,307.76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101,219,307.76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1,300,152,404.49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1,300,152,404.49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587,428,370.84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587,428,370.84</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盐城中南城购物中心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231,773,006.08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该项目需要在其所在地块上其他主体楼 栋完工后统一办理竣工结算及其他证照 手续</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20"/>
        <w:gridCol w:w="1198"/>
        <w:gridCol w:w="1195"/>
        <w:gridCol w:w="1196"/>
        <w:gridCol w:w="1195"/>
        <w:gridCol w:w="1287"/>
        <w:gridCol w:w="1368"/>
      </w:tblGrid>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1,590,316,430.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326,416,482.14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56,476,553.18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108,394,877.37</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118,896,959.33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2,200,501,302.08</w:t>
            </w:r>
          </w:p>
        </w:tc>
      </w:tr>
      <w:tr>
        <w:trPr>
          <w:trHeight w:val="392" w:hRule="exact"/>
        </w:trPr>
        <w:tc>
          <w:tcPr>
            <w:tcW w:w="21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vMerge/>
            <w:tcBorders>
              <w:left w:val="single" w:sz="10"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21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316,171,368.61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50,009,152.12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13,265,672.49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18,046,966.93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343,188,912.71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740,682,072.86</w:t>
            </w: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1,830,517.38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50,009,152.12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13,265,672.49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18,046,966.93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326,388,912.71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409,541,221.63</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314,340,851.23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331,140,851.23</w:t>
            </w: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1,356,753.77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5,727,945.07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632,238.16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3,716,634.00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6,066,574.78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17,500,145.78</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1,356,753.77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5,727,945.07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632,238.16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3,716,634.00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6,066,574.78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17,500,145.78</w:t>
            </w: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1,905,131,044.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370,697,689.19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69,109,987.51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122,725,210.30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456,019,297.26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2,923,683,229.16</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271,743,594.16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151,160,212.44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23,810,317.78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45,739,899.80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64,290,785.87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556,744,810.05</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64,882,049.69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38,742,485.57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11,050,568.09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19,988,758.43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38,612,812.96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173,276,674.74</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64,882,049.69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38,742,485.57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11,050,568.09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19,988,758.43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38,612,812.96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173,276,674.74</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288,337.13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4,118,784.86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347,724.83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1,660,122.50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5,468,922.76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11,883,892.08</w:t>
            </w: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288,337.13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4,118,784.86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347,724.83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1,660,122.50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5,468,922.76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11,883,892.08</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336,337,306.72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185,783,913.15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34,513,161.04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64,068,535.73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97,434,676.07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718,137,592.71</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1,568,793,738.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184,913,776.04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34,596,826.47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58,656,674.57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358,584,621.19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2,205,545,636.45</w:t>
            </w: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1,318,572,835.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175,256,269.70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32,666,235.40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62,654,977.57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54,606,173.46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1,643,756,492.03</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公务机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281,458,162.28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13,369,262.71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268,088,899.57</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总部基地办公楼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280,586,259.42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新建完成，正办理</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r>
        <w:rPr/>
        <w:pict>
          <v:shape style="position:absolute;margin-left:92.163002pt;margin-top:318.769989pt;width:101.1pt;height:15.6pt;mso-position-horizontal-relative:page;mso-position-vertical-relative:page;z-index:-1131304" type="#_x0000_t202" filled="false" stroked="false">
            <v:textbox inset="0,0,0,0">
              <w:txbxContent>
                <w:p>
                  <w:pPr>
                    <w:pStyle w:val="BodyText"/>
                    <w:spacing w:line="240" w:lineRule="auto" w:before="49"/>
                    <w:ind w:left="0" w:right="0"/>
                    <w:jc w:val="left"/>
                  </w:pPr>
                  <w:r>
                    <w:rPr/>
                    <w:t>（南通）</w:t>
                  </w:r>
                </w:p>
              </w:txbxContent>
            </v:textbox>
            <w10:wrap type="none"/>
          </v:shape>
        </w:pict>
      </w:r>
      <w:r>
        <w:rPr/>
        <w:pict>
          <v:group style="position:absolute;margin-left:125.419998pt;margin-top:318.769989pt;width:67.850pt;height:15.6pt;mso-position-horizontal-relative:page;mso-position-vertical-relative:page;z-index:-1131280" coordorigin="2508,6375" coordsize="1357,312">
            <v:shape style="position:absolute;left:2508;top:6375;width:1357;height:312" coordorigin="2508,6375" coordsize="1357,312" path="m2508,6687l3865,6687,3865,6375,2508,6375,2508,6687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文昌海鲜楼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32,234,351.23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临时建筑，不具备办理权属登记条件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混凝土简易房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302,441.92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临时建筑，不具备办理权属登记条件</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85"/>
        <w:gridCol w:w="1184"/>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文昌堡森公司海 鲜城项目</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32,234,351.23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32,234,351.23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报表系统技术开 发项目</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209,650.00</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中南建设 建筑产业有限公 司生产车间厂房</w:t>
            </w:r>
          </w:p>
        </w:tc>
        <w:tc>
          <w:tcPr>
            <w:tcW w:w="185" w:type="dxa"/>
            <w:tcBorders>
              <w:top w:val="single" w:sz="4" w:space="0" w:color="000000"/>
              <w:left w:val="single" w:sz="4" w:space="0" w:color="000000"/>
              <w:bottom w:val="single" w:sz="4" w:space="0" w:color="000000"/>
              <w:right w:val="nil" w:sz="6" w:space="0" w:color="auto"/>
            </w:tcBorders>
          </w:tcPr>
          <w:p>
            <w:pP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48,043,893.78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48,043,893.78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34,691,993.90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34,691,993.90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总部基地大楼</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Times New Roman" w:hAnsi="Times New Roman" w:cs="Times New Roman" w:eastAsia="Times New Roman" w:hint="default"/>
                <w:sz w:val="18"/>
                <w:szCs w:val="18"/>
              </w:rPr>
            </w:pPr>
            <w:r>
              <w:rPr>
                <w:rFonts w:ascii="Times New Roman"/>
                <w:sz w:val="18"/>
              </w:rPr>
              <w:t>19,111,252.71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2" w:right="0"/>
              <w:jc w:val="left"/>
              <w:rPr>
                <w:rFonts w:ascii="Times New Roman" w:hAnsi="Times New Roman" w:cs="Times New Roman" w:eastAsia="Times New Roman" w:hint="default"/>
                <w:sz w:val="18"/>
                <w:szCs w:val="18"/>
              </w:rPr>
            </w:pPr>
            <w:r>
              <w:rPr>
                <w:rFonts w:ascii="Times New Roman"/>
                <w:sz w:val="18"/>
              </w:rPr>
              <w:t>19,111,252.71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131,501,148.00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131,501,148.00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指纹签核系统</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中南新型电子公 务平台系统</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67,155,146.49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67,155,146.49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198,912,143.13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198,912,143.13</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文昌堡 森公司 海鲜城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32,234,3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32,234,3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51.23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报表系 统技术 开发项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209,650.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269,550.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56"/>
              <w:jc w:val="left"/>
              <w:rPr>
                <w:rFonts w:ascii="宋体" w:hAnsi="宋体" w:cs="宋体" w:eastAsia="宋体" w:hint="default"/>
                <w:sz w:val="18"/>
                <w:szCs w:val="18"/>
              </w:rPr>
            </w:pPr>
            <w:r>
              <w:rPr>
                <w:rFonts w:ascii="宋体" w:hAnsi="宋体" w:cs="宋体" w:eastAsia="宋体" w:hint="default"/>
                <w:sz w:val="18"/>
                <w:szCs w:val="18"/>
              </w:rPr>
              <w:t>中南建 设（南</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51,018,2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34,691,9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13,351,8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99.88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48,043,8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自筹</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1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pacing w:val="-11"/>
                <w:sz w:val="18"/>
                <w:szCs w:val="18"/>
              </w:rPr>
              <w:t>通）建筑</w:t>
            </w:r>
            <w:r>
              <w:rPr>
                <w:rFonts w:ascii="宋体" w:hAnsi="宋体" w:cs="宋体" w:eastAsia="宋体" w:hint="default"/>
                <w:sz w:val="18"/>
                <w:szCs w:val="18"/>
              </w:rPr>
              <w:t> 产业有 限公司 生产车 间厂房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总部基 地大楼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882,880,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131,501,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148.00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186,516,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604.71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298,906,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19,111,2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指纹签 核系统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中南新 型电子 公务平 台系统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970,097,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709.80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198,912,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143.13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200,458,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404.59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331,140,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851.23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1,074,55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67,155,1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46.49</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184,629,961.08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219,895.00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15,419,503.73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406,981,800.00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607,251,159.81</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15,355,861.80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11,047,498.90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26,403,360.70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15,355,861.80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11,047,498.90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26,403,360.70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55,084,000.00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55,084,000.00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55,084,000.00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55,084,000.00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144,901,822.88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219,895.00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26,467,002.63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406,981,800.00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578,570,520.51</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6,105,451.98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72,358.98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5,616,288.49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2,199,901.62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13,994,001.07</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3,313,863.48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32,626.84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4,457,163.92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8,799,606.48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16,603,260.72</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3,313,863.48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32,626.84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4,457,163.92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8,799,606.48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16,603,260.72</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9,419,315.46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104,985.82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10,073,452.41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10,999,508.10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30,597,261.79</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135,482,507.42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114,909.18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16,393,550.22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395,982,291.90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547,973,258.72</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178,524,509.10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147,536.02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9,803,215.24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404,781,898.38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593,257,158.74</w:t>
            </w:r>
          </w:p>
        </w:tc>
      </w:tr>
    </w:tbl>
    <w:p>
      <w:pPr>
        <w:pStyle w:val="BodyText"/>
        <w:spacing w:line="240" w:lineRule="auto" w:before="49"/>
        <w:ind w:right="142"/>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142"/>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总部基地三期土地使用权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12,207,910.00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14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海门市建筑设计 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4,188,653.58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4,188,653.58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南通常乐建筑劳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1,499,300.89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1,499,300.89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5,687,954.47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5,687,954.47</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南通常乐建筑劳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1,499,300.89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1,499,300.89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1,499,300.89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1,499,300.89</w:t>
            </w:r>
          </w:p>
        </w:tc>
      </w:tr>
    </w:tbl>
    <w:p>
      <w:pPr>
        <w:pStyle w:val="BodyText"/>
        <w:spacing w:line="357" w:lineRule="auto" w:before="49"/>
        <w:ind w:left="513" w:right="2393" w:hanging="361"/>
        <w:jc w:val="left"/>
      </w:pPr>
      <w:r>
        <w:rPr/>
        <w:t>说明商誉减值测试过程、参数及商誉减值损失的确认方法： 经对海门市建筑设计院有限公司包含商誉的相关资产组进行减值测试，不存在减值迹象。</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1,095,735,203.51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840,403,969.67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516,626,405.25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1,419,512,767.93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75,213,662.86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57,184,775.71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35,269,282.66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97,129,155.91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34,146,967.02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25,200,285.71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15,616,827.34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43,730,425.39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18,514,025.17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16,584,926.29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10,133,081.41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24,965,870.05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8,764,094.89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6,806,418.39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3,947,800.60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11,622,712.68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470,292,558.89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363,870,556.45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232,443,256.92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601,719,858.42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3,882,890.90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2,137,304.43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2,331,491.85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3,688,703.48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10,380,355.40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1,658,948.18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8,967,657.22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1,141,833.33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1,021,000.02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558,833.31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1,707,233,653.24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1,323,710,425.38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2,679,948.20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816,368,146.03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2,211,895,984.39</w:t>
            </w:r>
          </w:p>
        </w:tc>
      </w:tr>
    </w:tbl>
    <w:p>
      <w:pPr>
        <w:pStyle w:val="BodyText"/>
        <w:spacing w:line="240" w:lineRule="auto" w:before="49"/>
        <w:ind w:right="142"/>
        <w:jc w:val="left"/>
      </w:pPr>
      <w:r>
        <w:rPr/>
        <w:t>其他说明</w:t>
      </w:r>
    </w:p>
    <w:p>
      <w:pPr>
        <w:pStyle w:val="BodyText"/>
        <w:spacing w:line="240" w:lineRule="auto" w:before="115"/>
        <w:ind w:left="513" w:right="142"/>
        <w:jc w:val="left"/>
      </w:pPr>
      <w:r>
        <w:rPr/>
        <w:t>本公司将预售房款预缴的各项流转税金在长期待摊费用中核算，待房屋销售收入确认后转入营业税金及附加。</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799,794,538.28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199,948,633.64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647,734,523.26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161,933,629.89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151,023,551.17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37,755,887.79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240,963,129.71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60,240,782.43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924,779,083.21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231,200,615.64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388,675,315.55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97,168,828.91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377,997,911.60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94,499,477.90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463,315,255.46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115,828,813.88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42,134,421.72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10,533,605.42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30,782,795.08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7,695,698.77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2,295,729,505.98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573,938,220.39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1,771,471,019.06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442,867,753.88</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4"/>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5"/>
        <w:gridCol w:w="1914"/>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573,938,220.39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442,867,753.88</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386,119,480.96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269,935,886.78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386,119,480.96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269,935,886.78</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23,419,709.63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9,198,112.47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9,198,112.47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12,822,902.20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12,822,902.20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87,366,721.57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87,366,721.57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137,128,440.91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137,128,440.91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139,603,303.81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386,119,480.96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10"/>
              <w:jc w:val="right"/>
              <w:rPr>
                <w:rFonts w:ascii="Times New Roman" w:hAnsi="Times New Roman" w:cs="Times New Roman" w:eastAsia="Times New Roman" w:hint="default"/>
                <w:sz w:val="18"/>
                <w:szCs w:val="18"/>
              </w:rPr>
            </w:pPr>
            <w:r>
              <w:rPr>
                <w:rFonts w:ascii="Times New Roman"/>
                <w:spacing w:val="-1"/>
                <w:sz w:val="18"/>
              </w:rPr>
              <w:t>269,935,886.78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1,604,800,000.00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4,103,800,000.00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20</w:t>
      </w:r>
      <w:r>
        <w:rPr/>
        <w:t>、衍生金融负债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1,353,701,044.31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1,677,500,000.00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1,349,350,928.89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148,350,000.00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2,703,051,973.20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1,825,850,000.00</w:t>
            </w:r>
          </w:p>
        </w:tc>
      </w:tr>
    </w:tbl>
    <w:p>
      <w:pPr>
        <w:pStyle w:val="BodyText"/>
        <w:spacing w:line="240" w:lineRule="auto" w:before="49"/>
        <w:ind w:right="142"/>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42"/>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3,425,868,872.12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2,727,044,492.71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1,358,200,038.40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1,162,170,704.27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425,883,066.31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419,117,390.62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5,209,951,976.83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4,308,332,587.60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南通清华建设工程有限公司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89,149,327.95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海门海螺水泥有限责任公司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51,274,403.49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购货款未结算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南通弘峰建筑工程有限公司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33,758,267.55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海南传世大秦营销策划有限公司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33,472,873.79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代理费未结算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镇江市光大建筑工程有限公司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25,534,573.14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南通宏华建筑安装有限公司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23,894,176.59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上海敬润园林建设工程有限公司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20,395,236.43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南通锦国建设有限公司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19,746,772.65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海门大生建设工程有限公司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18,099,478.60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青岛温泉建设集团有限公司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16,431,003.00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南通市中房建设工程有限公司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16,041,532.16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盐城市苏厦建设集团有限公司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15,609,512.17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天津华惠安信装饰工程有限公司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15,536,550.00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江苏金厦建设集团有限公司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14,801,901.77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上海宝冶建设有限公司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14,442,833.67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温州南方游乐设备工程有限公司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购货款未结算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上海宝冶建设有限公司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14,442,833.67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温州南方游乐设备工程有限公司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购货款未结算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449,931,276.63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27,999,314,207.29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21,618,571,977.45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381,901,851.24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452,226,466.39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9,387,291.79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5,183,278.04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28,390,603,350.32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22,075,981,721.88</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footerReference w:type="default" r:id="rId34"/>
          <w:pgSz w:w="11910" w:h="16840"/>
          <w:pgMar w:footer="979" w:header="877" w:top="1100" w:bottom="1160" w:left="980" w:right="980"/>
          <w:pgNumType w:start="1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11,986,391,208.47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主要为本公司尚未竣工验收楼盘的预收 售房款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11,986,391,208.47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890,263,497.38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3,295,895,578.18</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2,984,221,218.87</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1,201,937,856.69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1,497,157.06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76,234,191.71</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75,316,407.13</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2,414,941.64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160,166.70</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160,166.70</w:t>
            </w:r>
          </w:p>
        </w:tc>
        <w:tc>
          <w:tcPr>
            <w:tcW w:w="1915"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891,760,654.44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3,372,289,936.59</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3,059,697,792.70</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1,204,352,798.33</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851,708,756.67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3,122,315,971.07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2,813,611,801.58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1,160,412,926.16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96,295,199.83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96,295,199.83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1,074,525.26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49,188,725.39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48,470,681.05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1,792,569.60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960,076.20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29,731,921.79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29,069,761.49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1,622,236.50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81,453.08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17,261,947.41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17,214,729.97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128,670.52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2,194,856.19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2,186,189.59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41,662.58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26,343,577.63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24,070,331.63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2,273,246.00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37,480,215.45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1,752,104.26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1,773,204.78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37,459,114.93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890,263,497.38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3,295,895,578.18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2,984,221,218.87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1,201,937,856.69</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1,390,093.08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71,578,825.03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70,677,221.61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2,291,696.50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4,655,366.68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4,639,185.52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123,245.14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1,497,157.06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76,234,191.71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75,316,407.13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2,414,941.64</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9,169,359.97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4,345,332.41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760,857,814.37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637,403,031.73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1,666,089,587.79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1,714,380,742.37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50,065,572.53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28,042,837.82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59,420,500.55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53,135,919.71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8,764,957.29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5,323,454.70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9,624,026.13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5,174,993.56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25,444,980.23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20,940,828.35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10,703,828.87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9,379,646.81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47,463,144.30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56,423,873.45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82,732,859.14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93,380,346.61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2,451,713.48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2,472,658.56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1,197,126.36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1,197,126.36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552,778.91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752,093.75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2,734,538,249.92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2,632,352,886.19</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83,287,671.23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83,287,671.23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27</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1,679,885.70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1,679,885.70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684,131,195.38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565,530,152.26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401,556,633.73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364,002,744.75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1,645,965,794.02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1,331,832,455.02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13,427,121.53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10,526,338.27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2,745,080,744.66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2,271,891,690.30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青岛李东城市建设投资有限责任公司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174,965,220.00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南通诺利投资发展中心（有限合伙）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南通永锦投资发展中心（有限合伙）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唐山湾国际旅游岛财政局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59,782,357.68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土地返还款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职工钢管租赁费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28,394,092.37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钢管租赁费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青岛中南置业有限公司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19,991,808.24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李静、陈菲</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15,465,595.17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出售固定资产款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466,199,073.46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29</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11,319,910,000.00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3,136,940,000.00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34,512,773.87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11,354,422,773.87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3,136,940,000.00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30</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7"/>
        <w:gridCol w:w="3191"/>
        <w:gridCol w:w="3190"/>
      </w:tblGrid>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889" w:right="0"/>
              <w:jc w:val="left"/>
              <w:rPr>
                <w:rFonts w:ascii="Times New Roman" w:hAnsi="Times New Roman" w:cs="Times New Roman" w:eastAsia="Times New Roman" w:hint="default"/>
                <w:sz w:val="18"/>
                <w:szCs w:val="18"/>
              </w:rPr>
            </w:pPr>
            <w:r>
              <w:rPr>
                <w:rFonts w:ascii="Times New Roman"/>
                <w:sz w:val="18"/>
              </w:rPr>
              <w:t>1,425,923,866.56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90"/>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1" w:right="0"/>
              <w:jc w:val="left"/>
              <w:rPr>
                <w:rFonts w:ascii="Times New Roman" w:hAnsi="Times New Roman" w:cs="Times New Roman" w:eastAsia="Times New Roman" w:hint="default"/>
                <w:sz w:val="18"/>
                <w:szCs w:val="18"/>
              </w:rPr>
            </w:pPr>
            <w:r>
              <w:rPr>
                <w:rFonts w:ascii="Times New Roman"/>
                <w:sz w:val="18"/>
              </w:rPr>
              <w:t>1,425,923,866.56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9"/>
        <w:gridCol w:w="797"/>
        <w:gridCol w:w="799"/>
        <w:gridCol w:w="797"/>
        <w:gridCol w:w="797"/>
        <w:gridCol w:w="797"/>
        <w:gridCol w:w="797"/>
        <w:gridCol w:w="797"/>
        <w:gridCol w:w="797"/>
        <w:gridCol w:w="797"/>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中南建 设</w:t>
            </w:r>
          </w:p>
          <w:p>
            <w:pPr>
              <w:pStyle w:val="TableParagraph"/>
              <w:spacing w:line="240" w:lineRule="auto" w:before="75"/>
              <w:ind w:left="24" w:right="0"/>
              <w:jc w:val="left"/>
              <w:rPr>
                <w:rFonts w:ascii="Times New Roman" w:hAnsi="Times New Roman" w:cs="Times New Roman" w:eastAsia="Times New Roman" w:hint="default"/>
                <w:sz w:val="18"/>
                <w:szCs w:val="18"/>
              </w:rPr>
            </w:pPr>
            <w:r>
              <w:rPr>
                <w:rFonts w:ascii="Times New Roman"/>
                <w:sz w:val="18"/>
              </w:rPr>
              <w:t>PPN001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48,876,71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4,045,154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997,405,1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54.02</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中南建 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28,783,56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1,335,150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428,518,7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12.54</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77,660,27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5,380,304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1,425,923</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,866.56</w:t>
            </w:r>
          </w:p>
        </w:tc>
      </w:tr>
    </w:tbl>
    <w:p>
      <w:pPr>
        <w:pStyle w:val="BodyText"/>
        <w:spacing w:line="240" w:lineRule="auto" w:before="49"/>
        <w:ind w:right="142"/>
        <w:jc w:val="left"/>
      </w:pPr>
      <w:r>
        <w:rPr/>
        <w:t>其他说明：</w:t>
      </w:r>
    </w:p>
    <w:p>
      <w:pPr>
        <w:pStyle w:val="BodyText"/>
        <w:spacing w:line="300" w:lineRule="auto" w:before="115"/>
        <w:ind w:right="148" w:firstLine="360"/>
        <w:jc w:val="left"/>
      </w:pPr>
      <w:r>
        <w:rPr/>
        <w:t>注</w:t>
      </w:r>
      <w:r>
        <w:rPr>
          <w:rFonts w:ascii="Times New Roman" w:hAnsi="Times New Roman" w:cs="Times New Roman" w:eastAsia="Times New Roman" w:hint="default"/>
        </w:rPr>
        <w:t>1</w:t>
      </w:r>
      <w:r>
        <w:rPr/>
        <w:t>：本公司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日发行</w:t>
      </w:r>
      <w:r>
        <w:rPr>
          <w:rFonts w:ascii="Times New Roman" w:hAnsi="Times New Roman" w:cs="Times New Roman" w:eastAsia="Times New Roman" w:hint="default"/>
        </w:rPr>
        <w:t>2014</w:t>
      </w:r>
      <w:r>
        <w:rPr/>
        <w:t>年度第一期非公开定向债务融资工具，简称</w:t>
      </w:r>
      <w:r>
        <w:rPr>
          <w:rFonts w:ascii="Times New Roman" w:hAnsi="Times New Roman" w:cs="Times New Roman" w:eastAsia="Times New Roman" w:hint="default"/>
        </w:rPr>
        <w:t>“14</w:t>
      </w:r>
      <w:r>
        <w:rPr/>
        <w:t>中南建设</w:t>
      </w:r>
      <w:r>
        <w:rPr>
          <w:rFonts w:ascii="Times New Roman" w:hAnsi="Times New Roman" w:cs="Times New Roman" w:eastAsia="Times New Roman" w:hint="default"/>
        </w:rPr>
        <w:t>PPN001”</w:t>
      </w:r>
      <w:r>
        <w:rPr/>
        <w:t>，发行金额 人民币</w:t>
      </w:r>
      <w:r>
        <w:rPr>
          <w:spacing w:val="-19"/>
        </w:rPr>
        <w:t> </w:t>
      </w:r>
      <w:r>
        <w:rPr>
          <w:rFonts w:ascii="Times New Roman" w:hAnsi="Times New Roman" w:cs="Times New Roman" w:eastAsia="Times New Roman" w:hint="default"/>
        </w:rPr>
        <w:t>10</w:t>
      </w:r>
      <w:r>
        <w:rPr/>
        <w:t>亿元，期限</w:t>
      </w:r>
      <w:r>
        <w:rPr>
          <w:rFonts w:ascii="Times New Roman" w:hAnsi="Times New Roman" w:cs="Times New Roman" w:eastAsia="Times New Roman" w:hint="default"/>
        </w:rPr>
        <w:t>1</w:t>
      </w:r>
      <w:r>
        <w:rPr/>
        <w:t>年、票面利率</w:t>
      </w:r>
      <w:r>
        <w:rPr>
          <w:rFonts w:ascii="Times New Roman" w:hAnsi="Times New Roman" w:cs="Times New Roman" w:eastAsia="Times New Roman" w:hint="default"/>
        </w:rPr>
        <w:t>8</w:t>
      </w:r>
      <w:r>
        <w:rPr/>
        <w:t>％，期末账面金额</w:t>
      </w:r>
      <w:r>
        <w:rPr>
          <w:rFonts w:ascii="Times New Roman" w:hAnsi="Times New Roman" w:cs="Times New Roman" w:eastAsia="Times New Roman" w:hint="default"/>
        </w:rPr>
        <w:t>997,405,154.02</w:t>
      </w:r>
      <w:r>
        <w:rPr/>
        <w:t>元。</w:t>
      </w:r>
    </w:p>
    <w:p>
      <w:pPr>
        <w:pStyle w:val="BodyText"/>
        <w:spacing w:line="240" w:lineRule="auto" w:before="13"/>
        <w:ind w:left="513" w:right="0"/>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2</w:t>
      </w:r>
      <w:r>
        <w:rPr/>
        <w:t>：</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t>年</w:t>
      </w:r>
      <w:r>
        <w:rPr>
          <w:spacing w:val="-30"/>
        </w:rPr>
        <w:t> </w:t>
      </w:r>
      <w:r>
        <w:rPr>
          <w:rFonts w:ascii="Times New Roman" w:hAnsi="Times New Roman" w:cs="Times New Roman" w:eastAsia="Times New Roman" w:hint="default"/>
        </w:rPr>
        <w:t>2</w:t>
      </w:r>
      <w:r>
        <w:rPr/>
        <w:t>月</w:t>
      </w:r>
      <w:r>
        <w:rPr>
          <w:spacing w:val="-27"/>
        </w:rPr>
        <w:t> </w:t>
      </w:r>
      <w:r>
        <w:rPr>
          <w:rFonts w:ascii="Times New Roman" w:hAnsi="Times New Roman" w:cs="Times New Roman" w:eastAsia="Times New Roman" w:hint="default"/>
        </w:rPr>
        <w:t>26</w:t>
      </w:r>
      <w:r>
        <w:rPr/>
        <w:t>日发行的</w:t>
      </w:r>
      <w:r>
        <w:rPr>
          <w:spacing w:val="-29"/>
        </w:rPr>
        <w:t> </w:t>
      </w:r>
      <w:r>
        <w:rPr>
          <w:rFonts w:ascii="Times New Roman" w:hAnsi="Times New Roman" w:cs="Times New Roman" w:eastAsia="Times New Roman" w:hint="default"/>
        </w:rPr>
        <w:t>2014</w:t>
      </w:r>
      <w:r>
        <w:rPr/>
        <w:t>年度第一期短期融资券，简称</w:t>
      </w:r>
      <w:r>
        <w:rPr>
          <w:rFonts w:ascii="Times New Roman" w:hAnsi="Times New Roman" w:cs="Times New Roman" w:eastAsia="Times New Roman" w:hint="default"/>
        </w:rPr>
        <w:t>“14</w:t>
      </w:r>
      <w:r>
        <w:rPr/>
        <w:t>中南建筑</w:t>
      </w:r>
      <w:r>
        <w:rPr>
          <w:rFonts w:ascii="Times New Roman" w:hAnsi="Times New Roman" w:cs="Times New Roman" w:eastAsia="Times New Roman" w:hint="default"/>
        </w:rPr>
        <w:t>CP001”</w:t>
      </w:r>
      <w:r>
        <w:rPr/>
        <w:t>，发行金额人民币</w:t>
      </w:r>
      <w:r>
        <w:rPr>
          <w:spacing w:val="-27"/>
        </w:rPr>
        <w:t> </w:t>
      </w:r>
      <w:r>
        <w:rPr>
          <w:rFonts w:ascii="Times New Roman" w:hAnsi="Times New Roman" w:cs="Times New Roman" w:eastAsia="Times New Roman" w:hint="default"/>
          <w:spacing w:val="-3"/>
        </w:rPr>
        <w:t>4</w:t>
      </w:r>
      <w:r>
        <w:rPr>
          <w:spacing w:val="-3"/>
        </w:rPr>
        <w:t>亿元，期限</w:t>
      </w:r>
      <w:r>
        <w:rPr>
          <w:rFonts w:ascii="Times New Roman" w:hAnsi="Times New Roman" w:cs="Times New Roman" w:eastAsia="Times New Roman" w:hint="default"/>
          <w:spacing w:val="-3"/>
        </w:rPr>
        <w:t>1</w:t>
      </w:r>
    </w:p>
    <w:p>
      <w:pPr>
        <w:pStyle w:val="BodyText"/>
        <w:spacing w:line="240" w:lineRule="auto" w:before="63"/>
        <w:ind w:right="142"/>
        <w:jc w:val="left"/>
      </w:pPr>
      <w:r>
        <w:rPr/>
        <w:t>年、票面利率</w:t>
      </w:r>
      <w:r>
        <w:rPr>
          <w:rFonts w:ascii="Times New Roman" w:hAnsi="Times New Roman" w:cs="Times New Roman" w:eastAsia="Times New Roman" w:hint="default"/>
        </w:rPr>
        <w:t>8.5%</w:t>
      </w:r>
      <w:r>
        <w:rPr/>
        <w:t>，期末账面金额</w:t>
      </w:r>
      <w:r>
        <w:rPr>
          <w:rFonts w:ascii="Times New Roman" w:hAnsi="Times New Roman" w:cs="Times New Roman" w:eastAsia="Times New Roman" w:hint="default"/>
        </w:rPr>
        <w:t>428,518,712.54</w:t>
      </w:r>
      <w:r>
        <w:rPr/>
        <w:t>元。</w:t>
      </w:r>
    </w:p>
    <w:p>
      <w:pPr>
        <w:spacing w:line="240" w:lineRule="auto" w:before="2"/>
        <w:rPr>
          <w:rFonts w:ascii="宋体" w:hAnsi="宋体" w:cs="宋体" w:eastAsia="宋体" w:hint="default"/>
          <w:sz w:val="26"/>
          <w:szCs w:val="26"/>
        </w:rPr>
      </w:pPr>
    </w:p>
    <w:p>
      <w:pPr>
        <w:pStyle w:val="Heading3"/>
        <w:spacing w:line="240" w:lineRule="auto"/>
        <w:ind w:right="142"/>
        <w:jc w:val="left"/>
        <w:rPr>
          <w:b w:val="0"/>
          <w:bCs w:val="0"/>
        </w:rPr>
      </w:pPr>
      <w:r>
        <w:rPr>
          <w:rFonts w:ascii="Times New Roman" w:hAnsi="Times New Roman" w:cs="Times New Roman" w:eastAsia="Times New Roman" w:hint="default"/>
        </w:rPr>
        <w:t>31</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5,124,457,083.33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5,414,650,000.00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3,475,500,000.00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10,139,950,000.00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14,014,607,083.33</w:t>
            </w:r>
          </w:p>
        </w:tc>
      </w:tr>
    </w:tbl>
    <w:p>
      <w:pPr>
        <w:pStyle w:val="BodyText"/>
        <w:spacing w:line="240" w:lineRule="auto" w:before="8"/>
        <w:ind w:right="142"/>
        <w:jc w:val="left"/>
      </w:pPr>
      <w:r>
        <w:rPr/>
        <w:t>金额前五名的长期借款</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08"/>
        <w:gridCol w:w="1733"/>
        <w:gridCol w:w="1800"/>
        <w:gridCol w:w="845"/>
        <w:gridCol w:w="973"/>
        <w:gridCol w:w="1783"/>
      </w:tblGrid>
      <w:tr>
        <w:trPr>
          <w:trHeight w:val="34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贷款单位</w:t>
            </w:r>
            <w:r>
              <w:rPr>
                <w:rFonts w:ascii="宋体" w:hAnsi="宋体" w:cs="宋体" w:eastAsia="宋体" w:hint="default"/>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借款起始日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借款终止日</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币种</w:t>
            </w:r>
            <w:r>
              <w:rPr>
                <w:rFonts w:ascii="宋体" w:hAnsi="宋体" w:cs="宋体" w:eastAsia="宋体" w:hint="default"/>
                <w:sz w:val="18"/>
                <w:szCs w:val="18"/>
              </w:rPr>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利率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tc>
      </w:tr>
      <w:tr>
        <w:trPr>
          <w:trHeight w:val="65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3"/>
                <w:sz w:val="18"/>
                <w:szCs w:val="18"/>
              </w:rPr>
              <w:t>深圳平安大华汇通财富管理公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2014.07.21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2016.07.20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9.280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1,330,000,000.00</w:t>
            </w:r>
          </w:p>
        </w:tc>
      </w:tr>
      <w:tr>
        <w:trPr>
          <w:trHeight w:val="65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pacing w:val="3"/>
                <w:sz w:val="18"/>
                <w:szCs w:val="18"/>
              </w:rPr>
              <w:t>上海爱建信托投资有限责任公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2014.04.11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2016.04.10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34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舟山汇实财富投资中心</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2014.05.21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2016.05.19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65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pacing w:val="3"/>
                <w:sz w:val="18"/>
                <w:szCs w:val="18"/>
              </w:rPr>
              <w:t>中国华融资产管理股份有限公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2014.01.13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2016.01.13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10.313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34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中国农业银行南通分行</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2013.01.04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2022.12.20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6.878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34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3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3,730,000,000.00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rFonts w:ascii="Times New Roman" w:hAnsi="Times New Roman" w:cs="Times New Roman" w:eastAsia="Times New Roman" w:hint="default"/>
        </w:rPr>
        <w:t>32</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非公开定向债务融资工具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989,998,448.50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989,998,448.50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9"/>
        <w:gridCol w:w="797"/>
        <w:gridCol w:w="799"/>
        <w:gridCol w:w="797"/>
        <w:gridCol w:w="797"/>
        <w:gridCol w:w="797"/>
        <w:gridCol w:w="797"/>
        <w:gridCol w:w="797"/>
        <w:gridCol w:w="797"/>
        <w:gridCol w:w="797"/>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中南建 设 </w:t>
            </w:r>
            <w:r>
              <w:rPr>
                <w:rFonts w:ascii="Times New Roman" w:hAnsi="Times New Roman" w:cs="Times New Roman" w:eastAsia="Times New Roman" w:hint="default"/>
                <w:sz w:val="18"/>
                <w:szCs w:val="18"/>
              </w:rPr>
              <w:t>PPN002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34,410,95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2,623,448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989,998,4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48.50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34,410,95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2,623,448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989,998,4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48.50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33</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178,336,236.91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其他说明：</w:t>
      </w:r>
    </w:p>
    <w:p>
      <w:pPr>
        <w:pStyle w:val="BodyText"/>
        <w:spacing w:line="304" w:lineRule="auto" w:before="117"/>
        <w:ind w:right="149" w:firstLine="360"/>
        <w:jc w:val="both"/>
      </w:pPr>
      <w:r>
        <w:rPr>
          <w:spacing w:val="-2"/>
        </w:rPr>
        <w:t>公司本部及子公司南通中南新世界中心开发有限公司、常熟中南世纪城房地产开发有限公司与民生泰润（天津）航空租</w:t>
      </w:r>
      <w:r>
        <w:rPr/>
        <w:t> 赁有限公司签订融资租赁合同，租赁标的物为一架湾流</w:t>
      </w:r>
      <w:r>
        <w:rPr>
          <w:rFonts w:ascii="Times New Roman" w:hAnsi="Times New Roman" w:cs="Times New Roman" w:eastAsia="Times New Roman" w:hint="default"/>
        </w:rPr>
        <w:t>G450</w:t>
      </w:r>
      <w:r>
        <w:rPr/>
        <w:t>公务机，租赁期限共计</w:t>
      </w:r>
      <w:r>
        <w:rPr>
          <w:rFonts w:ascii="Times New Roman" w:hAnsi="Times New Roman" w:cs="Times New Roman" w:eastAsia="Times New Roman" w:hint="default"/>
        </w:rPr>
        <w:t>96</w:t>
      </w:r>
      <w:r>
        <w:rPr/>
        <w:t>个月，利率</w:t>
      </w:r>
      <w:r>
        <w:rPr>
          <w:rFonts w:ascii="Times New Roman" w:hAnsi="Times New Roman" w:cs="Times New Roman" w:eastAsia="Times New Roman" w:hint="default"/>
        </w:rPr>
        <w:t>5.8%</w:t>
      </w:r>
      <w:r>
        <w:rPr/>
        <w:t>，租金分</w:t>
      </w:r>
      <w:r>
        <w:rPr>
          <w:rFonts w:ascii="Times New Roman" w:hAnsi="Times New Roman" w:cs="Times New Roman" w:eastAsia="Times New Roman" w:hint="default"/>
        </w:rPr>
        <w:t>32</w:t>
      </w:r>
      <w:r>
        <w:rPr/>
        <w:t>期支付。</w:t>
      </w:r>
      <w:r>
        <w:rPr>
          <w:spacing w:val="-50"/>
        </w:rPr>
        <w:t> </w:t>
      </w:r>
      <w:r>
        <w:rPr>
          <w:spacing w:val="-50"/>
        </w:rPr>
      </w:r>
      <w:r>
        <w:rPr/>
        <w:t>租赁期限届满，以约定的人民币</w:t>
      </w:r>
      <w:r>
        <w:rPr>
          <w:rFonts w:ascii="Times New Roman" w:hAnsi="Times New Roman" w:cs="Times New Roman" w:eastAsia="Times New Roman" w:hint="default"/>
          <w:b/>
          <w:bCs/>
        </w:rPr>
        <w:t>32,010,309.40</w:t>
      </w:r>
      <w:r>
        <w:rPr/>
        <w:t>元留购。公司期末确认的长期应付款</w:t>
      </w:r>
      <w:r>
        <w:rPr>
          <w:rFonts w:ascii="Times New Roman" w:hAnsi="Times New Roman" w:cs="Times New Roman" w:eastAsia="Times New Roman" w:hint="default"/>
        </w:rPr>
        <w:t>-</w:t>
      </w:r>
      <w:r>
        <w:rPr/>
        <w:t>融资租赁款余额为</w:t>
      </w:r>
      <w:r>
        <w:rPr>
          <w:rFonts w:ascii="Times New Roman" w:hAnsi="Times New Roman" w:cs="Times New Roman" w:eastAsia="Times New Roman" w:hint="default"/>
        </w:rPr>
        <w:t>248,816,118.55</w:t>
      </w:r>
      <w:r>
        <w:rPr>
          <w:rFonts w:ascii="Times New Roman" w:hAnsi="Times New Roman" w:cs="Times New Roman" w:eastAsia="Times New Roman" w:hint="default"/>
          <w:spacing w:val="4"/>
        </w:rPr>
        <w:t> </w:t>
      </w:r>
      <w:r>
        <w:rPr>
          <w:spacing w:val="-5"/>
        </w:rPr>
        <w:t>元，未</w:t>
      </w:r>
      <w:r>
        <w:rPr/>
        <w:t> </w:t>
      </w:r>
      <w:r>
        <w:rPr>
          <w:spacing w:val="3"/>
        </w:rPr>
        <w:t>确认融资费用 </w:t>
      </w:r>
      <w:r>
        <w:rPr>
          <w:rFonts w:ascii="Times New Roman" w:hAnsi="Times New Roman" w:cs="Times New Roman" w:eastAsia="Times New Roman" w:hint="default"/>
        </w:rPr>
        <w:t>35,967,107.77 </w:t>
      </w:r>
      <w:r>
        <w:rPr>
          <w:spacing w:val="4"/>
        </w:rPr>
        <w:t>元，长期应付款期末余额为 </w:t>
      </w:r>
      <w:r>
        <w:rPr>
          <w:rFonts w:ascii="Times New Roman" w:hAnsi="Times New Roman" w:cs="Times New Roman" w:eastAsia="Times New Roman" w:hint="default"/>
          <w:spacing w:val="2"/>
        </w:rPr>
        <w:t>212.849,010.78</w:t>
      </w:r>
      <w:r>
        <w:rPr>
          <w:spacing w:val="2"/>
        </w:rPr>
        <w:t>元，其中：将于一年内到期的长期应付款余额为</w:t>
      </w:r>
      <w:r>
        <w:rPr>
          <w:spacing w:val="-73"/>
        </w:rPr>
        <w:t> </w:t>
      </w:r>
      <w:r>
        <w:rPr>
          <w:spacing w:val="-73"/>
        </w:rPr>
      </w:r>
      <w:r>
        <w:rPr>
          <w:rFonts w:ascii="Times New Roman" w:hAnsi="Times New Roman" w:cs="Times New Roman" w:eastAsia="Times New Roman" w:hint="default"/>
        </w:rPr>
        <w:t>34,512,773.87</w:t>
      </w:r>
      <w:r>
        <w:rPr/>
        <w:t>元。</w:t>
      </w:r>
    </w:p>
    <w:p>
      <w:pPr>
        <w:spacing w:line="240" w:lineRule="auto" w:before="0"/>
        <w:rPr>
          <w:rFonts w:ascii="宋体" w:hAnsi="宋体" w:cs="宋体" w:eastAsia="宋体" w:hint="default"/>
          <w:sz w:val="22"/>
          <w:szCs w:val="22"/>
        </w:rPr>
      </w:pPr>
    </w:p>
    <w:p>
      <w:pPr>
        <w:pStyle w:val="Heading3"/>
        <w:spacing w:line="240" w:lineRule="auto"/>
        <w:ind w:right="142"/>
        <w:jc w:val="left"/>
        <w:rPr>
          <w:b w:val="0"/>
          <w:bCs w:val="0"/>
        </w:rPr>
      </w:pPr>
      <w:r>
        <w:rPr>
          <w:rFonts w:ascii="Times New Roman" w:hAnsi="Times New Roman" w:cs="Times New Roman" w:eastAsia="Times New Roman" w:hint="default"/>
        </w:rPr>
        <w:t>34</w:t>
      </w:r>
      <w:r>
        <w:rPr/>
        <w:t>、递延收益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44,722,350.00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1,566,105.07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51,354,744.93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收到政府拨款</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44,722,350.00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1,566,105.07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51,354,744.93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总部基地土地出 让金奖励款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44,722,350.00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1,134,605.07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43,587,744.93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固定资产投资补 助专项资金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8,198,500.00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44,722,350.00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1,566,105.07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51,354,744.93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35</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1,167,839,226.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1,167,839,226.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36</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782,497,260.91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265,482,864.39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1,047,980,125.30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14,976,006.69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14,976,006.69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797,473,267.60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265,482,864.39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1,062,956,131.99</w:t>
            </w:r>
          </w:p>
        </w:tc>
      </w:tr>
    </w:tbl>
    <w:p>
      <w:pPr>
        <w:pStyle w:val="BodyText"/>
        <w:spacing w:line="357" w:lineRule="auto" w:before="49"/>
        <w:ind w:left="513" w:right="2753" w:hanging="361"/>
        <w:jc w:val="left"/>
      </w:pPr>
      <w:r>
        <w:rPr/>
        <w:t>其他说明，包括本期增减变动情况、变动原因说明： 本期资本公积增减变动主要系子公司购买少数股东股权、少数股东增资子公司形成。</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37</w:t>
      </w:r>
      <w:r>
        <w:rPr/>
        <w:t>、其他综合收益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0"/>
        <w:gridCol w:w="936"/>
        <w:gridCol w:w="937"/>
        <w:gridCol w:w="936"/>
        <w:gridCol w:w="797"/>
      </w:tblGrid>
      <w:tr>
        <w:trPr>
          <w:trHeight w:val="396"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7"/>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-56,405.70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-6,803,912.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18</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-4,831,738.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-1,972,174.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-4,888,14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3.72</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-56,405.70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-6,803,912.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1150"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-4,831,738.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-4,888,14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3.72</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0"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-56,405.70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-6,803,912.</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-4,831,738.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-1,972,174.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-4,888,14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0"/>
        <w:gridCol w:w="936"/>
        <w:gridCol w:w="937"/>
        <w:gridCol w:w="936"/>
        <w:gridCol w:w="799"/>
      </w:tblGrid>
      <w:tr>
        <w:trPr>
          <w:trHeight w:val="36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18</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3.72</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38</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245,096,977.88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13,338,835.76</w:t>
            </w:r>
          </w:p>
        </w:tc>
        <w:tc>
          <w:tcPr>
            <w:tcW w:w="1913" w:type="dxa"/>
            <w:tcBorders>
              <w:top w:val="single" w:sz="4" w:space="0" w:color="000000"/>
              <w:left w:val="single" w:sz="4" w:space="0" w:color="000000"/>
              <w:bottom w:val="single" w:sz="4" w:space="0" w:color="000000"/>
              <w:right w:val="single" w:sz="4" w:space="0" w:color="FFFFFF"/>
            </w:tcBorders>
          </w:tcPr>
          <w:p>
            <w:pP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258,435,813.64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245,096,977.88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13,338,835.76</w:t>
            </w:r>
          </w:p>
        </w:tc>
        <w:tc>
          <w:tcPr>
            <w:tcW w:w="1913" w:type="dxa"/>
            <w:tcBorders>
              <w:top w:val="single" w:sz="4" w:space="0" w:color="000000"/>
              <w:left w:val="single" w:sz="4" w:space="0" w:color="000000"/>
              <w:bottom w:val="single" w:sz="4" w:space="0" w:color="000000"/>
              <w:right w:val="single" w:sz="4" w:space="0" w:color="FFFFFF"/>
            </w:tcBorders>
          </w:tcPr>
          <w:p>
            <w:pP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258,435,813.64</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39</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5,526,185,160.86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4,465,796,373.16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5,526,185,160.86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4,465,796,373.16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959,187,133.29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1,209,382,865.66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13,338,835.76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32,210,154.96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140,140,707.12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116,783,923.00</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6,331,892,751.27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5,526,185,160.86</w:t>
            </w:r>
          </w:p>
        </w:tc>
      </w:tr>
    </w:tbl>
    <w:p>
      <w:pPr>
        <w:pStyle w:val="BodyText"/>
        <w:spacing w:line="240" w:lineRule="auto" w:before="49"/>
        <w:ind w:right="142"/>
        <w:jc w:val="left"/>
      </w:pPr>
      <w:r>
        <w:rPr/>
        <w:t>调整期初未分配利润明细：</w:t>
      </w:r>
    </w:p>
    <w:p>
      <w:pPr>
        <w:pStyle w:val="BodyText"/>
        <w:spacing w:line="240" w:lineRule="auto" w:before="115"/>
        <w:ind w:right="142"/>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2"/>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42"/>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2"/>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2"/>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42"/>
        <w:jc w:val="left"/>
        <w:rPr>
          <w:b w:val="0"/>
          <w:bCs w:val="0"/>
        </w:rPr>
      </w:pPr>
      <w:r>
        <w:rPr>
          <w:rFonts w:ascii="Times New Roman" w:hAnsi="Times New Roman" w:cs="Times New Roman" w:eastAsia="Times New Roman" w:hint="default"/>
        </w:rPr>
        <w:t>40</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21,687,771,398.80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16,372,632,783.62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18,240,454,486.25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12,888,070,008.22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104,322,780.55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47,344,484.22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85,953,956.38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46,280,873.25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21,792,094,179.35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16,419,977,267.84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18,326,408,442.63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12,934,350,881.47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before="36"/>
        <w:ind w:right="142"/>
        <w:jc w:val="left"/>
        <w:rPr>
          <w:b w:val="0"/>
          <w:bCs w:val="0"/>
        </w:rPr>
      </w:pPr>
      <w:r>
        <w:rPr>
          <w:rFonts w:ascii="Times New Roman" w:hAnsi="Times New Roman" w:cs="Times New Roman" w:eastAsia="Times New Roman" w:hint="default"/>
        </w:rPr>
        <w:t>41</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921,550,010.26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797,208,046.41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63,804,948.08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55,647,241.84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28,346,894.39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24,706,231.76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18,605,527.14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15,756,741.24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254,615,514.80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252,454,748.15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5,998,375.38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8,218,917.64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江堤河道基金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4,541,723.54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3,337,902.99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499,879.96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391,634.30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1,297,962,873.55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1,157,721,464.33</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42</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24,240,070.13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29,248,068.56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691,678.05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652,323.98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14,907,064.48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7,533,994.77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2,637,988.47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1,087,955.02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537,673,131.99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357,222,806.08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1,071,617.13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923,382.71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19,736,290.41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7,318,558.35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12,701,186.37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13,051,159.29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11,019,094.59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15,916,755.19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624,678,121.62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432,955,003.95</w:t>
            </w:r>
          </w:p>
        </w:tc>
      </w:tr>
    </w:tbl>
    <w:p>
      <w:pPr>
        <w:pStyle w:val="BodyText"/>
        <w:spacing w:line="240" w:lineRule="auto" w:before="49"/>
        <w:ind w:right="142"/>
        <w:jc w:val="left"/>
      </w:pPr>
      <w:r>
        <w:rPr/>
        <w:t>其他说明：</w:t>
      </w:r>
    </w:p>
    <w:p>
      <w:pPr>
        <w:pStyle w:val="BodyText"/>
        <w:spacing w:line="240" w:lineRule="auto" w:before="115"/>
        <w:ind w:left="513" w:right="142"/>
        <w:jc w:val="left"/>
      </w:pPr>
      <w:r>
        <w:rPr/>
        <w:t>销售费用本年比上年增长</w:t>
      </w:r>
      <w:r>
        <w:rPr>
          <w:rFonts w:ascii="Times New Roman" w:hAnsi="Times New Roman" w:cs="Times New Roman" w:eastAsia="Times New Roman" w:hint="default"/>
        </w:rPr>
        <w:t>44.28%</w:t>
      </w:r>
      <w:r>
        <w:rPr/>
        <w:t>，主要是由于本年新老楼盘增加销售宣传力度所致。</w:t>
      </w:r>
    </w:p>
    <w:p>
      <w:pPr>
        <w:spacing w:line="240" w:lineRule="auto" w:before="2"/>
        <w:rPr>
          <w:rFonts w:ascii="宋体" w:hAnsi="宋体" w:cs="宋体" w:eastAsia="宋体" w:hint="default"/>
          <w:sz w:val="26"/>
          <w:szCs w:val="26"/>
        </w:rPr>
      </w:pPr>
    </w:p>
    <w:p>
      <w:pPr>
        <w:pStyle w:val="Heading3"/>
        <w:spacing w:line="240" w:lineRule="auto"/>
        <w:ind w:right="142"/>
        <w:jc w:val="left"/>
        <w:rPr>
          <w:b w:val="0"/>
          <w:bCs w:val="0"/>
        </w:rPr>
      </w:pPr>
      <w:r>
        <w:rPr>
          <w:rFonts w:ascii="Times New Roman" w:hAnsi="Times New Roman" w:cs="Times New Roman" w:eastAsia="Times New Roman" w:hint="default"/>
        </w:rPr>
        <w:t>43</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95,971,204.49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86,881,540.10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15,598,224.77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2,997,690.12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64,306,966.24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63,469,462.74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3,376,333.37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3,224,455.05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824,990,497.92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585,865,834.50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8,315,080.63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3,242,997.08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5,291,957.75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10,136,558.23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49,701,181.95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29,723,277.97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29,797,019.12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15,557,493.37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18,154,029.58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15,367,805.14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94,297,237.99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103,512,644.49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9,999,621.48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5,053,954.84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123,055,820.64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94,588,900.58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74,286,821.04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79,450,849.44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42,755,507.04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50,408,131.98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1,459,897,504.01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1,149,481,595.63</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44</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436,766,431.24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404,106,030.65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137,941,248.98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81,263,585.65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17,629,102.84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17,150,269.41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加：金融机构服务费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94,674,144.33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81,798,974.34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763,435.75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304,968.46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145,598.30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2,649,681.85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2,700,909.39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413,473,142.82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425,110,435.59</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45</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160,327,838.57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136,570,119.61</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160,327,838.57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136,570,119.61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rFonts w:ascii="Times New Roman" w:hAnsi="Times New Roman" w:cs="Times New Roman" w:eastAsia="Times New Roman" w:hint="default"/>
        </w:rPr>
        <w:t>46</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965,327.33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508,706.63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965,327.33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508,706.63</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47</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-1,225,215.65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-18,382.05</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527,260.89</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770,235.07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6,071,611.81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8,694,088.91</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5,616,631.23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9,202,967.75</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1,824,667.02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6,456,668.42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1,824,667.02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1,824,667.02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6,456,668.42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1,824,667.02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80,471,848.50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47,853,389.41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80,471,848.50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罚款、违约金、赔偿金收入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18,276,173.76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11,255,454.34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18,276,173.76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4,290,062.16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3,712,211.44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4,290,062.16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104,862,751.44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69,277,723.61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104,862,751.44</w:t>
            </w:r>
          </w:p>
        </w:tc>
      </w:tr>
    </w:tbl>
    <w:p>
      <w:pPr>
        <w:pStyle w:val="BodyText"/>
        <w:spacing w:line="240" w:lineRule="auto" w:before="49"/>
        <w:ind w:right="142"/>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科技奖励款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1,140,481.41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高技能人才补助款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793,557.38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472,188.00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工程质量奖励款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固定资产投资补助专项资金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财税贡献奖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苏州园区总部大项目扶持基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76,860,000.00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总部基地土地出让金奖励款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1,134,605.07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财政局基础设施配套费返还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20,145,420.00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返还房产税、土地使用</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24,355,800.00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183,936.05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80,471,848.50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47,853,389.41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3,515,565.10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633,251.92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3,515,565.10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3,515,565.10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633,251.92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3,515,565.10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18,228,426.00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14,883,550.00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18,228,426.00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罚款、违约金、赔偿金支出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30,858,367.95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19,241,648.66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30,858,367.95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2,152,303.32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1,630,127.07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2,152,303.32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54,754,662.37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36,388,577.65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54,754,662.37</w:t>
            </w:r>
          </w:p>
        </w:tc>
      </w:tr>
    </w:tbl>
    <w:p>
      <w:pPr>
        <w:pStyle w:val="BodyText"/>
        <w:spacing w:line="240" w:lineRule="auto" w:before="49"/>
        <w:ind w:right="14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667,199,421.95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817,166,503.89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-131,070,466.51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-100,234,480.65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536,128,955.44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716,932,023.24</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1,472,467,478.57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368,116,869.64</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7,004,477.23</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32,866,941.22</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-13,991,007.33</w:t>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98,882,927.40</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50,253,224.51</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536,128,955.44</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51</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6,205,128,572.09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2,000,503,180.03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3,110,740.59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9,243,928.74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137,941,248.98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81,263,585.65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43,547,936.05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44,211,889.41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73,674,768.46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47,462,328.08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6,463,403,266.17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2,182,684,911.91</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3,220,603,140.27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800,764,388.98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456,487,271.47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432,627,131.71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625,338,907.85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329,762,077.98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34,396,443.71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32,295,031.30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17,629,102.84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17,150,269.41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63,232,771.91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30,117,191.01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4,417,687,638.05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1,642,716,090.39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794,337,789.91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794,337,789.91</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收回受限的货币资金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497,163,920.27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431,413,018.35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497,163,920.27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431,413,018.35</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支付的融资顾问费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94,674,144.33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81,798,974.34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支付受限的货币资金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850,398,303.24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631,211,896.53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支付融资租赁费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38,545,636.45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4,128,465.29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983,618,084.02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717,139,336.16</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52</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936,338,523.13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1,415,887,739.15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160,327,838.57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136,570,119.61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204,590,973.83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169,763,866.59</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16,603,260.72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7,753,413.57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r>
        <w:rPr/>
        <w:pict>
          <v:group style="position:absolute;margin-left:223.369995pt;margin-top:208.159988pt;width:151.25pt;height:20.65pt;mso-position-horizontal-relative:page;mso-position-vertical-relative:page;z-index:-1131256" coordorigin="4467,4163" coordsize="3025,413">
            <v:group style="position:absolute;left:4478;top:4174;width:2;height:392" coordorigin="4478,4174" coordsize="2,392">
              <v:shape style="position:absolute;left:4478;top:4174;width:2;height:392" coordorigin="4478,4174" coordsize="0,392" path="m4478,4174l4478,4565e" filled="false" stroked="true" strokeweight="1.08pt" strokecolor="#ffffff">
                <v:path arrowok="t"/>
              </v:shape>
            </v:group>
            <v:group style="position:absolute;left:4489;top:4174;width:3003;height:392" coordorigin="4489,4174" coordsize="3003,392">
              <v:shape style="position:absolute;left:4489;top:4174;width:3003;height:392" coordorigin="4489,4174" coordsize="3003,392" path="m4489,4565l7492,4565,7492,4174,4489,4174,4489,4565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964"/>
        <w:gridCol w:w="210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2,679,948.20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1,065,055.52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-1,751,035.40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-5,858,070.62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60,137.32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34,654.12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965,327.33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-508,706.63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531,135,607.11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486,522,842.44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22" w:right="0"/>
              <w:jc w:val="left"/>
              <w:rPr>
                <w:rFonts w:ascii="Times New Roman" w:hAnsi="Times New Roman" w:cs="Times New Roman" w:eastAsia="Times New Roman" w:hint="default"/>
                <w:sz w:val="18"/>
                <w:szCs w:val="18"/>
              </w:rPr>
            </w:pPr>
            <w:r>
              <w:rPr>
                <w:rFonts w:ascii="Times New Roman"/>
                <w:sz w:val="18"/>
              </w:rPr>
              <w:t>-5,616,631.23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-9,202,967.75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6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90" w:right="0"/>
              <w:jc w:val="left"/>
              <w:rPr>
                <w:rFonts w:ascii="Times New Roman" w:hAnsi="Times New Roman" w:cs="Times New Roman" w:eastAsia="Times New Roman" w:hint="default"/>
                <w:sz w:val="18"/>
                <w:szCs w:val="18"/>
              </w:rPr>
            </w:pPr>
            <w:r>
              <w:rPr>
                <w:rFonts w:ascii="Times New Roman"/>
                <w:sz w:val="18"/>
              </w:rPr>
              <w:t>-131,070,466.51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-100,234,480.65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616" w:right="0"/>
              <w:jc w:val="left"/>
              <w:rPr>
                <w:rFonts w:ascii="Times New Roman" w:hAnsi="Times New Roman" w:cs="Times New Roman" w:eastAsia="Times New Roman" w:hint="default"/>
                <w:sz w:val="18"/>
                <w:szCs w:val="18"/>
              </w:rPr>
            </w:pPr>
            <w:r>
              <w:rPr>
                <w:rFonts w:ascii="Times New Roman"/>
                <w:sz w:val="18"/>
              </w:rPr>
              <w:t>-18,375,730,200.99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-12,337,926,186.59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5" w:right="0"/>
              <w:jc w:val="left"/>
              <w:rPr>
                <w:rFonts w:ascii="Times New Roman" w:hAnsi="Times New Roman" w:cs="Times New Roman" w:eastAsia="Times New Roman" w:hint="default"/>
                <w:sz w:val="18"/>
                <w:szCs w:val="18"/>
              </w:rPr>
            </w:pPr>
            <w:r>
              <w:rPr>
                <w:rFonts w:ascii="Times New Roman"/>
                <w:sz w:val="18"/>
              </w:rPr>
              <w:t>-7,211,432,302.38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-14,706,061,887.72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6" w:right="0"/>
              <w:jc w:val="left"/>
              <w:rPr>
                <w:rFonts w:ascii="Times New Roman" w:hAnsi="Times New Roman" w:cs="Times New Roman" w:eastAsia="Times New Roman" w:hint="default"/>
                <w:sz w:val="18"/>
                <w:szCs w:val="18"/>
              </w:rPr>
            </w:pPr>
            <w:r>
              <w:rPr>
                <w:rFonts w:ascii="Times New Roman"/>
                <w:sz w:val="18"/>
              </w:rPr>
              <w:t>18,005,313,984.75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20,763,024,621.33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08" w:right="0"/>
              <w:jc w:val="left"/>
              <w:rPr>
                <w:rFonts w:ascii="Times New Roman" w:hAnsi="Times New Roman" w:cs="Times New Roman" w:eastAsia="Times New Roman" w:hint="default"/>
                <w:sz w:val="18"/>
                <w:szCs w:val="18"/>
              </w:rPr>
            </w:pPr>
            <w:r>
              <w:rPr>
                <w:rFonts w:ascii="Times New Roman"/>
                <w:sz w:val="18"/>
              </w:rPr>
              <w:t>-5,867,585,035.55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-4,179,169,987.63</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775" w:right="0"/>
              <w:jc w:val="left"/>
              <w:rPr>
                <w:rFonts w:ascii="Times New Roman" w:hAnsi="Times New Roman" w:cs="Times New Roman" w:eastAsia="Times New Roman" w:hint="default"/>
                <w:sz w:val="18"/>
                <w:szCs w:val="18"/>
              </w:rPr>
            </w:pPr>
            <w:r>
              <w:rPr>
                <w:rFonts w:ascii="Times New Roman"/>
                <w:sz w:val="18"/>
              </w:rPr>
              <w:t>4,577,114,195.21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4,711,549,797.60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75" w:right="0"/>
              <w:jc w:val="left"/>
              <w:rPr>
                <w:rFonts w:ascii="Times New Roman" w:hAnsi="Times New Roman" w:cs="Times New Roman" w:eastAsia="Times New Roman" w:hint="default"/>
                <w:sz w:val="18"/>
                <w:szCs w:val="18"/>
              </w:rPr>
            </w:pPr>
            <w:r>
              <w:rPr>
                <w:rFonts w:ascii="Times New Roman"/>
                <w:sz w:val="18"/>
              </w:rPr>
              <w:t>4,711,549,797.60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3,623,823,623.14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842" w:right="0"/>
              <w:jc w:val="left"/>
              <w:rPr>
                <w:rFonts w:ascii="Times New Roman" w:hAnsi="Times New Roman" w:cs="Times New Roman" w:eastAsia="Times New Roman" w:hint="default"/>
                <w:sz w:val="18"/>
                <w:szCs w:val="18"/>
              </w:rPr>
            </w:pPr>
            <w:r>
              <w:rPr>
                <w:rFonts w:ascii="Times New Roman"/>
                <w:sz w:val="18"/>
              </w:rPr>
              <w:t>-134,435,602.39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1,087,726,174.46</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4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70"/>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4,577,114,195.21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4,711,549,797.60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2,579,474.04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3,769,299.30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4,010,723,994.77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4,299,202,070.45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563,810,726.40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408,578,427.85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4,577,114,195.21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4,711,549,797.60</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2,065,751,356.65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1,712,516,973.68</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53</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2,065,751,356.65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保证金存款、质押借款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15,830,193,800.00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129,965,438.57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698,337,257.76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32,031,269.88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18,756,279,122.86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54</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4"/>
        <w:gridCol w:w="2391"/>
        <w:gridCol w:w="2391"/>
      </w:tblGrid>
      <w:tr>
        <w:trPr>
          <w:trHeight w:val="404"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2,896,735.33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4,049.85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24,781.03</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192,408.47</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乌吉亚</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16,262,586.29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0.0196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318,746.69</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470,522.41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2,360,799.14</w:t>
            </w:r>
          </w:p>
        </w:tc>
      </w:tr>
    </w:tbl>
    <w:p>
      <w:pPr>
        <w:pStyle w:val="BodyText"/>
        <w:spacing w:line="240" w:lineRule="auto" w:before="49"/>
        <w:ind w:right="142"/>
        <w:jc w:val="left"/>
      </w:pPr>
      <w:r>
        <w:rPr/>
        <w:t>其他说明：</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59" w:lineRule="auto" w:before="36"/>
        <w:ind w:right="142"/>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340" w:lineRule="auto"/>
        <w:ind w:left="513" w:right="142"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为遵循公司适度多元化发展的战略方向，进一步优化公司产业结构，本公司全资子公司江苏中南建筑产业集团有限责任</w:t>
      </w:r>
    </w:p>
    <w:p>
      <w:pPr>
        <w:pStyle w:val="BodyText"/>
        <w:spacing w:line="300" w:lineRule="auto" w:before="1"/>
        <w:ind w:right="140"/>
        <w:jc w:val="left"/>
      </w:pPr>
      <w:r>
        <w:rPr/>
        <w:t>公司</w:t>
      </w:r>
      <w:r>
        <w:rPr>
          <w:spacing w:val="-43"/>
        </w:rPr>
        <w:t> </w:t>
      </w:r>
      <w:r>
        <w:rPr>
          <w:rFonts w:ascii="Times New Roman" w:hAnsi="Times New Roman" w:cs="Times New Roman" w:eastAsia="Times New Roman" w:hint="default"/>
        </w:rPr>
        <w:t>2012</w:t>
      </w:r>
      <w:r>
        <w:rPr/>
        <w:t>年投资设立南通建筑工程总承包（毛里塔尼亚）有限公司</w:t>
      </w:r>
      <w:r>
        <w:rPr>
          <w:spacing w:val="-43"/>
        </w:rPr>
        <w:t> </w:t>
      </w:r>
      <w:r>
        <w:rPr/>
        <w:t>，主要经营地在毛里塔尼亚努瓦克肖特，记账本位币为</w:t>
      </w:r>
      <w:r>
        <w:rPr/>
        <w:t> 乌吉亚币。公司本部在</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年投资设立大</w:t>
      </w:r>
      <w:r>
        <w:rPr>
          <w:rFonts w:ascii="Times New Roman" w:hAnsi="Times New Roman" w:cs="Times New Roman" w:eastAsia="Times New Roman" w:hint="default"/>
        </w:rPr>
        <w:t>C&amp;S</w:t>
      </w:r>
      <w:r>
        <w:rPr/>
        <w:t>集团有限公司，主要经营地在澳大利亚墨尔本市，记账本位币为澳元。</w:t>
      </w:r>
    </w:p>
    <w:p>
      <w:pPr>
        <w:pStyle w:val="BodyText"/>
        <w:spacing w:line="240" w:lineRule="auto" w:before="13"/>
        <w:ind w:left="513" w:right="142"/>
        <w:jc w:val="left"/>
      </w:pPr>
      <w:r>
        <w:rPr/>
        <w:t>本报告期末编制合并报表时已根据相应汇率折算为人民币。</w:t>
      </w:r>
    </w:p>
    <w:p>
      <w:pPr>
        <w:spacing w:line="240" w:lineRule="auto" w:before="3"/>
        <w:rPr>
          <w:rFonts w:ascii="宋体" w:hAnsi="宋体" w:cs="宋体" w:eastAsia="宋体" w:hint="default"/>
          <w:sz w:val="25"/>
          <w:szCs w:val="25"/>
        </w:rPr>
      </w:pPr>
    </w:p>
    <w:p>
      <w:pPr>
        <w:pStyle w:val="Heading2"/>
        <w:spacing w:line="240" w:lineRule="auto"/>
        <w:ind w:right="142"/>
        <w:jc w:val="left"/>
        <w:rPr>
          <w:b w:val="0"/>
          <w:bCs w:val="0"/>
        </w:rPr>
      </w:pP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说明其他原因导致的合并范围变动（如，新设子公司、清算子公司等）及其相关情况：</w:t>
      </w:r>
    </w:p>
    <w:p>
      <w:pPr>
        <w:pStyle w:val="Heading4"/>
        <w:spacing w:line="240" w:lineRule="auto" w:before="115"/>
        <w:ind w:left="635" w:right="142"/>
        <w:jc w:val="left"/>
        <w:rPr>
          <w:b w:val="0"/>
          <w:bCs w:val="0"/>
        </w:rPr>
      </w:pPr>
      <w:r>
        <w:rPr>
          <w:rFonts w:ascii="Times New Roman" w:hAnsi="Times New Roman" w:cs="Times New Roman" w:eastAsia="Times New Roman" w:hint="default"/>
        </w:rPr>
        <w:t>1</w:t>
      </w:r>
      <w:r>
        <w:rPr/>
        <w:t>、本期新设子公司相关情况</w:t>
      </w:r>
      <w:r>
        <w:rPr>
          <w:b w:val="0"/>
          <w:bCs w:val="0"/>
        </w:rPr>
      </w:r>
    </w:p>
    <w:p>
      <w:pPr>
        <w:spacing w:line="240" w:lineRule="auto" w:before="2"/>
        <w:rPr>
          <w:rFonts w:ascii="宋体" w:hAnsi="宋体" w:cs="宋体" w:eastAsia="宋体" w:hint="default"/>
          <w:b/>
          <w:bCs/>
          <w:sz w:val="4"/>
          <w:szCs w:val="4"/>
        </w:rPr>
      </w:pPr>
    </w:p>
    <w:tbl>
      <w:tblPr>
        <w:tblW w:w="0" w:type="auto"/>
        <w:jc w:val="left"/>
        <w:tblInd w:w="148" w:type="dxa"/>
        <w:tblLayout w:type="fixed"/>
        <w:tblCellMar>
          <w:top w:w="0" w:type="dxa"/>
          <w:left w:w="0" w:type="dxa"/>
          <w:bottom w:w="0" w:type="dxa"/>
          <w:right w:w="0" w:type="dxa"/>
        </w:tblCellMar>
        <w:tblLook w:val="01E0"/>
      </w:tblPr>
      <w:tblGrid>
        <w:gridCol w:w="3961"/>
        <w:gridCol w:w="2520"/>
        <w:gridCol w:w="3039"/>
      </w:tblGrid>
      <w:tr>
        <w:trPr>
          <w:trHeight w:val="34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名</w:t>
            </w:r>
            <w:r>
              <w:rPr>
                <w:rFonts w:ascii="宋体" w:hAnsi="宋体" w:cs="宋体" w:eastAsia="宋体" w:hint="default"/>
                <w:spacing w:val="54"/>
                <w:sz w:val="18"/>
                <w:szCs w:val="18"/>
                <w:u w:val="single" w:color="000000"/>
              </w:rPr>
              <w:t> </w:t>
            </w:r>
            <w:r>
              <w:rPr>
                <w:rFonts w:ascii="宋体" w:hAnsi="宋体" w:cs="宋体" w:eastAsia="宋体" w:hint="default"/>
                <w:sz w:val="18"/>
                <w:szCs w:val="18"/>
                <w:u w:val="single" w:color="000000"/>
              </w:rPr>
              <w:t>称</w:t>
            </w:r>
            <w:r>
              <w:rPr>
                <w:rFonts w:ascii="宋体" w:hAnsi="宋体" w:cs="宋体" w:eastAsia="宋体" w:hint="default"/>
                <w:sz w:val="18"/>
                <w:szCs w:val="18"/>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期末净资产</w:t>
            </w:r>
            <w:r>
              <w:rPr>
                <w:rFonts w:ascii="宋体" w:hAnsi="宋体" w:cs="宋体" w:eastAsia="宋体" w:hint="default"/>
                <w:sz w:val="18"/>
                <w:szCs w:val="18"/>
              </w:rPr>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本期净利润</w:t>
            </w:r>
            <w:r>
              <w:rPr>
                <w:rFonts w:ascii="宋体" w:hAnsi="宋体" w:cs="宋体" w:eastAsia="宋体" w:hint="default"/>
                <w:sz w:val="18"/>
                <w:szCs w:val="18"/>
              </w:rPr>
            </w:r>
          </w:p>
        </w:tc>
      </w:tr>
      <w:tr>
        <w:trPr>
          <w:trHeight w:val="34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如皋中南世纪城开发有限公司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91,721,900.23</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-8,278,099.77</w:t>
            </w:r>
          </w:p>
        </w:tc>
      </w:tr>
      <w:tr>
        <w:trPr>
          <w:trHeight w:val="34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菏泽中南花成置业有限公司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114,514,473.54</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-485,526.46</w:t>
            </w:r>
          </w:p>
        </w:tc>
      </w:tr>
      <w:tr>
        <w:trPr>
          <w:trHeight w:val="34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太仓中南世纪城房地产开发有限公司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486,496,791.37</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-13,503,208.63</w:t>
            </w:r>
          </w:p>
        </w:tc>
      </w:tr>
      <w:tr>
        <w:trPr>
          <w:trHeight w:val="34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无锡中南城发城市建设投资有限公司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17,644,869.85</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-2,355,130.15</w:t>
            </w:r>
          </w:p>
        </w:tc>
      </w:tr>
      <w:tr>
        <w:trPr>
          <w:trHeight w:val="34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常熟中南锦苑房地产开发有限公司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375,808,557.31</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-24,191,442.69</w:t>
            </w:r>
          </w:p>
        </w:tc>
      </w:tr>
      <w:tr>
        <w:trPr>
          <w:trHeight w:val="344"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苏州中南锦城房地产开发有限公司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541,843,167.09</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-20,156,832.91</w:t>
            </w:r>
          </w:p>
        </w:tc>
      </w:tr>
      <w:tr>
        <w:trPr>
          <w:trHeight w:val="34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上海纳铭国际贸易有限公司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50,001,066.43</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1,066.43</w:t>
            </w:r>
          </w:p>
        </w:tc>
      </w:tr>
      <w:tr>
        <w:trPr>
          <w:trHeight w:val="34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潜江中南雅苑房地产开发有限公司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28,814,740.53</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-1,185,259.47</w:t>
            </w:r>
          </w:p>
        </w:tc>
      </w:tr>
      <w:tr>
        <w:trPr>
          <w:trHeight w:val="34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江苏中南一德文化旅游产业发展有限公司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6,135,535.76</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-1,414,464.24</w:t>
            </w:r>
          </w:p>
        </w:tc>
      </w:tr>
      <w:tr>
        <w:trPr>
          <w:trHeight w:val="34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南京中南新锦城房地产开发有限公司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482,607,338.78</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-17,392,661.22</w:t>
            </w:r>
          </w:p>
        </w:tc>
      </w:tr>
      <w:tr>
        <w:trPr>
          <w:trHeight w:val="34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大</w:t>
            </w:r>
            <w:r>
              <w:rPr>
                <w:rFonts w:ascii="Times New Roman" w:hAnsi="Times New Roman" w:cs="Times New Roman" w:eastAsia="Times New Roman" w:hint="default"/>
                <w:sz w:val="18"/>
                <w:szCs w:val="18"/>
              </w:rPr>
              <w:t>C&amp;S</w:t>
            </w:r>
            <w:r>
              <w:rPr>
                <w:rFonts w:ascii="宋体" w:hAnsi="宋体" w:cs="宋体" w:eastAsia="宋体" w:hint="default"/>
                <w:sz w:val="18"/>
                <w:szCs w:val="18"/>
              </w:rPr>
              <w:t>集团有限公司（</w:t>
            </w:r>
            <w:r>
              <w:rPr>
                <w:rFonts w:ascii="Times New Roman" w:hAnsi="Times New Roman" w:cs="Times New Roman" w:eastAsia="Times New Roman" w:hint="default"/>
                <w:sz w:val="18"/>
                <w:szCs w:val="18"/>
              </w:rPr>
              <w:t>Big C&amp;S Group</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Pty.Ltd</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33,688,446.28</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-627,141.65</w:t>
            </w:r>
          </w:p>
        </w:tc>
      </w:tr>
      <w:tr>
        <w:trPr>
          <w:trHeight w:val="34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江苏中南建筑科技发展有限公司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2,449,811.93</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-188.07</w:t>
            </w:r>
          </w:p>
        </w:tc>
      </w:tr>
    </w:tbl>
    <w:p>
      <w:pPr>
        <w:spacing w:line="240" w:lineRule="auto" w:before="1"/>
        <w:rPr>
          <w:rFonts w:ascii="宋体" w:hAnsi="宋体" w:cs="宋体" w:eastAsia="宋体" w:hint="default"/>
          <w:b/>
          <w:bCs/>
          <w:sz w:val="18"/>
          <w:szCs w:val="18"/>
        </w:rPr>
      </w:pPr>
    </w:p>
    <w:p>
      <w:pPr>
        <w:pStyle w:val="Heading2"/>
        <w:spacing w:line="240" w:lineRule="auto" w:before="26"/>
        <w:ind w:right="142"/>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中南镇江房地产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文昌中南房地产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文昌市堡森发展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餐饮服务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海门中南世纪城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海门中南物业管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海门锦新建材贸 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建材批发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安庆中盛房地产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安庆中南世纪城 物业管理有限公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烟台中南房地产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淮安中南世纪城 房地产有限公司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潜江中南房地产 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海门中南锦苑房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如皋中南世纪城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江苏省如皋市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菏泽中南花成置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太仓中南世纪城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青岛海湾新城房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青岛中南世纪城 房地产业投资有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青岛爱居贸易有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建材批发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南京常锦房地产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镇江世纪城物业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南通中南新世界 中心开发有限公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南通中南商业经 营有限公司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寿光中南房地产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山东省寿光市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山东省寿光市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镇江中南新锦城 房地产发展有限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盐城中南世纪城 房地产投资有限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江苏省盐城市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江苏省盐城市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盐城市昊锦建材 贸易有限公司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江苏省盐城市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江苏省盐城市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建材批发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泰安中南城市投 资有限责任公司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房地产开发、投 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泰安中南投资置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房地产开发、投 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淮安中南锦城房 地产有限公司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南通市中南新海 湾开发有限公司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万宁中南城房地 产发展有限责任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海南省万宁市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海南省万宁市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昌江中南房地产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海南省昌江县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海南省昌江县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潜江新世界城市 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房地产开发、投 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泰兴市中南世纪 城房地产发展有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江苏省泰兴市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江苏省泰兴市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无锡中南城发城 市建设投资有限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南通华城中南房 地产开发有限公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常熟中南世纪城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常熟中南世纪锦 城房地产开发有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常熟中南御锦城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昆山中南世纪城 房地产发展有限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昆山中南锦城房 地产开发有限责 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常熟中南锦苑房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苏州中南锦城房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南通中南世纪城 物业管理有限公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江苏中南建筑产 业集团有限责任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南通市中南建工 设备安装有限公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江苏辰锦智能科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南通常乐建筑劳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建筑劳务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南通市康民全预 制构件有限公司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50"/>
              <w:jc w:val="left"/>
              <w:rPr>
                <w:rFonts w:ascii="宋体" w:hAnsi="宋体" w:cs="宋体" w:eastAsia="宋体" w:hint="default"/>
                <w:sz w:val="18"/>
                <w:szCs w:val="18"/>
              </w:rPr>
            </w:pPr>
            <w:r>
              <w:rPr>
                <w:rFonts w:ascii="宋体" w:hAnsi="宋体" w:cs="宋体" w:eastAsia="宋体" w:hint="default"/>
                <w:sz w:val="18"/>
                <w:szCs w:val="18"/>
              </w:rPr>
              <w:t>全预制构件制 造、销售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海门市建筑设计 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海门市中南桩基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桩基检测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92.279999pt;margin-top:162.019989pt;width:101.1pt;height:15.6pt;mso-position-horizontal-relative:page;mso-position-vertical-relative:page;z-index:-1131184" type="#_x0000_t202" filled="false" stroked="false">
            <v:textbox inset="0,0,0,0">
              <w:txbxContent>
                <w:p>
                  <w:pPr>
                    <w:pStyle w:val="BodyText"/>
                    <w:spacing w:line="240" w:lineRule="auto" w:before="49"/>
                    <w:ind w:left="0" w:right="0"/>
                    <w:jc w:val="left"/>
                  </w:pPr>
                  <w:r>
                    <w:rPr/>
                    <w:t>（沈阳）</w:t>
                  </w:r>
                </w:p>
              </w:txbxContent>
            </v:textbox>
            <w10:wrap type="none"/>
          </v:shape>
        </w:pict>
      </w:r>
      <w:r>
        <w:rPr/>
        <w:pict>
          <v:shape style="position:absolute;margin-left:92.279999pt;margin-top:336.049988pt;width:101.1pt;height:15.6pt;mso-position-horizontal-relative:page;mso-position-vertical-relative:page;z-index:-1131160" type="#_x0000_t202" filled="false" stroked="false">
            <v:textbox inset="0,0,0,0">
              <w:txbxContent>
                <w:p>
                  <w:pPr>
                    <w:pStyle w:val="BodyText"/>
                    <w:spacing w:line="240" w:lineRule="auto" w:before="49"/>
                    <w:ind w:left="0" w:right="0"/>
                    <w:jc w:val="left"/>
                  </w:pPr>
                  <w:r>
                    <w:rPr/>
                    <w:t>（南通）</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检测有限公司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山东锦城钢结构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山东省淄博市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山东省淄博市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钢结构产品、施 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南通中锦钢结构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钢结构产品、施 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中南建设 建筑产业有限公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建筑构件制造、 安装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南通锦秀机械设 备安装有限公司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南通锦宏建筑工 程有限责任公司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南通建筑工程总 承包（毛里塔尼 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毛里塔尼亚努瓦 克肖特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毛里塔尼亚努瓦 克肖特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中南建设 建筑产业有限公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南通中南永锦建 筑工程有限公司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南通中南路桥有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辽宁中南锦兴建 筑工程有限公司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南通中南建筑工 业化发展有限公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江苏中南建筑科 技发展有限公司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建筑新技术、新 材料研发、建筑 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儋州中南房地产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江苏中南园林工 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江苏中南世纪城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儋州中南城市开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江苏中南建筑防 水工程有限公司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文昌中南城市开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南通中南世纪花 城投资有限公司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潜江中南雅苑房 地产开发有限公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海门中南投资有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乐东中南投资有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海南省乐东县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海南省乐东县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儋州中南土地开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苏州中南世纪城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江苏省吴江市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江苏省吴江市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菏泽中南世纪城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营口中南世纪城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南通市中南商品 混凝土有限公司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混凝土生产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海南中南物业服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南通中南城购物 中心管理有限公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商业管理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南充世纪城（中 南）房地产开发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南通中南商业发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海门中南国际房 产经纪有限公司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房地产销售代理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南通中昱建材有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建材批发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海门中南国际置 业顾问有限公司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房地产销售代理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上海纳铭国际贸 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广饶中南房地产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南通金石世苑酒 店有限公司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酒店管理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安徽中盛建设投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中南世纪城（沈 阳）房地产开发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广饶圣园旅游文 化产业有限责任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公园建设，旅游 产业开发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大石桥中南房地 产开发有限公司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苏州中南中心投 资建设有限公司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东营中南城市建 设投资有限公司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唐山中南国际旅 游岛投资开发有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大连中南欧美亚 城市发展有限责 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江苏通州湾中南 城市开发建设有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江苏中南一德文 化旅游产业发展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文化旅游产业投 资咨询与资产管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南京中南新锦城 房地产开发有限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C&amp;S</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集团有限 公司（</w:t>
            </w:r>
            <w:r>
              <w:rPr>
                <w:rFonts w:ascii="Times New Roman" w:hAnsi="Times New Roman" w:cs="Times New Roman" w:eastAsia="Times New Roman" w:hint="default"/>
                <w:sz w:val="18"/>
                <w:szCs w:val="18"/>
              </w:rPr>
              <w:t>Big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C&amp;S</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房地产开发、销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1373"/>
        <w:gridCol w:w="1369"/>
        <w:gridCol w:w="1366"/>
        <w:gridCol w:w="1368"/>
        <w:gridCol w:w="1368"/>
        <w:gridCol w:w="1366"/>
        <w:gridCol w:w="1366"/>
      </w:tblGrid>
      <w:tr>
        <w:trPr>
          <w:trHeight w:val="36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Pty.Ltd</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售、物业管理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1914"/>
        <w:jc w:val="left"/>
      </w:pPr>
      <w:r>
        <w:rPr/>
        <w:t>在子公司的持股比例不同于表决权比例的说明： 持有半数或以下表决权但仍控制被投资单位、以及持有半数以上表决权但不控制被投资单位的依据：</w:t>
      </w:r>
    </w:p>
    <w:p>
      <w:pPr>
        <w:spacing w:line="240" w:lineRule="auto" w:before="7"/>
        <w:rPr>
          <w:rFonts w:ascii="宋体" w:hAnsi="宋体" w:cs="宋体" w:eastAsia="宋体" w:hint="default"/>
          <w:sz w:val="26"/>
          <w:szCs w:val="26"/>
        </w:rPr>
      </w:pPr>
    </w:p>
    <w:p>
      <w:pPr>
        <w:pStyle w:val="BodyText"/>
        <w:spacing w:line="240" w:lineRule="auto" w:before="44"/>
        <w:ind w:left="0" w:right="115"/>
        <w:jc w:val="right"/>
      </w:pPr>
      <w:r>
        <w:rPr/>
        <w:pict>
          <v:shape style="position:absolute;margin-left:56.400002pt;margin-top:-16.328283pt;width:483.5pt;height:178.1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0"/>
                    <w:gridCol w:w="4371"/>
                    <w:gridCol w:w="2341"/>
                    <w:gridCol w:w="2273"/>
                  </w:tblGrid>
                  <w:tr>
                    <w:trPr>
                      <w:trHeight w:val="341"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序号</w:t>
                        </w:r>
                        <w:r>
                          <w:rPr>
                            <w:rFonts w:ascii="宋体" w:hAnsi="宋体" w:cs="宋体" w:eastAsia="宋体" w:hint="default"/>
                            <w:sz w:val="18"/>
                            <w:szCs w:val="18"/>
                          </w:rPr>
                        </w:r>
                      </w:p>
                    </w:tc>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股权比例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纳入合并范围原因</w:t>
                        </w:r>
                        <w:r>
                          <w:rPr>
                            <w:rFonts w:ascii="宋体" w:hAnsi="宋体" w:cs="宋体" w:eastAsia="宋体" w:hint="default"/>
                            <w:sz w:val="18"/>
                            <w:szCs w:val="18"/>
                          </w:rPr>
                        </w:r>
                      </w:p>
                    </w:tc>
                  </w:tr>
                  <w:tr>
                    <w:trPr>
                      <w:trHeight w:val="1279"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常熟中南世纪锦城房地产开发有限公司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50.00</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董事会</w:t>
                        </w:r>
                        <w:r>
                          <w:rPr>
                            <w:rFonts w:ascii="Times New Roman" w:hAnsi="Times New Roman" w:cs="Times New Roman" w:eastAsia="Times New Roman" w:hint="default"/>
                            <w:sz w:val="18"/>
                            <w:szCs w:val="18"/>
                          </w:rPr>
                          <w:t>3</w:t>
                        </w:r>
                        <w:r>
                          <w:rPr>
                            <w:rFonts w:ascii="宋体" w:hAnsi="宋体" w:cs="宋体" w:eastAsia="宋体" w:hint="default"/>
                            <w:sz w:val="18"/>
                            <w:szCs w:val="18"/>
                          </w:rPr>
                          <w:t>名成员，公司派</w:t>
                        </w:r>
                        <w:r>
                          <w:rPr>
                            <w:rFonts w:ascii="Times New Roman" w:hAnsi="Times New Roman" w:cs="Times New Roman" w:eastAsia="Times New Roman" w:hint="default"/>
                            <w:sz w:val="18"/>
                            <w:szCs w:val="18"/>
                          </w:rPr>
                          <w:t>2</w:t>
                        </w:r>
                        <w:r>
                          <w:rPr>
                            <w:rFonts w:ascii="宋体" w:hAnsi="宋体" w:cs="宋体" w:eastAsia="宋体" w:hint="default"/>
                            <w:sz w:val="18"/>
                            <w:szCs w:val="18"/>
                          </w:rPr>
                          <w:t>名 </w:t>
                        </w:r>
                        <w:r>
                          <w:rPr>
                            <w:rFonts w:ascii="宋体" w:hAnsi="宋体" w:cs="宋体" w:eastAsia="宋体" w:hint="default"/>
                            <w:spacing w:val="-7"/>
                            <w:sz w:val="18"/>
                            <w:szCs w:val="18"/>
                          </w:rPr>
                          <w:t>在董事会中占多数表决权，且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总经理、财务总监由公司派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出，取得控制权</w:t>
                        </w:r>
                      </w:p>
                    </w:tc>
                  </w:tr>
                  <w:tr>
                    <w:trPr>
                      <w:trHeight w:val="65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常熟中南锦苑房地产开发有限公司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30.00</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7"/>
                            <w:sz w:val="18"/>
                            <w:szCs w:val="18"/>
                          </w:rPr>
                          <w:t>董事长、总经理及财务总监均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由公司派出，取得控制权</w:t>
                        </w:r>
                      </w:p>
                    </w:tc>
                  </w:tr>
                  <w:tr>
                    <w:trPr>
                      <w:trHeight w:val="1280"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3</w:t>
                        </w:r>
                      </w:p>
                    </w:tc>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南京中南新锦城房地产开发有限公司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sz w:val="18"/>
                          </w:rPr>
                          <w:t>50.00</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董事会</w:t>
                        </w:r>
                        <w:r>
                          <w:rPr>
                            <w:rFonts w:ascii="Times New Roman" w:hAnsi="Times New Roman" w:cs="Times New Roman" w:eastAsia="Times New Roman" w:hint="default"/>
                            <w:sz w:val="18"/>
                            <w:szCs w:val="18"/>
                          </w:rPr>
                          <w:t>3</w:t>
                        </w:r>
                        <w:r>
                          <w:rPr>
                            <w:rFonts w:ascii="宋体" w:hAnsi="宋体" w:cs="宋体" w:eastAsia="宋体" w:hint="default"/>
                            <w:sz w:val="18"/>
                            <w:szCs w:val="18"/>
                          </w:rPr>
                          <w:t>名成员，公司派</w:t>
                        </w:r>
                        <w:r>
                          <w:rPr>
                            <w:rFonts w:ascii="Times New Roman" w:hAnsi="Times New Roman" w:cs="Times New Roman" w:eastAsia="Times New Roman" w:hint="default"/>
                            <w:sz w:val="18"/>
                            <w:szCs w:val="18"/>
                          </w:rPr>
                          <w:t>2</w:t>
                        </w:r>
                        <w:r>
                          <w:rPr>
                            <w:rFonts w:ascii="宋体" w:hAnsi="宋体" w:cs="宋体" w:eastAsia="宋体" w:hint="default"/>
                            <w:sz w:val="18"/>
                            <w:szCs w:val="18"/>
                          </w:rPr>
                          <w:t>名 </w:t>
                        </w:r>
                        <w:r>
                          <w:rPr>
                            <w:rFonts w:ascii="宋体" w:hAnsi="宋体" w:cs="宋体" w:eastAsia="宋体" w:hint="default"/>
                            <w:spacing w:val="-7"/>
                            <w:sz w:val="18"/>
                            <w:szCs w:val="18"/>
                          </w:rPr>
                          <w:t>在董事会中占多数表决权，且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总经理、财务总监由公司派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出，取得控制权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44"/>
        <w:ind w:left="0" w:right="11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240" w:lineRule="auto" w:before="36"/>
        <w:ind w:right="1914"/>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5"/>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中南镇江房地产开发有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6,955,533.96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382,108,504.25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海门中南锦苑房地产开 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-1,731,659.59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278,041,080.10</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镇江中南新锦城房地产 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2,270,493.51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362,978,967.76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泰兴市中南世纪城房地 产发展有限公司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282,651,228.08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南通华城中南房地产开 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-39,607.72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1,627,634.40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常熟中南世纪锦城房地 产开发有限公司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-8,540,917.18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135,928,382.01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常熟中南御锦城房地产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-2,295,414.19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26,699,936.77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昆山中南世纪城房地产 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-15,214,596.36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224,917,533.28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常熟中南锦苑房地产开 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-16,934,009.88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263,065,990.12</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苏州中南锦城房地产开 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-8,107,078.20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217,929,321.80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5"/>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江苏中南建筑产业集团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19,120,382.14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280,111,976.02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南充世纪城（中南）房 地产开发有限责任公司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-6,788,694.92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230,387,280.09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南京中南新锦城房地产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-8,696,330.61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241,303,669.39</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92" w:hanging="181"/>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中南镇 江房地 产开发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2,385,56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4,091.49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32,712,3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2,418,27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6,480.07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1,586,70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1,933.29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1,586,70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1,933.29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1,500,10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8,319.10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39,621,5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1,539,72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9,877.86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1,113,01</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7,244.80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1,253,01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7,244.80</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海门中 南锦苑 房地产 开发有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1,869,16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4,359.77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45,061,9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75.93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1,914,22</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6,335.70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1,069,12</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3,635.46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1,219,12</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3,635.46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704,156,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134.83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9,018.29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704,165,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153.12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404,173,</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008.00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404,173,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008.00</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镇江中 南新锦 城房地 产发展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2,647,00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4,162.68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69,959,5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2,716,96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3,695.52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1,847,96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9,279.06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1,847,96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9,279.06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2,099,77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5,036.99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63,372,2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2,163,14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7,245.57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1,760,31</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5,002.40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1,760,31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5,002.40</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泰兴市 中南世 纪城房 地产发 展有限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2,046,36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4,157.03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55,491,2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36.24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2,101,85</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5,393.27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1,261,71</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6,152.29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263,300,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1,525,01</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6,152.29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626,924,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754.44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189,061.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627,113,</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816.33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530,553,</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191.02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530,553,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191.02</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南通华 城中南 房地产 开发有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1,240,85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5,453.39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15,056,9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1,255,91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2,392.23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893,390,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715.60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993,390,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715.60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1,385,42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0,716.70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8,336,19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1,393,75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6,911.65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550,846,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892.41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574,000,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1,124,84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6,892.41</w:t>
            </w:r>
          </w:p>
        </w:tc>
      </w:tr>
      <w:tr>
        <w:trPr>
          <w:trHeight w:val="40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常熟中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 w:right="0"/>
              <w:jc w:val="left"/>
              <w:rPr>
                <w:rFonts w:ascii="Times New Roman" w:hAnsi="Times New Roman" w:cs="Times New Roman" w:eastAsia="Times New Roman" w:hint="default"/>
                <w:sz w:val="18"/>
                <w:szCs w:val="18"/>
              </w:rPr>
            </w:pPr>
            <w:r>
              <w:rPr>
                <w:rFonts w:ascii="Times New Roman"/>
                <w:sz w:val="18"/>
              </w:rPr>
              <w:t>2,799,13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 w:right="0"/>
              <w:jc w:val="left"/>
              <w:rPr>
                <w:rFonts w:ascii="Times New Roman" w:hAnsi="Times New Roman" w:cs="Times New Roman" w:eastAsia="Times New Roman" w:hint="default"/>
                <w:sz w:val="18"/>
                <w:szCs w:val="18"/>
              </w:rPr>
            </w:pPr>
            <w:r>
              <w:rPr>
                <w:rFonts w:ascii="Times New Roman"/>
                <w:sz w:val="18"/>
              </w:rPr>
              <w:t>156,015,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 w:right="0"/>
              <w:jc w:val="left"/>
              <w:rPr>
                <w:rFonts w:ascii="Times New Roman" w:hAnsi="Times New Roman" w:cs="Times New Roman" w:eastAsia="Times New Roman" w:hint="default"/>
                <w:sz w:val="18"/>
                <w:szCs w:val="18"/>
              </w:rPr>
            </w:pPr>
            <w:r>
              <w:rPr>
                <w:rFonts w:ascii="Times New Roman"/>
                <w:sz w:val="18"/>
              </w:rPr>
              <w:t>2,955,15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 w:right="0"/>
              <w:jc w:val="left"/>
              <w:rPr>
                <w:rFonts w:ascii="Times New Roman" w:hAnsi="Times New Roman" w:cs="Times New Roman" w:eastAsia="Times New Roman" w:hint="default"/>
                <w:sz w:val="18"/>
                <w:szCs w:val="18"/>
              </w:rPr>
            </w:pPr>
            <w:r>
              <w:rPr>
                <w:rFonts w:ascii="Times New Roman"/>
                <w:sz w:val="18"/>
              </w:rPr>
              <w:t>2,683,29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2" w:right="0"/>
              <w:jc w:val="left"/>
              <w:rPr>
                <w:rFonts w:ascii="Times New Roman" w:hAnsi="Times New Roman" w:cs="Times New Roman" w:eastAsia="Times New Roman" w:hint="default"/>
                <w:sz w:val="18"/>
                <w:szCs w:val="18"/>
              </w:rPr>
            </w:pPr>
            <w:r>
              <w:rPr>
                <w:rFonts w:ascii="Times New Roman"/>
                <w:sz w:val="18"/>
              </w:rPr>
              <w:t>2,683,29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 w:right="0"/>
              <w:jc w:val="left"/>
              <w:rPr>
                <w:rFonts w:ascii="Times New Roman" w:hAnsi="Times New Roman" w:cs="Times New Roman" w:eastAsia="Times New Roman" w:hint="default"/>
                <w:sz w:val="18"/>
                <w:szCs w:val="18"/>
              </w:rPr>
            </w:pPr>
            <w:r>
              <w:rPr>
                <w:rFonts w:ascii="Times New Roman"/>
                <w:sz w:val="18"/>
              </w:rPr>
              <w:t>2,093,24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z w:val="18"/>
              </w:rPr>
              <w:t>87,893,9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 w:right="0"/>
              <w:jc w:val="left"/>
              <w:rPr>
                <w:rFonts w:ascii="Times New Roman" w:hAnsi="Times New Roman" w:cs="Times New Roman" w:eastAsia="Times New Roman" w:hint="default"/>
                <w:sz w:val="18"/>
                <w:szCs w:val="18"/>
              </w:rPr>
            </w:pPr>
            <w:r>
              <w:rPr>
                <w:rFonts w:ascii="Times New Roman"/>
                <w:sz w:val="18"/>
              </w:rPr>
              <w:t>2,181,14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4" w:right="0"/>
              <w:jc w:val="left"/>
              <w:rPr>
                <w:rFonts w:ascii="Times New Roman" w:hAnsi="Times New Roman" w:cs="Times New Roman" w:eastAsia="Times New Roman" w:hint="default"/>
                <w:sz w:val="18"/>
                <w:szCs w:val="18"/>
              </w:rPr>
            </w:pPr>
            <w:r>
              <w:rPr>
                <w:rFonts w:ascii="Times New Roman"/>
                <w:sz w:val="18"/>
              </w:rPr>
              <w:t>1,292,20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2" w:right="0"/>
              <w:jc w:val="left"/>
              <w:rPr>
                <w:rFonts w:ascii="Times New Roman" w:hAnsi="Times New Roman" w:cs="Times New Roman" w:eastAsia="Times New Roman" w:hint="default"/>
                <w:sz w:val="18"/>
                <w:szCs w:val="18"/>
              </w:rPr>
            </w:pPr>
            <w:r>
              <w:rPr>
                <w:rFonts w:ascii="Times New Roman"/>
                <w:sz w:val="18"/>
              </w:rPr>
              <w:t>600,000,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2" w:right="0"/>
              <w:jc w:val="left"/>
              <w:rPr>
                <w:rFonts w:ascii="Times New Roman" w:hAnsi="Times New Roman" w:cs="Times New Roman" w:eastAsia="Times New Roman" w:hint="default"/>
                <w:sz w:val="18"/>
                <w:szCs w:val="18"/>
              </w:rPr>
            </w:pPr>
            <w:r>
              <w:rPr>
                <w:rFonts w:ascii="Times New Roman"/>
                <w:sz w:val="18"/>
              </w:rPr>
              <w:t>1,892,20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161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南世纪 锦城房 地产开 发有限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6,639.65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945.06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2,584.71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5,820.70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left"/>
              <w:rPr>
                <w:rFonts w:ascii="Times New Roman" w:hAnsi="Times New Roman" w:cs="Times New Roman" w:eastAsia="Times New Roman" w:hint="default"/>
                <w:sz w:val="18"/>
                <w:szCs w:val="18"/>
              </w:rPr>
            </w:pPr>
            <w:r>
              <w:rPr>
                <w:rFonts w:ascii="Times New Roman"/>
                <w:sz w:val="18"/>
              </w:rPr>
              <w:t>5,820.70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6,227.02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95.83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0,222.85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1,624.48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left"/>
              <w:rPr>
                <w:rFonts w:ascii="Times New Roman" w:hAnsi="Times New Roman" w:cs="Times New Roman" w:eastAsia="Times New Roman" w:hint="default"/>
                <w:sz w:val="18"/>
                <w:szCs w:val="18"/>
              </w:rPr>
            </w:pPr>
            <w:r>
              <w:rPr>
                <w:rFonts w:ascii="Times New Roman"/>
                <w:sz w:val="18"/>
              </w:rPr>
              <w:t>1,624.48</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常熟中 南御锦 城房地 产开发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2,677,06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4,429.96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88,941,6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2,766,00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6,129.23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1,863,83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6,859.72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670,600,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2,534,43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6,859.72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1,031,81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8,488.68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369,059.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1,032,18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7,547.92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777,975,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205.64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777,975,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205.64</w:t>
            </w:r>
          </w:p>
        </w:tc>
      </w:tr>
      <w:tr>
        <w:trPr>
          <w:trHeight w:val="19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昆山中 南世纪 城房地 产发展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3,185,03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8,737.85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110,315,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677.49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3,295,35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4,415.34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2,378,33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9,041.30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458,000,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2,836,33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9,041.30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1,381,52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5,983.10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9,501,09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1,391,02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7,080.79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1,057,79</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1,054.20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1,057,79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1,054.20</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常熟中 南锦苑 房地产 开发有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3,532,13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9,299.63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97,758,4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3,629,89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7,771.03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2,229,08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9,213.72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1,025,00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3,254,08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9,213.72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苏州中 南锦城 房地产 开发有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2,344,93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6,959.45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58,070,1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2,403,00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7,155.93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1,861,16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3,988.84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1,861,16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3,988.84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江苏中 南建筑 产业集 团有限 责任公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28,366,2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00,179.4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778,851,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956.61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29,145,0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52,136.0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24,574,9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13,299.4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407,767,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24,982,6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80,299.4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24,515,5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30,780.1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765,681,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325.68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25,281,2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12,105.8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21,504,7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71,216.7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128,198,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21,632,9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69,716.7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9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南充世 </w:t>
            </w:r>
            <w:r>
              <w:rPr>
                <w:rFonts w:ascii="宋体" w:hAnsi="宋体" w:cs="宋体" w:eastAsia="宋体" w:hint="default"/>
                <w:spacing w:val="-11"/>
                <w:sz w:val="18"/>
                <w:szCs w:val="18"/>
              </w:rPr>
              <w:t>纪城（中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南）房地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产开发 有限责 任公司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1,127,11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3,231.61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30,904,7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1,158,01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7,940.58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687,647,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830.15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687,647,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830.15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366,588,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220.53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2,669,17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369,257,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392.78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281,975,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419.27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281,975,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419.27</w:t>
            </w:r>
          </w:p>
        </w:tc>
      </w:tr>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南京中 南新锦 城房地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3,913,46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2,145.79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22,354,7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30.60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3,935,81</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6,876.39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1,848,20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9,537.61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0,000.00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3,453,20</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9,537.61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产开发 有限公 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中南镇江房 地产开发有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391,512,567.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34,861,913.7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34,861,913.7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-427,517,700.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350,354,775.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32,825,611.2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32,825,611.2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47,950,376.8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海门中南锦 苑房地产开 发有限公司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-4,889,444.88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-4,889,444.88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-597,678,434.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-7,854.88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-279,659,223.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镇江中南新 锦城房地产 发展有限公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503,450,826.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-63,837,826.7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-63,837,826.7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-538,856,167.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371,754,804.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-65,387,718.9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-65,387,718.9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-2,243,196.45</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泰兴市中南 世纪城房地 产发展有限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-19,721,384.3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-19,721,384.3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-186,399,556.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-3,439,374.69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-3,439,374.69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157,177,292.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南通华城中 南房地产开 发有限公司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60,770,481.9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-6,388,342.61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-6,388,342.61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304,320,437.</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219,269,674.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8,527,361.43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8,527,361.43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-79,177,885.2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常熟中南世 纪锦城房地 产开发有限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-17,081,834.3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-17,081,834.3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131,386,706.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-11,061,401.6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-11,061,401.6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-837,106,623.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常熟中南御 锦城房地产 开发有限公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-22,643,072.7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-22,643,072.7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-596,441,955.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-787,657.72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-787,657.72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-234,015,044.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昆山中南世 纪城房地产 发展有限公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-36,720,652.5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-36,720,652.5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-470,201,111.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-4,263,973.41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-4,263,973.41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-84,278,588.0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常熟中南锦 苑房地产开 发有限公司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-24,191,442.6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-24,191,442.6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-1,063,882,26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苏州中南锦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-20,156,832.9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-20,156,832.9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-1,002,696,35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67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5"/>
              <w:jc w:val="left"/>
              <w:rPr>
                <w:rFonts w:ascii="宋体" w:hAnsi="宋体" w:cs="宋体" w:eastAsia="宋体" w:hint="default"/>
                <w:sz w:val="18"/>
                <w:szCs w:val="18"/>
              </w:rPr>
            </w:pPr>
            <w:r>
              <w:rPr>
                <w:rFonts w:ascii="宋体" w:hAnsi="宋体" w:cs="宋体" w:eastAsia="宋体" w:hint="default"/>
                <w:sz w:val="18"/>
                <w:szCs w:val="18"/>
              </w:rPr>
              <w:t>城房地产开 发有限公司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江苏中南建 筑产业集团 有限责任公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12,259,654,7</w:t>
            </w:r>
          </w:p>
          <w:p>
            <w:pPr>
              <w:pStyle w:val="TableParagraph"/>
              <w:spacing w:line="240" w:lineRule="auto" w:before="105"/>
              <w:ind w:left="623" w:right="0"/>
              <w:jc w:val="left"/>
              <w:rPr>
                <w:rFonts w:ascii="Times New Roman" w:hAnsi="Times New Roman" w:cs="Times New Roman" w:eastAsia="Times New Roman" w:hint="default"/>
                <w:sz w:val="18"/>
                <w:szCs w:val="18"/>
              </w:rPr>
            </w:pPr>
            <w:r>
              <w:rPr>
                <w:rFonts w:ascii="Times New Roman"/>
                <w:sz w:val="18"/>
              </w:rPr>
              <w:t>62.86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415,568,543.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415,568,543.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-1,442,951,24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10,785,270,9</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49.87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534,126,373.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534,126,373.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1,066,593,37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5.37</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南充世纪城</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pacing w:val="-13"/>
                <w:sz w:val="18"/>
                <w:szCs w:val="18"/>
              </w:rPr>
              <w:t>（中南）房地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产开发有限 责任公司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-16,911,863.0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-16,911,863.0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-376,653,877.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-3,808,349.46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-3,808,349.46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-65,039,829.7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南京中南新 锦城房地产 开发有限公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-17,392,661.2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-17,392,661.2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-1,792,808,86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续表：</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81"/>
        <w:gridCol w:w="2590"/>
        <w:gridCol w:w="2269"/>
        <w:gridCol w:w="1802"/>
      </w:tblGrid>
      <w:tr>
        <w:trPr>
          <w:trHeight w:val="34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变动前持股比例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变动后持股比例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变动原因</w:t>
            </w:r>
            <w:r>
              <w:rPr>
                <w:rFonts w:ascii="宋体" w:hAnsi="宋体" w:cs="宋体" w:eastAsia="宋体" w:hint="default"/>
                <w:sz w:val="18"/>
                <w:szCs w:val="18"/>
              </w:rPr>
            </w:r>
          </w:p>
        </w:tc>
      </w:tr>
      <w:tr>
        <w:trPr>
          <w:trHeight w:val="65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9"/>
                <w:sz w:val="18"/>
                <w:szCs w:val="18"/>
              </w:rPr>
              <w:t>青岛中南世纪城房地产业投资有限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收购少数股东投资</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儋州中南房地产开发有限公司</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收购少数股东投资</w:t>
            </w:r>
          </w:p>
        </w:tc>
      </w:tr>
      <w:tr>
        <w:trPr>
          <w:trHeight w:val="65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9"/>
                <w:sz w:val="18"/>
                <w:szCs w:val="18"/>
              </w:rPr>
              <w:t>泰兴市中南世纪城房地产发展有限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吸收少数股东投资</w:t>
            </w:r>
          </w:p>
        </w:tc>
      </w:tr>
      <w:tr>
        <w:trPr>
          <w:trHeight w:val="65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9"/>
                <w:sz w:val="18"/>
                <w:szCs w:val="18"/>
              </w:rPr>
              <w:t>盐城中南世纪城房地产开发有限公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收购少数股东投资</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淮安中南锦城房地产有限公司</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收购少数股东投资</w:t>
            </w:r>
          </w:p>
        </w:tc>
      </w:tr>
      <w:tr>
        <w:trPr>
          <w:trHeight w:val="65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9"/>
                <w:sz w:val="18"/>
                <w:szCs w:val="18"/>
              </w:rPr>
              <w:t>常熟中南御锦城房地产开发有限公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88.47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吸收少数股东投资</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80"/>
        <w:gridCol w:w="1261"/>
        <w:gridCol w:w="1260"/>
        <w:gridCol w:w="1440"/>
        <w:gridCol w:w="1260"/>
        <w:gridCol w:w="1261"/>
        <w:gridCol w:w="1260"/>
      </w:tblGrid>
      <w:tr>
        <w:trPr>
          <w:trHeight w:val="96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both"/>
              <w:rPr>
                <w:rFonts w:ascii="宋体" w:hAnsi="宋体" w:cs="宋体" w:eastAsia="宋体" w:hint="default"/>
                <w:sz w:val="18"/>
                <w:szCs w:val="18"/>
              </w:rPr>
            </w:pPr>
            <w:r>
              <w:rPr>
                <w:rFonts w:ascii="宋体" w:hAnsi="宋体" w:cs="宋体" w:eastAsia="宋体" w:hint="default"/>
                <w:sz w:val="18"/>
                <w:szCs w:val="18"/>
              </w:rPr>
              <w:t>青</w:t>
            </w:r>
            <w:r>
              <w:rPr>
                <w:rFonts w:ascii="宋体" w:hAnsi="宋体" w:cs="宋体" w:eastAsia="宋体" w:hint="default"/>
                <w:spacing w:val="-60"/>
                <w:sz w:val="18"/>
                <w:szCs w:val="18"/>
              </w:rPr>
              <w:t> </w:t>
            </w:r>
            <w:r>
              <w:rPr>
                <w:rFonts w:ascii="宋体" w:hAnsi="宋体" w:cs="宋体" w:eastAsia="宋体" w:hint="default"/>
                <w:sz w:val="18"/>
                <w:szCs w:val="18"/>
              </w:rPr>
              <w:t>岛</w:t>
            </w:r>
            <w:r>
              <w:rPr>
                <w:rFonts w:ascii="宋体" w:hAnsi="宋体" w:cs="宋体" w:eastAsia="宋体" w:hint="default"/>
                <w:spacing w:val="-60"/>
                <w:sz w:val="18"/>
                <w:szCs w:val="18"/>
              </w:rPr>
              <w:t> </w:t>
            </w:r>
            <w:r>
              <w:rPr>
                <w:rFonts w:ascii="宋体" w:hAnsi="宋体" w:cs="宋体" w:eastAsia="宋体" w:hint="default"/>
                <w:sz w:val="18"/>
                <w:szCs w:val="18"/>
              </w:rPr>
              <w:t>中</w:t>
            </w:r>
            <w:r>
              <w:rPr>
                <w:rFonts w:ascii="宋体" w:hAnsi="宋体" w:cs="宋体" w:eastAsia="宋体" w:hint="default"/>
                <w:spacing w:val="-60"/>
                <w:sz w:val="18"/>
                <w:szCs w:val="18"/>
              </w:rPr>
              <w:t> </w:t>
            </w:r>
            <w:r>
              <w:rPr>
                <w:rFonts w:ascii="宋体" w:hAnsi="宋体" w:cs="宋体" w:eastAsia="宋体" w:hint="default"/>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世</w:t>
            </w:r>
            <w:r>
              <w:rPr>
                <w:rFonts w:ascii="宋体" w:hAnsi="宋体" w:cs="宋体" w:eastAsia="宋体" w:hint="default"/>
                <w:spacing w:val="-60"/>
                <w:sz w:val="18"/>
                <w:szCs w:val="18"/>
              </w:rPr>
              <w:t> </w:t>
            </w:r>
            <w:r>
              <w:rPr>
                <w:rFonts w:ascii="宋体" w:hAnsi="宋体" w:cs="宋体" w:eastAsia="宋体" w:hint="default"/>
                <w:sz w:val="18"/>
                <w:szCs w:val="18"/>
              </w:rPr>
              <w:t>纪</w:t>
            </w:r>
            <w:r>
              <w:rPr>
                <w:rFonts w:ascii="宋体" w:hAnsi="宋体" w:cs="宋体" w:eastAsia="宋体" w:hint="default"/>
                <w:sz w:val="18"/>
                <w:szCs w:val="18"/>
              </w:rPr>
              <w:t> </w:t>
            </w:r>
            <w:r>
              <w:rPr>
                <w:rFonts w:ascii="宋体" w:hAnsi="宋体" w:cs="宋体" w:eastAsia="宋体" w:hint="default"/>
                <w:spacing w:val="15"/>
                <w:sz w:val="18"/>
                <w:szCs w:val="18"/>
              </w:rPr>
              <w:t>城房</w:t>
            </w:r>
            <w:r>
              <w:rPr>
                <w:rFonts w:ascii="宋体" w:hAnsi="宋体" w:cs="宋体" w:eastAsia="宋体" w:hint="default"/>
                <w:spacing w:val="-59"/>
                <w:sz w:val="18"/>
                <w:szCs w:val="18"/>
              </w:rPr>
              <w:t> </w:t>
            </w:r>
            <w:r>
              <w:rPr>
                <w:rFonts w:ascii="宋体" w:hAnsi="宋体" w:cs="宋体" w:eastAsia="宋体" w:hint="default"/>
                <w:sz w:val="18"/>
                <w:szCs w:val="18"/>
              </w:rPr>
              <w:t>地</w:t>
            </w:r>
            <w:r>
              <w:rPr>
                <w:rFonts w:ascii="宋体" w:hAnsi="宋体" w:cs="宋体" w:eastAsia="宋体" w:hint="default"/>
                <w:spacing w:val="-60"/>
                <w:sz w:val="18"/>
                <w:szCs w:val="18"/>
              </w:rPr>
              <w:t> </w:t>
            </w:r>
            <w:r>
              <w:rPr>
                <w:rFonts w:ascii="宋体" w:hAnsi="宋体" w:cs="宋体" w:eastAsia="宋体" w:hint="default"/>
                <w:sz w:val="18"/>
                <w:szCs w:val="18"/>
              </w:rPr>
              <w:t>产</w:t>
            </w:r>
            <w:r>
              <w:rPr>
                <w:rFonts w:ascii="宋体" w:hAnsi="宋体" w:cs="宋体" w:eastAsia="宋体" w:hint="default"/>
                <w:spacing w:val="-57"/>
                <w:sz w:val="18"/>
                <w:szCs w:val="18"/>
              </w:rPr>
              <w:t> </w:t>
            </w:r>
            <w:r>
              <w:rPr>
                <w:rFonts w:ascii="宋体" w:hAnsi="宋体" w:cs="宋体" w:eastAsia="宋体" w:hint="default"/>
                <w:sz w:val="18"/>
                <w:szCs w:val="18"/>
              </w:rPr>
              <w:t>业</w:t>
            </w:r>
            <w:r>
              <w:rPr>
                <w:rFonts w:ascii="宋体" w:hAnsi="宋体" w:cs="宋体" w:eastAsia="宋体" w:hint="default"/>
                <w:spacing w:val="-60"/>
                <w:sz w:val="18"/>
                <w:szCs w:val="18"/>
              </w:rPr>
              <w:t> </w:t>
            </w:r>
            <w:r>
              <w:rPr>
                <w:rFonts w:ascii="宋体" w:hAnsi="宋体" w:cs="宋体" w:eastAsia="宋体" w:hint="default"/>
                <w:sz w:val="18"/>
                <w:szCs w:val="18"/>
              </w:rPr>
              <w:t>投</w:t>
            </w:r>
            <w:r>
              <w:rPr>
                <w:rFonts w:ascii="宋体" w:hAnsi="宋体" w:cs="宋体" w:eastAsia="宋体" w:hint="default"/>
                <w:sz w:val="18"/>
                <w:szCs w:val="18"/>
              </w:rPr>
              <w:t> 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both"/>
              <w:rPr>
                <w:rFonts w:ascii="宋体" w:hAnsi="宋体" w:cs="宋体" w:eastAsia="宋体" w:hint="default"/>
                <w:sz w:val="18"/>
                <w:szCs w:val="18"/>
              </w:rPr>
            </w:pPr>
            <w:r>
              <w:rPr>
                <w:rFonts w:ascii="宋体" w:hAnsi="宋体" w:cs="宋体" w:eastAsia="宋体" w:hint="default"/>
                <w:sz w:val="18"/>
                <w:szCs w:val="18"/>
              </w:rPr>
              <w:t>儋</w:t>
            </w:r>
            <w:r>
              <w:rPr>
                <w:rFonts w:ascii="宋体" w:hAnsi="宋体" w:cs="宋体" w:eastAsia="宋体" w:hint="default"/>
                <w:spacing w:val="-60"/>
                <w:sz w:val="18"/>
                <w:szCs w:val="18"/>
              </w:rPr>
              <w:t> </w:t>
            </w:r>
            <w:r>
              <w:rPr>
                <w:rFonts w:ascii="宋体" w:hAnsi="宋体" w:cs="宋体" w:eastAsia="宋体" w:hint="default"/>
                <w:sz w:val="18"/>
                <w:szCs w:val="18"/>
              </w:rPr>
              <w:t>州</w:t>
            </w:r>
            <w:r>
              <w:rPr>
                <w:rFonts w:ascii="宋体" w:hAnsi="宋体" w:cs="宋体" w:eastAsia="宋体" w:hint="default"/>
                <w:spacing w:val="-60"/>
                <w:sz w:val="18"/>
                <w:szCs w:val="18"/>
              </w:rPr>
              <w:t> </w:t>
            </w:r>
            <w:r>
              <w:rPr>
                <w:rFonts w:ascii="宋体" w:hAnsi="宋体" w:cs="宋体" w:eastAsia="宋体" w:hint="default"/>
                <w:sz w:val="18"/>
                <w:szCs w:val="18"/>
              </w:rPr>
              <w:t>中</w:t>
            </w:r>
            <w:r>
              <w:rPr>
                <w:rFonts w:ascii="宋体" w:hAnsi="宋体" w:cs="宋体" w:eastAsia="宋体" w:hint="default"/>
                <w:spacing w:val="-60"/>
                <w:sz w:val="18"/>
                <w:szCs w:val="18"/>
              </w:rPr>
              <w:t> </w:t>
            </w:r>
            <w:r>
              <w:rPr>
                <w:rFonts w:ascii="宋体" w:hAnsi="宋体" w:cs="宋体" w:eastAsia="宋体" w:hint="default"/>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房</w:t>
            </w:r>
            <w:r>
              <w:rPr>
                <w:rFonts w:ascii="宋体" w:hAnsi="宋体" w:cs="宋体" w:eastAsia="宋体" w:hint="default"/>
                <w:spacing w:val="-60"/>
                <w:sz w:val="18"/>
                <w:szCs w:val="18"/>
              </w:rPr>
              <w:t> </w:t>
            </w:r>
            <w:r>
              <w:rPr>
                <w:rFonts w:ascii="宋体" w:hAnsi="宋体" w:cs="宋体" w:eastAsia="宋体" w:hint="default"/>
                <w:sz w:val="18"/>
                <w:szCs w:val="18"/>
              </w:rPr>
              <w:t>地</w:t>
            </w:r>
            <w:r>
              <w:rPr>
                <w:rFonts w:ascii="宋体" w:hAnsi="宋体" w:cs="宋体" w:eastAsia="宋体" w:hint="default"/>
                <w:sz w:val="18"/>
                <w:szCs w:val="18"/>
              </w:rPr>
              <w:t> 产</w:t>
            </w:r>
            <w:r>
              <w:rPr>
                <w:rFonts w:ascii="宋体" w:hAnsi="宋体" w:cs="宋体" w:eastAsia="宋体" w:hint="default"/>
                <w:spacing w:val="-60"/>
                <w:sz w:val="18"/>
                <w:szCs w:val="18"/>
              </w:rPr>
              <w:t> </w:t>
            </w:r>
            <w:r>
              <w:rPr>
                <w:rFonts w:ascii="宋体" w:hAnsi="宋体" w:cs="宋体" w:eastAsia="宋体" w:hint="default"/>
                <w:sz w:val="18"/>
                <w:szCs w:val="18"/>
              </w:rPr>
              <w:t>开</w:t>
            </w:r>
            <w:r>
              <w:rPr>
                <w:rFonts w:ascii="宋体" w:hAnsi="宋体" w:cs="宋体" w:eastAsia="宋体" w:hint="default"/>
                <w:spacing w:val="-60"/>
                <w:sz w:val="18"/>
                <w:szCs w:val="18"/>
              </w:rPr>
              <w:t> </w:t>
            </w:r>
            <w:r>
              <w:rPr>
                <w:rFonts w:ascii="宋体" w:hAnsi="宋体" w:cs="宋体" w:eastAsia="宋体" w:hint="default"/>
                <w:sz w:val="18"/>
                <w:szCs w:val="18"/>
              </w:rPr>
              <w:t>发</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2"/>
              <w:jc w:val="both"/>
              <w:rPr>
                <w:rFonts w:ascii="宋体" w:hAnsi="宋体" w:cs="宋体" w:eastAsia="宋体" w:hint="default"/>
                <w:sz w:val="18"/>
                <w:szCs w:val="18"/>
              </w:rPr>
            </w:pPr>
            <w:r>
              <w:rPr>
                <w:rFonts w:ascii="宋体" w:hAnsi="宋体" w:cs="宋体" w:eastAsia="宋体" w:hint="default"/>
                <w:spacing w:val="22"/>
                <w:sz w:val="18"/>
                <w:szCs w:val="18"/>
              </w:rPr>
              <w:t>泰兴市中南世纪</w:t>
            </w:r>
            <w:r>
              <w:rPr>
                <w:rFonts w:ascii="宋体" w:hAnsi="宋体" w:cs="宋体" w:eastAsia="宋体" w:hint="default"/>
                <w:spacing w:val="-64"/>
                <w:sz w:val="18"/>
                <w:szCs w:val="18"/>
              </w:rPr>
              <w:t> </w:t>
            </w:r>
            <w:r>
              <w:rPr>
                <w:rFonts w:ascii="宋体" w:hAnsi="宋体" w:cs="宋体" w:eastAsia="宋体" w:hint="default"/>
                <w:spacing w:val="22"/>
                <w:sz w:val="18"/>
                <w:szCs w:val="18"/>
              </w:rPr>
              <w:t>城房地产发展有</w:t>
            </w:r>
            <w:r>
              <w:rPr>
                <w:rFonts w:ascii="宋体" w:hAnsi="宋体" w:cs="宋体" w:eastAsia="宋体" w:hint="default"/>
                <w:spacing w:val="-64"/>
                <w:sz w:val="18"/>
                <w:szCs w:val="18"/>
              </w:rPr>
              <w:t> </w:t>
            </w:r>
            <w:r>
              <w:rPr>
                <w:rFonts w:ascii="宋体" w:hAnsi="宋体" w:cs="宋体" w:eastAsia="宋体" w:hint="default"/>
                <w:sz w:val="18"/>
                <w:szCs w:val="18"/>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both"/>
              <w:rPr>
                <w:rFonts w:ascii="宋体" w:hAnsi="宋体" w:cs="宋体" w:eastAsia="宋体" w:hint="default"/>
                <w:sz w:val="18"/>
                <w:szCs w:val="18"/>
              </w:rPr>
            </w:pPr>
            <w:r>
              <w:rPr>
                <w:rFonts w:ascii="宋体" w:hAnsi="宋体" w:cs="宋体" w:eastAsia="宋体" w:hint="default"/>
                <w:sz w:val="18"/>
                <w:szCs w:val="18"/>
              </w:rPr>
              <w:t>盐</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中</w:t>
            </w:r>
            <w:r>
              <w:rPr>
                <w:rFonts w:ascii="宋体" w:hAnsi="宋体" w:cs="宋体" w:eastAsia="宋体" w:hint="default"/>
                <w:spacing w:val="-60"/>
                <w:sz w:val="18"/>
                <w:szCs w:val="18"/>
              </w:rPr>
              <w:t> </w:t>
            </w:r>
            <w:r>
              <w:rPr>
                <w:rFonts w:ascii="宋体" w:hAnsi="宋体" w:cs="宋体" w:eastAsia="宋体" w:hint="default"/>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世</w:t>
            </w:r>
            <w:r>
              <w:rPr>
                <w:rFonts w:ascii="宋体" w:hAnsi="宋体" w:cs="宋体" w:eastAsia="宋体" w:hint="default"/>
                <w:spacing w:val="-60"/>
                <w:sz w:val="18"/>
                <w:szCs w:val="18"/>
              </w:rPr>
              <w:t> </w:t>
            </w:r>
            <w:r>
              <w:rPr>
                <w:rFonts w:ascii="宋体" w:hAnsi="宋体" w:cs="宋体" w:eastAsia="宋体" w:hint="default"/>
                <w:sz w:val="18"/>
                <w:szCs w:val="18"/>
              </w:rPr>
              <w:t>纪</w:t>
            </w:r>
            <w:r>
              <w:rPr>
                <w:rFonts w:ascii="宋体" w:hAnsi="宋体" w:cs="宋体" w:eastAsia="宋体" w:hint="default"/>
                <w:sz w:val="18"/>
                <w:szCs w:val="18"/>
              </w:rPr>
              <w:t> 城</w:t>
            </w:r>
            <w:r>
              <w:rPr>
                <w:rFonts w:ascii="宋体" w:hAnsi="宋体" w:cs="宋体" w:eastAsia="宋体" w:hint="default"/>
                <w:spacing w:val="-60"/>
                <w:sz w:val="18"/>
                <w:szCs w:val="18"/>
              </w:rPr>
              <w:t> </w:t>
            </w:r>
            <w:r>
              <w:rPr>
                <w:rFonts w:ascii="宋体" w:hAnsi="宋体" w:cs="宋体" w:eastAsia="宋体" w:hint="default"/>
                <w:sz w:val="18"/>
                <w:szCs w:val="18"/>
              </w:rPr>
              <w:t>房</w:t>
            </w:r>
            <w:r>
              <w:rPr>
                <w:rFonts w:ascii="宋体" w:hAnsi="宋体" w:cs="宋体" w:eastAsia="宋体" w:hint="default"/>
                <w:spacing w:val="-60"/>
                <w:sz w:val="18"/>
                <w:szCs w:val="18"/>
              </w:rPr>
              <w:t> </w:t>
            </w:r>
            <w:r>
              <w:rPr>
                <w:rFonts w:ascii="宋体" w:hAnsi="宋体" w:cs="宋体" w:eastAsia="宋体" w:hint="default"/>
                <w:sz w:val="18"/>
                <w:szCs w:val="18"/>
              </w:rPr>
              <w:t>地</w:t>
            </w:r>
            <w:r>
              <w:rPr>
                <w:rFonts w:ascii="宋体" w:hAnsi="宋体" w:cs="宋体" w:eastAsia="宋体" w:hint="default"/>
                <w:spacing w:val="-60"/>
                <w:sz w:val="18"/>
                <w:szCs w:val="18"/>
              </w:rPr>
              <w:t> </w:t>
            </w:r>
            <w:r>
              <w:rPr>
                <w:rFonts w:ascii="宋体" w:hAnsi="宋体" w:cs="宋体" w:eastAsia="宋体" w:hint="default"/>
                <w:sz w:val="18"/>
                <w:szCs w:val="18"/>
              </w:rPr>
              <w:t>产</w:t>
            </w:r>
            <w:r>
              <w:rPr>
                <w:rFonts w:ascii="宋体" w:hAnsi="宋体" w:cs="宋体" w:eastAsia="宋体" w:hint="default"/>
                <w:spacing w:val="-57"/>
                <w:sz w:val="18"/>
                <w:szCs w:val="18"/>
              </w:rPr>
              <w:t> </w:t>
            </w:r>
            <w:r>
              <w:rPr>
                <w:rFonts w:ascii="宋体" w:hAnsi="宋体" w:cs="宋体" w:eastAsia="宋体" w:hint="default"/>
                <w:sz w:val="18"/>
                <w:szCs w:val="18"/>
              </w:rPr>
              <w:t>开</w:t>
            </w:r>
            <w:r>
              <w:rPr>
                <w:rFonts w:ascii="宋体" w:hAnsi="宋体" w:cs="宋体" w:eastAsia="宋体" w:hint="default"/>
                <w:spacing w:val="-60"/>
                <w:sz w:val="18"/>
                <w:szCs w:val="18"/>
              </w:rPr>
              <w:t> </w:t>
            </w:r>
            <w:r>
              <w:rPr>
                <w:rFonts w:ascii="宋体" w:hAnsi="宋体" w:cs="宋体" w:eastAsia="宋体" w:hint="default"/>
                <w:sz w:val="18"/>
                <w:szCs w:val="18"/>
              </w:rPr>
              <w:t>发</w:t>
            </w:r>
            <w:r>
              <w:rPr>
                <w:rFonts w:ascii="宋体" w:hAnsi="宋体" w:cs="宋体" w:eastAsia="宋体" w:hint="default"/>
                <w:sz w:val="18"/>
                <w:szCs w:val="18"/>
              </w:rPr>
              <w:t> 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both"/>
              <w:rPr>
                <w:rFonts w:ascii="宋体" w:hAnsi="宋体" w:cs="宋体" w:eastAsia="宋体" w:hint="default"/>
                <w:sz w:val="18"/>
                <w:szCs w:val="18"/>
              </w:rPr>
            </w:pPr>
            <w:r>
              <w:rPr>
                <w:rFonts w:ascii="宋体" w:hAnsi="宋体" w:cs="宋体" w:eastAsia="宋体" w:hint="default"/>
                <w:sz w:val="18"/>
                <w:szCs w:val="18"/>
              </w:rPr>
              <w:t>淮</w:t>
            </w:r>
            <w:r>
              <w:rPr>
                <w:rFonts w:ascii="宋体" w:hAnsi="宋体" w:cs="宋体" w:eastAsia="宋体" w:hint="default"/>
                <w:spacing w:val="-60"/>
                <w:sz w:val="18"/>
                <w:szCs w:val="18"/>
              </w:rPr>
              <w:t> </w:t>
            </w:r>
            <w:r>
              <w:rPr>
                <w:rFonts w:ascii="宋体" w:hAnsi="宋体" w:cs="宋体" w:eastAsia="宋体" w:hint="default"/>
                <w:sz w:val="18"/>
                <w:szCs w:val="18"/>
              </w:rPr>
              <w:t>安</w:t>
            </w:r>
            <w:r>
              <w:rPr>
                <w:rFonts w:ascii="宋体" w:hAnsi="宋体" w:cs="宋体" w:eastAsia="宋体" w:hint="default"/>
                <w:spacing w:val="-60"/>
                <w:sz w:val="18"/>
                <w:szCs w:val="18"/>
              </w:rPr>
              <w:t> </w:t>
            </w:r>
            <w:r>
              <w:rPr>
                <w:rFonts w:ascii="宋体" w:hAnsi="宋体" w:cs="宋体" w:eastAsia="宋体" w:hint="default"/>
                <w:sz w:val="18"/>
                <w:szCs w:val="18"/>
              </w:rPr>
              <w:t>中</w:t>
            </w:r>
            <w:r>
              <w:rPr>
                <w:rFonts w:ascii="宋体" w:hAnsi="宋体" w:cs="宋体" w:eastAsia="宋体" w:hint="default"/>
                <w:spacing w:val="-60"/>
                <w:sz w:val="18"/>
                <w:szCs w:val="18"/>
              </w:rPr>
              <w:t> </w:t>
            </w:r>
            <w:r>
              <w:rPr>
                <w:rFonts w:ascii="宋体" w:hAnsi="宋体" w:cs="宋体" w:eastAsia="宋体" w:hint="default"/>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锦</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z w:val="18"/>
                <w:szCs w:val="18"/>
              </w:rPr>
              <w:t> 房</w:t>
            </w:r>
            <w:r>
              <w:rPr>
                <w:rFonts w:ascii="宋体" w:hAnsi="宋体" w:cs="宋体" w:eastAsia="宋体" w:hint="default"/>
                <w:spacing w:val="-60"/>
                <w:sz w:val="18"/>
                <w:szCs w:val="18"/>
              </w:rPr>
              <w:t> </w:t>
            </w:r>
            <w:r>
              <w:rPr>
                <w:rFonts w:ascii="宋体" w:hAnsi="宋体" w:cs="宋体" w:eastAsia="宋体" w:hint="default"/>
                <w:sz w:val="18"/>
                <w:szCs w:val="18"/>
              </w:rPr>
              <w:t>地</w:t>
            </w:r>
            <w:r>
              <w:rPr>
                <w:rFonts w:ascii="宋体" w:hAnsi="宋体" w:cs="宋体" w:eastAsia="宋体" w:hint="default"/>
                <w:spacing w:val="-60"/>
                <w:sz w:val="18"/>
                <w:szCs w:val="18"/>
              </w:rPr>
              <w:t> </w:t>
            </w:r>
            <w:r>
              <w:rPr>
                <w:rFonts w:ascii="宋体" w:hAnsi="宋体" w:cs="宋体" w:eastAsia="宋体" w:hint="default"/>
                <w:sz w:val="18"/>
                <w:szCs w:val="18"/>
              </w:rPr>
              <w:t>产</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both"/>
              <w:rPr>
                <w:rFonts w:ascii="宋体" w:hAnsi="宋体" w:cs="宋体" w:eastAsia="宋体" w:hint="default"/>
                <w:sz w:val="18"/>
                <w:szCs w:val="18"/>
              </w:rPr>
            </w:pPr>
            <w:r>
              <w:rPr>
                <w:rFonts w:ascii="宋体" w:hAnsi="宋体" w:cs="宋体" w:eastAsia="宋体" w:hint="default"/>
                <w:sz w:val="18"/>
                <w:szCs w:val="18"/>
              </w:rPr>
              <w:t>常</w:t>
            </w:r>
            <w:r>
              <w:rPr>
                <w:rFonts w:ascii="宋体" w:hAnsi="宋体" w:cs="宋体" w:eastAsia="宋体" w:hint="default"/>
                <w:spacing w:val="-60"/>
                <w:sz w:val="18"/>
                <w:szCs w:val="18"/>
              </w:rPr>
              <w:t> </w:t>
            </w:r>
            <w:r>
              <w:rPr>
                <w:rFonts w:ascii="宋体" w:hAnsi="宋体" w:cs="宋体" w:eastAsia="宋体" w:hint="default"/>
                <w:sz w:val="18"/>
                <w:szCs w:val="18"/>
              </w:rPr>
              <w:t>熟</w:t>
            </w:r>
            <w:r>
              <w:rPr>
                <w:rFonts w:ascii="宋体" w:hAnsi="宋体" w:cs="宋体" w:eastAsia="宋体" w:hint="default"/>
                <w:spacing w:val="-60"/>
                <w:sz w:val="18"/>
                <w:szCs w:val="18"/>
              </w:rPr>
              <w:t> </w:t>
            </w:r>
            <w:r>
              <w:rPr>
                <w:rFonts w:ascii="宋体" w:hAnsi="宋体" w:cs="宋体" w:eastAsia="宋体" w:hint="default"/>
                <w:sz w:val="18"/>
                <w:szCs w:val="18"/>
              </w:rPr>
              <w:t>中</w:t>
            </w:r>
            <w:r>
              <w:rPr>
                <w:rFonts w:ascii="宋体" w:hAnsi="宋体" w:cs="宋体" w:eastAsia="宋体" w:hint="default"/>
                <w:spacing w:val="-60"/>
                <w:sz w:val="18"/>
                <w:szCs w:val="18"/>
              </w:rPr>
              <w:t> </w:t>
            </w:r>
            <w:r>
              <w:rPr>
                <w:rFonts w:ascii="宋体" w:hAnsi="宋体" w:cs="宋体" w:eastAsia="宋体" w:hint="default"/>
                <w:sz w:val="18"/>
                <w:szCs w:val="18"/>
              </w:rPr>
              <w:t>南</w:t>
            </w:r>
            <w:r>
              <w:rPr>
                <w:rFonts w:ascii="宋体" w:hAnsi="宋体" w:cs="宋体" w:eastAsia="宋体" w:hint="default"/>
                <w:spacing w:val="-57"/>
                <w:sz w:val="18"/>
                <w:szCs w:val="18"/>
              </w:rPr>
              <w:t> </w:t>
            </w:r>
            <w:r>
              <w:rPr>
                <w:rFonts w:ascii="宋体" w:hAnsi="宋体" w:cs="宋体" w:eastAsia="宋体" w:hint="default"/>
                <w:sz w:val="18"/>
                <w:szCs w:val="18"/>
              </w:rPr>
              <w:t>御</w:t>
            </w:r>
            <w:r>
              <w:rPr>
                <w:rFonts w:ascii="宋体" w:hAnsi="宋体" w:cs="宋体" w:eastAsia="宋体" w:hint="default"/>
                <w:spacing w:val="-60"/>
                <w:sz w:val="18"/>
                <w:szCs w:val="18"/>
              </w:rPr>
              <w:t> </w:t>
            </w:r>
            <w:r>
              <w:rPr>
                <w:rFonts w:ascii="宋体" w:hAnsi="宋体" w:cs="宋体" w:eastAsia="宋体" w:hint="default"/>
                <w:sz w:val="18"/>
                <w:szCs w:val="18"/>
              </w:rPr>
              <w:t>锦</w:t>
            </w:r>
            <w:r>
              <w:rPr>
                <w:rFonts w:ascii="宋体" w:hAnsi="宋体" w:cs="宋体" w:eastAsia="宋体" w:hint="default"/>
                <w:sz w:val="18"/>
                <w:szCs w:val="18"/>
              </w:rPr>
              <w:t> 城</w:t>
            </w:r>
            <w:r>
              <w:rPr>
                <w:rFonts w:ascii="宋体" w:hAnsi="宋体" w:cs="宋体" w:eastAsia="宋体" w:hint="default"/>
                <w:spacing w:val="-60"/>
                <w:sz w:val="18"/>
                <w:szCs w:val="18"/>
              </w:rPr>
              <w:t> </w:t>
            </w:r>
            <w:r>
              <w:rPr>
                <w:rFonts w:ascii="宋体" w:hAnsi="宋体" w:cs="宋体" w:eastAsia="宋体" w:hint="default"/>
                <w:sz w:val="18"/>
                <w:szCs w:val="18"/>
              </w:rPr>
              <w:t>房</w:t>
            </w:r>
            <w:r>
              <w:rPr>
                <w:rFonts w:ascii="宋体" w:hAnsi="宋体" w:cs="宋体" w:eastAsia="宋体" w:hint="default"/>
                <w:spacing w:val="-60"/>
                <w:sz w:val="18"/>
                <w:szCs w:val="18"/>
              </w:rPr>
              <w:t> </w:t>
            </w:r>
            <w:r>
              <w:rPr>
                <w:rFonts w:ascii="宋体" w:hAnsi="宋体" w:cs="宋体" w:eastAsia="宋体" w:hint="default"/>
                <w:sz w:val="18"/>
                <w:szCs w:val="18"/>
              </w:rPr>
              <w:t>地</w:t>
            </w:r>
            <w:r>
              <w:rPr>
                <w:rFonts w:ascii="宋体" w:hAnsi="宋体" w:cs="宋体" w:eastAsia="宋体" w:hint="default"/>
                <w:spacing w:val="-60"/>
                <w:sz w:val="18"/>
                <w:szCs w:val="18"/>
              </w:rPr>
              <w:t> </w:t>
            </w:r>
            <w:r>
              <w:rPr>
                <w:rFonts w:ascii="宋体" w:hAnsi="宋体" w:cs="宋体" w:eastAsia="宋体" w:hint="default"/>
                <w:sz w:val="18"/>
                <w:szCs w:val="18"/>
              </w:rPr>
              <w:t>产</w:t>
            </w:r>
            <w:r>
              <w:rPr>
                <w:rFonts w:ascii="宋体" w:hAnsi="宋体" w:cs="宋体" w:eastAsia="宋体" w:hint="default"/>
                <w:spacing w:val="-57"/>
                <w:sz w:val="18"/>
                <w:szCs w:val="18"/>
              </w:rPr>
              <w:t> </w:t>
            </w:r>
            <w:r>
              <w:rPr>
                <w:rFonts w:ascii="宋体" w:hAnsi="宋体" w:cs="宋体" w:eastAsia="宋体" w:hint="default"/>
                <w:sz w:val="18"/>
                <w:szCs w:val="18"/>
              </w:rPr>
              <w:t>开</w:t>
            </w:r>
            <w:r>
              <w:rPr>
                <w:rFonts w:ascii="宋体" w:hAnsi="宋体" w:cs="宋体" w:eastAsia="宋体" w:hint="default"/>
                <w:spacing w:val="-60"/>
                <w:sz w:val="18"/>
                <w:szCs w:val="18"/>
              </w:rPr>
              <w:t> </w:t>
            </w:r>
            <w:r>
              <w:rPr>
                <w:rFonts w:ascii="宋体" w:hAnsi="宋体" w:cs="宋体" w:eastAsia="宋体" w:hint="default"/>
                <w:sz w:val="18"/>
                <w:szCs w:val="18"/>
              </w:rPr>
              <w:t>发</w:t>
            </w:r>
            <w:r>
              <w:rPr>
                <w:rFonts w:ascii="宋体" w:hAnsi="宋体" w:cs="宋体" w:eastAsia="宋体" w:hint="default"/>
                <w:sz w:val="18"/>
                <w:szCs w:val="18"/>
              </w:rPr>
              <w:t> 有限公司</w:t>
            </w:r>
          </w:p>
        </w:tc>
      </w:tr>
      <w:tr>
        <w:trPr>
          <w:trHeight w:val="34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571,351,488.54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316,114,500.00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309,975,000.00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29,400,000.00</w:t>
            </w:r>
          </w:p>
        </w:tc>
      </w:tr>
      <w:tr>
        <w:trPr>
          <w:trHeight w:val="34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571,351,488.54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316,114,500.00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309,975,000.00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29,400,000.00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80"/>
        <w:gridCol w:w="1261"/>
        <w:gridCol w:w="1260"/>
        <w:gridCol w:w="1440"/>
        <w:gridCol w:w="1260"/>
        <w:gridCol w:w="1261"/>
        <w:gridCol w:w="1260"/>
      </w:tblGrid>
      <w:tr>
        <w:trPr>
          <w:trHeight w:val="96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8"/>
              <w:ind w:left="7" w:right="0"/>
              <w:jc w:val="both"/>
              <w:rPr>
                <w:rFonts w:ascii="宋体" w:hAnsi="宋体" w:cs="宋体" w:eastAsia="宋体" w:hint="default"/>
                <w:sz w:val="18"/>
                <w:szCs w:val="18"/>
              </w:rPr>
            </w:pPr>
            <w:r>
              <w:rPr>
                <w:rFonts w:ascii="宋体" w:hAnsi="宋体" w:cs="宋体" w:eastAsia="宋体" w:hint="default"/>
                <w:spacing w:val="-6"/>
                <w:sz w:val="18"/>
                <w:szCs w:val="18"/>
              </w:rPr>
              <w:t>减：按取得</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处置的股权比</w:t>
            </w:r>
            <w:r>
              <w:rPr>
                <w:rFonts w:ascii="宋体" w:hAnsi="宋体" w:cs="宋体" w:eastAsia="宋体" w:hint="default"/>
                <w:sz w:val="18"/>
                <w:szCs w:val="18"/>
              </w:rPr>
              <w:t> </w:t>
            </w:r>
            <w:r>
              <w:rPr>
                <w:rFonts w:ascii="宋体" w:hAnsi="宋体" w:cs="宋体" w:eastAsia="宋体" w:hint="default"/>
                <w:spacing w:val="15"/>
                <w:sz w:val="18"/>
                <w:szCs w:val="18"/>
              </w:rPr>
              <w:t>例计算的子公司净资产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份额</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500,333,231.03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7,649,680.40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280,152,907.73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235,130,694.02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294,229,638.07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28,995,350.97</w:t>
            </w:r>
          </w:p>
        </w:tc>
      </w:tr>
      <w:tr>
        <w:trPr>
          <w:trHeight w:val="34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-71,018,257.51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-12,350,319.60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19,847,092.27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-80,983,805.98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-15,745,361.93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404,649.03</w:t>
            </w:r>
          </w:p>
        </w:tc>
      </w:tr>
      <w:tr>
        <w:trPr>
          <w:trHeight w:val="34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-71,018,257.51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-12,350,319.60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19,847,092.27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-80,983,805.98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-15,745,361.93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404,649.03</w:t>
            </w:r>
          </w:p>
        </w:tc>
      </w:tr>
      <w:tr>
        <w:trPr>
          <w:trHeight w:val="34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9"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9"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14,048,689.02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2,159,123.20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-1,902,621.95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-38,295.94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-1,902,621.95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-38,295.94</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21,485,218.53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2,159,123.20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-273,904.67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-18,382.05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-536,848.46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-38,295.94</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3" w:firstLine="360"/>
        <w:jc w:val="both"/>
      </w:pPr>
      <w:r>
        <w:rPr>
          <w:spacing w:val="-2"/>
        </w:rPr>
        <w:t>本公司的经营活动会面临各种金融风险：信用风险、流动风险和市场风险（主要为利率风险）。本公司整体的风险管理</w:t>
      </w:r>
      <w:r>
        <w:rPr/>
        <w:t> </w:t>
      </w:r>
      <w:r>
        <w:rPr>
          <w:spacing w:val="-2"/>
        </w:rPr>
        <w:t>计划针对金融市场的不可预见性，力求减少对本公司财务业绩的潜在不利影响。本公司风险管理的总体目标是在不过度影响</w:t>
      </w:r>
      <w:r>
        <w:rPr>
          <w:spacing w:val="-64"/>
        </w:rPr>
        <w:t> </w:t>
      </w:r>
      <w:r>
        <w:rPr>
          <w:spacing w:val="-64"/>
        </w:rPr>
      </w:r>
      <w:r>
        <w:rPr/>
        <w:t>公司竞争力和应变力的情况下，制定尽可能降低风险的风险管理政策。</w:t>
      </w:r>
    </w:p>
    <w:p>
      <w:pPr>
        <w:pStyle w:val="BodyText"/>
        <w:spacing w:line="360" w:lineRule="auto" w:before="55"/>
        <w:ind w:left="513" w:right="1533"/>
        <w:jc w:val="left"/>
      </w:pPr>
      <w:r>
        <w:rPr/>
        <w:t>（一）信用风险 本公司对信用风险按组合分类进行管理。信用风险主要产生于货币资金、应收账款和其他应收款等。</w:t>
      </w:r>
    </w:p>
    <w:p>
      <w:pPr>
        <w:pStyle w:val="BodyText"/>
        <w:spacing w:line="316" w:lineRule="auto" w:before="27"/>
        <w:ind w:right="192" w:firstLine="360"/>
        <w:jc w:val="both"/>
      </w:pPr>
      <w:r>
        <w:rPr>
          <w:spacing w:val="-2"/>
        </w:rPr>
        <w:t>本公司货币资金主要存放于信用评级较高、资产状况良好、信用风险较低的国有银行和其它大中型上市银行，管理层认</w:t>
      </w:r>
      <w:r>
        <w:rPr/>
        <w:t> 为不存在重大信用风险，不会产生因对方单位违约而导致的重大损失。</w:t>
      </w:r>
    </w:p>
    <w:p>
      <w:pPr>
        <w:pStyle w:val="BodyText"/>
        <w:spacing w:line="316" w:lineRule="auto" w:before="57"/>
        <w:ind w:right="190" w:firstLine="360"/>
        <w:jc w:val="both"/>
      </w:pPr>
      <w:r>
        <w:rPr>
          <w:spacing w:val="-2"/>
        </w:rPr>
        <w:t>本公司已经形成完善的应收账款风险管理和内控体系，通过严格审查客户信用，严格执行应收账款催收程序，降低应收</w:t>
      </w:r>
      <w:r>
        <w:rPr/>
        <w:t> </w:t>
      </w:r>
      <w:r>
        <w:rPr>
          <w:spacing w:val="-2"/>
        </w:rPr>
        <w:t>账款的信用风险。本公司应收账款主要为工程款，其他应收款主要与政府单位的垫资款及支付政府的前期费用、缴纳的保证</w:t>
      </w:r>
      <w:r>
        <w:rPr>
          <w:spacing w:val="-63"/>
        </w:rPr>
        <w:t> </w:t>
      </w:r>
      <w:r>
        <w:rPr>
          <w:spacing w:val="-63"/>
        </w:rPr>
      </w:r>
      <w:r>
        <w:rPr/>
        <w:t>金等。本公司会定期对客户的财务状况以及其它因素进行监控，以确保本公司的整体信用风险在可控的范围内。</w:t>
      </w:r>
    </w:p>
    <w:p>
      <w:pPr>
        <w:pStyle w:val="BodyText"/>
        <w:spacing w:line="240" w:lineRule="auto" w:before="59"/>
        <w:ind w:left="513" w:right="94"/>
        <w:jc w:val="left"/>
      </w:pPr>
      <w:r>
        <w:rPr/>
        <w:t>截止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日，本公司的前五大客户的应收账款占本公司应收账款总额的</w:t>
      </w:r>
      <w:r>
        <w:rPr>
          <w:rFonts w:ascii="Times New Roman" w:hAnsi="Times New Roman" w:cs="Times New Roman" w:eastAsia="Times New Roman" w:hint="default"/>
        </w:rPr>
        <w:t>16.54% (2013 </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21.73%)</w:t>
      </w:r>
      <w:r>
        <w:rPr/>
        <w:t>。</w:t>
      </w:r>
    </w:p>
    <w:p>
      <w:pPr>
        <w:pStyle w:val="BodyText"/>
        <w:spacing w:line="319" w:lineRule="auto" w:before="103"/>
        <w:ind w:right="192" w:firstLine="360"/>
        <w:jc w:val="both"/>
      </w:pPr>
      <w:r>
        <w:rPr>
          <w:spacing w:val="-2"/>
        </w:rPr>
        <w:t>（二）金融工具的市场风险，是指金融工具的公允价值或未来现金流量因市场价格变动而发生波动的风险，包括利率风</w:t>
      </w:r>
      <w:r>
        <w:rPr/>
        <w:t> 险和其它价格风险。</w:t>
      </w:r>
    </w:p>
    <w:p>
      <w:pPr>
        <w:spacing w:after="0" w:line="319"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40" w:lineRule="auto" w:before="44"/>
        <w:ind w:left="513" w:right="94"/>
        <w:jc w:val="left"/>
      </w:pPr>
      <w:r>
        <w:rPr>
          <w:rFonts w:ascii="Times New Roman" w:hAnsi="Times New Roman" w:cs="Times New Roman" w:eastAsia="Times New Roman" w:hint="default"/>
        </w:rPr>
        <w:t>1</w:t>
      </w:r>
      <w:r>
        <w:rPr/>
        <w:t>、利率风险 </w:t>
      </w:r>
      <w:r>
        <w:rPr>
          <w:spacing w:val="-2"/>
        </w:rPr>
        <w:t>本公司的利率风险产生于银行借款及应付债券等带息债务。浮动利率的金融负债使本公司面临现金流量利率风险，固定</w:t>
      </w:r>
    </w:p>
    <w:p>
      <w:pPr>
        <w:pStyle w:val="BodyText"/>
        <w:spacing w:line="357" w:lineRule="auto" w:before="1"/>
        <w:ind w:left="513" w:right="94" w:hanging="361"/>
        <w:jc w:val="left"/>
        <w:rPr>
          <w:rFonts w:ascii="Times New Roman" w:hAnsi="Times New Roman" w:cs="Times New Roman" w:eastAsia="Times New Roman" w:hint="default"/>
        </w:rPr>
      </w:pPr>
      <w:r>
        <w:rPr/>
        <w:t>利率的金融负债使本公司面临公允价值利率风险。本公司根据当时的市场环境来决定固定利率及浮动利率合同的相对比例。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本公司的带息债务主要为人民币计价的浮动利率借款合同，金额合计为 </w:t>
      </w:r>
      <w:r>
        <w:rPr>
          <w:rFonts w:ascii="Times New Roman" w:hAnsi="Times New Roman" w:cs="Times New Roman" w:eastAsia="Times New Roman" w:hint="default"/>
        </w:rPr>
        <w:t>481,135.00</w:t>
      </w:r>
      <w:r>
        <w:rPr/>
        <w:t>万元（</w:t>
      </w:r>
      <w:r>
        <w:rPr>
          <w:rFonts w:ascii="Times New Roman" w:hAnsi="Times New Roman" w:cs="Times New Roman" w:eastAsia="Times New Roman" w:hint="default"/>
        </w:rPr>
        <w:t>2013</w:t>
      </w:r>
    </w:p>
    <w:p>
      <w:pPr>
        <w:pStyle w:val="BodyText"/>
        <w:spacing w:line="214" w:lineRule="exact"/>
        <w:ind w:right="94"/>
        <w:jc w:val="left"/>
        <w:rPr>
          <w:rFonts w:ascii="Times New Roman" w:hAnsi="Times New Roman" w:cs="Times New Roman" w:eastAsia="Times New Roman" w:hint="default"/>
        </w:rPr>
      </w:pP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213,030.00</w:t>
      </w:r>
      <w:r>
        <w:rPr>
          <w:spacing w:val="-4"/>
        </w:rPr>
        <w:t>万元），及人民币计价的固定利率借款合同，金额为</w:t>
      </w:r>
      <w:r>
        <w:rPr>
          <w:rFonts w:ascii="Times New Roman" w:hAnsi="Times New Roman" w:cs="Times New Roman" w:eastAsia="Times New Roman" w:hint="default"/>
          <w:spacing w:val="-4"/>
        </w:rPr>
        <w:t>2,084,701.00</w:t>
      </w:r>
      <w:r>
        <w:rPr>
          <w:spacing w:val="-4"/>
        </w:rPr>
        <w:t>万元（</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1,912,504.71</w:t>
      </w:r>
    </w:p>
    <w:p>
      <w:pPr>
        <w:pStyle w:val="BodyText"/>
        <w:spacing w:line="340" w:lineRule="auto" w:before="63"/>
        <w:ind w:left="513" w:right="94" w:hanging="361"/>
        <w:jc w:val="left"/>
      </w:pPr>
      <w:r>
        <w:rPr/>
        <w:t>万元），及人民币计价的应付债券</w:t>
      </w:r>
      <w:r>
        <w:rPr>
          <w:rFonts w:ascii="Times New Roman" w:hAnsi="Times New Roman" w:cs="Times New Roman" w:eastAsia="Times New Roman" w:hint="default"/>
        </w:rPr>
        <w:t>241,592.23</w:t>
      </w:r>
      <w:r>
        <w:rPr/>
        <w:t>万元、应付融资租赁款</w:t>
      </w:r>
      <w:r>
        <w:rPr>
          <w:rFonts w:ascii="Times New Roman" w:hAnsi="Times New Roman" w:cs="Times New Roman" w:eastAsia="Times New Roman" w:hint="default"/>
        </w:rPr>
        <w:t>21,284.90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 </w:t>
      </w:r>
      <w:r>
        <w:rPr>
          <w:spacing w:val="-2"/>
        </w:rPr>
        <w:t>本公司因利率变动引起金融工具公允价值变动的风险主要与固定利率银行借款有关。对于固定利率借款，本公司的目标</w:t>
      </w:r>
    </w:p>
    <w:p>
      <w:pPr>
        <w:pStyle w:val="BodyText"/>
        <w:spacing w:line="360" w:lineRule="auto" w:before="1"/>
        <w:ind w:left="513" w:right="94" w:hanging="361"/>
        <w:jc w:val="left"/>
      </w:pPr>
      <w:r>
        <w:rPr/>
        <w:t>是保持其浮动利率。 </w:t>
      </w:r>
      <w:r>
        <w:rPr>
          <w:spacing w:val="-2"/>
        </w:rPr>
        <w:t>本公司因利率变动引起金融工具现金流量变动的风险主要与浮动利率银行借款有关。本公司的政策是保持这些借款的浮</w:t>
      </w:r>
    </w:p>
    <w:p>
      <w:pPr>
        <w:pStyle w:val="BodyText"/>
        <w:spacing w:line="222" w:lineRule="exact"/>
        <w:ind w:right="94"/>
        <w:jc w:val="left"/>
      </w:pPr>
      <w:r>
        <w:rPr/>
        <w:t>动利率，以消除利率变动的公允价值风险。</w:t>
      </w:r>
    </w:p>
    <w:p>
      <w:pPr>
        <w:pStyle w:val="BodyText"/>
        <w:spacing w:line="360" w:lineRule="auto" w:before="115"/>
        <w:ind w:left="513" w:right="94" w:firstLine="60"/>
        <w:jc w:val="left"/>
      </w:pPr>
      <w:r>
        <w:rPr>
          <w:rFonts w:ascii="宋体" w:hAnsi="宋体" w:cs="宋体" w:eastAsia="宋体" w:hint="default"/>
        </w:rPr>
        <w:t>2.</w:t>
      </w:r>
      <w:r>
        <w:rPr>
          <w:rFonts w:ascii="宋体" w:hAnsi="宋体" w:cs="宋体" w:eastAsia="宋体" w:hint="default"/>
          <w:spacing w:val="88"/>
        </w:rPr>
        <w:t> </w:t>
      </w:r>
      <w:r>
        <w:rPr/>
        <w:t>价格风险 </w:t>
      </w:r>
      <w:r>
        <w:rPr>
          <w:spacing w:val="-2"/>
        </w:rPr>
        <w:t>本公司建筑行业的所需的材料、设备、料具及人工等都会受到市场价格波动。以市场需求关系影响的房地产商品，亦受</w:t>
      </w:r>
    </w:p>
    <w:p>
      <w:pPr>
        <w:pStyle w:val="BodyText"/>
        <w:spacing w:line="222" w:lineRule="exact"/>
        <w:ind w:left="513" w:right="94" w:hanging="361"/>
        <w:jc w:val="left"/>
      </w:pPr>
      <w:r>
        <w:rPr/>
        <w:t>到价格波动的影响。</w:t>
      </w:r>
    </w:p>
    <w:p>
      <w:pPr>
        <w:pStyle w:val="BodyText"/>
        <w:spacing w:line="338" w:lineRule="auto" w:before="117"/>
        <w:ind w:left="513" w:right="94"/>
        <w:jc w:val="left"/>
      </w:pPr>
      <w:r>
        <w:rPr>
          <w:rFonts w:ascii="Times New Roman" w:hAnsi="Times New Roman" w:cs="Times New Roman" w:eastAsia="Times New Roman" w:hint="default"/>
        </w:rPr>
        <w:t>3</w:t>
      </w:r>
      <w:r>
        <w:rPr/>
        <w:t>、外汇风险 </w:t>
      </w:r>
      <w:r>
        <w:rPr>
          <w:spacing w:val="-2"/>
        </w:rPr>
        <w:t>本公司的主要经营位于中国境内，主要业务以人民币结算。但本公司已确认的外币资产和负债及未来的外币交易依然存</w:t>
      </w:r>
    </w:p>
    <w:p>
      <w:pPr>
        <w:pStyle w:val="BodyText"/>
        <w:spacing w:line="240" w:lineRule="auto" w:before="2"/>
        <w:ind w:right="94"/>
        <w:jc w:val="left"/>
      </w:pPr>
      <w:r>
        <w:rPr/>
        <w:t>在外汇风险。本公司及时监控公司外币交易和外币资产及负债的规模，以最大程度降低面临的外汇风险。</w:t>
      </w:r>
    </w:p>
    <w:p>
      <w:pPr>
        <w:pStyle w:val="BodyText"/>
        <w:spacing w:line="300" w:lineRule="auto" w:before="117"/>
        <w:ind w:right="187" w:firstLine="360"/>
        <w:jc w:val="left"/>
      </w:pPr>
      <w:r>
        <w:rPr/>
        <w:t>截止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2"/>
        </w:rPr>
        <w:t> </w:t>
      </w:r>
      <w:r>
        <w:rPr/>
        <w:t>日，本公司各类外币金融资产占公司总资产的比例较低，因此汇率的变动不会对本公司造成重 大影响。</w:t>
      </w:r>
    </w:p>
    <w:p>
      <w:pPr>
        <w:pStyle w:val="BodyText"/>
        <w:spacing w:line="357" w:lineRule="auto" w:before="72"/>
        <w:ind w:left="513" w:right="93"/>
        <w:jc w:val="left"/>
      </w:pPr>
      <w:r>
        <w:rPr/>
        <w:t>（三）流动性风险 流动风险，是指企业在履行以交付现金或其他金融资产的方式结算义务时发生资金短缺的风险。本公司坚持收支分立、</w:t>
      </w:r>
    </w:p>
    <w:p>
      <w:pPr>
        <w:pStyle w:val="BodyText"/>
        <w:spacing w:line="224" w:lineRule="exact"/>
        <w:ind w:right="0"/>
        <w:jc w:val="left"/>
      </w:pPr>
      <w:r>
        <w:rPr/>
        <w:t>双向管控，全面规范资金的流向、流量和流程。从机制上保障资金安全，同时，通过监控现金余额，确保现金流量的滚动预</w:t>
      </w:r>
    </w:p>
    <w:p>
      <w:pPr>
        <w:pStyle w:val="BodyText"/>
        <w:spacing w:line="316" w:lineRule="auto" w:before="76"/>
        <w:ind w:right="94"/>
        <w:jc w:val="left"/>
      </w:pPr>
      <w:r>
        <w:rPr>
          <w:spacing w:val="-2"/>
        </w:rPr>
        <w:t>测，持续监控本公司短期和长期的资金需求，以确保维持充裕的现金储备。同时综合运用多种融资手段，并采取长、短期融</w:t>
      </w:r>
      <w:r>
        <w:rPr>
          <w:spacing w:val="-67"/>
        </w:rPr>
        <w:t> </w:t>
      </w:r>
      <w:r>
        <w:rPr>
          <w:spacing w:val="-67"/>
        </w:rPr>
      </w:r>
      <w:r>
        <w:rPr/>
        <w:t>资方式适当结合，优化融资结构方法，满足流动资金需求，降低资金流动性风险。</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5"/>
      </w:tblGrid>
      <w:tr>
        <w:trPr>
          <w:trHeight w:val="403"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z w:val="18"/>
                <w:szCs w:val="18"/>
              </w:rPr>
              <w:t> 变动计入当期损益的金 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sz w:val="18"/>
              </w:rPr>
              <w:t>3,759,572.55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3,759,572.55</w:t>
            </w:r>
          </w:p>
        </w:tc>
      </w:tr>
      <w:tr>
        <w:trPr>
          <w:trHeight w:val="1027"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sz w:val="18"/>
              </w:rPr>
              <w:t>3,759,572.55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3,759,572.55</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3,759,572.55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3,759,572.55</w:t>
            </w:r>
          </w:p>
        </w:tc>
      </w:tr>
      <w:tr>
        <w:trPr>
          <w:trHeight w:val="40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5"/>
      </w:tblGrid>
      <w:tr>
        <w:trPr>
          <w:trHeight w:val="36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sz w:val="18"/>
              </w:rPr>
              <w:t>3,759,572.55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3,759,572.55</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13" w:right="0"/>
        <w:jc w:val="left"/>
      </w:pPr>
      <w:r>
        <w:rPr>
          <w:spacing w:val="3"/>
        </w:rPr>
        <w:t>以公允价值计量且变动计入当期损益的金融资产期末公允价值是基于中国基金网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3"/>
        </w:rPr>
        <w:t>日市场价进行计</w:t>
      </w:r>
    </w:p>
    <w:p>
      <w:pPr>
        <w:pStyle w:val="BodyText"/>
        <w:spacing w:line="240" w:lineRule="auto" w:before="63"/>
        <w:ind w:right="142"/>
        <w:jc w:val="left"/>
      </w:pPr>
      <w:r>
        <w:rPr/>
        <w:t>量。</w:t>
      </w:r>
    </w:p>
    <w:p>
      <w:pPr>
        <w:spacing w:line="240" w:lineRule="auto" w:before="3"/>
        <w:rPr>
          <w:rFonts w:ascii="宋体" w:hAnsi="宋体" w:cs="宋体" w:eastAsia="宋体" w:hint="default"/>
          <w:sz w:val="23"/>
          <w:szCs w:val="23"/>
        </w:rPr>
      </w:pPr>
    </w:p>
    <w:p>
      <w:pPr>
        <w:pStyle w:val="Heading2"/>
        <w:spacing w:line="240" w:lineRule="auto" w:before="26"/>
        <w:ind w:right="142"/>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中南城市建设投资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南通市江东广场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商品房开发、销售 城市建设投资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3" w:right="0"/>
              <w:jc w:val="left"/>
              <w:rPr>
                <w:rFonts w:ascii="Times New Roman" w:hAnsi="Times New Roman" w:cs="Times New Roman" w:eastAsia="Times New Roman" w:hint="default"/>
                <w:sz w:val="18"/>
                <w:szCs w:val="18"/>
              </w:rPr>
            </w:pPr>
            <w:r>
              <w:rPr>
                <w:rFonts w:ascii="Times New Roman"/>
                <w:sz w:val="18"/>
              </w:rPr>
              <w:t>163,227.63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72.63%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72.63%</w:t>
            </w:r>
          </w:p>
        </w:tc>
      </w:tr>
    </w:tbl>
    <w:p>
      <w:pPr>
        <w:pStyle w:val="BodyText"/>
        <w:spacing w:line="338" w:lineRule="auto" w:before="49"/>
        <w:ind w:left="513" w:right="1853" w:hanging="361"/>
        <w:jc w:val="left"/>
      </w:pPr>
      <w:r>
        <w:rPr/>
        <w:pict>
          <v:group style="position:absolute;margin-left:296.089996pt;margin-top:-35.638294pt;width:79.25pt;height:28pt;mso-position-horizontal-relative:page;mso-position-vertical-relative:paragraph;z-index:-1131112" coordorigin="5922,-713" coordsize="1585,560">
            <v:group style="position:absolute;left:5922;top:-713;width:1585;height:156" coordorigin="5922,-713" coordsize="1585,156">
              <v:shape style="position:absolute;left:5922;top:-713;width:1585;height:156" coordorigin="5922,-713" coordsize="1585,156" path="m5922,-557l7506,-557,7506,-713,5922,-713,5922,-557xe" filled="true" fillcolor="#ffffff" stroked="false">
                <v:path arrowok="t"/>
                <v:fill type="solid"/>
              </v:shape>
            </v:group>
            <v:group style="position:absolute;left:5934;top:-557;width:2;height:392" coordorigin="5934,-557" coordsize="2,392">
              <v:shape style="position:absolute;left:5934;top:-557;width:2;height:392" coordorigin="5934,-557" coordsize="0,392" path="m5934,-557l5934,-166e" filled="false" stroked="true" strokeweight="1.2pt" strokecolor="#ffffff">
                <v:path arrowok="t"/>
              </v:shape>
            </v:group>
            <v:group style="position:absolute;left:5946;top:-557;width:1539;height:392" coordorigin="5946,-557" coordsize="1539,392">
              <v:shape style="position:absolute;left:5946;top:-557;width:1539;height:392" coordorigin="5946,-557" coordsize="1539,392" path="m5946,-166l7485,-166,7485,-557,5946,-557,5946,-166xe" filled="true" fillcolor="#ffffff" stroked="false">
                <v:path arrowok="t"/>
                <v:fill type="solid"/>
              </v:shape>
            </v:group>
            <w10:wrap type="none"/>
          </v:group>
        </w:pict>
      </w:r>
      <w:r>
        <w:rPr/>
        <w:t>本企业的母公司情况的说明 本公司母公司的情况说明：中南城市建设投资有限公司为中南控股集团有限公司的全资子公司。 本公司实质控制人为陈锦石。</w:t>
      </w:r>
    </w:p>
    <w:p>
      <w:pPr>
        <w:pStyle w:val="BodyText"/>
        <w:spacing w:line="357" w:lineRule="auto" w:before="44"/>
        <w:ind w:right="7434"/>
        <w:jc w:val="left"/>
      </w:pPr>
      <w:r>
        <w:rPr/>
        <w:t>本企业最终控制方是陈锦石。 其他说明：</w:t>
      </w:r>
    </w:p>
    <w:p>
      <w:pPr>
        <w:spacing w:line="240" w:lineRule="auto" w:before="6"/>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2"/>
        <w:jc w:val="left"/>
      </w:pPr>
      <w:r>
        <w:rPr/>
        <w:t>本企业子公司的情况详见附注八、在其他主体中的权益。</w:t>
      </w:r>
    </w:p>
    <w:p>
      <w:pPr>
        <w:spacing w:line="240" w:lineRule="auto" w:before="0"/>
        <w:rPr>
          <w:rFonts w:ascii="宋体" w:hAnsi="宋体" w:cs="宋体" w:eastAsia="宋体" w:hint="default"/>
          <w:sz w:val="18"/>
          <w:szCs w:val="18"/>
        </w:rPr>
      </w:pPr>
    </w:p>
    <w:p>
      <w:pPr>
        <w:pStyle w:val="Heading3"/>
        <w:spacing w:line="240" w:lineRule="auto" w:before="120"/>
        <w:ind w:right="142"/>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本企业重要的合营或联营企业详见附注八、在其他主体中的权益。</w:t>
      </w:r>
    </w:p>
    <w:p>
      <w:pPr>
        <w:spacing w:line="240" w:lineRule="auto" w:before="0"/>
        <w:rPr>
          <w:rFonts w:ascii="宋体" w:hAnsi="宋体" w:cs="宋体" w:eastAsia="宋体" w:hint="default"/>
          <w:sz w:val="18"/>
          <w:szCs w:val="18"/>
        </w:rPr>
      </w:pPr>
    </w:p>
    <w:p>
      <w:pPr>
        <w:pStyle w:val="Heading3"/>
        <w:spacing w:line="240" w:lineRule="auto" w:before="121"/>
        <w:ind w:right="14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金丰环球装饰工程（天津）有限公司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南通中南亿高动力机械有限公司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北京城建中南土木工程集团有限公司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北京城建中南市政工程有限公司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南通泓锦服饰有限公司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南通中南建工装饰装璜有限公司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青岛易辰房地产代理有限公司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南通中南体育会展中心管理有限公司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南通中南文体产业有限公司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北京城建中南岩土工程有限公司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北京城建中南盾构工程有限公司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北京城建中南结构工程有限公司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张家港京城基础工程有限公司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南通中南工业投资有限责任公司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四川中南力源天然气化工原料有限公司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新疆中南力源天然气化工有限公司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南通灵源电力设备有限公司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北京中南世纪盾构技术发展有限公司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江苏中南科技创业园有限公司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江苏中南汇通光伏材料有限公司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新疆中南股权投资有限公司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南通磐石投资有限公司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南通汇源典当有限公司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海门市中南融通农村小额贷款有限公司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上海中南源地股权投资基金管理有限公司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上海中南茂创投资有限公司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金丰环球装饰工程（天津）有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192,723,194.06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265,128,068.31</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青岛中南物业管理有限公司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支付物业费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31,579,028.76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18,069,201.66</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北京城建中南土木工程集团有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95,344,258.40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185,402,910.93</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北京城建中南市政工程有限公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19,969,489.58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18,594,335.62</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北京城建中南岩土工程有限公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52,556,040.49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89,573,741.96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青岛易辰房地产代理有限公司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支付销售代理费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40,416,983.13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16,629,222.30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支付房租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2,940,180.00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3,920,240.00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11,893,288.37</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南通中南文体产业有限公司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支付服务费、运营费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910,503.76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854,755.15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南通中南工业投资有限责任公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669,300.00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南通灵源电力设备有限公司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购买材料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5,071.60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44,353,364.51</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543,387.26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270,187.00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金丰环球装饰工程（天津）有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883,589.78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2,033,831.56</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南通中南工业投资有限责任公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66,779.70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2,822.40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南通磐石投资有限公司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2,968.70</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北京城建中南土木工程集团有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56,603.77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113,207.55</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4,513,857.18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南通灵源电力设备有限公司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提供工程劳务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608,427.35</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2"/>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2,940,180.00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2,940,180.00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2"/>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62,000.00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42"/>
        <w:jc w:val="left"/>
      </w:pPr>
      <w:r>
        <w:rPr/>
        <w:t>本公司作为被担保方</w:t>
      </w:r>
    </w:p>
    <w:p>
      <w:pPr>
        <w:pStyle w:val="BodyText"/>
        <w:spacing w:line="240" w:lineRule="auto" w:before="115"/>
        <w:ind w:left="0" w:right="151"/>
        <w:jc w:val="right"/>
      </w:pPr>
      <w:r>
        <w:rPr/>
        <w:t>单位：</w:t>
      </w:r>
      <w:r>
        <w:rPr>
          <w:spacing w:val="1"/>
        </w:rPr>
        <w:t> </w:t>
      </w:r>
      <w:r>
        <w:rPr/>
        <w:t>元</w:t>
      </w:r>
    </w:p>
    <w:p>
      <w:pPr>
        <w:spacing w:after="0" w:line="240" w:lineRule="auto"/>
        <w:jc w:val="right"/>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7"/>
              <w:jc w:val="left"/>
              <w:rPr>
                <w:rFonts w:ascii="宋体" w:hAnsi="宋体" w:cs="宋体" w:eastAsia="宋体" w:hint="default"/>
                <w:sz w:val="18"/>
                <w:szCs w:val="18"/>
              </w:rPr>
            </w:pPr>
            <w:r>
              <w:rPr>
                <w:rFonts w:ascii="宋体" w:hAnsi="宋体" w:cs="宋体" w:eastAsia="宋体" w:hint="default"/>
                <w:sz w:val="18"/>
                <w:szCs w:val="18"/>
              </w:rPr>
              <w:t>中南控股集团有限公 司、陆亚行、陈锦石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陈锦石、陆亚行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42"/>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Times New Roman" w:hAnsi="Times New Roman" w:cs="Times New Roman" w:eastAsia="Times New Roman" w:hint="default"/>
        </w:rPr>
        <w:t>4</w:t>
      </w:r>
      <w:r>
        <w:rPr/>
        <w:t>）关联方资金拆借</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通过华一银行以委托借 款方式拆借，利率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中南城市建设投资有限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通过江苏银行以委托借 款方式拆借，利率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中南控股集团有限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543,387.26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金丰环球装饰工程</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（天津）有限公司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754,773.43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南通灵源电力设备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616,427.35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江苏中南汇通光伏 材料有限公司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6,784,002.35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南通中南工业投资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66,779.70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1,411.20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南通磐石投资有限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1,710.50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金丰环球装饰工程</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（天津）有限公司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71,138,944.63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42,552,767.53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北京城建中南土木 工程集团有限公司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25,876,927.66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38,396,502.28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北京城建中南市政 工程有限公司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69,952,182.75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82,021,914.16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青岛易辰房地产代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11,352,682.12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南通中南文体产业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273,123.11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南通中南工业投资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779,334.22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青岛中南物业管理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216,523.30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1,187,218.44</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青岛易辰房地产代理有限公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709,873.39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南通中南文体产业有限公司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195,040.20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663,252.89</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北京城建中南岩土工程有限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38,311,538.74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31,208,328.67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青岛中南物业管理有限公司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2,148,961.01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14,994,156.14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南通灵源电力设备有限公司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5,071.60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1,781,962.51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165,707,042.99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535,356,698.38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32,999,424.64</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青岛易辰房地产代理有限公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9,449,992.13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10,133,405.40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南通中南文体产业有限公司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5,356,244.38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3,322,600.85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北京城建中南盾构工程有限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南通中南工业投资有限责任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137,037.48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4,903,532.76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青岛中南物业管理有限公司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5,620,047.73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1,192,279.47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393"/>
        <w:gridCol w:w="2393"/>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126,980.00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42"/>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142"/>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42"/>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333" w:right="4733" w:hanging="181"/>
        <w:jc w:val="left"/>
      </w:pPr>
      <w:r>
        <w:rPr/>
        <w:t>资产负债表日存在的重要承诺 截至资产负债表日，本公司不存在需要披露的重要承诺事项。</w:t>
      </w:r>
    </w:p>
    <w:p>
      <w:pPr>
        <w:spacing w:line="240" w:lineRule="auto" w:before="4"/>
        <w:rPr>
          <w:rFonts w:ascii="宋体" w:hAnsi="宋体" w:cs="宋体" w:eastAsia="宋体" w:hint="default"/>
          <w:sz w:val="20"/>
          <w:szCs w:val="20"/>
        </w:rPr>
      </w:pPr>
    </w:p>
    <w:p>
      <w:pPr>
        <w:pStyle w:val="Heading3"/>
        <w:spacing w:line="240" w:lineRule="auto"/>
        <w:ind w:right="14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4913" w:firstLine="60"/>
        <w:jc w:val="left"/>
      </w:pPr>
      <w:r>
        <w:rPr/>
        <w:t>（</w:t>
      </w:r>
      <w:r>
        <w:rPr>
          <w:rFonts w:ascii="Times New Roman" w:hAnsi="Times New Roman" w:cs="Times New Roman" w:eastAsia="Times New Roman" w:hint="default"/>
        </w:rPr>
        <w:t>1</w:t>
      </w:r>
      <w:r>
        <w:rPr/>
        <w:t>）未决诉讼或仲裁形成的或有负债及其财务影响； 本公司及纳入合并范围子企业涉及的诉讼事项统计如下：</w:t>
      </w:r>
    </w:p>
    <w:tbl>
      <w:tblPr>
        <w:tblW w:w="0" w:type="auto"/>
        <w:jc w:val="left"/>
        <w:tblInd w:w="148" w:type="dxa"/>
        <w:tblLayout w:type="fixed"/>
        <w:tblCellMar>
          <w:top w:w="0" w:type="dxa"/>
          <w:left w:w="0" w:type="dxa"/>
          <w:bottom w:w="0" w:type="dxa"/>
          <w:right w:w="0" w:type="dxa"/>
        </w:tblCellMar>
        <w:tblLook w:val="01E0"/>
      </w:tblPr>
      <w:tblGrid>
        <w:gridCol w:w="3781"/>
        <w:gridCol w:w="3060"/>
        <w:gridCol w:w="2794"/>
      </w:tblGrid>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82" w:right="0"/>
              <w:jc w:val="left"/>
              <w:rPr>
                <w:rFonts w:ascii="宋体" w:hAnsi="宋体" w:cs="宋体" w:eastAsia="宋体" w:hint="default"/>
                <w:sz w:val="18"/>
                <w:szCs w:val="18"/>
              </w:rPr>
            </w:pPr>
            <w:r>
              <w:rPr>
                <w:rFonts w:ascii="宋体" w:hAnsi="宋体" w:cs="宋体" w:eastAsia="宋体" w:hint="default"/>
                <w:sz w:val="18"/>
                <w:szCs w:val="18"/>
              </w:rPr>
              <w:t>笔数</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8" w:right="0"/>
              <w:jc w:val="left"/>
              <w:rPr>
                <w:rFonts w:ascii="宋体" w:hAnsi="宋体" w:cs="宋体" w:eastAsia="宋体" w:hint="default"/>
                <w:sz w:val="18"/>
                <w:szCs w:val="18"/>
              </w:rPr>
            </w:pPr>
            <w:r>
              <w:rPr>
                <w:rFonts w:ascii="宋体" w:hAnsi="宋体" w:cs="宋体" w:eastAsia="宋体" w:hint="default"/>
                <w:sz w:val="18"/>
                <w:szCs w:val="18"/>
              </w:rPr>
              <w:t>标的金额合计（万元）</w:t>
            </w:r>
          </w:p>
        </w:tc>
      </w:tr>
      <w:tr>
        <w:trPr>
          <w:trHeight w:val="343"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公司及所属企业起诉外单位</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37" w:right="0"/>
              <w:jc w:val="left"/>
              <w:rPr>
                <w:rFonts w:ascii="Times New Roman" w:hAnsi="Times New Roman" w:cs="Times New Roman" w:eastAsia="Times New Roman" w:hint="default"/>
                <w:sz w:val="18"/>
                <w:szCs w:val="18"/>
              </w:rPr>
            </w:pPr>
            <w:r>
              <w:rPr>
                <w:rFonts w:ascii="Times New Roman"/>
                <w:sz w:val="18"/>
              </w:rPr>
              <w:t>51</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16,158.33</w:t>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外单位起诉公司及所属企业</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37" w:right="0"/>
              <w:jc w:val="left"/>
              <w:rPr>
                <w:rFonts w:ascii="Times New Roman" w:hAnsi="Times New Roman" w:cs="Times New Roman" w:eastAsia="Times New Roman" w:hint="default"/>
                <w:sz w:val="18"/>
                <w:szCs w:val="18"/>
              </w:rPr>
            </w:pPr>
            <w:r>
              <w:rPr>
                <w:rFonts w:ascii="Times New Roman"/>
                <w:sz w:val="18"/>
              </w:rPr>
              <w:t>26</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9,644.07</w:t>
            </w:r>
          </w:p>
        </w:tc>
      </w:tr>
      <w:tr>
        <w:trPr>
          <w:trHeight w:val="34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3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77</w:t>
            </w:r>
            <w:r>
              <w:rPr>
                <w:rFonts w:ascii="Times New Roman"/>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25,802.39</w:t>
            </w:r>
            <w:r>
              <w:rPr>
                <w:rFonts w:ascii="Times New Roman"/>
                <w:spacing w:val="-1"/>
                <w:sz w:val="18"/>
              </w:rPr>
            </w:r>
          </w:p>
        </w:tc>
      </w:tr>
    </w:tbl>
    <w:p>
      <w:pPr>
        <w:pStyle w:val="BodyText"/>
        <w:spacing w:line="240" w:lineRule="auto" w:before="31"/>
        <w:ind w:left="573" w:right="142"/>
        <w:jc w:val="left"/>
      </w:pPr>
      <w:r>
        <w:rPr/>
        <w:t>（</w:t>
      </w:r>
      <w:r>
        <w:rPr>
          <w:rFonts w:ascii="Times New Roman" w:hAnsi="Times New Roman" w:cs="Times New Roman" w:eastAsia="Times New Roman" w:hint="default"/>
        </w:rPr>
        <w:t>2</w:t>
      </w:r>
      <w:r>
        <w:rPr/>
        <w:t>）本公司与下属子公司、以及下属子公司之间提供担保明细如下：</w:t>
      </w:r>
    </w:p>
    <w:p>
      <w:pPr>
        <w:spacing w:line="240" w:lineRule="auto" w:before="11"/>
        <w:rPr>
          <w:rFonts w:ascii="宋体" w:hAnsi="宋体" w:cs="宋体" w:eastAsia="宋体" w:hint="default"/>
          <w:sz w:val="29"/>
          <w:szCs w:val="29"/>
        </w:rPr>
      </w:pPr>
    </w:p>
    <w:p>
      <w:pPr>
        <w:pStyle w:val="BodyText"/>
        <w:spacing w:line="240" w:lineRule="auto" w:before="44"/>
        <w:ind w:left="0" w:right="131"/>
        <w:jc w:val="right"/>
      </w:pPr>
      <w:r>
        <w:rPr/>
        <w:pict>
          <v:shape style="position:absolute;margin-left:56.400002pt;margin-top:-16.808258pt;width:479.65pt;height:147.3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307"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抵押人</w:t>
                        </w:r>
                        <w:r>
                          <w:rPr>
                            <w:rFonts w:ascii="宋体" w:hAnsi="宋体" w:cs="宋体" w:eastAsia="宋体" w:hint="default"/>
                            <w:sz w:val="18"/>
                            <w:szCs w:val="18"/>
                          </w:rPr>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58"/>
                          <w:ind w:left="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抵押物名称</w:t>
                        </w:r>
                        <w:r>
                          <w:rPr>
                            <w:rFonts w:ascii="宋体" w:hAnsi="宋体" w:cs="宋体" w:eastAsia="宋体" w:hint="default"/>
                            <w:sz w:val="18"/>
                            <w:szCs w:val="18"/>
                          </w:rPr>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证号</w:t>
                        </w:r>
                        <w:r>
                          <w:rPr>
                            <w:rFonts w:ascii="宋体" w:hAnsi="宋体" w:cs="宋体" w:eastAsia="宋体" w:hint="default"/>
                            <w:sz w:val="18"/>
                            <w:szCs w:val="18"/>
                          </w:rPr>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住所</w:t>
                        </w:r>
                        <w:r>
                          <w:rPr>
                            <w:rFonts w:ascii="宋体" w:hAnsi="宋体" w:cs="宋体" w:eastAsia="宋体" w:hint="default"/>
                            <w:sz w:val="18"/>
                            <w:szCs w:val="18"/>
                          </w:rPr>
                        </w:r>
                      </w:p>
                    </w:tc>
                    <w:tc>
                      <w:tcPr>
                        <w:tcW w:w="1025" w:type="dxa"/>
                        <w:vMerge w:val="restart"/>
                        <w:tcBorders>
                          <w:top w:val="single" w:sz="4" w:space="0" w:color="000000"/>
                          <w:left w:val="single" w:sz="4" w:space="0" w:color="000000"/>
                          <w:right w:val="single" w:sz="4" w:space="0" w:color="000000"/>
                        </w:tcBorders>
                      </w:tcPr>
                      <w:p>
                        <w:pPr>
                          <w:pStyle w:val="TableParagraph"/>
                          <w:spacing w:line="316" w:lineRule="auto" w:before="58"/>
                          <w:ind w:left="328" w:right="53" w:hanging="26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抵押面积或</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数量</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14"/>
                            <w:sz w:val="18"/>
                            <w:szCs w:val="18"/>
                          </w:rPr>
                          <w:t>抵押财产价</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3"/>
                          <w:jc w:val="left"/>
                          <w:rPr>
                            <w:rFonts w:ascii="宋体" w:hAnsi="宋体" w:cs="宋体" w:eastAsia="宋体" w:hint="default"/>
                            <w:sz w:val="18"/>
                            <w:szCs w:val="18"/>
                          </w:rPr>
                        </w:pPr>
                        <w:r>
                          <w:rPr>
                            <w:rFonts w:ascii="宋体" w:hAnsi="宋体" w:cs="宋体" w:eastAsia="宋体" w:hint="default"/>
                            <w:spacing w:val="7"/>
                            <w:sz w:val="18"/>
                            <w:szCs w:val="18"/>
                          </w:rPr>
                          <w:t>抵押物账面</w:t>
                        </w:r>
                        <w:r>
                          <w:rPr>
                            <w:rFonts w:ascii="宋体" w:hAnsi="宋体" w:cs="宋体" w:eastAsia="宋体" w:hint="default"/>
                            <w:sz w:val="18"/>
                            <w:szCs w:val="18"/>
                          </w:rPr>
                        </w:r>
                      </w:p>
                    </w:tc>
                  </w:tr>
                  <w:tr>
                    <w:trPr>
                      <w:trHeight w:val="312" w:hRule="exact"/>
                    </w:trPr>
                    <w:tc>
                      <w:tcPr>
                        <w:tcW w:w="198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841" w:type="dxa"/>
                        <w:vMerge/>
                        <w:tcBorders>
                          <w:left w:val="single" w:sz="4" w:space="0" w:color="000000"/>
                          <w:right w:val="single" w:sz="4" w:space="0" w:color="000000"/>
                        </w:tcBorders>
                      </w:tcPr>
                      <w:p>
                        <w:pPr/>
                      </w:p>
                    </w:tc>
                    <w:tc>
                      <w:tcPr>
                        <w:tcW w:w="1706"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值（万元）</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pacing w:val="-12"/>
                            <w:sz w:val="18"/>
                            <w:szCs w:val="18"/>
                          </w:rPr>
                          <w:t>价值（万元</w:t>
                        </w:r>
                      </w:p>
                    </w:tc>
                  </w:tr>
                  <w:tr>
                    <w:trPr>
                      <w:trHeight w:val="115" w:hRule="exact"/>
                    </w:trPr>
                    <w:tc>
                      <w:tcPr>
                        <w:tcW w:w="19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海门中南锦苑房地产开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海国</w:t>
                        </w:r>
                        <w:r>
                          <w:rPr>
                            <w:rFonts w:ascii="宋体" w:hAnsi="宋体" w:cs="宋体" w:eastAsia="宋体" w:hint="default"/>
                            <w:spacing w:val="-80"/>
                            <w:sz w:val="18"/>
                            <w:szCs w:val="18"/>
                          </w:rPr>
                          <w:t>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第</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海门市北京路北、长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江路东侧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88,785.00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68,329.00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67,742.96</w:t>
                        </w: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太仓中南世纪城房地产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太</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022015406</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太仓市城厢镇上海路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南、人民南路东</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41,298.30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54,696.00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54,693.00</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常熟中南御锦城房地产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常国用（</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30641</w:t>
                        </w:r>
                      </w:p>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虞</w:t>
                        </w:r>
                        <w:r>
                          <w:rPr>
                            <w:rFonts w:ascii="宋体" w:hAnsi="宋体" w:cs="宋体" w:eastAsia="宋体" w:hint="default"/>
                            <w:spacing w:val="-55"/>
                            <w:sz w:val="18"/>
                            <w:szCs w:val="18"/>
                          </w:rPr>
                          <w:t> </w:t>
                        </w:r>
                        <w:r>
                          <w:rPr>
                            <w:rFonts w:ascii="宋体" w:hAnsi="宋体" w:cs="宋体" w:eastAsia="宋体" w:hint="default"/>
                            <w:sz w:val="18"/>
                            <w:szCs w:val="18"/>
                          </w:rPr>
                          <w:t>山</w:t>
                        </w:r>
                        <w:r>
                          <w:rPr>
                            <w:rFonts w:ascii="宋体" w:hAnsi="宋体" w:cs="宋体" w:eastAsia="宋体" w:hint="default"/>
                            <w:spacing w:val="-55"/>
                            <w:sz w:val="18"/>
                            <w:szCs w:val="18"/>
                          </w:rPr>
                          <w:t> </w:t>
                        </w:r>
                        <w:r>
                          <w:rPr>
                            <w:rFonts w:ascii="宋体" w:hAnsi="宋体" w:cs="宋体" w:eastAsia="宋体" w:hint="default"/>
                            <w:sz w:val="18"/>
                            <w:szCs w:val="18"/>
                          </w:rPr>
                          <w:t>镇</w:t>
                        </w:r>
                        <w:r>
                          <w:rPr>
                            <w:rFonts w:ascii="宋体" w:hAnsi="宋体" w:cs="宋体" w:eastAsia="宋体" w:hint="default"/>
                            <w:spacing w:val="-55"/>
                            <w:sz w:val="18"/>
                            <w:szCs w:val="18"/>
                          </w:rPr>
                          <w:t> </w:t>
                        </w:r>
                        <w:r>
                          <w:rPr>
                            <w:rFonts w:ascii="宋体" w:hAnsi="宋体" w:cs="宋体" w:eastAsia="宋体" w:hint="default"/>
                            <w:sz w:val="18"/>
                            <w:szCs w:val="18"/>
                          </w:rPr>
                          <w:t>香</w:t>
                        </w:r>
                        <w:r>
                          <w:rPr>
                            <w:rFonts w:ascii="宋体" w:hAnsi="宋体" w:cs="宋体" w:eastAsia="宋体" w:hint="default"/>
                            <w:spacing w:val="-55"/>
                            <w:sz w:val="18"/>
                            <w:szCs w:val="18"/>
                          </w:rPr>
                          <w:t> </w:t>
                        </w:r>
                        <w:r>
                          <w:rPr>
                            <w:rFonts w:ascii="宋体" w:hAnsi="宋体" w:cs="宋体" w:eastAsia="宋体" w:hint="default"/>
                            <w:sz w:val="18"/>
                            <w:szCs w:val="18"/>
                          </w:rPr>
                          <w:t>山</w:t>
                        </w:r>
                        <w:r>
                          <w:rPr>
                            <w:rFonts w:ascii="宋体" w:hAnsi="宋体" w:cs="宋体" w:eastAsia="宋体" w:hint="default"/>
                            <w:spacing w:val="-57"/>
                            <w:sz w:val="18"/>
                            <w:szCs w:val="18"/>
                          </w:rPr>
                          <w:t> </w:t>
                        </w:r>
                        <w:r>
                          <w:rPr>
                            <w:rFonts w:ascii="宋体" w:hAnsi="宋体" w:cs="宋体" w:eastAsia="宋体" w:hint="default"/>
                            <w:sz w:val="18"/>
                            <w:szCs w:val="18"/>
                          </w:rPr>
                          <w:t>南</w:t>
                        </w:r>
                        <w:r>
                          <w:rPr>
                            <w:rFonts w:ascii="宋体" w:hAnsi="宋体" w:cs="宋体" w:eastAsia="宋体" w:hint="default"/>
                            <w:spacing w:val="-55"/>
                            <w:sz w:val="18"/>
                            <w:szCs w:val="18"/>
                          </w:rPr>
                          <w:t> </w:t>
                        </w:r>
                        <w:r>
                          <w:rPr>
                            <w:rFonts w:ascii="宋体" w:hAnsi="宋体" w:cs="宋体" w:eastAsia="宋体" w:hint="default"/>
                            <w:sz w:val="18"/>
                            <w:szCs w:val="18"/>
                          </w:rPr>
                          <w:t>路</w:t>
                        </w:r>
                        <w:r>
                          <w:rPr>
                            <w:rFonts w:ascii="宋体" w:hAnsi="宋体" w:cs="宋体" w:eastAsia="宋体" w:hint="default"/>
                            <w:spacing w:val="-55"/>
                            <w:sz w:val="18"/>
                            <w:szCs w:val="18"/>
                          </w:rPr>
                          <w:t> </w:t>
                        </w:r>
                        <w:r>
                          <w:rPr>
                            <w:rFonts w:ascii="宋体" w:hAnsi="宋体" w:cs="宋体" w:eastAsia="宋体" w:hint="default"/>
                            <w:sz w:val="18"/>
                            <w:szCs w:val="18"/>
                          </w:rPr>
                          <w:t>以</w:t>
                        </w:r>
                        <w:r>
                          <w:rPr>
                            <w:rFonts w:ascii="宋体" w:hAnsi="宋体" w:cs="宋体" w:eastAsia="宋体" w:hint="default"/>
                            <w:sz w:val="18"/>
                            <w:szCs w:val="18"/>
                          </w:rPr>
                          <w:t> 西、规划昆承路以南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33,323.00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29,215.00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29,215.67</w:t>
                        </w:r>
                      </w:p>
                    </w:tc>
                  </w:tr>
                </w:tbl>
                <w:p>
                  <w:pPr/>
                </w:p>
              </w:txbxContent>
            </v:textbox>
            <w10:wrap type="none"/>
          </v:shape>
        </w:pict>
      </w:r>
      <w:r>
        <w:rPr/>
        <w:t>）</w:t>
      </w:r>
    </w:p>
    <w:p>
      <w:pPr>
        <w:spacing w:after="0" w:line="240" w:lineRule="auto"/>
        <w:jc w:val="right"/>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1047"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常国用（</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09156</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4" w:right="6"/>
              <w:jc w:val="both"/>
              <w:rPr>
                <w:rFonts w:ascii="宋体" w:hAnsi="宋体" w:cs="宋体" w:eastAsia="宋体" w:hint="default"/>
                <w:sz w:val="18"/>
                <w:szCs w:val="18"/>
              </w:rPr>
            </w:pPr>
            <w:r>
              <w:rPr>
                <w:rFonts w:ascii="宋体" w:hAnsi="宋体" w:cs="宋体" w:eastAsia="宋体" w:hint="default"/>
                <w:spacing w:val="6"/>
                <w:sz w:val="18"/>
                <w:szCs w:val="18"/>
              </w:rPr>
              <w:t>常熟市虞山镇规划香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山南路以西、规划昆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承路以南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25,678.00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23,228.00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22,513.00</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7" w:right="0"/>
              <w:jc w:val="both"/>
              <w:rPr>
                <w:rFonts w:ascii="宋体" w:hAnsi="宋体" w:cs="宋体" w:eastAsia="宋体" w:hint="default"/>
                <w:sz w:val="18"/>
                <w:szCs w:val="18"/>
              </w:rPr>
            </w:pPr>
            <w:r>
              <w:rPr>
                <w:rFonts w:ascii="宋体" w:hAnsi="宋体" w:cs="宋体" w:eastAsia="宋体" w:hint="default"/>
                <w:sz w:val="18"/>
                <w:szCs w:val="18"/>
              </w:rPr>
              <w:t>所持常熟中南御锦城房</w:t>
            </w:r>
            <w:r>
              <w:rPr>
                <w:rFonts w:ascii="宋体" w:hAnsi="宋体" w:cs="宋体" w:eastAsia="宋体" w:hint="default"/>
                <w:spacing w:val="-71"/>
                <w:sz w:val="18"/>
                <w:szCs w:val="18"/>
              </w:rPr>
              <w:t> </w:t>
            </w:r>
            <w:r>
              <w:rPr>
                <w:rFonts w:ascii="宋体" w:hAnsi="宋体" w:cs="宋体" w:eastAsia="宋体" w:hint="default"/>
                <w:sz w:val="18"/>
                <w:szCs w:val="18"/>
              </w:rPr>
              <w:t>地产有限公司</w:t>
            </w:r>
            <w:r>
              <w:rPr>
                <w:rFonts w:ascii="Times New Roman" w:hAnsi="Times New Roman" w:cs="Times New Roman" w:eastAsia="Times New Roman" w:hint="default"/>
                <w:sz w:val="18"/>
                <w:szCs w:val="18"/>
              </w:rPr>
              <w:t>88.47%</w:t>
            </w:r>
            <w:r>
              <w:rPr>
                <w:rFonts w:ascii="宋体" w:hAnsi="宋体" w:cs="宋体" w:eastAsia="宋体" w:hint="default"/>
                <w:sz w:val="18"/>
                <w:szCs w:val="18"/>
              </w:rPr>
              <w:t>股</w:t>
            </w:r>
            <w:r>
              <w:rPr>
                <w:rFonts w:ascii="宋体" w:hAnsi="宋体" w:cs="宋体" w:eastAsia="宋体" w:hint="default"/>
                <w:spacing w:val="-85"/>
                <w:sz w:val="18"/>
                <w:szCs w:val="18"/>
              </w:rPr>
              <w:t> </w:t>
            </w:r>
            <w:r>
              <w:rPr>
                <w:rFonts w:ascii="宋体" w:hAnsi="宋体" w:cs="宋体" w:eastAsia="宋体" w:hint="default"/>
                <w:sz w:val="18"/>
                <w:szCs w:val="18"/>
              </w:rPr>
              <w:t>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22,560.00</w:t>
            </w:r>
          </w:p>
        </w:tc>
      </w:tr>
      <w:tr>
        <w:trPr>
          <w:trHeight w:val="73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常熟中南御锦城房地产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常国用（</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30640</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香山南路以西、昆承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南路以南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57,481.00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50,393.00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50,396.04</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昆山中南世纪城房地产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昆</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DW703</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开发区太湖路东侧、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杨树路北侧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155,182.70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104,748.32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104,748.32</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3"/>
              <w:jc w:val="left"/>
              <w:rPr>
                <w:rFonts w:ascii="宋体" w:hAnsi="宋体" w:cs="宋体" w:eastAsia="宋体" w:hint="default"/>
                <w:sz w:val="18"/>
                <w:szCs w:val="18"/>
              </w:rPr>
            </w:pPr>
            <w:r>
              <w:rPr>
                <w:rFonts w:ascii="宋体" w:hAnsi="宋体" w:cs="宋体" w:eastAsia="宋体" w:hint="default"/>
                <w:spacing w:val="15"/>
                <w:sz w:val="18"/>
                <w:szCs w:val="18"/>
              </w:rPr>
              <w:t>常熟中南世纪城房地产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7" w:right="0"/>
              <w:jc w:val="both"/>
              <w:rPr>
                <w:rFonts w:ascii="宋体" w:hAnsi="宋体" w:cs="宋体" w:eastAsia="宋体" w:hint="default"/>
                <w:sz w:val="18"/>
                <w:szCs w:val="18"/>
              </w:rPr>
            </w:pPr>
            <w:r>
              <w:rPr>
                <w:rFonts w:ascii="宋体" w:hAnsi="宋体" w:cs="宋体" w:eastAsia="宋体" w:hint="default"/>
                <w:sz w:val="18"/>
                <w:szCs w:val="18"/>
              </w:rPr>
              <w:t>所持昆山中南世纪城房</w:t>
            </w:r>
            <w:r>
              <w:rPr>
                <w:rFonts w:ascii="宋体" w:hAnsi="宋体" w:cs="宋体" w:eastAsia="宋体" w:hint="default"/>
                <w:spacing w:val="-71"/>
                <w:sz w:val="18"/>
                <w:szCs w:val="18"/>
              </w:rPr>
              <w:t> </w:t>
            </w:r>
            <w:r>
              <w:rPr>
                <w:rFonts w:ascii="宋体" w:hAnsi="宋体" w:cs="宋体" w:eastAsia="宋体" w:hint="default"/>
                <w:spacing w:val="4"/>
                <w:sz w:val="18"/>
                <w:szCs w:val="18"/>
              </w:rPr>
              <w:t>地产发展有限公司</w:t>
            </w:r>
            <w:r>
              <w:rPr>
                <w:rFonts w:ascii="Times New Roman" w:hAnsi="Times New Roman" w:cs="Times New Roman" w:eastAsia="Times New Roman" w:hint="default"/>
                <w:spacing w:val="4"/>
                <w:sz w:val="18"/>
                <w:szCs w:val="18"/>
              </w:rPr>
              <w:t>51%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25,500.00</w:t>
            </w: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昆山中南锦城房地产开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昆</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DW160</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开发区太湖路东侧、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杨树路北侧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160,000.50</w:t>
            </w: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104,800.33</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both"/>
              <w:rPr>
                <w:rFonts w:ascii="宋体" w:hAnsi="宋体" w:cs="宋体" w:eastAsia="宋体" w:hint="default"/>
                <w:sz w:val="18"/>
                <w:szCs w:val="18"/>
              </w:rPr>
            </w:pPr>
            <w:r>
              <w:rPr>
                <w:rFonts w:ascii="宋体" w:hAnsi="宋体" w:cs="宋体" w:eastAsia="宋体" w:hint="default"/>
                <w:sz w:val="18"/>
                <w:szCs w:val="18"/>
              </w:rPr>
              <w:t>所持昆山中南锦城房地</w:t>
            </w:r>
            <w:r>
              <w:rPr>
                <w:rFonts w:ascii="宋体" w:hAnsi="宋体" w:cs="宋体" w:eastAsia="宋体" w:hint="default"/>
                <w:spacing w:val="-71"/>
                <w:sz w:val="18"/>
                <w:szCs w:val="18"/>
              </w:rPr>
              <w:t> </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z w:val="18"/>
                <w:szCs w:val="18"/>
              </w:rPr>
              <w:t>开</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4"/>
                <w:sz w:val="18"/>
                <w:szCs w:val="18"/>
              </w:rPr>
              <w:t> </w:t>
            </w:r>
            <w:r>
              <w:rPr>
                <w:rFonts w:ascii="宋体" w:hAnsi="宋体" w:cs="宋体" w:eastAsia="宋体" w:hint="default"/>
                <w:sz w:val="18"/>
                <w:szCs w:val="18"/>
              </w:rPr>
              <w:t>责</w:t>
            </w:r>
            <w:r>
              <w:rPr>
                <w:rFonts w:ascii="宋体" w:hAnsi="宋体" w:cs="宋体" w:eastAsia="宋体" w:hint="default"/>
                <w:spacing w:val="-67"/>
                <w:sz w:val="18"/>
                <w:szCs w:val="18"/>
              </w:rPr>
              <w:t> </w:t>
            </w:r>
            <w:r>
              <w:rPr>
                <w:rFonts w:ascii="宋体" w:hAnsi="宋体" w:cs="宋体" w:eastAsia="宋体" w:hint="default"/>
                <w:sz w:val="18"/>
                <w:szCs w:val="18"/>
              </w:rPr>
              <w:t>任</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25,500.00</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常熟中南锦苑房地产开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常国用（</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02923</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常熟市虞山镇香山路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以东、金山路以西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66,371.00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86,562.6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84,768.61</w:t>
            </w:r>
          </w:p>
        </w:tc>
      </w:tr>
      <w:tr>
        <w:trPr>
          <w:trHeight w:val="104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7" w:right="0"/>
              <w:jc w:val="both"/>
              <w:rPr>
                <w:rFonts w:ascii="宋体" w:hAnsi="宋体" w:cs="宋体" w:eastAsia="宋体" w:hint="default"/>
                <w:sz w:val="18"/>
                <w:szCs w:val="18"/>
              </w:rPr>
            </w:pPr>
            <w:r>
              <w:rPr>
                <w:rFonts w:ascii="宋体" w:hAnsi="宋体" w:cs="宋体" w:eastAsia="宋体" w:hint="default"/>
                <w:sz w:val="18"/>
                <w:szCs w:val="18"/>
              </w:rPr>
              <w:t>所持常熟中南锦苑房地</w:t>
            </w:r>
            <w:r>
              <w:rPr>
                <w:rFonts w:ascii="宋体" w:hAnsi="宋体" w:cs="宋体" w:eastAsia="宋体" w:hint="default"/>
                <w:spacing w:val="-71"/>
                <w:sz w:val="18"/>
                <w:szCs w:val="18"/>
              </w:rPr>
              <w:t> </w:t>
            </w:r>
            <w:r>
              <w:rPr>
                <w:rFonts w:ascii="宋体" w:hAnsi="宋体" w:cs="宋体" w:eastAsia="宋体" w:hint="default"/>
                <w:spacing w:val="4"/>
                <w:sz w:val="18"/>
                <w:szCs w:val="18"/>
              </w:rPr>
              <w:t>产开发有限公司</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w:t>
            </w:r>
            <w:r>
              <w:rPr>
                <w:rFonts w:ascii="宋体" w:hAnsi="宋体" w:cs="宋体" w:eastAsia="宋体" w:hint="default"/>
                <w:spacing w:val="-86"/>
                <w:sz w:val="18"/>
                <w:szCs w:val="18"/>
              </w:rPr>
              <w:t> </w:t>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7" w:right="0"/>
              <w:jc w:val="both"/>
              <w:rPr>
                <w:rFonts w:ascii="宋体" w:hAnsi="宋体" w:cs="宋体" w:eastAsia="宋体" w:hint="default"/>
                <w:sz w:val="18"/>
                <w:szCs w:val="18"/>
              </w:rPr>
            </w:pPr>
            <w:r>
              <w:rPr>
                <w:rFonts w:ascii="宋体" w:hAnsi="宋体" w:cs="宋体" w:eastAsia="宋体" w:hint="default"/>
                <w:sz w:val="18"/>
                <w:szCs w:val="18"/>
              </w:rPr>
              <w:t>所持苏州中南锦城房地</w:t>
            </w:r>
            <w:r>
              <w:rPr>
                <w:rFonts w:ascii="宋体" w:hAnsi="宋体" w:cs="宋体" w:eastAsia="宋体" w:hint="default"/>
                <w:spacing w:val="-71"/>
                <w:sz w:val="18"/>
                <w:szCs w:val="18"/>
              </w:rPr>
              <w:t> </w:t>
            </w:r>
            <w:r>
              <w:rPr>
                <w:rFonts w:ascii="宋体" w:hAnsi="宋体" w:cs="宋体" w:eastAsia="宋体" w:hint="default"/>
                <w:sz w:val="18"/>
                <w:szCs w:val="18"/>
              </w:rPr>
              <w:t>产开发有限公司</w:t>
            </w:r>
            <w:r>
              <w:rPr>
                <w:rFonts w:ascii="Times New Roman" w:hAnsi="Times New Roman" w:cs="Times New Roman" w:eastAsia="Times New Roman" w:hint="default"/>
                <w:sz w:val="18"/>
                <w:szCs w:val="18"/>
              </w:rPr>
              <w:t>59.78%</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的股权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33,600.00</w:t>
            </w:r>
          </w:p>
        </w:tc>
      </w:tr>
      <w:tr>
        <w:trPr>
          <w:trHeight w:val="1047"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盐城中南世纪城房地产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投资有限公司</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城南国用（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604992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4" w:right="1"/>
              <w:jc w:val="both"/>
              <w:rPr>
                <w:rFonts w:ascii="宋体" w:hAnsi="宋体" w:cs="宋体" w:eastAsia="宋体" w:hint="default"/>
                <w:sz w:val="18"/>
                <w:szCs w:val="18"/>
              </w:rPr>
            </w:pPr>
            <w:r>
              <w:rPr>
                <w:rFonts w:ascii="宋体" w:hAnsi="宋体" w:cs="宋体" w:eastAsia="宋体" w:hint="default"/>
                <w:spacing w:val="6"/>
                <w:sz w:val="18"/>
                <w:szCs w:val="18"/>
              </w:rPr>
              <w:t>城南新区新都街道办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事处民富村三组（</w:t>
            </w:r>
            <w:r>
              <w:rPr>
                <w:rFonts w:ascii="Times New Roman" w:hAnsi="Times New Roman" w:cs="Times New Roman" w:eastAsia="Times New Roman" w:hint="default"/>
                <w:spacing w:val="3"/>
                <w:sz w:val="18"/>
                <w:szCs w:val="18"/>
              </w:rPr>
              <w:t>3B</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地块土地证）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75,779.00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30,228.24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14,482.62</w:t>
            </w: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城南国用（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603305</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新都街道东进社区、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民富社区</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84,679.00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16,680.71</w:t>
            </w:r>
          </w:p>
        </w:tc>
      </w:tr>
      <w:tr>
        <w:trPr>
          <w:trHeight w:val="1046"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011006</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南通市新区中央商务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区</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CR0504-A(A-03B</w:t>
            </w:r>
          </w:p>
          <w:p>
            <w:pPr>
              <w:pStyle w:val="TableParagraph"/>
              <w:spacing w:line="248" w:lineRule="exact"/>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地块</w:t>
            </w:r>
            <w:r>
              <w:rPr>
                <w:rFonts w:ascii="Times New Roman" w:hAnsi="Times New Roman" w:cs="Times New Roman" w:eastAsia="Times New Roman"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13,025.28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20,104.52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4,716.94</w:t>
            </w:r>
          </w:p>
        </w:tc>
      </w:tr>
      <w:tr>
        <w:trPr>
          <w:trHeight w:val="1046"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南通市新区中央商务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区</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CR0504-A(A-03B</w:t>
            </w:r>
          </w:p>
          <w:p>
            <w:pPr>
              <w:pStyle w:val="TableParagraph"/>
              <w:spacing w:line="248" w:lineRule="exact"/>
              <w:ind w:left="4" w:right="0"/>
              <w:jc w:val="left"/>
              <w:rPr>
                <w:rFonts w:ascii="宋体" w:hAnsi="宋体" w:cs="宋体" w:eastAsia="宋体" w:hint="default"/>
                <w:sz w:val="18"/>
                <w:szCs w:val="18"/>
              </w:rPr>
            </w:pPr>
            <w:r>
              <w:rPr>
                <w:rFonts w:ascii="宋体" w:hAnsi="宋体" w:cs="宋体" w:eastAsia="宋体" w:hint="default"/>
                <w:sz w:val="18"/>
                <w:szCs w:val="18"/>
              </w:rPr>
              <w:t>地块</w:t>
            </w:r>
            <w:r>
              <w:rPr>
                <w:rFonts w:ascii="Times New Roman" w:hAnsi="Times New Roman" w:cs="Times New Roman" w:eastAsia="Times New Roman" w:hint="default"/>
                <w:sz w:val="18"/>
                <w:szCs w:val="18"/>
              </w:rPr>
              <w:t>)B</w:t>
            </w:r>
            <w:r>
              <w:rPr>
                <w:rFonts w:ascii="宋体" w:hAnsi="宋体" w:cs="宋体" w:eastAsia="宋体" w:hint="default"/>
                <w:sz w:val="18"/>
                <w:szCs w:val="18"/>
              </w:rPr>
              <w:t>号楼</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69,287.00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22,899.49</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华城中南世纪城开发有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开发区振兴西路北，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通富南路西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11,759.76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3,701.01</w:t>
            </w:r>
          </w:p>
        </w:tc>
        <w:tc>
          <w:tcPr>
            <w:tcW w:w="9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7" w:right="6"/>
              <w:jc w:val="left"/>
              <w:rPr>
                <w:rFonts w:ascii="宋体" w:hAnsi="宋体" w:cs="宋体" w:eastAsia="宋体" w:hint="default"/>
                <w:sz w:val="18"/>
                <w:szCs w:val="18"/>
              </w:rPr>
            </w:pPr>
            <w:r>
              <w:rPr>
                <w:rFonts w:ascii="宋体" w:hAnsi="宋体" w:cs="宋体" w:eastAsia="宋体" w:hint="default"/>
                <w:spacing w:val="15"/>
                <w:sz w:val="18"/>
                <w:szCs w:val="18"/>
              </w:rPr>
              <w:t>淮安中南世纪城房地产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pacing w:val="21"/>
                <w:sz w:val="18"/>
                <w:szCs w:val="18"/>
              </w:rPr>
              <w:t>国用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7281</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4" w:right="6"/>
              <w:jc w:val="left"/>
              <w:rPr>
                <w:rFonts w:ascii="宋体" w:hAnsi="宋体" w:cs="宋体" w:eastAsia="宋体" w:hint="default"/>
                <w:sz w:val="18"/>
                <w:szCs w:val="18"/>
              </w:rPr>
            </w:pPr>
            <w:r>
              <w:rPr>
                <w:rFonts w:ascii="宋体" w:hAnsi="宋体" w:cs="宋体" w:eastAsia="宋体" w:hint="default"/>
                <w:spacing w:val="6"/>
                <w:sz w:val="18"/>
                <w:szCs w:val="18"/>
              </w:rPr>
              <w:t>淮安生态新城枚皋中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路北侧、正大路西侧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66,763.60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15,061.87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13,975.89</w:t>
            </w: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淮安中南世纪城房地产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pacing w:val="21"/>
                <w:sz w:val="18"/>
                <w:szCs w:val="18"/>
              </w:rPr>
              <w:t>国用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7282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淮安生态新城枚皋中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路北侧、正大路西侧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74,190.30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16,730.34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15,524.06</w:t>
            </w:r>
          </w:p>
        </w:tc>
      </w:tr>
      <w:tr>
        <w:trPr>
          <w:trHeight w:val="135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青岛中南世纪城房地产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pacing w:val="30"/>
                <w:sz w:val="18"/>
                <w:szCs w:val="18"/>
              </w:rPr>
              <w:t>土地及房</w:t>
            </w:r>
            <w:r>
              <w:rPr>
                <w:rFonts w:ascii="宋体" w:hAnsi="宋体" w:cs="宋体" w:eastAsia="宋体" w:hint="default"/>
                <w:spacing w:val="-50"/>
                <w:sz w:val="18"/>
                <w:szCs w:val="18"/>
              </w:rPr>
              <w:t> </w:t>
            </w:r>
            <w:r>
              <w:rPr>
                <w:rFonts w:ascii="宋体" w:hAnsi="宋体" w:cs="宋体" w:eastAsia="宋体" w:hint="default"/>
                <w:sz w:val="18"/>
                <w:szCs w:val="18"/>
              </w:rPr>
              <w:t>产</w:t>
            </w:r>
            <w:r>
              <w:rPr>
                <w:rFonts w:ascii="宋体" w:hAnsi="宋体" w:cs="宋体" w:eastAsia="宋体" w:hint="default"/>
                <w:spacing w:val="-73"/>
                <w:sz w:val="18"/>
                <w:szCs w:val="18"/>
              </w:rPr>
              <w:t> </w:t>
            </w:r>
            <w:r>
              <w:rPr>
                <w:rFonts w:ascii="宋体" w:hAnsi="宋体" w:cs="宋体" w:eastAsia="宋体" w:hint="default"/>
                <w:sz w:val="18"/>
                <w:szCs w:val="18"/>
              </w:rPr>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青 房 地 权 市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201453740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4" w:right="-1"/>
              <w:jc w:val="both"/>
              <w:rPr>
                <w:rFonts w:ascii="宋体" w:hAnsi="宋体" w:cs="宋体" w:eastAsia="宋体" w:hint="default"/>
                <w:sz w:val="18"/>
                <w:szCs w:val="18"/>
              </w:rPr>
            </w:pPr>
            <w:r>
              <w:rPr>
                <w:rFonts w:ascii="宋体" w:hAnsi="宋体" w:cs="宋体" w:eastAsia="宋体" w:hint="default"/>
                <w:spacing w:val="5"/>
                <w:sz w:val="18"/>
                <w:szCs w:val="18"/>
              </w:rPr>
              <w:t>土地及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楼（在建）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位于青 </w:t>
            </w:r>
            <w:r>
              <w:rPr>
                <w:rFonts w:ascii="宋体" w:hAnsi="宋体" w:cs="宋体" w:eastAsia="宋体" w:hint="default"/>
                <w:spacing w:val="6"/>
                <w:sz w:val="18"/>
                <w:szCs w:val="18"/>
              </w:rPr>
              <w:t>岛市李沧区重庆中路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873</w:t>
            </w:r>
            <w:r>
              <w:rPr>
                <w:rFonts w:ascii="宋体" w:hAnsi="宋体" w:cs="宋体" w:eastAsia="宋体" w:hint="default"/>
                <w:sz w:val="18"/>
                <w:szCs w:val="18"/>
              </w:rPr>
              <w:t>号</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83,659.20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73,500.00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36,929.44</w:t>
            </w:r>
          </w:p>
        </w:tc>
      </w:tr>
      <w:tr>
        <w:trPr>
          <w:trHeight w:val="735"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泰兴市中南世纪城房地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产发展有限公司</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7" w:right="2"/>
              <w:jc w:val="left"/>
              <w:rPr>
                <w:rFonts w:ascii="宋体" w:hAnsi="宋体" w:cs="宋体" w:eastAsia="宋体" w:hint="default"/>
                <w:sz w:val="18"/>
                <w:szCs w:val="18"/>
              </w:rPr>
            </w:pPr>
            <w:r>
              <w:rPr>
                <w:rFonts w:ascii="宋体" w:hAnsi="宋体" w:cs="宋体" w:eastAsia="宋体" w:hint="default"/>
                <w:sz w:val="18"/>
                <w:szCs w:val="18"/>
              </w:rPr>
              <w:t>泰国用（</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Times New Roman" w:hAnsi="Times New Roman" w:cs="Times New Roman" w:eastAsia="Times New Roman" w:hint="default"/>
                <w:sz w:val="18"/>
                <w:szCs w:val="18"/>
              </w:rPr>
              <w:t>1748</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泰</w:t>
            </w:r>
            <w:r>
              <w:rPr>
                <w:rFonts w:ascii="宋体" w:hAnsi="宋体" w:cs="宋体" w:eastAsia="宋体" w:hint="default"/>
                <w:spacing w:val="-55"/>
                <w:sz w:val="18"/>
                <w:szCs w:val="18"/>
              </w:rPr>
              <w:t> </w:t>
            </w:r>
            <w:r>
              <w:rPr>
                <w:rFonts w:ascii="宋体" w:hAnsi="宋体" w:cs="宋体" w:eastAsia="宋体" w:hint="default"/>
                <w:sz w:val="18"/>
                <w:szCs w:val="18"/>
              </w:rPr>
              <w:t>兴</w:t>
            </w:r>
            <w:r>
              <w:rPr>
                <w:rFonts w:ascii="宋体" w:hAnsi="宋体" w:cs="宋体" w:eastAsia="宋体" w:hint="default"/>
                <w:spacing w:val="-55"/>
                <w:sz w:val="18"/>
                <w:szCs w:val="18"/>
              </w:rPr>
              <w:t> </w:t>
            </w:r>
            <w:r>
              <w:rPr>
                <w:rFonts w:ascii="宋体" w:hAnsi="宋体" w:cs="宋体" w:eastAsia="宋体" w:hint="default"/>
                <w:sz w:val="18"/>
                <w:szCs w:val="18"/>
              </w:rPr>
              <w:t>市</w:t>
            </w:r>
            <w:r>
              <w:rPr>
                <w:rFonts w:ascii="宋体" w:hAnsi="宋体" w:cs="宋体" w:eastAsia="宋体" w:hint="default"/>
                <w:spacing w:val="-55"/>
                <w:sz w:val="18"/>
                <w:szCs w:val="18"/>
              </w:rPr>
              <w:t> </w:t>
            </w:r>
            <w:r>
              <w:rPr>
                <w:rFonts w:ascii="宋体" w:hAnsi="宋体" w:cs="宋体" w:eastAsia="宋体" w:hint="default"/>
                <w:sz w:val="18"/>
                <w:szCs w:val="18"/>
              </w:rPr>
              <w:t>区</w:t>
            </w:r>
            <w:r>
              <w:rPr>
                <w:rFonts w:ascii="宋体" w:hAnsi="宋体" w:cs="宋体" w:eastAsia="宋体" w:hint="default"/>
                <w:spacing w:val="-55"/>
                <w:sz w:val="18"/>
                <w:szCs w:val="18"/>
              </w:rPr>
              <w:t> </w:t>
            </w:r>
            <w:r>
              <w:rPr>
                <w:rFonts w:ascii="宋体" w:hAnsi="宋体" w:cs="宋体" w:eastAsia="宋体" w:hint="default"/>
                <w:sz w:val="18"/>
                <w:szCs w:val="18"/>
              </w:rPr>
              <w:t>跃</w:t>
            </w:r>
            <w:r>
              <w:rPr>
                <w:rFonts w:ascii="宋体" w:hAnsi="宋体" w:cs="宋体" w:eastAsia="宋体" w:hint="default"/>
                <w:spacing w:val="-57"/>
                <w:sz w:val="18"/>
                <w:szCs w:val="18"/>
              </w:rPr>
              <w:t> </w:t>
            </w:r>
            <w:r>
              <w:rPr>
                <w:rFonts w:ascii="宋体" w:hAnsi="宋体" w:cs="宋体" w:eastAsia="宋体" w:hint="default"/>
                <w:sz w:val="18"/>
                <w:szCs w:val="18"/>
              </w:rPr>
              <w:t>进</w:t>
            </w:r>
            <w:r>
              <w:rPr>
                <w:rFonts w:ascii="宋体" w:hAnsi="宋体" w:cs="宋体" w:eastAsia="宋体" w:hint="default"/>
                <w:spacing w:val="-55"/>
                <w:sz w:val="18"/>
                <w:szCs w:val="18"/>
              </w:rPr>
              <w:t> </w:t>
            </w:r>
            <w:r>
              <w:rPr>
                <w:rFonts w:ascii="宋体" w:hAnsi="宋体" w:cs="宋体" w:eastAsia="宋体" w:hint="default"/>
                <w:sz w:val="18"/>
                <w:szCs w:val="18"/>
              </w:rPr>
              <w:t>河</w:t>
            </w:r>
            <w:r>
              <w:rPr>
                <w:rFonts w:ascii="宋体" w:hAnsi="宋体" w:cs="宋体" w:eastAsia="宋体" w:hint="default"/>
                <w:spacing w:val="-55"/>
                <w:sz w:val="18"/>
                <w:szCs w:val="18"/>
              </w:rPr>
              <w:t> </w:t>
            </w:r>
            <w:r>
              <w:rPr>
                <w:rFonts w:ascii="宋体" w:hAnsi="宋体" w:cs="宋体" w:eastAsia="宋体" w:hint="default"/>
                <w:sz w:val="18"/>
                <w:szCs w:val="18"/>
              </w:rPr>
              <w:t>南</w:t>
            </w:r>
            <w:r>
              <w:rPr>
                <w:rFonts w:ascii="宋体" w:hAnsi="宋体" w:cs="宋体" w:eastAsia="宋体" w:hint="default"/>
                <w:sz w:val="18"/>
                <w:szCs w:val="18"/>
              </w:rPr>
              <w:t> </w:t>
            </w:r>
            <w:r>
              <w:rPr>
                <w:rFonts w:ascii="宋体" w:hAnsi="宋体" w:cs="宋体" w:eastAsia="宋体" w:hint="default"/>
                <w:spacing w:val="-3"/>
                <w:sz w:val="18"/>
                <w:szCs w:val="18"/>
              </w:rPr>
              <w:t>侧、惠泽路北的</w:t>
            </w:r>
            <w:r>
              <w:rPr>
                <w:rFonts w:ascii="Times New Roman" w:hAnsi="Times New Roman" w:cs="Times New Roman" w:eastAsia="Times New Roman" w:hint="default"/>
                <w:spacing w:val="-3"/>
                <w:sz w:val="18"/>
                <w:szCs w:val="18"/>
              </w:rPr>
              <w:t>6-B</w:t>
            </w:r>
            <w:r>
              <w:rPr>
                <w:rFonts w:ascii="宋体" w:hAnsi="宋体" w:cs="宋体" w:eastAsia="宋体" w:hint="default"/>
                <w:spacing w:val="-3"/>
                <w:sz w:val="18"/>
                <w:szCs w:val="18"/>
              </w:rPr>
              <w:t>号</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47,076.00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20,277.00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20,050.00</w:t>
            </w:r>
          </w:p>
        </w:tc>
      </w:tr>
      <w:tr>
        <w:trPr>
          <w:trHeight w:val="734" w:hRule="exact"/>
        </w:trPr>
        <w:tc>
          <w:tcPr>
            <w:tcW w:w="198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7" w:right="2"/>
              <w:jc w:val="left"/>
              <w:rPr>
                <w:rFonts w:ascii="宋体" w:hAnsi="宋体" w:cs="宋体" w:eastAsia="宋体" w:hint="default"/>
                <w:sz w:val="18"/>
                <w:szCs w:val="18"/>
              </w:rPr>
            </w:pPr>
            <w:r>
              <w:rPr>
                <w:rFonts w:ascii="宋体" w:hAnsi="宋体" w:cs="宋体" w:eastAsia="宋体" w:hint="default"/>
                <w:sz w:val="18"/>
                <w:szCs w:val="18"/>
              </w:rPr>
              <w:t>泰国用（</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Times New Roman" w:hAnsi="Times New Roman" w:cs="Times New Roman" w:eastAsia="Times New Roman" w:hint="default"/>
                <w:sz w:val="18"/>
                <w:szCs w:val="18"/>
              </w:rPr>
              <w:t>1749</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泰</w:t>
            </w:r>
            <w:r>
              <w:rPr>
                <w:rFonts w:ascii="宋体" w:hAnsi="宋体" w:cs="宋体" w:eastAsia="宋体" w:hint="default"/>
                <w:spacing w:val="-55"/>
                <w:sz w:val="18"/>
                <w:szCs w:val="18"/>
              </w:rPr>
              <w:t> </w:t>
            </w:r>
            <w:r>
              <w:rPr>
                <w:rFonts w:ascii="宋体" w:hAnsi="宋体" w:cs="宋体" w:eastAsia="宋体" w:hint="default"/>
                <w:sz w:val="18"/>
                <w:szCs w:val="18"/>
              </w:rPr>
              <w:t>兴</w:t>
            </w:r>
            <w:r>
              <w:rPr>
                <w:rFonts w:ascii="宋体" w:hAnsi="宋体" w:cs="宋体" w:eastAsia="宋体" w:hint="default"/>
                <w:spacing w:val="-55"/>
                <w:sz w:val="18"/>
                <w:szCs w:val="18"/>
              </w:rPr>
              <w:t> </w:t>
            </w:r>
            <w:r>
              <w:rPr>
                <w:rFonts w:ascii="宋体" w:hAnsi="宋体" w:cs="宋体" w:eastAsia="宋体" w:hint="default"/>
                <w:sz w:val="18"/>
                <w:szCs w:val="18"/>
              </w:rPr>
              <w:t>市</w:t>
            </w:r>
            <w:r>
              <w:rPr>
                <w:rFonts w:ascii="宋体" w:hAnsi="宋体" w:cs="宋体" w:eastAsia="宋体" w:hint="default"/>
                <w:spacing w:val="-55"/>
                <w:sz w:val="18"/>
                <w:szCs w:val="18"/>
              </w:rPr>
              <w:t> </w:t>
            </w:r>
            <w:r>
              <w:rPr>
                <w:rFonts w:ascii="宋体" w:hAnsi="宋体" w:cs="宋体" w:eastAsia="宋体" w:hint="default"/>
                <w:sz w:val="18"/>
                <w:szCs w:val="18"/>
              </w:rPr>
              <w:t>区</w:t>
            </w:r>
            <w:r>
              <w:rPr>
                <w:rFonts w:ascii="宋体" w:hAnsi="宋体" w:cs="宋体" w:eastAsia="宋体" w:hint="default"/>
                <w:spacing w:val="-55"/>
                <w:sz w:val="18"/>
                <w:szCs w:val="18"/>
              </w:rPr>
              <w:t> </w:t>
            </w:r>
            <w:r>
              <w:rPr>
                <w:rFonts w:ascii="宋体" w:hAnsi="宋体" w:cs="宋体" w:eastAsia="宋体" w:hint="default"/>
                <w:sz w:val="18"/>
                <w:szCs w:val="18"/>
              </w:rPr>
              <w:t>跃</w:t>
            </w:r>
            <w:r>
              <w:rPr>
                <w:rFonts w:ascii="宋体" w:hAnsi="宋体" w:cs="宋体" w:eastAsia="宋体" w:hint="default"/>
                <w:spacing w:val="-57"/>
                <w:sz w:val="18"/>
                <w:szCs w:val="18"/>
              </w:rPr>
              <w:t> </w:t>
            </w:r>
            <w:r>
              <w:rPr>
                <w:rFonts w:ascii="宋体" w:hAnsi="宋体" w:cs="宋体" w:eastAsia="宋体" w:hint="default"/>
                <w:sz w:val="18"/>
                <w:szCs w:val="18"/>
              </w:rPr>
              <w:t>进</w:t>
            </w:r>
            <w:r>
              <w:rPr>
                <w:rFonts w:ascii="宋体" w:hAnsi="宋体" w:cs="宋体" w:eastAsia="宋体" w:hint="default"/>
                <w:spacing w:val="-55"/>
                <w:sz w:val="18"/>
                <w:szCs w:val="18"/>
              </w:rPr>
              <w:t> </w:t>
            </w:r>
            <w:r>
              <w:rPr>
                <w:rFonts w:ascii="宋体" w:hAnsi="宋体" w:cs="宋体" w:eastAsia="宋体" w:hint="default"/>
                <w:sz w:val="18"/>
                <w:szCs w:val="18"/>
              </w:rPr>
              <w:t>河</w:t>
            </w:r>
            <w:r>
              <w:rPr>
                <w:rFonts w:ascii="宋体" w:hAnsi="宋体" w:cs="宋体" w:eastAsia="宋体" w:hint="default"/>
                <w:spacing w:val="-55"/>
                <w:sz w:val="18"/>
                <w:szCs w:val="18"/>
              </w:rPr>
              <w:t> </w:t>
            </w:r>
            <w:r>
              <w:rPr>
                <w:rFonts w:ascii="宋体" w:hAnsi="宋体" w:cs="宋体" w:eastAsia="宋体" w:hint="default"/>
                <w:sz w:val="18"/>
                <w:szCs w:val="18"/>
              </w:rPr>
              <w:t>南</w:t>
            </w:r>
            <w:r>
              <w:rPr>
                <w:rFonts w:ascii="宋体" w:hAnsi="宋体" w:cs="宋体" w:eastAsia="宋体" w:hint="default"/>
                <w:sz w:val="18"/>
                <w:szCs w:val="18"/>
              </w:rPr>
              <w:t> </w:t>
            </w:r>
            <w:r>
              <w:rPr>
                <w:rFonts w:ascii="宋体" w:hAnsi="宋体" w:cs="宋体" w:eastAsia="宋体" w:hint="default"/>
                <w:spacing w:val="-3"/>
                <w:sz w:val="18"/>
                <w:szCs w:val="18"/>
              </w:rPr>
              <w:t>侧、惠泽路北的</w:t>
            </w:r>
            <w:r>
              <w:rPr>
                <w:rFonts w:ascii="Times New Roman" w:hAnsi="Times New Roman" w:cs="Times New Roman" w:eastAsia="Times New Roman" w:hint="default"/>
                <w:spacing w:val="-3"/>
                <w:sz w:val="18"/>
                <w:szCs w:val="18"/>
              </w:rPr>
              <w:t>6-C</w:t>
            </w:r>
            <w:r>
              <w:rPr>
                <w:rFonts w:ascii="宋体" w:hAnsi="宋体" w:cs="宋体" w:eastAsia="宋体" w:hint="default"/>
                <w:spacing w:val="-3"/>
                <w:sz w:val="18"/>
                <w:szCs w:val="18"/>
              </w:rPr>
              <w:t>号</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38,825.00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16,723.00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16,849.97</w:t>
            </w:r>
          </w:p>
        </w:tc>
      </w:tr>
      <w:tr>
        <w:trPr>
          <w:trHeight w:val="734" w:hRule="exact"/>
        </w:trPr>
        <w:tc>
          <w:tcPr>
            <w:tcW w:w="198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2"/>
              <w:jc w:val="left"/>
              <w:rPr>
                <w:rFonts w:ascii="宋体" w:hAnsi="宋体" w:cs="宋体" w:eastAsia="宋体" w:hint="default"/>
                <w:sz w:val="18"/>
                <w:szCs w:val="18"/>
              </w:rPr>
            </w:pPr>
            <w:r>
              <w:rPr>
                <w:rFonts w:ascii="宋体" w:hAnsi="宋体" w:cs="宋体" w:eastAsia="宋体" w:hint="default"/>
                <w:spacing w:val="11"/>
                <w:sz w:val="18"/>
                <w:szCs w:val="18"/>
              </w:rPr>
              <w:t>泰国用（</w:t>
            </w:r>
            <w:r>
              <w:rPr>
                <w:rFonts w:ascii="宋体" w:hAnsi="宋体" w:cs="宋体" w:eastAsia="宋体" w:hint="default"/>
                <w:spacing w:val="-70"/>
                <w:sz w:val="18"/>
                <w:szCs w:val="18"/>
              </w:rPr>
              <w:t> </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798</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泰兴市区跃进河南侧</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5-A</w:t>
            </w:r>
            <w:r>
              <w:rPr>
                <w:rFonts w:ascii="宋体" w:hAnsi="宋体" w:cs="宋体" w:eastAsia="宋体" w:hint="default"/>
                <w:sz w:val="18"/>
                <w:szCs w:val="18"/>
              </w:rPr>
              <w:t>号、惠泽路北侧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49,729.00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23,400.00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22,196.50</w:t>
            </w: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2"/>
              <w:jc w:val="left"/>
              <w:rPr>
                <w:rFonts w:ascii="宋体" w:hAnsi="宋体" w:cs="宋体" w:eastAsia="宋体" w:hint="default"/>
                <w:sz w:val="18"/>
                <w:szCs w:val="18"/>
              </w:rPr>
            </w:pPr>
            <w:r>
              <w:rPr>
                <w:rFonts w:ascii="宋体" w:hAnsi="宋体" w:cs="宋体" w:eastAsia="宋体" w:hint="default"/>
                <w:spacing w:val="11"/>
                <w:sz w:val="18"/>
                <w:szCs w:val="18"/>
              </w:rPr>
              <w:t>泰国用（</w:t>
            </w:r>
            <w:r>
              <w:rPr>
                <w:rFonts w:ascii="宋体" w:hAnsi="宋体" w:cs="宋体" w:eastAsia="宋体" w:hint="default"/>
                <w:spacing w:val="-70"/>
                <w:sz w:val="18"/>
                <w:szCs w:val="18"/>
              </w:rPr>
              <w:t> </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801</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泰兴市区跃进河南侧</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5-B</w:t>
            </w:r>
            <w:r>
              <w:rPr>
                <w:rFonts w:ascii="宋体" w:hAnsi="宋体" w:cs="宋体" w:eastAsia="宋体" w:hint="default"/>
                <w:sz w:val="18"/>
                <w:szCs w:val="18"/>
              </w:rPr>
              <w:t>号、惠泽路北侧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48,922.00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23,100.00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21,836.00</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both"/>
              <w:rPr>
                <w:rFonts w:ascii="宋体" w:hAnsi="宋体" w:cs="宋体" w:eastAsia="宋体" w:hint="default"/>
                <w:sz w:val="18"/>
                <w:szCs w:val="18"/>
              </w:rPr>
            </w:pPr>
            <w:r>
              <w:rPr>
                <w:rFonts w:ascii="宋体" w:hAnsi="宋体" w:cs="宋体" w:eastAsia="宋体" w:hint="default"/>
                <w:sz w:val="18"/>
                <w:szCs w:val="18"/>
              </w:rPr>
              <w:t>所持泰兴市中南世纪城</w:t>
            </w:r>
            <w:r>
              <w:rPr>
                <w:rFonts w:ascii="宋体" w:hAnsi="宋体" w:cs="宋体" w:eastAsia="宋体" w:hint="default"/>
                <w:spacing w:val="-71"/>
                <w:sz w:val="18"/>
                <w:szCs w:val="18"/>
              </w:rPr>
              <w:t> </w:t>
            </w:r>
            <w:r>
              <w:rPr>
                <w:rFonts w:ascii="宋体" w:hAnsi="宋体" w:cs="宋体" w:eastAsia="宋体" w:hint="default"/>
                <w:sz w:val="18"/>
                <w:szCs w:val="18"/>
              </w:rPr>
              <w:t>房</w:t>
            </w:r>
            <w:r>
              <w:rPr>
                <w:rFonts w:ascii="宋体" w:hAnsi="宋体" w:cs="宋体" w:eastAsia="宋体" w:hint="default"/>
                <w:spacing w:val="-67"/>
                <w:sz w:val="18"/>
                <w:szCs w:val="18"/>
              </w:rPr>
              <w:t> </w:t>
            </w:r>
            <w:r>
              <w:rPr>
                <w:rFonts w:ascii="宋体" w:hAnsi="宋体" w:cs="宋体" w:eastAsia="宋体" w:hint="default"/>
                <w:sz w:val="18"/>
                <w:szCs w:val="18"/>
              </w:rPr>
              <w:t>地</w:t>
            </w:r>
            <w:r>
              <w:rPr>
                <w:rFonts w:ascii="宋体" w:hAnsi="宋体" w:cs="宋体" w:eastAsia="宋体" w:hint="default"/>
                <w:spacing w:val="-67"/>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展</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12,600.00</w:t>
            </w:r>
          </w:p>
        </w:tc>
      </w:tr>
      <w:tr>
        <w:trPr>
          <w:trHeight w:val="104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南通中南世纪花城投资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7" w:right="0"/>
              <w:jc w:val="both"/>
              <w:rPr>
                <w:rFonts w:ascii="宋体" w:hAnsi="宋体" w:cs="宋体" w:eastAsia="宋体" w:hint="default"/>
                <w:sz w:val="18"/>
                <w:szCs w:val="18"/>
              </w:rPr>
            </w:pPr>
            <w:r>
              <w:rPr>
                <w:rFonts w:ascii="宋体" w:hAnsi="宋体" w:cs="宋体" w:eastAsia="宋体" w:hint="default"/>
                <w:sz w:val="18"/>
                <w:szCs w:val="18"/>
              </w:rPr>
              <w:t>所持泰兴市中南世纪城</w:t>
            </w:r>
            <w:r>
              <w:rPr>
                <w:rFonts w:ascii="宋体" w:hAnsi="宋体" w:cs="宋体" w:eastAsia="宋体" w:hint="default"/>
                <w:spacing w:val="-71"/>
                <w:sz w:val="18"/>
                <w:szCs w:val="18"/>
              </w:rPr>
              <w:t> </w:t>
            </w:r>
            <w:r>
              <w:rPr>
                <w:rFonts w:ascii="宋体" w:hAnsi="宋体" w:cs="宋体" w:eastAsia="宋体" w:hint="default"/>
                <w:sz w:val="18"/>
                <w:szCs w:val="18"/>
              </w:rPr>
              <w:t>房</w:t>
            </w:r>
            <w:r>
              <w:rPr>
                <w:rFonts w:ascii="宋体" w:hAnsi="宋体" w:cs="宋体" w:eastAsia="宋体" w:hint="default"/>
                <w:spacing w:val="-67"/>
                <w:sz w:val="18"/>
                <w:szCs w:val="18"/>
              </w:rPr>
              <w:t> </w:t>
            </w:r>
            <w:r>
              <w:rPr>
                <w:rFonts w:ascii="宋体" w:hAnsi="宋体" w:cs="宋体" w:eastAsia="宋体" w:hint="default"/>
                <w:sz w:val="18"/>
                <w:szCs w:val="18"/>
              </w:rPr>
              <w:t>地</w:t>
            </w:r>
            <w:r>
              <w:rPr>
                <w:rFonts w:ascii="宋体" w:hAnsi="宋体" w:cs="宋体" w:eastAsia="宋体" w:hint="default"/>
                <w:spacing w:val="-67"/>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展</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南京中南新锦城房地产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宁栖国用（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14238</w:t>
            </w:r>
            <w:r>
              <w:rPr>
                <w:rFonts w:ascii="宋体" w:hAnsi="宋体" w:cs="宋体" w:eastAsia="宋体" w:hint="default"/>
                <w:sz w:val="18"/>
                <w:szCs w:val="18"/>
              </w:rPr>
              <w:t>号、第</w:t>
            </w:r>
            <w:r>
              <w:rPr>
                <w:rFonts w:ascii="Times New Roman" w:hAnsi="Times New Roman" w:cs="Times New Roman" w:eastAsia="Times New Roman" w:hint="default"/>
                <w:sz w:val="18"/>
                <w:szCs w:val="18"/>
              </w:rPr>
              <w:t>14239</w:t>
            </w:r>
            <w:r>
              <w:rPr>
                <w:rFonts w:ascii="宋体" w:hAnsi="宋体" w:cs="宋体" w:eastAsia="宋体" w:hint="default"/>
                <w:sz w:val="18"/>
                <w:szCs w:val="18"/>
              </w:rPr>
              <w:t>号、</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14236</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栖霞区士城头路以南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中花岗地块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129,215.50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320,353.00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236,121.77</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7" w:right="-5"/>
              <w:jc w:val="both"/>
              <w:rPr>
                <w:rFonts w:ascii="宋体" w:hAnsi="宋体" w:cs="宋体" w:eastAsia="宋体" w:hint="default"/>
                <w:sz w:val="18"/>
                <w:szCs w:val="18"/>
              </w:rPr>
            </w:pPr>
            <w:r>
              <w:rPr>
                <w:rFonts w:ascii="宋体" w:hAnsi="宋体" w:cs="宋体" w:eastAsia="宋体" w:hint="default"/>
                <w:sz w:val="18"/>
                <w:szCs w:val="18"/>
              </w:rPr>
              <w:t>所持南京新锦城房地产</w:t>
            </w:r>
            <w:r>
              <w:rPr>
                <w:rFonts w:ascii="宋体" w:hAnsi="宋体" w:cs="宋体" w:eastAsia="宋体" w:hint="default"/>
                <w:spacing w:val="-71"/>
                <w:sz w:val="18"/>
                <w:szCs w:val="18"/>
              </w:rPr>
              <w:t> </w:t>
            </w:r>
            <w:r>
              <w:rPr>
                <w:rFonts w:ascii="宋体" w:hAnsi="宋体" w:cs="宋体" w:eastAsia="宋体" w:hint="default"/>
                <w:spacing w:val="5"/>
                <w:sz w:val="18"/>
                <w:szCs w:val="18"/>
              </w:rPr>
              <w:t>开发有限公司</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的股</w:t>
            </w:r>
            <w:r>
              <w:rPr>
                <w:rFonts w:ascii="宋体" w:hAnsi="宋体" w:cs="宋体" w:eastAsia="宋体" w:hint="default"/>
                <w:spacing w:val="7"/>
                <w:sz w:val="18"/>
                <w:szCs w:val="18"/>
              </w:rPr>
              <w:t> </w:t>
            </w:r>
            <w:r>
              <w:rPr>
                <w:rFonts w:ascii="宋体" w:hAnsi="宋体" w:cs="宋体" w:eastAsia="宋体" w:hint="default"/>
                <w:sz w:val="18"/>
                <w:szCs w:val="18"/>
              </w:rPr>
              <w:t>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7" w:right="6"/>
              <w:jc w:val="left"/>
              <w:rPr>
                <w:rFonts w:ascii="宋体" w:hAnsi="宋体" w:cs="宋体" w:eastAsia="宋体" w:hint="default"/>
                <w:sz w:val="18"/>
                <w:szCs w:val="18"/>
              </w:rPr>
            </w:pPr>
            <w:r>
              <w:rPr>
                <w:rFonts w:ascii="宋体" w:hAnsi="宋体" w:cs="宋体" w:eastAsia="宋体" w:hint="default"/>
                <w:spacing w:val="15"/>
                <w:sz w:val="18"/>
                <w:szCs w:val="18"/>
              </w:rPr>
              <w:t>苏州中南世纪城房地产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江  国  用  </w:t>
            </w: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第</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01135010-D</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4" w:right="6"/>
              <w:jc w:val="left"/>
              <w:rPr>
                <w:rFonts w:ascii="宋体" w:hAnsi="宋体" w:cs="宋体" w:eastAsia="宋体" w:hint="default"/>
                <w:sz w:val="18"/>
                <w:szCs w:val="18"/>
              </w:rPr>
            </w:pPr>
            <w:r>
              <w:rPr>
                <w:rFonts w:ascii="宋体" w:hAnsi="宋体" w:cs="宋体" w:eastAsia="宋体" w:hint="default"/>
                <w:spacing w:val="6"/>
                <w:sz w:val="18"/>
                <w:szCs w:val="18"/>
              </w:rPr>
              <w:t>松陵镇中山南路西、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长板路北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35,104.80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32,532.00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20,971.61</w:t>
            </w: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苏州中南世纪城房地产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01135010-E</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7"/>
                <w:sz w:val="18"/>
                <w:szCs w:val="18"/>
              </w:rPr>
              <w:t>松陵镇中山南路、长</w:t>
            </w:r>
            <w:r>
              <w:rPr>
                <w:rFonts w:ascii="宋体" w:hAnsi="宋体" w:cs="宋体" w:eastAsia="宋体" w:hint="default"/>
                <w:sz w:val="18"/>
                <w:szCs w:val="18"/>
              </w:rPr>
              <w:t> 板路北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21,835.20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18,890.00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13,044.35</w:t>
            </w: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1"/>
                <w:sz w:val="18"/>
                <w:szCs w:val="18"/>
              </w:rPr>
              <w:t>江国用（</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pacing w:val="18"/>
                <w:sz w:val="18"/>
                <w:szCs w:val="18"/>
              </w:rPr>
              <w:t>）字第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01135004-3</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吴江区长板路南侧中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山南路西侧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17,658.30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10,245.00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7,275.22</w:t>
            </w:r>
          </w:p>
        </w:tc>
      </w:tr>
      <w:tr>
        <w:trPr>
          <w:trHeight w:val="732"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淮安中南锦城房地产有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2"/>
              <w:jc w:val="left"/>
              <w:rPr>
                <w:rFonts w:ascii="宋体" w:hAnsi="宋体" w:cs="宋体" w:eastAsia="宋体" w:hint="default"/>
                <w:sz w:val="18"/>
                <w:szCs w:val="18"/>
              </w:rPr>
            </w:pPr>
            <w:r>
              <w:rPr>
                <w:rFonts w:ascii="宋体" w:hAnsi="宋体" w:cs="宋体" w:eastAsia="宋体" w:hint="default"/>
                <w:spacing w:val="-1"/>
                <w:sz w:val="18"/>
                <w:szCs w:val="18"/>
              </w:rPr>
              <w:t>淮</w:t>
            </w: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国用（</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394</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淮安翔宇大道西侧、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怡园路南侧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55,958.80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259" w:right="0"/>
              <w:jc w:val="left"/>
              <w:rPr>
                <w:rFonts w:ascii="Times New Roman" w:hAnsi="Times New Roman" w:cs="Times New Roman" w:eastAsia="Times New Roman" w:hint="default"/>
                <w:sz w:val="18"/>
                <w:szCs w:val="18"/>
              </w:rPr>
            </w:pPr>
            <w:r>
              <w:rPr>
                <w:rFonts w:ascii="Times New Roman"/>
                <w:sz w:val="18"/>
              </w:rPr>
              <w:t>30,051.75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14,098.37</w:t>
            </w:r>
          </w:p>
        </w:tc>
      </w:tr>
      <w:tr>
        <w:trPr>
          <w:trHeight w:val="735" w:hRule="exact"/>
        </w:trPr>
        <w:tc>
          <w:tcPr>
            <w:tcW w:w="19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7" w:right="2"/>
              <w:jc w:val="left"/>
              <w:rPr>
                <w:rFonts w:ascii="宋体" w:hAnsi="宋体" w:cs="宋体" w:eastAsia="宋体" w:hint="default"/>
                <w:sz w:val="18"/>
                <w:szCs w:val="18"/>
              </w:rPr>
            </w:pPr>
            <w:r>
              <w:rPr>
                <w:rFonts w:ascii="宋体" w:hAnsi="宋体" w:cs="宋体" w:eastAsia="宋体" w:hint="default"/>
                <w:spacing w:val="-1"/>
                <w:sz w:val="18"/>
                <w:szCs w:val="18"/>
              </w:rPr>
              <w:t>淮</w:t>
            </w: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国用（</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Times New Roman" w:hAnsi="Times New Roman" w:cs="Times New Roman" w:eastAsia="Times New Roman" w:hint="default"/>
                <w:spacing w:val="-1"/>
                <w:sz w:val="18"/>
                <w:szCs w:val="18"/>
              </w:rPr>
              <w:t>396</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淮安翔宇大道西侧、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怡园路南侧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63,410.00</w:t>
            </w:r>
          </w:p>
        </w:tc>
        <w:tc>
          <w:tcPr>
            <w:tcW w:w="994" w:type="dxa"/>
            <w:vMerge/>
            <w:tcBorders>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15,975.64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735"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9"/>
              <w:ind w:left="7" w:right="6"/>
              <w:jc w:val="left"/>
              <w:rPr>
                <w:rFonts w:ascii="宋体" w:hAnsi="宋体" w:cs="宋体" w:eastAsia="宋体" w:hint="default"/>
                <w:sz w:val="18"/>
                <w:szCs w:val="18"/>
              </w:rPr>
            </w:pPr>
            <w:r>
              <w:rPr>
                <w:rFonts w:ascii="宋体" w:hAnsi="宋体" w:cs="宋体" w:eastAsia="宋体" w:hint="default"/>
                <w:spacing w:val="15"/>
                <w:sz w:val="18"/>
                <w:szCs w:val="18"/>
              </w:rPr>
              <w:t>文昌中南房地产开发有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W0302342</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316" w:lineRule="auto" w:before="59"/>
              <w:ind w:left="4" w:right="6"/>
              <w:jc w:val="left"/>
              <w:rPr>
                <w:rFonts w:ascii="宋体" w:hAnsi="宋体" w:cs="宋体" w:eastAsia="宋体" w:hint="default"/>
                <w:sz w:val="18"/>
                <w:szCs w:val="18"/>
              </w:rPr>
            </w:pPr>
            <w:r>
              <w:rPr>
                <w:rFonts w:ascii="宋体" w:hAnsi="宋体" w:cs="宋体" w:eastAsia="宋体" w:hint="default"/>
                <w:spacing w:val="6"/>
                <w:sz w:val="18"/>
                <w:szCs w:val="18"/>
              </w:rPr>
              <w:t>文昌市文城镇清澜开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发区高隆湾沿海地段</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49,077.75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16,445.55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758.25</w:t>
            </w: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3"/>
              <w:jc w:val="left"/>
              <w:rPr>
                <w:rFonts w:ascii="宋体" w:hAnsi="宋体" w:cs="宋体" w:eastAsia="宋体" w:hint="default"/>
                <w:sz w:val="18"/>
                <w:szCs w:val="18"/>
              </w:rPr>
            </w:pPr>
            <w:r>
              <w:rPr>
                <w:rFonts w:ascii="宋体" w:hAnsi="宋体" w:cs="宋体" w:eastAsia="宋体" w:hint="default"/>
                <w:spacing w:val="9"/>
                <w:sz w:val="18"/>
                <w:szCs w:val="18"/>
              </w:rPr>
              <w:t>中南海景花园</w:t>
            </w:r>
            <w:r>
              <w:rPr>
                <w:rFonts w:ascii="Times New Roman" w:hAnsi="Times New Roman" w:cs="Times New Roman" w:eastAsia="Times New Roman" w:hint="default"/>
                <w:spacing w:val="9"/>
                <w:sz w:val="18"/>
                <w:szCs w:val="18"/>
              </w:rPr>
              <w:t>E</w:t>
            </w:r>
            <w:r>
              <w:rPr>
                <w:rFonts w:ascii="宋体" w:hAnsi="宋体" w:cs="宋体" w:eastAsia="宋体" w:hint="default"/>
                <w:spacing w:val="9"/>
                <w:sz w:val="18"/>
                <w:szCs w:val="18"/>
              </w:rPr>
              <w:t>区住宅 </w:t>
            </w:r>
            <w:r>
              <w:rPr>
                <w:rFonts w:ascii="宋体" w:hAnsi="宋体" w:cs="宋体" w:eastAsia="宋体" w:hint="default"/>
                <w:sz w:val="18"/>
                <w:szCs w:val="18"/>
              </w:rPr>
              <w:t>楼项目在建房产</w:t>
            </w:r>
          </w:p>
        </w:tc>
        <w:tc>
          <w:tcPr>
            <w:tcW w:w="1706"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13,571.76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2"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W0304298</w:t>
            </w: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23,535.24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7,124.12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363.62</w:t>
            </w: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W0302347</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9,995.00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3,169.41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154.42</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海门中南世纪城开发有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海国</w:t>
            </w:r>
            <w:r>
              <w:rPr>
                <w:rFonts w:ascii="宋体" w:hAnsi="宋体" w:cs="宋体" w:eastAsia="宋体" w:hint="default"/>
                <w:spacing w:val="-80"/>
                <w:sz w:val="18"/>
                <w:szCs w:val="18"/>
              </w:rPr>
              <w:t>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第</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1</w:t>
            </w:r>
          </w:p>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海门市北京路北、张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謇大道西侧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42,043.00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27,441.47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27,412.04</w:t>
            </w: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儋州中南房地产开发有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2"/>
              <w:jc w:val="left"/>
              <w:rPr>
                <w:rFonts w:ascii="宋体" w:hAnsi="宋体" w:cs="宋体" w:eastAsia="宋体" w:hint="default"/>
                <w:sz w:val="18"/>
                <w:szCs w:val="18"/>
              </w:rPr>
            </w:pPr>
            <w:r>
              <w:rPr>
                <w:rFonts w:ascii="宋体" w:hAnsi="宋体" w:cs="宋体" w:eastAsia="宋体" w:hint="default"/>
                <w:spacing w:val="11"/>
                <w:sz w:val="18"/>
                <w:szCs w:val="18"/>
              </w:rPr>
              <w:t>儋国用（</w:t>
            </w:r>
            <w:r>
              <w:rPr>
                <w:rFonts w:ascii="宋体" w:hAnsi="宋体" w:cs="宋体" w:eastAsia="宋体" w:hint="default"/>
                <w:spacing w:val="-70"/>
                <w:sz w:val="18"/>
                <w:szCs w:val="18"/>
              </w:rPr>
              <w:t> </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）第</w:t>
            </w:r>
            <w:r>
              <w:rPr>
                <w:rFonts w:ascii="Times New Roman" w:hAnsi="Times New Roman" w:cs="Times New Roman" w:eastAsia="Times New Roman" w:hint="default"/>
                <w:spacing w:val="4"/>
                <w:sz w:val="18"/>
                <w:szCs w:val="18"/>
              </w:rPr>
              <w:t>902</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316" w:lineRule="auto" w:before="58"/>
              <w:ind w:left="4" w:right="6"/>
              <w:jc w:val="both"/>
              <w:rPr>
                <w:rFonts w:ascii="宋体" w:hAnsi="宋体" w:cs="宋体" w:eastAsia="宋体" w:hint="default"/>
                <w:sz w:val="18"/>
                <w:szCs w:val="18"/>
              </w:rPr>
            </w:pPr>
            <w:r>
              <w:rPr>
                <w:rFonts w:ascii="宋体" w:hAnsi="宋体" w:cs="宋体" w:eastAsia="宋体" w:hint="default"/>
                <w:spacing w:val="6"/>
                <w:sz w:val="18"/>
                <w:szCs w:val="18"/>
              </w:rPr>
              <w:t>儋州市白马井镇滨海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新区第二组团滨海路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北段</w:t>
            </w:r>
            <w:r>
              <w:rPr>
                <w:rFonts w:ascii="Times New Roman" w:hAnsi="Times New Roman" w:cs="Times New Roman" w:eastAsia="Times New Roman" w:hint="default"/>
                <w:sz w:val="18"/>
                <w:szCs w:val="18"/>
              </w:rPr>
              <w:t>B-02-03</w:t>
            </w:r>
            <w:r>
              <w:rPr>
                <w:rFonts w:ascii="宋体" w:hAnsi="宋体" w:cs="宋体" w:eastAsia="宋体" w:hint="default"/>
                <w:sz w:val="18"/>
                <w:szCs w:val="18"/>
              </w:rPr>
              <w:t>地块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247,987.82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29,980.42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12,766.01</w:t>
            </w:r>
          </w:p>
        </w:tc>
      </w:tr>
      <w:tr>
        <w:trPr>
          <w:trHeight w:val="42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97,313.85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15,121.77</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both"/>
              <w:rPr>
                <w:rFonts w:ascii="宋体" w:hAnsi="宋体" w:cs="宋体" w:eastAsia="宋体" w:hint="default"/>
                <w:sz w:val="18"/>
                <w:szCs w:val="18"/>
              </w:rPr>
            </w:pPr>
            <w:r>
              <w:rPr>
                <w:rFonts w:ascii="宋体" w:hAnsi="宋体" w:cs="宋体" w:eastAsia="宋体" w:hint="default"/>
                <w:sz w:val="18"/>
                <w:szCs w:val="18"/>
              </w:rPr>
              <w:t>所持镇江中南新锦城房</w:t>
            </w:r>
            <w:r>
              <w:rPr>
                <w:rFonts w:ascii="宋体" w:hAnsi="宋体" w:cs="宋体" w:eastAsia="宋体" w:hint="default"/>
                <w:spacing w:val="-71"/>
                <w:sz w:val="18"/>
                <w:szCs w:val="18"/>
              </w:rPr>
              <w:t> </w:t>
            </w:r>
            <w:r>
              <w:rPr>
                <w:rFonts w:ascii="宋体" w:hAnsi="宋体" w:cs="宋体" w:eastAsia="宋体" w:hint="default"/>
                <w:sz w:val="18"/>
                <w:szCs w:val="18"/>
              </w:rPr>
              <w:t>地</w:t>
            </w:r>
            <w:r>
              <w:rPr>
                <w:rFonts w:ascii="宋体" w:hAnsi="宋体" w:cs="宋体" w:eastAsia="宋体" w:hint="default"/>
                <w:spacing w:val="-35"/>
                <w:sz w:val="18"/>
                <w:szCs w:val="18"/>
              </w:rPr>
              <w:t> </w:t>
            </w:r>
            <w:r>
              <w:rPr>
                <w:rFonts w:ascii="宋体" w:hAnsi="宋体" w:cs="宋体" w:eastAsia="宋体" w:hint="default"/>
                <w:sz w:val="18"/>
                <w:szCs w:val="18"/>
              </w:rPr>
              <w:t>产</w:t>
            </w:r>
            <w:r>
              <w:rPr>
                <w:rFonts w:ascii="宋体" w:hAnsi="宋体" w:cs="宋体" w:eastAsia="宋体" w:hint="default"/>
                <w:spacing w:val="-35"/>
                <w:sz w:val="18"/>
                <w:szCs w:val="18"/>
              </w:rPr>
              <w:t> </w:t>
            </w:r>
            <w:r>
              <w:rPr>
                <w:rFonts w:ascii="宋体" w:hAnsi="宋体" w:cs="宋体" w:eastAsia="宋体" w:hint="default"/>
                <w:sz w:val="18"/>
                <w:szCs w:val="18"/>
              </w:rPr>
              <w:t>发</w:t>
            </w:r>
            <w:r>
              <w:rPr>
                <w:rFonts w:ascii="宋体" w:hAnsi="宋体" w:cs="宋体" w:eastAsia="宋体" w:hint="default"/>
                <w:spacing w:val="-35"/>
                <w:sz w:val="18"/>
                <w:szCs w:val="18"/>
              </w:rPr>
              <w:t> </w:t>
            </w:r>
            <w:r>
              <w:rPr>
                <w:rFonts w:ascii="宋体" w:hAnsi="宋体" w:cs="宋体" w:eastAsia="宋体" w:hint="default"/>
                <w:sz w:val="18"/>
                <w:szCs w:val="18"/>
              </w:rPr>
              <w:t>展</w:t>
            </w:r>
            <w:r>
              <w:rPr>
                <w:rFonts w:ascii="宋体" w:hAnsi="宋体" w:cs="宋体" w:eastAsia="宋体" w:hint="default"/>
                <w:spacing w:val="-38"/>
                <w:sz w:val="18"/>
                <w:szCs w:val="18"/>
              </w:rPr>
              <w:t> </w:t>
            </w:r>
            <w:r>
              <w:rPr>
                <w:rFonts w:ascii="宋体" w:hAnsi="宋体" w:cs="宋体" w:eastAsia="宋体" w:hint="default"/>
                <w:sz w:val="18"/>
                <w:szCs w:val="18"/>
              </w:rPr>
              <w:t>有</w:t>
            </w:r>
            <w:r>
              <w:rPr>
                <w:rFonts w:ascii="宋体" w:hAnsi="宋体" w:cs="宋体" w:eastAsia="宋体" w:hint="default"/>
                <w:spacing w:val="-35"/>
                <w:sz w:val="18"/>
                <w:szCs w:val="18"/>
              </w:rPr>
              <w:t> </w:t>
            </w:r>
            <w:r>
              <w:rPr>
                <w:rFonts w:ascii="宋体" w:hAnsi="宋体" w:cs="宋体" w:eastAsia="宋体" w:hint="default"/>
                <w:sz w:val="18"/>
                <w:szCs w:val="18"/>
              </w:rPr>
              <w:t>限</w:t>
            </w:r>
            <w:r>
              <w:rPr>
                <w:rFonts w:ascii="宋体" w:hAnsi="宋体" w:cs="宋体" w:eastAsia="宋体" w:hint="default"/>
                <w:spacing w:val="-38"/>
                <w:sz w:val="18"/>
                <w:szCs w:val="18"/>
              </w:rPr>
              <w:t> </w:t>
            </w:r>
            <w:r>
              <w:rPr>
                <w:rFonts w:ascii="宋体" w:hAnsi="宋体" w:cs="宋体" w:eastAsia="宋体" w:hint="default"/>
                <w:sz w:val="18"/>
                <w:szCs w:val="18"/>
              </w:rPr>
              <w:t>公</w:t>
            </w:r>
            <w:r>
              <w:rPr>
                <w:rFonts w:ascii="宋体" w:hAnsi="宋体" w:cs="宋体" w:eastAsia="宋体" w:hint="default"/>
                <w:spacing w:val="-35"/>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58.23%</w:t>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49,250.00</w:t>
            </w:r>
          </w:p>
        </w:tc>
      </w:tr>
      <w:tr>
        <w:trPr>
          <w:trHeight w:val="732"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文昌中南房地产开发有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W0302380</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文昌市文城镇清澜开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发区高隆湾沿海地段</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3,355.47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259" w:right="0"/>
              <w:jc w:val="left"/>
              <w:rPr>
                <w:rFonts w:ascii="Times New Roman" w:hAnsi="Times New Roman" w:cs="Times New Roman" w:eastAsia="Times New Roman" w:hint="default"/>
                <w:sz w:val="18"/>
                <w:szCs w:val="18"/>
              </w:rPr>
            </w:pPr>
            <w:r>
              <w:rPr>
                <w:rFonts w:ascii="Times New Roman"/>
                <w:sz w:val="18"/>
              </w:rPr>
              <w:t>13,322.69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554.17</w:t>
            </w:r>
          </w:p>
        </w:tc>
      </w:tr>
      <w:tr>
        <w:trPr>
          <w:trHeight w:val="735"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W0304279</w:t>
            </w: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32,864.70</w:t>
            </w:r>
          </w:p>
        </w:tc>
        <w:tc>
          <w:tcPr>
            <w:tcW w:w="994" w:type="dxa"/>
            <w:vMerge/>
            <w:tcBorders>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在建工五星级酒店</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海门中南世纪城开发有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vMerge w:val="restart"/>
            <w:tcBorders>
              <w:top w:val="single" w:sz="4" w:space="0" w:color="000000"/>
              <w:left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海门市海门镇瑞江路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东、人民路北</w:t>
            </w: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259" w:right="0"/>
              <w:jc w:val="left"/>
              <w:rPr>
                <w:rFonts w:ascii="Times New Roman" w:hAnsi="Times New Roman" w:cs="Times New Roman" w:eastAsia="Times New Roman" w:hint="default"/>
                <w:sz w:val="18"/>
                <w:szCs w:val="18"/>
              </w:rPr>
            </w:pPr>
            <w:r>
              <w:rPr>
                <w:rFonts w:ascii="Times New Roman"/>
                <w:sz w:val="18"/>
              </w:rPr>
              <w:t>16,626.31</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海国</w:t>
            </w:r>
            <w:r>
              <w:rPr>
                <w:rFonts w:ascii="宋体" w:hAnsi="宋体" w:cs="宋体" w:eastAsia="宋体" w:hint="default"/>
                <w:spacing w:val="-80"/>
                <w:sz w:val="18"/>
                <w:szCs w:val="18"/>
              </w:rPr>
              <w:t>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9</w:t>
            </w:r>
            <w:r>
              <w:rPr>
                <w:rFonts w:ascii="宋体" w:hAnsi="宋体" w:cs="宋体" w:eastAsia="宋体" w:hint="default"/>
                <w:spacing w:val="-80"/>
                <w:sz w:val="18"/>
                <w:szCs w:val="18"/>
              </w:rPr>
              <w:t>）</w:t>
            </w:r>
            <w:r>
              <w:rPr>
                <w:rFonts w:ascii="宋体" w:hAnsi="宋体" w:cs="宋体" w:eastAsia="宋体" w:hint="default"/>
                <w:sz w:val="18"/>
                <w:szCs w:val="18"/>
              </w:rPr>
              <w:t>第</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9</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15,911.00</w:t>
            </w:r>
          </w:p>
        </w:tc>
        <w:tc>
          <w:tcPr>
            <w:tcW w:w="994" w:type="dxa"/>
            <w:vMerge/>
            <w:tcBorders>
              <w:left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2,650.90</w:t>
            </w: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海国</w:t>
            </w:r>
            <w:r>
              <w:rPr>
                <w:rFonts w:ascii="宋体" w:hAnsi="宋体" w:cs="宋体" w:eastAsia="宋体" w:hint="default"/>
                <w:spacing w:val="-80"/>
                <w:sz w:val="18"/>
                <w:szCs w:val="18"/>
              </w:rPr>
              <w:t>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9</w:t>
            </w:r>
            <w:r>
              <w:rPr>
                <w:rFonts w:ascii="宋体" w:hAnsi="宋体" w:cs="宋体" w:eastAsia="宋体" w:hint="default"/>
                <w:spacing w:val="-80"/>
                <w:sz w:val="18"/>
                <w:szCs w:val="18"/>
              </w:rPr>
              <w:t>）</w:t>
            </w:r>
            <w:r>
              <w:rPr>
                <w:rFonts w:ascii="宋体" w:hAnsi="宋体" w:cs="宋体" w:eastAsia="宋体" w:hint="default"/>
                <w:sz w:val="18"/>
                <w:szCs w:val="18"/>
              </w:rPr>
              <w:t>第</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7</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9,664.00</w:t>
            </w:r>
          </w:p>
        </w:tc>
        <w:tc>
          <w:tcPr>
            <w:tcW w:w="994" w:type="dxa"/>
            <w:vMerge/>
            <w:tcBorders>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1,610.10</w:t>
            </w:r>
          </w:p>
        </w:tc>
      </w:tr>
      <w:tr>
        <w:trPr>
          <w:trHeight w:val="733" w:hRule="exact"/>
        </w:trPr>
        <w:tc>
          <w:tcPr>
            <w:tcW w:w="1980" w:type="dxa"/>
            <w:vMerge w:val="restart"/>
            <w:tcBorders>
              <w:top w:val="single" w:sz="4" w:space="0" w:color="000000"/>
              <w:left w:val="single" w:sz="4" w:space="0" w:color="000000"/>
              <w:right w:val="single" w:sz="4" w:space="0" w:color="000000"/>
            </w:tcBorders>
          </w:tcPr>
          <w:p>
            <w:pPr>
              <w:pStyle w:val="TableParagraph"/>
              <w:spacing w:line="319"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海门中南世纪城开发有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海门市南海路南、张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赛大道西侧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76,232.00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12,200.00</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海门市南海路南、张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赛大道西侧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12,169.55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3,275.00</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海国</w:t>
            </w:r>
            <w:r>
              <w:rPr>
                <w:rFonts w:ascii="宋体" w:hAnsi="宋体" w:cs="宋体" w:eastAsia="宋体" w:hint="default"/>
                <w:spacing w:val="-80"/>
                <w:sz w:val="18"/>
                <w:szCs w:val="18"/>
              </w:rPr>
              <w:t>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第</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1</w:t>
            </w:r>
          </w:p>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海门市南海路南、张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赛大道西侧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28,247.00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18,507.43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18,969.56</w:t>
            </w: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盐城中南世纪城房地产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城南国用（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602123</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城南新区新都街道办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事处民富村三组</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50,946.00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21,560.00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9,736.62</w:t>
            </w: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城南国用（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602237</w:t>
            </w: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75,605.00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26,280.00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14,449.36</w:t>
            </w:r>
          </w:p>
        </w:tc>
      </w:tr>
      <w:tr>
        <w:trPr>
          <w:trHeight w:val="423"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27"/>
              <w:jc w:val="left"/>
              <w:rPr>
                <w:rFonts w:ascii="宋体" w:hAnsi="宋体" w:cs="宋体" w:eastAsia="宋体" w:hint="default"/>
                <w:sz w:val="18"/>
                <w:szCs w:val="18"/>
              </w:rPr>
            </w:pPr>
            <w:r>
              <w:rPr>
                <w:rFonts w:ascii="宋体" w:hAnsi="宋体" w:cs="宋体" w:eastAsia="宋体" w:hint="default"/>
                <w:spacing w:val="22"/>
                <w:sz w:val="18"/>
                <w:szCs w:val="18"/>
              </w:rPr>
              <w:t>城南国用（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40,629.00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14,870.00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95"/>
                <w:sz w:val="18"/>
              </w:rPr>
              <w:t>8,003.41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382"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603304</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潜江中南房地产发展有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潜</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0470029</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园林办事处辉煌社区</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61,510.99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10,530.68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10,191.99</w:t>
            </w:r>
          </w:p>
        </w:tc>
      </w:tr>
      <w:tr>
        <w:trPr>
          <w:trHeight w:val="42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青岛海湾新城房地产开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青 房 地 建 字   </w:t>
            </w:r>
            <w:r>
              <w:rPr>
                <w:rFonts w:ascii="宋体" w:hAnsi="宋体" w:cs="宋体" w:eastAsia="宋体" w:hint="default"/>
                <w:spacing w:val="18"/>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201369739</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开发区井</w:t>
            </w:r>
            <w:r>
              <w:rPr>
                <w:rFonts w:ascii="宋体" w:hAnsi="宋体" w:cs="宋体" w:eastAsia="宋体" w:hint="default"/>
                <w:spacing w:val="-64"/>
                <w:sz w:val="18"/>
                <w:szCs w:val="18"/>
              </w:rPr>
              <w:t> </w:t>
            </w:r>
            <w:r>
              <w:rPr>
                <w:rFonts w:ascii="宋体" w:hAnsi="宋体" w:cs="宋体" w:eastAsia="宋体" w:hint="default"/>
                <w:spacing w:val="14"/>
                <w:sz w:val="18"/>
                <w:szCs w:val="18"/>
              </w:rPr>
              <w:t>冈山路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157</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1-6</w:t>
            </w:r>
            <w:r>
              <w:rPr>
                <w:rFonts w:ascii="宋体" w:hAnsi="宋体" w:cs="宋体" w:eastAsia="宋体" w:hint="default"/>
                <w:sz w:val="18"/>
                <w:szCs w:val="18"/>
              </w:rPr>
              <w:t>层</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167,256.27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41,827.66</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黄国用</w:t>
            </w:r>
            <w:r>
              <w:rPr>
                <w:rFonts w:ascii="Times New Roman" w:hAnsi="Times New Roman" w:cs="Times New Roman" w:eastAsia="Times New Roman" w:hint="default"/>
                <w:sz w:val="18"/>
                <w:szCs w:val="18"/>
              </w:rPr>
              <w:t>[2006]</w:t>
            </w:r>
            <w:r>
              <w:rPr>
                <w:rFonts w:ascii="宋体" w:hAnsi="宋体" w:cs="宋体" w:eastAsia="宋体" w:hint="default"/>
                <w:sz w:val="18"/>
                <w:szCs w:val="18"/>
              </w:rPr>
              <w:t>第</w:t>
            </w:r>
            <w:r>
              <w:rPr>
                <w:rFonts w:ascii="Times New Roman" w:hAnsi="Times New Roman" w:cs="Times New Roman" w:eastAsia="Times New Roman" w:hint="default"/>
                <w:sz w:val="18"/>
                <w:szCs w:val="18"/>
              </w:rPr>
              <w:t>264</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井冈山路东侧、珠江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路南侧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14,310.16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28,510.71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24,705.67</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青岛中南世纪城房地产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41"/>
              <w:jc w:val="left"/>
              <w:rPr>
                <w:rFonts w:ascii="宋体" w:hAnsi="宋体" w:cs="宋体" w:eastAsia="宋体" w:hint="default"/>
                <w:sz w:val="18"/>
                <w:szCs w:val="18"/>
              </w:rPr>
            </w:pPr>
            <w:r>
              <w:rPr>
                <w:rFonts w:ascii="宋体" w:hAnsi="宋体" w:cs="宋体" w:eastAsia="宋体" w:hint="default"/>
                <w:spacing w:val="32"/>
                <w:sz w:val="18"/>
                <w:szCs w:val="18"/>
              </w:rPr>
              <w:t>应收账款质</w:t>
            </w:r>
            <w:r>
              <w:rPr>
                <w:rFonts w:ascii="宋体" w:hAnsi="宋体" w:cs="宋体" w:eastAsia="宋体" w:hint="default"/>
                <w:spacing w:val="-50"/>
                <w:sz w:val="18"/>
                <w:szCs w:val="18"/>
              </w:rPr>
              <w:t> </w:t>
            </w:r>
            <w:r>
              <w:rPr>
                <w:rFonts w:ascii="宋体" w:hAnsi="宋体" w:cs="宋体" w:eastAsia="宋体" w:hint="default"/>
                <w:sz w:val="18"/>
                <w:szCs w:val="18"/>
              </w:rPr>
              <w:t>押</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120052708</w:t>
            </w:r>
            <w:r>
              <w:rPr>
                <w:rFonts w:ascii="宋体" w:hAnsi="宋体" w:cs="宋体" w:eastAsia="宋体" w:hint="default"/>
                <w:sz w:val="18"/>
                <w:szCs w:val="18"/>
              </w:rPr>
              <w:t>号等</w:t>
            </w:r>
            <w:r>
              <w:rPr>
                <w:rFonts w:ascii="Times New Roman" w:hAnsi="Times New Roman" w:cs="Times New Roman" w:eastAsia="Times New Roman" w:hint="default"/>
                <w:sz w:val="18"/>
                <w:szCs w:val="18"/>
              </w:rPr>
              <w:t>98</w:t>
            </w:r>
            <w:r>
              <w:rPr>
                <w:rFonts w:ascii="宋体" w:hAnsi="宋体" w:cs="宋体" w:eastAsia="宋体" w:hint="default"/>
                <w:sz w:val="18"/>
                <w:szCs w:val="18"/>
              </w:rPr>
              <w:t>个</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4" w:right="2"/>
              <w:jc w:val="left"/>
              <w:rPr>
                <w:rFonts w:ascii="宋体" w:hAnsi="宋体" w:cs="宋体" w:eastAsia="宋体" w:hint="default"/>
                <w:sz w:val="18"/>
                <w:szCs w:val="18"/>
              </w:rPr>
            </w:pPr>
            <w:r>
              <w:rPr>
                <w:rFonts w:ascii="宋体" w:hAnsi="宋体" w:cs="宋体" w:eastAsia="宋体" w:hint="default"/>
                <w:spacing w:val="6"/>
                <w:sz w:val="18"/>
                <w:szCs w:val="18"/>
              </w:rPr>
              <w:t>崇川区中南世纪城</w:t>
            </w: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幢共</w:t>
            </w:r>
            <w:r>
              <w:rPr>
                <w:rFonts w:ascii="Times New Roman" w:hAnsi="Times New Roman" w:cs="Times New Roman" w:eastAsia="Times New Roman" w:hint="default"/>
                <w:sz w:val="18"/>
                <w:szCs w:val="18"/>
              </w:rPr>
              <w:t>98</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6,677.76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3"/>
              <w:ind w:left="259" w:right="0"/>
              <w:jc w:val="left"/>
              <w:rPr>
                <w:rFonts w:ascii="Times New Roman" w:hAnsi="Times New Roman" w:cs="Times New Roman" w:eastAsia="Times New Roman" w:hint="default"/>
                <w:sz w:val="18"/>
                <w:szCs w:val="18"/>
              </w:rPr>
            </w:pPr>
            <w:r>
              <w:rPr>
                <w:rFonts w:ascii="Times New Roman"/>
                <w:sz w:val="18"/>
              </w:rPr>
              <w:t>20,136.10</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307" w:right="0"/>
              <w:jc w:val="left"/>
              <w:rPr>
                <w:rFonts w:ascii="Times New Roman" w:hAnsi="Times New Roman" w:cs="Times New Roman" w:eastAsia="Times New Roman" w:hint="default"/>
                <w:sz w:val="18"/>
                <w:szCs w:val="18"/>
              </w:rPr>
            </w:pPr>
            <w:r>
              <w:rPr>
                <w:rFonts w:ascii="Times New Roman"/>
                <w:sz w:val="18"/>
              </w:rPr>
              <w:t>5,553.86</w:t>
            </w: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01100299</w:t>
            </w:r>
            <w:r>
              <w:rPr>
                <w:rFonts w:ascii="宋体" w:hAnsi="宋体" w:cs="宋体" w:eastAsia="宋体" w:hint="default"/>
                <w:sz w:val="18"/>
                <w:szCs w:val="18"/>
              </w:rPr>
              <w:t>号等</w:t>
            </w:r>
            <w:r>
              <w:rPr>
                <w:rFonts w:ascii="Times New Roman" w:hAnsi="Times New Roman" w:cs="Times New Roman" w:eastAsia="Times New Roman" w:hint="default"/>
                <w:sz w:val="18"/>
                <w:szCs w:val="18"/>
              </w:rPr>
              <w:t>98</w:t>
            </w:r>
            <w:r>
              <w:rPr>
                <w:rFonts w:ascii="宋体" w:hAnsi="宋体" w:cs="宋体" w:eastAsia="宋体" w:hint="default"/>
                <w:sz w:val="18"/>
                <w:szCs w:val="18"/>
              </w:rPr>
              <w:t>个</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2"/>
              <w:jc w:val="left"/>
              <w:rPr>
                <w:rFonts w:ascii="宋体" w:hAnsi="宋体" w:cs="宋体" w:eastAsia="宋体" w:hint="default"/>
                <w:sz w:val="18"/>
                <w:szCs w:val="18"/>
              </w:rPr>
            </w:pPr>
            <w:r>
              <w:rPr>
                <w:rFonts w:ascii="宋体" w:hAnsi="宋体" w:cs="宋体" w:eastAsia="宋体" w:hint="default"/>
                <w:spacing w:val="6"/>
                <w:sz w:val="18"/>
                <w:szCs w:val="18"/>
              </w:rPr>
              <w:t>崇川区中南世纪城</w:t>
            </w: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幢共</w:t>
            </w:r>
            <w:r>
              <w:rPr>
                <w:rFonts w:ascii="Times New Roman" w:hAnsi="Times New Roman" w:cs="Times New Roman" w:eastAsia="Times New Roman" w:hint="default"/>
                <w:sz w:val="18"/>
                <w:szCs w:val="18"/>
              </w:rPr>
              <w:t>98</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516.80</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120058575</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501</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9,052.96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259" w:right="0"/>
              <w:jc w:val="left"/>
              <w:rPr>
                <w:rFonts w:ascii="Times New Roman" w:hAnsi="Times New Roman" w:cs="Times New Roman" w:eastAsia="Times New Roman" w:hint="default"/>
                <w:sz w:val="18"/>
                <w:szCs w:val="18"/>
              </w:rPr>
            </w:pPr>
            <w:r>
              <w:rPr>
                <w:rFonts w:ascii="Times New Roman"/>
                <w:sz w:val="18"/>
              </w:rPr>
              <w:t>31,685.36</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4,683.12</w:t>
            </w: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01102622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501</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1,664.30</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2"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9"/>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南通中南世纪城花城投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120060259-1200602567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中南世纪花城</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101</w:t>
            </w:r>
            <w:r>
              <w:rPr>
                <w:rFonts w:ascii="宋体" w:hAnsi="宋体" w:cs="宋体" w:eastAsia="宋体" w:hint="default"/>
                <w:sz w:val="18"/>
                <w:szCs w:val="18"/>
              </w:rPr>
              <w:t>室</w:t>
            </w:r>
            <w:r>
              <w:rPr>
                <w:rFonts w:ascii="Times New Roman" w:hAnsi="Times New Roman" w:cs="Times New Roman" w:eastAsia="Times New Roman" w:hint="default"/>
                <w:sz w:val="18"/>
                <w:szCs w:val="18"/>
              </w:rPr>
              <w:t>-109</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5"/>
                <w:sz w:val="18"/>
              </w:rPr>
              <w:t>1,496.34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1"/>
              <w:ind w:left="348" w:right="0"/>
              <w:jc w:val="left"/>
              <w:rPr>
                <w:rFonts w:ascii="Times New Roman" w:hAnsi="Times New Roman" w:cs="Times New Roman" w:eastAsia="Times New Roman" w:hint="default"/>
                <w:sz w:val="18"/>
                <w:szCs w:val="18"/>
              </w:rPr>
            </w:pPr>
            <w:r>
              <w:rPr>
                <w:rFonts w:ascii="Times New Roman"/>
                <w:sz w:val="18"/>
              </w:rPr>
              <w:t>3,986.25</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1"/>
              <w:ind w:left="443" w:right="0"/>
              <w:jc w:val="left"/>
              <w:rPr>
                <w:rFonts w:ascii="Times New Roman" w:hAnsi="Times New Roman" w:cs="Times New Roman" w:eastAsia="Times New Roman" w:hint="default"/>
                <w:sz w:val="18"/>
                <w:szCs w:val="18"/>
              </w:rPr>
            </w:pPr>
            <w:r>
              <w:rPr>
                <w:rFonts w:ascii="Times New Roman"/>
                <w:sz w:val="18"/>
              </w:rPr>
              <w:t>634.45</w:t>
            </w:r>
          </w:p>
        </w:tc>
      </w:tr>
      <w:tr>
        <w:trPr>
          <w:trHeight w:val="1046"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01102891 </w:t>
            </w:r>
            <w:r>
              <w:rPr>
                <w:rFonts w:ascii="宋体" w:hAnsi="宋体" w:cs="宋体" w:eastAsia="宋体" w:hint="default"/>
                <w:sz w:val="18"/>
                <w:szCs w:val="18"/>
              </w:rPr>
              <w:t>号</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-01102899</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中南世纪花城</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幢</w:t>
            </w:r>
            <w:r>
              <w:rPr>
                <w:rFonts w:ascii="Times New Roman" w:hAnsi="Times New Roman" w:cs="Times New Roman" w:eastAsia="Times New Roman" w:hint="default"/>
                <w:sz w:val="18"/>
                <w:szCs w:val="18"/>
              </w:rPr>
              <w:t>101</w:t>
            </w:r>
            <w:r>
              <w:rPr>
                <w:rFonts w:ascii="宋体" w:hAnsi="宋体" w:cs="宋体" w:eastAsia="宋体" w:hint="default"/>
                <w:sz w:val="18"/>
                <w:szCs w:val="18"/>
              </w:rPr>
              <w:t>室</w:t>
            </w:r>
            <w:r>
              <w:rPr>
                <w:rFonts w:ascii="Times New Roman" w:hAnsi="Times New Roman" w:cs="Times New Roman" w:eastAsia="Times New Roman" w:hint="default"/>
                <w:sz w:val="18"/>
                <w:szCs w:val="18"/>
              </w:rPr>
              <w:t>-109</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141.28</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盐城中南世纪城投资开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城南国用（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603383</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6"/>
              <w:jc w:val="both"/>
              <w:rPr>
                <w:rFonts w:ascii="宋体" w:hAnsi="宋体" w:cs="宋体" w:eastAsia="宋体" w:hint="default"/>
                <w:sz w:val="18"/>
                <w:szCs w:val="18"/>
              </w:rPr>
            </w:pPr>
            <w:r>
              <w:rPr>
                <w:rFonts w:ascii="宋体" w:hAnsi="宋体" w:cs="宋体" w:eastAsia="宋体" w:hint="default"/>
                <w:spacing w:val="6"/>
                <w:sz w:val="18"/>
                <w:szCs w:val="18"/>
              </w:rPr>
              <w:t>新都街道办事处民富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社区（纬十三路南、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胜利路西）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59,374.00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15,437.24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3,353.39</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寿光南房地产开发有限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41"/>
              <w:jc w:val="left"/>
              <w:rPr>
                <w:rFonts w:ascii="宋体" w:hAnsi="宋体" w:cs="宋体" w:eastAsia="宋体" w:hint="default"/>
                <w:sz w:val="18"/>
                <w:szCs w:val="18"/>
              </w:rPr>
            </w:pPr>
            <w:r>
              <w:rPr>
                <w:rFonts w:ascii="宋体" w:hAnsi="宋体" w:cs="宋体" w:eastAsia="宋体" w:hint="default"/>
                <w:spacing w:val="32"/>
                <w:sz w:val="18"/>
                <w:szCs w:val="18"/>
              </w:rPr>
              <w:t>应收账款质</w:t>
            </w:r>
            <w:r>
              <w:rPr>
                <w:rFonts w:ascii="宋体" w:hAnsi="宋体" w:cs="宋体" w:eastAsia="宋体" w:hint="default"/>
                <w:spacing w:val="-50"/>
                <w:sz w:val="18"/>
                <w:szCs w:val="18"/>
              </w:rPr>
              <w:t> </w:t>
            </w:r>
            <w:r>
              <w:rPr>
                <w:rFonts w:ascii="宋体" w:hAnsi="宋体" w:cs="宋体" w:eastAsia="宋体" w:hint="default"/>
                <w:sz w:val="18"/>
                <w:szCs w:val="18"/>
              </w:rPr>
              <w:t>押</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泰安中南投资置业有限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泰土国用（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T-0170</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东岳大街以南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67,108.00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36,077.00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33,178.20</w:t>
            </w:r>
          </w:p>
        </w:tc>
      </w:tr>
      <w:tr>
        <w:trPr>
          <w:trHeight w:val="42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东岳大街以南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3,409.04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2,683.00</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华城中南世纪城开发有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通开国用（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03010032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南通市开发区振兴西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路北，通富南路西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66,218.30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39,472.73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17,079.02</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7" w:right="0"/>
              <w:jc w:val="both"/>
              <w:rPr>
                <w:rFonts w:ascii="宋体" w:hAnsi="宋体" w:cs="宋体" w:eastAsia="宋体" w:hint="default"/>
                <w:sz w:val="18"/>
                <w:szCs w:val="18"/>
              </w:rPr>
            </w:pPr>
            <w:r>
              <w:rPr>
                <w:rFonts w:ascii="宋体" w:hAnsi="宋体" w:cs="宋体" w:eastAsia="宋体" w:hint="default"/>
                <w:sz w:val="18"/>
                <w:szCs w:val="18"/>
              </w:rPr>
              <w:t>所持南通华城中南世纪</w:t>
            </w:r>
            <w:r>
              <w:rPr>
                <w:rFonts w:ascii="宋体" w:hAnsi="宋体" w:cs="宋体" w:eastAsia="宋体" w:hint="default"/>
                <w:spacing w:val="-71"/>
                <w:sz w:val="18"/>
                <w:szCs w:val="18"/>
              </w:rPr>
              <w:t> </w:t>
            </w:r>
            <w:r>
              <w:rPr>
                <w:rFonts w:ascii="宋体" w:hAnsi="宋体" w:cs="宋体" w:eastAsia="宋体" w:hint="default"/>
                <w:sz w:val="18"/>
                <w:szCs w:val="18"/>
              </w:rPr>
              <w:t>城开发有限公司</w:t>
            </w:r>
            <w:r>
              <w:rPr>
                <w:rFonts w:ascii="Times New Roman" w:hAnsi="Times New Roman" w:cs="Times New Roman" w:eastAsia="Times New Roman" w:hint="default"/>
                <w:sz w:val="18"/>
                <w:szCs w:val="18"/>
              </w:rPr>
              <w:t>99.38%</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18,484.29</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常熟中南世纪锦城房地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常国用（</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13550</w:t>
            </w:r>
          </w:p>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虞山镇高新技术产业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园深圳路北，珠海路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70,577.89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34,200.00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34,563.78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90"/>
        <w:gridCol w:w="836"/>
        <w:gridCol w:w="994"/>
        <w:gridCol w:w="950"/>
      </w:tblGrid>
      <w:tr>
        <w:trPr>
          <w:trHeight w:val="382"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东</w:t>
            </w: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0"/>
              <w:jc w:val="both"/>
              <w:rPr>
                <w:rFonts w:ascii="宋体" w:hAnsi="宋体" w:cs="宋体" w:eastAsia="宋体" w:hint="default"/>
                <w:sz w:val="18"/>
                <w:szCs w:val="18"/>
              </w:rPr>
            </w:pPr>
            <w:r>
              <w:rPr>
                <w:rFonts w:ascii="宋体" w:hAnsi="宋体" w:cs="宋体" w:eastAsia="宋体" w:hint="default"/>
                <w:sz w:val="18"/>
                <w:szCs w:val="18"/>
              </w:rPr>
              <w:t>所持常熟中南世纪锦城</w:t>
            </w:r>
            <w:r>
              <w:rPr>
                <w:rFonts w:ascii="宋体" w:hAnsi="宋体" w:cs="宋体" w:eastAsia="宋体" w:hint="default"/>
                <w:spacing w:val="-71"/>
                <w:sz w:val="18"/>
                <w:szCs w:val="18"/>
              </w:rPr>
              <w:t> </w:t>
            </w:r>
            <w:r>
              <w:rPr>
                <w:rFonts w:ascii="宋体" w:hAnsi="宋体" w:cs="宋体" w:eastAsia="宋体" w:hint="default"/>
                <w:sz w:val="18"/>
                <w:szCs w:val="18"/>
              </w:rPr>
              <w:t>房地产开发有限公司的</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菏泽中南世纪城房地产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荷国用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第</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15035</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菏泽市长城路北侧、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规划支路西侧</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2" w:right="0"/>
              <w:jc w:val="left"/>
              <w:rPr>
                <w:rFonts w:ascii="Times New Roman" w:hAnsi="Times New Roman" w:cs="Times New Roman" w:eastAsia="Times New Roman" w:hint="default"/>
                <w:sz w:val="18"/>
                <w:szCs w:val="18"/>
              </w:rPr>
            </w:pPr>
            <w:r>
              <w:rPr>
                <w:rFonts w:ascii="Times New Roman"/>
                <w:sz w:val="18"/>
              </w:rPr>
              <w:t>32,659.00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6,776.70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6,285.94</w:t>
            </w: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荷国用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第</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15183</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菏泽市长城路北侧、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郭楼东路西侧</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2" w:right="0"/>
              <w:jc w:val="left"/>
              <w:rPr>
                <w:rFonts w:ascii="Times New Roman" w:hAnsi="Times New Roman" w:cs="Times New Roman" w:eastAsia="Times New Roman" w:hint="default"/>
                <w:sz w:val="18"/>
                <w:szCs w:val="18"/>
              </w:rPr>
            </w:pPr>
            <w:r>
              <w:rPr>
                <w:rFonts w:ascii="Times New Roman"/>
                <w:sz w:val="18"/>
              </w:rPr>
              <w:t>41,163.32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8,679.20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7,922.78</w:t>
            </w:r>
          </w:p>
        </w:tc>
      </w:tr>
      <w:tr>
        <w:trPr>
          <w:trHeight w:val="733"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荷国用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第</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15182</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z w:val="18"/>
                <w:szCs w:val="18"/>
              </w:rPr>
              <w:t>菏</w:t>
            </w:r>
            <w:r>
              <w:rPr>
                <w:rFonts w:ascii="宋体" w:hAnsi="宋体" w:cs="宋体" w:eastAsia="宋体" w:hint="default"/>
                <w:spacing w:val="-55"/>
                <w:sz w:val="18"/>
                <w:szCs w:val="18"/>
              </w:rPr>
              <w:t> </w:t>
            </w:r>
            <w:r>
              <w:rPr>
                <w:rFonts w:ascii="宋体" w:hAnsi="宋体" w:cs="宋体" w:eastAsia="宋体" w:hint="default"/>
                <w:sz w:val="18"/>
                <w:szCs w:val="18"/>
              </w:rPr>
              <w:t>泽</w:t>
            </w:r>
            <w:r>
              <w:rPr>
                <w:rFonts w:ascii="宋体" w:hAnsi="宋体" w:cs="宋体" w:eastAsia="宋体" w:hint="default"/>
                <w:spacing w:val="-55"/>
                <w:sz w:val="18"/>
                <w:szCs w:val="18"/>
              </w:rPr>
              <w:t> </w:t>
            </w:r>
            <w:r>
              <w:rPr>
                <w:rFonts w:ascii="宋体" w:hAnsi="宋体" w:cs="宋体" w:eastAsia="宋体" w:hint="default"/>
                <w:sz w:val="18"/>
                <w:szCs w:val="18"/>
              </w:rPr>
              <w:t>市</w:t>
            </w:r>
            <w:r>
              <w:rPr>
                <w:rFonts w:ascii="宋体" w:hAnsi="宋体" w:cs="宋体" w:eastAsia="宋体" w:hint="default"/>
                <w:spacing w:val="-55"/>
                <w:sz w:val="18"/>
                <w:szCs w:val="18"/>
              </w:rPr>
              <w:t> </w:t>
            </w:r>
            <w:r>
              <w:rPr>
                <w:rFonts w:ascii="宋体" w:hAnsi="宋体" w:cs="宋体" w:eastAsia="宋体" w:hint="default"/>
                <w:sz w:val="18"/>
                <w:szCs w:val="18"/>
              </w:rPr>
              <w:t>郭</w:t>
            </w:r>
            <w:r>
              <w:rPr>
                <w:rFonts w:ascii="宋体" w:hAnsi="宋体" w:cs="宋体" w:eastAsia="宋体" w:hint="default"/>
                <w:spacing w:val="-55"/>
                <w:sz w:val="18"/>
                <w:szCs w:val="18"/>
              </w:rPr>
              <w:t> </w:t>
            </w:r>
            <w:r>
              <w:rPr>
                <w:rFonts w:ascii="宋体" w:hAnsi="宋体" w:cs="宋体" w:eastAsia="宋体" w:hint="default"/>
                <w:sz w:val="18"/>
                <w:szCs w:val="18"/>
              </w:rPr>
              <w:t>楼</w:t>
            </w:r>
            <w:r>
              <w:rPr>
                <w:rFonts w:ascii="宋体" w:hAnsi="宋体" w:cs="宋体" w:eastAsia="宋体" w:hint="default"/>
                <w:spacing w:val="-57"/>
                <w:sz w:val="18"/>
                <w:szCs w:val="18"/>
              </w:rPr>
              <w:t> </w:t>
            </w:r>
            <w:r>
              <w:rPr>
                <w:rFonts w:ascii="宋体" w:hAnsi="宋体" w:cs="宋体" w:eastAsia="宋体" w:hint="default"/>
                <w:sz w:val="18"/>
                <w:szCs w:val="18"/>
              </w:rPr>
              <w:t>西</w:t>
            </w:r>
            <w:r>
              <w:rPr>
                <w:rFonts w:ascii="宋体" w:hAnsi="宋体" w:cs="宋体" w:eastAsia="宋体" w:hint="default"/>
                <w:spacing w:val="-55"/>
                <w:sz w:val="18"/>
                <w:szCs w:val="18"/>
              </w:rPr>
              <w:t> </w:t>
            </w:r>
            <w:r>
              <w:rPr>
                <w:rFonts w:ascii="宋体" w:hAnsi="宋体" w:cs="宋体" w:eastAsia="宋体" w:hint="default"/>
                <w:sz w:val="18"/>
                <w:szCs w:val="18"/>
              </w:rPr>
              <w:t>路</w:t>
            </w:r>
            <w:r>
              <w:rPr>
                <w:rFonts w:ascii="宋体" w:hAnsi="宋体" w:cs="宋体" w:eastAsia="宋体" w:hint="default"/>
                <w:spacing w:val="-55"/>
                <w:sz w:val="18"/>
                <w:szCs w:val="18"/>
              </w:rPr>
              <w:t> </w:t>
            </w:r>
            <w:r>
              <w:rPr>
                <w:rFonts w:ascii="宋体" w:hAnsi="宋体" w:cs="宋体" w:eastAsia="宋体" w:hint="default"/>
                <w:sz w:val="18"/>
                <w:szCs w:val="18"/>
              </w:rPr>
              <w:t>东</w:t>
            </w:r>
            <w:r>
              <w:rPr>
                <w:rFonts w:ascii="宋体" w:hAnsi="宋体" w:cs="宋体" w:eastAsia="宋体" w:hint="default"/>
                <w:sz w:val="18"/>
                <w:szCs w:val="18"/>
              </w:rPr>
              <w:t> 侧、松花江西路南侧</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2" w:right="0"/>
              <w:jc w:val="left"/>
              <w:rPr>
                <w:rFonts w:ascii="Times New Roman" w:hAnsi="Times New Roman" w:cs="Times New Roman" w:eastAsia="Times New Roman" w:hint="default"/>
                <w:sz w:val="18"/>
                <w:szCs w:val="18"/>
              </w:rPr>
            </w:pPr>
            <w:r>
              <w:rPr>
                <w:rFonts w:ascii="Times New Roman"/>
                <w:sz w:val="18"/>
              </w:rPr>
              <w:t>34,491.50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7,412.20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6,638.64</w:t>
            </w:r>
          </w:p>
        </w:tc>
      </w:tr>
      <w:tr>
        <w:trPr>
          <w:trHeight w:val="42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菏泽市长城路以北</w:t>
            </w: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1,050.24</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7" w:right="0"/>
              <w:jc w:val="both"/>
              <w:rPr>
                <w:rFonts w:ascii="宋体" w:hAnsi="宋体" w:cs="宋体" w:eastAsia="宋体" w:hint="default"/>
                <w:sz w:val="18"/>
                <w:szCs w:val="18"/>
              </w:rPr>
            </w:pPr>
            <w:r>
              <w:rPr>
                <w:rFonts w:ascii="宋体" w:hAnsi="宋体" w:cs="宋体" w:eastAsia="宋体" w:hint="default"/>
                <w:sz w:val="18"/>
                <w:szCs w:val="18"/>
              </w:rPr>
              <w:t>所持东营中南城市建设</w:t>
            </w:r>
            <w:r>
              <w:rPr>
                <w:rFonts w:ascii="宋体" w:hAnsi="宋体" w:cs="宋体" w:eastAsia="宋体" w:hint="default"/>
                <w:spacing w:val="-71"/>
                <w:sz w:val="18"/>
                <w:szCs w:val="18"/>
              </w:rPr>
              <w:t> </w:t>
            </w:r>
            <w:r>
              <w:rPr>
                <w:rFonts w:ascii="宋体" w:hAnsi="宋体" w:cs="宋体" w:eastAsia="宋体" w:hint="default"/>
                <w:spacing w:val="16"/>
                <w:sz w:val="18"/>
                <w:szCs w:val="18"/>
              </w:rPr>
              <w:t>投资有限公司</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股 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046"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0110009</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20"/>
                <w:sz w:val="18"/>
                <w:szCs w:val="18"/>
              </w:rPr>
              <w:t> </w:t>
            </w:r>
            <w:r>
              <w:rPr>
                <w:rFonts w:ascii="宋体" w:hAnsi="宋体" w:cs="宋体" w:eastAsia="宋体" w:hint="default"/>
                <w:sz w:val="18"/>
                <w:szCs w:val="18"/>
              </w:rPr>
              <w:t>南</w:t>
            </w:r>
            <w:r>
              <w:rPr>
                <w:rFonts w:ascii="宋体" w:hAnsi="宋体" w:cs="宋体" w:eastAsia="宋体" w:hint="default"/>
                <w:spacing w:val="-20"/>
                <w:sz w:val="18"/>
                <w:szCs w:val="18"/>
              </w:rPr>
              <w:t> </w:t>
            </w:r>
            <w:r>
              <w:rPr>
                <w:rFonts w:ascii="宋体" w:hAnsi="宋体" w:cs="宋体" w:eastAsia="宋体" w:hint="default"/>
                <w:sz w:val="18"/>
                <w:szCs w:val="18"/>
              </w:rPr>
              <w:t>世</w:t>
            </w:r>
            <w:r>
              <w:rPr>
                <w:rFonts w:ascii="宋体" w:hAnsi="宋体" w:cs="宋体" w:eastAsia="宋体" w:hint="default"/>
                <w:spacing w:val="-20"/>
                <w:sz w:val="18"/>
                <w:szCs w:val="18"/>
              </w:rPr>
              <w:t> </w:t>
            </w:r>
            <w:r>
              <w:rPr>
                <w:rFonts w:ascii="宋体" w:hAnsi="宋体" w:cs="宋体" w:eastAsia="宋体" w:hint="default"/>
                <w:sz w:val="18"/>
                <w:szCs w:val="18"/>
              </w:rPr>
              <w:t>纪</w:t>
            </w:r>
            <w:r>
              <w:rPr>
                <w:rFonts w:ascii="宋体" w:hAnsi="宋体" w:cs="宋体" w:eastAsia="宋体" w:hint="default"/>
                <w:spacing w:val="-22"/>
                <w:sz w:val="18"/>
                <w:szCs w:val="18"/>
              </w:rPr>
              <w:t> </w:t>
            </w:r>
            <w:r>
              <w:rPr>
                <w:rFonts w:ascii="宋体" w:hAnsi="宋体" w:cs="宋体" w:eastAsia="宋体" w:hint="default"/>
                <w:sz w:val="18"/>
                <w:szCs w:val="18"/>
              </w:rPr>
              <w:t>城</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幢</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101-601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35-40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42-57</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层</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Times New Roman" w:hAnsi="Times New Roman" w:cs="Times New Roman" w:eastAsia="Times New Roman" w:hint="default"/>
                <w:sz w:val="18"/>
                <w:szCs w:val="18"/>
              </w:rPr>
            </w:pPr>
            <w:r>
              <w:rPr>
                <w:rFonts w:ascii="Times New Roman"/>
                <w:sz w:val="18"/>
              </w:rPr>
              <w:t>4,896.82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103,202.71</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49,621.58</w:t>
            </w:r>
          </w:p>
        </w:tc>
      </w:tr>
      <w:tr>
        <w:trPr>
          <w:trHeight w:val="1047"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5</w:t>
            </w:r>
            <w:r>
              <w:rPr>
                <w:rFonts w:ascii="宋体" w:hAnsi="宋体" w:cs="宋体" w:eastAsia="宋体" w:hint="default"/>
                <w:spacing w:val="-70"/>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54</w:t>
            </w:r>
            <w:r>
              <w:rPr>
                <w:rFonts w:ascii="宋体" w:hAnsi="宋体" w:cs="宋体" w:eastAsia="宋体" w:hint="default"/>
                <w:spacing w:val="-74"/>
                <w:sz w:val="18"/>
                <w:szCs w:val="18"/>
              </w:rPr>
              <w:t>、</w:t>
            </w:r>
            <w:r>
              <w:rPr>
                <w:rFonts w:ascii="宋体" w:hAnsi="宋体" w:cs="宋体" w:eastAsia="宋体" w:hint="default"/>
                <w:sz w:val="18"/>
                <w:szCs w:val="18"/>
              </w:rPr>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120052953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5"/>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20"/>
                <w:sz w:val="18"/>
                <w:szCs w:val="18"/>
              </w:rPr>
              <w:t> </w:t>
            </w:r>
            <w:r>
              <w:rPr>
                <w:rFonts w:ascii="宋体" w:hAnsi="宋体" w:cs="宋体" w:eastAsia="宋体" w:hint="default"/>
                <w:sz w:val="18"/>
                <w:szCs w:val="18"/>
              </w:rPr>
              <w:t>南</w:t>
            </w:r>
            <w:r>
              <w:rPr>
                <w:rFonts w:ascii="宋体" w:hAnsi="宋体" w:cs="宋体" w:eastAsia="宋体" w:hint="default"/>
                <w:spacing w:val="-20"/>
                <w:sz w:val="18"/>
                <w:szCs w:val="18"/>
              </w:rPr>
              <w:t> </w:t>
            </w:r>
            <w:r>
              <w:rPr>
                <w:rFonts w:ascii="宋体" w:hAnsi="宋体" w:cs="宋体" w:eastAsia="宋体" w:hint="default"/>
                <w:sz w:val="18"/>
                <w:szCs w:val="18"/>
              </w:rPr>
              <w:t>世</w:t>
            </w:r>
            <w:r>
              <w:rPr>
                <w:rFonts w:ascii="宋体" w:hAnsi="宋体" w:cs="宋体" w:eastAsia="宋体" w:hint="default"/>
                <w:spacing w:val="-20"/>
                <w:sz w:val="18"/>
                <w:szCs w:val="18"/>
              </w:rPr>
              <w:t> </w:t>
            </w:r>
            <w:r>
              <w:rPr>
                <w:rFonts w:ascii="宋体" w:hAnsi="宋体" w:cs="宋体" w:eastAsia="宋体" w:hint="default"/>
                <w:sz w:val="18"/>
                <w:szCs w:val="18"/>
              </w:rPr>
              <w:t>纪</w:t>
            </w:r>
            <w:r>
              <w:rPr>
                <w:rFonts w:ascii="宋体" w:hAnsi="宋体" w:cs="宋体" w:eastAsia="宋体" w:hint="default"/>
                <w:spacing w:val="-22"/>
                <w:sz w:val="18"/>
                <w:szCs w:val="18"/>
              </w:rPr>
              <w:t> </w:t>
            </w:r>
            <w:r>
              <w:rPr>
                <w:rFonts w:ascii="宋体" w:hAnsi="宋体" w:cs="宋体" w:eastAsia="宋体" w:hint="default"/>
                <w:sz w:val="18"/>
                <w:szCs w:val="18"/>
              </w:rPr>
              <w:t>城</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幢 </w:t>
            </w:r>
            <w:r>
              <w:rPr>
                <w:rFonts w:ascii="Times New Roman" w:hAnsi="Times New Roman" w:cs="Times New Roman" w:eastAsia="Times New Roman" w:hint="default"/>
                <w:spacing w:val="-9"/>
                <w:sz w:val="18"/>
                <w:szCs w:val="18"/>
              </w:rPr>
              <w:t>B201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B101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101-601</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35-40</w:t>
            </w:r>
            <w:r>
              <w:rPr>
                <w:rFonts w:ascii="宋体" w:hAnsi="宋体" w:cs="宋体" w:eastAsia="宋体" w:hint="default"/>
                <w:sz w:val="18"/>
                <w:szCs w:val="18"/>
              </w:rPr>
              <w:t>、</w:t>
            </w:r>
            <w:r>
              <w:rPr>
                <w:rFonts w:ascii="Times New Roman" w:hAnsi="Times New Roman" w:cs="Times New Roman" w:eastAsia="Times New Roman" w:hint="default"/>
                <w:sz w:val="18"/>
                <w:szCs w:val="18"/>
              </w:rPr>
              <w:t>42-57</w:t>
            </w:r>
            <w:r>
              <w:rPr>
                <w:rFonts w:ascii="宋体" w:hAnsi="宋体" w:cs="宋体" w:eastAsia="宋体" w:hint="default"/>
                <w:sz w:val="18"/>
                <w:szCs w:val="18"/>
              </w:rPr>
              <w:t>层</w:t>
            </w:r>
          </w:p>
        </w:tc>
        <w:tc>
          <w:tcPr>
            <w:tcW w:w="1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07" w:right="0"/>
              <w:jc w:val="left"/>
              <w:rPr>
                <w:rFonts w:ascii="Times New Roman" w:hAnsi="Times New Roman" w:cs="Times New Roman" w:eastAsia="Times New Roman" w:hint="default"/>
                <w:sz w:val="18"/>
                <w:szCs w:val="18"/>
              </w:rPr>
            </w:pPr>
            <w:r>
              <w:rPr>
                <w:rFonts w:ascii="Times New Roman"/>
                <w:sz w:val="18"/>
              </w:rPr>
              <w:t>65,009.71</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01102612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Times New Roman" w:hAnsi="Times New Roman" w:cs="Times New Roman" w:eastAsia="Times New Roman" w:hint="default"/>
                <w:sz w:val="18"/>
                <w:szCs w:val="18"/>
              </w:rPr>
            </w:pPr>
            <w:r>
              <w:rPr>
                <w:rFonts w:ascii="Times New Roman"/>
                <w:sz w:val="18"/>
              </w:rPr>
              <w:t>4,795.26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259" w:right="0"/>
              <w:jc w:val="left"/>
              <w:rPr>
                <w:rFonts w:ascii="Times New Roman" w:hAnsi="Times New Roman" w:cs="Times New Roman" w:eastAsia="Times New Roman" w:hint="default"/>
                <w:sz w:val="18"/>
                <w:szCs w:val="18"/>
              </w:rPr>
            </w:pPr>
            <w:r>
              <w:rPr>
                <w:rFonts w:ascii="Times New Roman"/>
                <w:sz w:val="18"/>
              </w:rPr>
              <w:t>87,120.13</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13,493.26</w:t>
            </w:r>
          </w:p>
        </w:tc>
      </w:tr>
      <w:tr>
        <w:trPr>
          <w:trHeight w:val="73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120058567</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B101</w:t>
            </w:r>
            <w:r>
              <w:rPr>
                <w:rFonts w:ascii="宋体" w:hAnsi="宋体" w:cs="宋体" w:eastAsia="宋体" w:hint="default"/>
                <w:sz w:val="18"/>
                <w:szCs w:val="18"/>
              </w:rPr>
              <w:t>室</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2" w:right="0"/>
              <w:jc w:val="left"/>
              <w:rPr>
                <w:rFonts w:ascii="Times New Roman" w:hAnsi="Times New Roman" w:cs="Times New Roman" w:eastAsia="Times New Roman" w:hint="default"/>
                <w:sz w:val="18"/>
                <w:szCs w:val="18"/>
              </w:rPr>
            </w:pPr>
            <w:r>
              <w:rPr>
                <w:rFonts w:ascii="Times New Roman"/>
                <w:sz w:val="18"/>
              </w:rPr>
              <w:t>26,083.87</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01102615</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201</w:t>
            </w:r>
            <w:r>
              <w:rPr>
                <w:rFonts w:ascii="宋体" w:hAnsi="宋体" w:cs="宋体" w:eastAsia="宋体" w:hint="default"/>
                <w:sz w:val="18"/>
                <w:szCs w:val="18"/>
              </w:rPr>
              <w:t>室</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1" w:right="0"/>
              <w:jc w:val="left"/>
              <w:rPr>
                <w:rFonts w:ascii="Times New Roman" w:hAnsi="Times New Roman" w:cs="Times New Roman" w:eastAsia="Times New Roman" w:hint="default"/>
                <w:sz w:val="18"/>
                <w:szCs w:val="18"/>
              </w:rPr>
            </w:pPr>
            <w:r>
              <w:rPr>
                <w:rFonts w:ascii="Times New Roman"/>
                <w:sz w:val="18"/>
              </w:rPr>
              <w:t>1,726.13</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3"/>
              <w:ind w:left="259" w:right="0"/>
              <w:jc w:val="left"/>
              <w:rPr>
                <w:rFonts w:ascii="Times New Roman" w:hAnsi="Times New Roman" w:cs="Times New Roman" w:eastAsia="Times New Roman" w:hint="default"/>
                <w:sz w:val="18"/>
                <w:szCs w:val="18"/>
              </w:rPr>
            </w:pPr>
            <w:r>
              <w:rPr>
                <w:rFonts w:ascii="Times New Roman"/>
                <w:sz w:val="18"/>
              </w:rPr>
              <w:t>43,270.00</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307" w:right="0"/>
              <w:jc w:val="left"/>
              <w:rPr>
                <w:rFonts w:ascii="Times New Roman" w:hAnsi="Times New Roman" w:cs="Times New Roman" w:eastAsia="Times New Roman" w:hint="default"/>
                <w:sz w:val="18"/>
                <w:szCs w:val="18"/>
              </w:rPr>
            </w:pPr>
            <w:r>
              <w:rPr>
                <w:rFonts w:ascii="Times New Roman"/>
                <w:sz w:val="18"/>
              </w:rPr>
              <w:t>7,028.94</w:t>
            </w: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120058562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201</w:t>
            </w:r>
            <w:r>
              <w:rPr>
                <w:rFonts w:ascii="宋体" w:hAnsi="宋体" w:cs="宋体" w:eastAsia="宋体" w:hint="default"/>
                <w:sz w:val="18"/>
                <w:szCs w:val="18"/>
              </w:rPr>
              <w:t>室</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1" w:right="0"/>
              <w:jc w:val="left"/>
              <w:rPr>
                <w:rFonts w:ascii="Times New Roman" w:hAnsi="Times New Roman" w:cs="Times New Roman" w:eastAsia="Times New Roman" w:hint="default"/>
                <w:sz w:val="18"/>
                <w:szCs w:val="18"/>
              </w:rPr>
            </w:pPr>
            <w:r>
              <w:rPr>
                <w:rFonts w:ascii="Times New Roman"/>
                <w:sz w:val="18"/>
              </w:rPr>
              <w:t>9,389.29</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5"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01102614</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102</w:t>
            </w:r>
            <w:r>
              <w:rPr>
                <w:rFonts w:ascii="宋体" w:hAnsi="宋体" w:cs="宋体" w:eastAsia="宋体" w:hint="default"/>
                <w:sz w:val="18"/>
                <w:szCs w:val="18"/>
              </w:rPr>
              <w:t>室</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8" w:right="0"/>
              <w:jc w:val="left"/>
              <w:rPr>
                <w:rFonts w:ascii="Times New Roman" w:hAnsi="Times New Roman" w:cs="Times New Roman" w:eastAsia="Times New Roman" w:hint="default"/>
                <w:sz w:val="18"/>
                <w:szCs w:val="18"/>
              </w:rPr>
            </w:pPr>
            <w:r>
              <w:rPr>
                <w:rFonts w:ascii="Times New Roman"/>
                <w:sz w:val="18"/>
              </w:rPr>
              <w:t>771.83</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120058566</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102</w:t>
            </w:r>
            <w:r>
              <w:rPr>
                <w:rFonts w:ascii="宋体" w:hAnsi="宋体" w:cs="宋体" w:eastAsia="宋体" w:hint="default"/>
                <w:sz w:val="18"/>
                <w:szCs w:val="18"/>
              </w:rPr>
              <w:t>室</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Times New Roman" w:hAnsi="Times New Roman" w:cs="Times New Roman" w:eastAsia="Times New Roman" w:hint="default"/>
                <w:sz w:val="18"/>
                <w:szCs w:val="18"/>
              </w:rPr>
            </w:pPr>
            <w:r>
              <w:rPr>
                <w:rFonts w:ascii="Times New Roman"/>
                <w:sz w:val="18"/>
              </w:rPr>
              <w:t>4,198.37</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0110036</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316" w:lineRule="auto" w:before="58"/>
              <w:ind w:left="4" w:right="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南通市新区中央商务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CR0504-A(A-03A</w:t>
            </w:r>
          </w:p>
          <w:p>
            <w:pPr>
              <w:pStyle w:val="TableParagraph"/>
              <w:spacing w:line="248" w:lineRule="exact"/>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地块</w:t>
            </w:r>
            <w:r>
              <w:rPr>
                <w:rFonts w:ascii="Times New Roman" w:hAnsi="Times New Roman" w:cs="Times New Roman" w:eastAsia="Times New Roman" w:hint="default"/>
                <w:sz w:val="18"/>
                <w:szCs w:val="18"/>
              </w:rPr>
              <w:t>)</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2" w:right="0"/>
              <w:jc w:val="left"/>
              <w:rPr>
                <w:rFonts w:ascii="Times New Roman" w:hAnsi="Times New Roman" w:cs="Times New Roman" w:eastAsia="Times New Roman" w:hint="default"/>
                <w:sz w:val="18"/>
                <w:szCs w:val="18"/>
              </w:rPr>
            </w:pPr>
            <w:r>
              <w:rPr>
                <w:rFonts w:ascii="Times New Roman"/>
                <w:sz w:val="18"/>
              </w:rPr>
              <w:t>42,884.70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115,076.56</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15,530.15</w:t>
            </w:r>
          </w:p>
        </w:tc>
      </w:tr>
      <w:tr>
        <w:trPr>
          <w:trHeight w:val="420"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17"/>
              <w:jc w:val="left"/>
              <w:rPr>
                <w:rFonts w:ascii="宋体" w:hAnsi="宋体" w:cs="宋体" w:eastAsia="宋体" w:hint="default"/>
                <w:sz w:val="18"/>
                <w:szCs w:val="18"/>
              </w:rPr>
            </w:pPr>
            <w:r>
              <w:rPr>
                <w:rFonts w:ascii="宋体" w:hAnsi="宋体" w:cs="宋体" w:eastAsia="宋体" w:hint="default"/>
                <w:sz w:val="18"/>
                <w:szCs w:val="18"/>
              </w:rPr>
              <w:t>房产（在建）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2" w:right="0"/>
              <w:jc w:val="left"/>
              <w:rPr>
                <w:rFonts w:ascii="Times New Roman" w:hAnsi="Times New Roman" w:cs="Times New Roman" w:eastAsia="Times New Roman" w:hint="default"/>
                <w:sz w:val="18"/>
                <w:szCs w:val="18"/>
              </w:rPr>
            </w:pPr>
            <w:r>
              <w:rPr>
                <w:rFonts w:ascii="Times New Roman"/>
                <w:sz w:val="18"/>
              </w:rPr>
              <w:t>96,882.88</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5"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苏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6"/>
              <w:ind w:left="7" w:right="0"/>
              <w:jc w:val="left"/>
              <w:rPr>
                <w:rFonts w:ascii="Times New Roman" w:hAnsi="Times New Roman" w:cs="Times New Roman" w:eastAsia="Times New Roman" w:hint="default"/>
                <w:sz w:val="18"/>
                <w:szCs w:val="18"/>
              </w:rPr>
            </w:pPr>
            <w:r>
              <w:rPr>
                <w:rFonts w:ascii="Times New Roman"/>
                <w:sz w:val="18"/>
              </w:rPr>
              <w:t>110008306</w:t>
            </w:r>
          </w:p>
        </w:tc>
        <w:tc>
          <w:tcPr>
            <w:tcW w:w="1706" w:type="dxa"/>
            <w:vMerge w:val="restart"/>
            <w:tcBorders>
              <w:top w:val="single" w:sz="4" w:space="0" w:color="000000"/>
              <w:left w:val="single" w:sz="4" w:space="0" w:color="000000"/>
              <w:right w:val="single" w:sz="4" w:space="0" w:color="000000"/>
            </w:tcBorders>
          </w:tcPr>
          <w:p>
            <w:pPr>
              <w:pStyle w:val="TableParagraph"/>
              <w:spacing w:line="297" w:lineRule="auto" w:before="61"/>
              <w:ind w:left="4" w:right="2"/>
              <w:jc w:val="left"/>
              <w:rPr>
                <w:rFonts w:ascii="宋体" w:hAnsi="宋体" w:cs="宋体" w:eastAsia="宋体" w:hint="default"/>
                <w:sz w:val="18"/>
                <w:szCs w:val="18"/>
              </w:rPr>
            </w:pPr>
            <w:r>
              <w:rPr>
                <w:rFonts w:ascii="宋体" w:hAnsi="宋体" w:cs="宋体" w:eastAsia="宋体" w:hint="default"/>
                <w:spacing w:val="6"/>
                <w:sz w:val="18"/>
                <w:szCs w:val="18"/>
              </w:rPr>
              <w:t>崇川区中南世纪城</w:t>
            </w:r>
            <w:r>
              <w:rPr>
                <w:rFonts w:ascii="Times New Roman" w:hAnsi="Times New Roman" w:cs="Times New Roman" w:eastAsia="Times New Roman" w:hint="default"/>
                <w:spacing w:val="6"/>
                <w:sz w:val="18"/>
                <w:szCs w:val="18"/>
              </w:rPr>
              <w:t>13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幢</w:t>
            </w:r>
            <w:r>
              <w:rPr>
                <w:rFonts w:ascii="Times New Roman" w:hAnsi="Times New Roman" w:cs="Times New Roman" w:eastAsia="Times New Roman" w:hint="default"/>
                <w:sz w:val="18"/>
                <w:szCs w:val="18"/>
              </w:rPr>
              <w:t>102</w:t>
            </w:r>
            <w:r>
              <w:rPr>
                <w:rFonts w:ascii="宋体" w:hAnsi="宋体" w:cs="宋体" w:eastAsia="宋体" w:hint="default"/>
                <w:sz w:val="18"/>
                <w:szCs w:val="18"/>
              </w:rPr>
              <w:t>室</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108</w:t>
            </w:r>
            <w:r>
              <w:rPr>
                <w:rFonts w:ascii="宋体" w:hAnsi="宋体" w:cs="宋体" w:eastAsia="宋体" w:hint="default"/>
                <w:sz w:val="18"/>
                <w:szCs w:val="18"/>
              </w:rPr>
              <w:t>室</w:t>
            </w:r>
          </w:p>
        </w:tc>
        <w:tc>
          <w:tcPr>
            <w:tcW w:w="1025" w:type="dxa"/>
            <w:gridSpan w:val="2"/>
            <w:vMerge w:val="restart"/>
            <w:tcBorders>
              <w:top w:val="single" w:sz="4" w:space="0" w:color="000000"/>
              <w:left w:val="single" w:sz="4" w:space="0" w:color="000000"/>
              <w:right w:val="single" w:sz="4" w:space="0" w:color="000000"/>
            </w:tcBorders>
          </w:tcPr>
          <w:p>
            <w:pPr>
              <w:pStyle w:val="TableParagraph"/>
              <w:spacing w:line="240" w:lineRule="auto" w:before="103"/>
              <w:ind w:left="381" w:right="0"/>
              <w:jc w:val="left"/>
              <w:rPr>
                <w:rFonts w:ascii="Times New Roman" w:hAnsi="Times New Roman" w:cs="Times New Roman" w:eastAsia="Times New Roman" w:hint="default"/>
                <w:sz w:val="18"/>
                <w:szCs w:val="18"/>
              </w:rPr>
            </w:pPr>
            <w:r>
              <w:rPr>
                <w:rFonts w:ascii="Times New Roman"/>
                <w:sz w:val="18"/>
              </w:rPr>
              <w:t>1,552.56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3"/>
              <w:ind w:left="393" w:right="0"/>
              <w:jc w:val="left"/>
              <w:rPr>
                <w:rFonts w:ascii="Times New Roman" w:hAnsi="Times New Roman" w:cs="Times New Roman" w:eastAsia="Times New Roman" w:hint="default"/>
                <w:sz w:val="18"/>
                <w:szCs w:val="18"/>
              </w:rPr>
            </w:pPr>
            <w:r>
              <w:rPr>
                <w:rFonts w:ascii="Times New Roman"/>
                <w:sz w:val="18"/>
              </w:rPr>
              <w:t>6320.45</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443" w:right="0"/>
              <w:jc w:val="left"/>
              <w:rPr>
                <w:rFonts w:ascii="Times New Roman" w:hAnsi="Times New Roman" w:cs="Times New Roman" w:eastAsia="Times New Roman" w:hint="default"/>
                <w:sz w:val="18"/>
                <w:szCs w:val="18"/>
              </w:rPr>
            </w:pPr>
            <w:r>
              <w:rPr>
                <w:rFonts w:ascii="Times New Roman"/>
                <w:sz w:val="18"/>
              </w:rPr>
              <w:t>835.27</w:t>
            </w:r>
          </w:p>
        </w:tc>
      </w:tr>
      <w:tr>
        <w:trPr>
          <w:trHeight w:val="42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苏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tc>
        <w:tc>
          <w:tcPr>
            <w:tcW w:w="1706" w:type="dxa"/>
            <w:vMerge/>
            <w:tcBorders>
              <w:left w:val="single" w:sz="4" w:space="0" w:color="000000"/>
              <w:bottom w:val="single" w:sz="4" w:space="0" w:color="000000"/>
              <w:right w:val="single" w:sz="4" w:space="0" w:color="000000"/>
            </w:tcBorders>
          </w:tcPr>
          <w:p>
            <w:pPr/>
          </w:p>
        </w:tc>
        <w:tc>
          <w:tcPr>
            <w:tcW w:w="1025" w:type="dxa"/>
            <w:gridSpan w:val="2"/>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234"/>
        <w:gridCol w:w="791"/>
        <w:gridCol w:w="994"/>
        <w:gridCol w:w="950"/>
      </w:tblGrid>
      <w:tr>
        <w:trPr>
          <w:trHeight w:val="382" w:hRule="exact"/>
        </w:trPr>
        <w:tc>
          <w:tcPr>
            <w:tcW w:w="1980" w:type="dxa"/>
            <w:vMerge w:val="restart"/>
            <w:tcBorders>
              <w:top w:val="nil" w:sz="6" w:space="0" w:color="auto"/>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110008307</w:t>
            </w:r>
          </w:p>
        </w:tc>
        <w:tc>
          <w:tcPr>
            <w:tcW w:w="1706" w:type="dxa"/>
            <w:vMerge w:val="restart"/>
            <w:tcBorders>
              <w:top w:val="single" w:sz="4" w:space="0" w:color="000000"/>
              <w:left w:val="single" w:sz="4" w:space="0" w:color="000000"/>
              <w:right w:val="single" w:sz="4" w:space="0" w:color="000000"/>
            </w:tcBorders>
          </w:tcPr>
          <w:p>
            <w:pPr/>
          </w:p>
        </w:tc>
        <w:tc>
          <w:tcPr>
            <w:tcW w:w="1025" w:type="dxa"/>
            <w:gridSpan w:val="2"/>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950" w:type="dxa"/>
            <w:vMerge w:val="restart"/>
            <w:tcBorders>
              <w:top w:val="single" w:sz="4" w:space="0" w:color="000000"/>
              <w:left w:val="single" w:sz="4" w:space="0" w:color="000000"/>
              <w:right w:val="single" w:sz="4" w:space="0" w:color="000000"/>
            </w:tcBorders>
          </w:tcPr>
          <w:p>
            <w:pPr/>
          </w:p>
        </w:tc>
      </w:tr>
      <w:tr>
        <w:trPr>
          <w:trHeight w:val="734"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苏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110008308</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苏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110008309</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苏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110008310</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2"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苏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110008311</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5"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苏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6"/>
              <w:ind w:left="7" w:right="0"/>
              <w:jc w:val="left"/>
              <w:rPr>
                <w:rFonts w:ascii="Times New Roman" w:hAnsi="Times New Roman" w:cs="Times New Roman" w:eastAsia="Times New Roman" w:hint="default"/>
                <w:sz w:val="18"/>
                <w:szCs w:val="18"/>
              </w:rPr>
            </w:pPr>
            <w:r>
              <w:rPr>
                <w:rFonts w:ascii="Times New Roman"/>
                <w:sz w:val="18"/>
              </w:rPr>
              <w:t>110008312</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bottom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101252</w:t>
            </w: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gridSpan w:val="2"/>
            <w:vMerge w:val="restart"/>
            <w:tcBorders>
              <w:top w:val="single" w:sz="4" w:space="0" w:color="000000"/>
              <w:left w:val="single" w:sz="4" w:space="0" w:color="000000"/>
              <w:right w:val="single" w:sz="4" w:space="0" w:color="000000"/>
            </w:tcBorders>
          </w:tcPr>
          <w:p>
            <w:pPr>
              <w:pStyle w:val="TableParagraph"/>
              <w:spacing w:line="240" w:lineRule="auto" w:before="103"/>
              <w:ind w:left="518" w:right="0"/>
              <w:jc w:val="left"/>
              <w:rPr>
                <w:rFonts w:ascii="Times New Roman" w:hAnsi="Times New Roman" w:cs="Times New Roman" w:eastAsia="Times New Roman" w:hint="default"/>
                <w:sz w:val="18"/>
                <w:szCs w:val="18"/>
              </w:rPr>
            </w:pPr>
            <w:r>
              <w:rPr>
                <w:rFonts w:ascii="Times New Roman"/>
                <w:sz w:val="18"/>
              </w:rPr>
              <w:t>858.07</w:t>
            </w:r>
          </w:p>
        </w:tc>
        <w:tc>
          <w:tcPr>
            <w:tcW w:w="994" w:type="dxa"/>
            <w:vMerge/>
            <w:tcBorders>
              <w:left w:val="single" w:sz="4" w:space="0" w:color="000000"/>
              <w:right w:val="single" w:sz="4" w:space="0" w:color="000000"/>
            </w:tcBorders>
          </w:tcPr>
          <w:p>
            <w:pP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443" w:right="0"/>
              <w:jc w:val="left"/>
              <w:rPr>
                <w:rFonts w:ascii="Times New Roman" w:hAnsi="Times New Roman" w:cs="Times New Roman" w:eastAsia="Times New Roman" w:hint="default"/>
                <w:sz w:val="18"/>
                <w:szCs w:val="18"/>
              </w:rPr>
            </w:pPr>
            <w:r>
              <w:rPr>
                <w:rFonts w:ascii="Times New Roman"/>
                <w:sz w:val="18"/>
              </w:rPr>
              <w:t>310.74</w:t>
            </w:r>
          </w:p>
        </w:tc>
      </w:tr>
      <w:tr>
        <w:trPr>
          <w:trHeight w:val="734"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101253</w:t>
            </w: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101254</w:t>
            </w: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5"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101255</w:t>
            </w: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2"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101256</w:t>
            </w: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nil" w:sz="6" w:space="0" w:color="auto"/>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101257</w:t>
            </w: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1025"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nil" w:sz="6" w:space="0" w:color="auto"/>
              <w:bottom w:val="single" w:sz="4" w:space="0" w:color="000000"/>
              <w:right w:val="nil" w:sz="6" w:space="0" w:color="auto"/>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101258</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gridSpan w:val="2"/>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1671"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南通中南世纪花城投资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120027381   </w:t>
            </w:r>
            <w:r>
              <w:rPr>
                <w:rFonts w:ascii="宋体" w:hAnsi="宋体" w:cs="宋体" w:eastAsia="宋体" w:hint="default"/>
                <w:sz w:val="18"/>
                <w:szCs w:val="18"/>
              </w:rPr>
              <w:t>号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120027405   </w:t>
            </w:r>
            <w:r>
              <w:rPr>
                <w:rFonts w:ascii="宋体" w:hAnsi="宋体" w:cs="宋体" w:eastAsia="宋体" w:hint="default"/>
                <w:sz w:val="18"/>
                <w:szCs w:val="18"/>
              </w:rPr>
              <w:t>号  、</w:t>
            </w:r>
            <w:r>
              <w:rPr>
                <w:rFonts w:ascii="宋体" w:hAnsi="宋体" w:cs="宋体" w:eastAsia="宋体" w:hint="default"/>
                <w:spacing w:val="63"/>
                <w:sz w:val="18"/>
                <w:szCs w:val="18"/>
              </w:rPr>
              <w:t> </w:t>
            </w:r>
            <w:r>
              <w:rPr>
                <w:rFonts w:ascii="宋体" w:hAnsi="宋体" w:cs="宋体" w:eastAsia="宋体" w:hint="default"/>
                <w:sz w:val="18"/>
                <w:szCs w:val="18"/>
              </w:rPr>
              <w:t>第</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120027410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120027438</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中南世纪花城</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附</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幢</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101</w:t>
            </w:r>
            <w:r>
              <w:rPr>
                <w:rFonts w:ascii="宋体" w:hAnsi="宋体" w:cs="宋体" w:eastAsia="宋体" w:hint="default"/>
                <w:spacing w:val="2"/>
                <w:sz w:val="18"/>
                <w:szCs w:val="18"/>
              </w:rPr>
              <w:t>室</w:t>
            </w:r>
            <w:r>
              <w:rPr>
                <w:rFonts w:ascii="Times New Roman" w:hAnsi="Times New Roman" w:cs="Times New Roman" w:eastAsia="Times New Roman" w:hint="default"/>
                <w:spacing w:val="2"/>
                <w:sz w:val="18"/>
                <w:szCs w:val="18"/>
              </w:rPr>
              <w:t>-109</w:t>
            </w:r>
            <w:r>
              <w:rPr>
                <w:rFonts w:ascii="宋体" w:hAnsi="宋体" w:cs="宋体" w:eastAsia="宋体" w:hint="default"/>
                <w:spacing w:val="2"/>
                <w:sz w:val="18"/>
                <w:szCs w:val="18"/>
              </w:rPr>
              <w:t>室、</w:t>
            </w:r>
            <w:r>
              <w:rPr>
                <w:rFonts w:ascii="Times New Roman" w:hAnsi="Times New Roman" w:cs="Times New Roman" w:eastAsia="Times New Roman" w:hint="default"/>
                <w:spacing w:val="2"/>
                <w:sz w:val="18"/>
                <w:szCs w:val="18"/>
              </w:rPr>
              <w:t>111</w:t>
            </w:r>
            <w:r>
              <w:rPr>
                <w:rFonts w:ascii="宋体" w:hAnsi="宋体" w:cs="宋体" w:eastAsia="宋体" w:hint="default"/>
                <w:spacing w:val="2"/>
                <w:sz w:val="18"/>
                <w:szCs w:val="18"/>
              </w:rPr>
              <w:t>室</w:t>
            </w:r>
            <w:r>
              <w:rPr>
                <w:rFonts w:ascii="Times New Roman" w:hAnsi="Times New Roman" w:cs="Times New Roman" w:eastAsia="Times New Roman" w:hint="default"/>
                <w:spacing w:val="2"/>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118</w:t>
            </w:r>
            <w:r>
              <w:rPr>
                <w:rFonts w:ascii="宋体" w:hAnsi="宋体" w:cs="宋体" w:eastAsia="宋体" w:hint="default"/>
                <w:spacing w:val="-3"/>
                <w:sz w:val="18"/>
                <w:szCs w:val="18"/>
              </w:rPr>
              <w:t>室、</w:t>
            </w:r>
            <w:r>
              <w:rPr>
                <w:rFonts w:ascii="Times New Roman" w:hAnsi="Times New Roman" w:cs="Times New Roman" w:eastAsia="Times New Roman" w:hint="default"/>
                <w:spacing w:val="-3"/>
                <w:sz w:val="18"/>
                <w:szCs w:val="18"/>
              </w:rPr>
              <w:t>201</w:t>
            </w:r>
            <w:r>
              <w:rPr>
                <w:rFonts w:ascii="宋体" w:hAnsi="宋体" w:cs="宋体" w:eastAsia="宋体" w:hint="default"/>
                <w:spacing w:val="-3"/>
                <w:sz w:val="18"/>
                <w:szCs w:val="18"/>
              </w:rPr>
              <w:t>室</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209</w:t>
            </w:r>
            <w:r>
              <w:rPr>
                <w:rFonts w:ascii="宋体" w:hAnsi="宋体" w:cs="宋体" w:eastAsia="宋体" w:hint="default"/>
                <w:sz w:val="18"/>
                <w:szCs w:val="18"/>
              </w:rPr>
              <w:t>室</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w:t>
            </w:r>
            <w:r>
              <w:rPr>
                <w:rFonts w:ascii="宋体" w:hAnsi="宋体" w:cs="宋体" w:eastAsia="宋体" w:hint="default"/>
                <w:sz w:val="18"/>
                <w:szCs w:val="18"/>
              </w:rPr>
              <w:t>室</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sz w:val="18"/>
                <w:szCs w:val="18"/>
              </w:rPr>
              <w:t>216</w:t>
            </w:r>
            <w:r>
              <w:rPr>
                <w:rFonts w:ascii="宋体" w:hAnsi="宋体" w:cs="宋体" w:eastAsia="宋体" w:hint="default"/>
                <w:spacing w:val="-4"/>
                <w:sz w:val="18"/>
                <w:szCs w:val="18"/>
              </w:rPr>
              <w:t>室、</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附</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幢</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101</w:t>
            </w:r>
            <w:r>
              <w:rPr>
                <w:rFonts w:ascii="宋体" w:hAnsi="宋体" w:cs="宋体" w:eastAsia="宋体" w:hint="default"/>
                <w:spacing w:val="2"/>
                <w:sz w:val="18"/>
                <w:szCs w:val="18"/>
              </w:rPr>
              <w:t>室</w:t>
            </w:r>
            <w:r>
              <w:rPr>
                <w:rFonts w:ascii="Times New Roman" w:hAnsi="Times New Roman" w:cs="Times New Roman" w:eastAsia="Times New Roman" w:hint="default"/>
                <w:spacing w:val="2"/>
                <w:sz w:val="18"/>
                <w:szCs w:val="18"/>
              </w:rPr>
              <w:t>-104</w:t>
            </w:r>
            <w:r>
              <w:rPr>
                <w:rFonts w:ascii="宋体" w:hAnsi="宋体" w:cs="宋体" w:eastAsia="宋体" w:hint="default"/>
                <w:spacing w:val="2"/>
                <w:sz w:val="18"/>
                <w:szCs w:val="18"/>
              </w:rPr>
              <w:t>室、</w:t>
            </w:r>
            <w:r>
              <w:rPr>
                <w:rFonts w:ascii="Times New Roman" w:hAnsi="Times New Roman" w:cs="Times New Roman" w:eastAsia="Times New Roman" w:hint="default"/>
                <w:spacing w:val="2"/>
                <w:sz w:val="18"/>
                <w:szCs w:val="18"/>
              </w:rPr>
              <w:t>107</w:t>
            </w:r>
            <w:r>
              <w:rPr>
                <w:rFonts w:ascii="宋体" w:hAnsi="宋体" w:cs="宋体" w:eastAsia="宋体" w:hint="default"/>
                <w:spacing w:val="2"/>
                <w:sz w:val="18"/>
                <w:szCs w:val="18"/>
              </w:rPr>
              <w:t>室</w:t>
            </w:r>
            <w:r>
              <w:rPr>
                <w:rFonts w:ascii="Times New Roman" w:hAnsi="Times New Roman" w:cs="Times New Roman" w:eastAsia="Times New Roman" w:hint="default"/>
                <w:spacing w:val="2"/>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115</w:t>
            </w:r>
            <w:r>
              <w:rPr>
                <w:rFonts w:ascii="宋体" w:hAnsi="宋体" w:cs="宋体" w:eastAsia="宋体" w:hint="default"/>
                <w:spacing w:val="-3"/>
                <w:sz w:val="18"/>
                <w:szCs w:val="18"/>
              </w:rPr>
              <w:t>室、</w:t>
            </w:r>
            <w:r>
              <w:rPr>
                <w:rFonts w:ascii="Times New Roman" w:hAnsi="Times New Roman" w:cs="Times New Roman" w:eastAsia="Times New Roman" w:hint="default"/>
                <w:spacing w:val="-3"/>
                <w:sz w:val="18"/>
                <w:szCs w:val="18"/>
              </w:rPr>
              <w:t>201</w:t>
            </w:r>
            <w:r>
              <w:rPr>
                <w:rFonts w:ascii="宋体" w:hAnsi="宋体" w:cs="宋体" w:eastAsia="宋体" w:hint="default"/>
                <w:spacing w:val="-3"/>
                <w:sz w:val="18"/>
                <w:szCs w:val="18"/>
              </w:rPr>
              <w:t>室</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204</w:t>
            </w:r>
            <w:r>
              <w:rPr>
                <w:rFonts w:ascii="宋体" w:hAnsi="宋体" w:cs="宋体" w:eastAsia="宋体" w:hint="default"/>
                <w:sz w:val="18"/>
                <w:szCs w:val="18"/>
              </w:rPr>
              <w:t>室</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207</w:t>
            </w:r>
            <w:r>
              <w:rPr>
                <w:rFonts w:ascii="宋体" w:hAnsi="宋体" w:cs="宋体" w:eastAsia="宋体" w:hint="default"/>
                <w:sz w:val="18"/>
                <w:szCs w:val="18"/>
              </w:rPr>
              <w:t>室</w:t>
            </w:r>
            <w:r>
              <w:rPr>
                <w:rFonts w:ascii="Times New Roman" w:hAnsi="Times New Roman" w:cs="Times New Roman" w:eastAsia="Times New Roman" w:hint="default"/>
                <w:sz w:val="18"/>
                <w:szCs w:val="18"/>
              </w:rPr>
              <w:t>- 214</w:t>
            </w:r>
            <w:r>
              <w:rPr>
                <w:rFonts w:ascii="宋体" w:hAnsi="宋体" w:cs="宋体" w:eastAsia="宋体" w:hint="default"/>
                <w:sz w:val="18"/>
                <w:szCs w:val="18"/>
              </w:rPr>
              <w:t>室</w:t>
            </w:r>
          </w:p>
        </w:tc>
        <w:tc>
          <w:tcPr>
            <w:tcW w:w="2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6,275.15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304" w:right="0"/>
              <w:jc w:val="left"/>
              <w:rPr>
                <w:rFonts w:ascii="Times New Roman" w:hAnsi="Times New Roman" w:cs="Times New Roman" w:eastAsia="Times New Roman" w:hint="default"/>
                <w:sz w:val="18"/>
                <w:szCs w:val="18"/>
              </w:rPr>
            </w:pPr>
            <w:r>
              <w:rPr>
                <w:rFonts w:ascii="Times New Roman"/>
                <w:sz w:val="18"/>
              </w:rPr>
              <w:t>18431.92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2" w:right="0"/>
              <w:jc w:val="left"/>
              <w:rPr>
                <w:rFonts w:ascii="Times New Roman" w:hAnsi="Times New Roman" w:cs="Times New Roman" w:eastAsia="Times New Roman" w:hint="default"/>
                <w:sz w:val="18"/>
                <w:szCs w:val="18"/>
              </w:rPr>
            </w:pPr>
            <w:r>
              <w:rPr>
                <w:rFonts w:ascii="Times New Roman"/>
                <w:sz w:val="18"/>
              </w:rPr>
              <w:t>2078.19</w:t>
            </w:r>
          </w:p>
        </w:tc>
      </w:tr>
      <w:tr>
        <w:trPr>
          <w:trHeight w:val="1397" w:hRule="exact"/>
        </w:trPr>
        <w:tc>
          <w:tcPr>
            <w:tcW w:w="1980" w:type="dxa"/>
            <w:vMerge/>
            <w:tcBorders>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01100958</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Times New Roman" w:hAnsi="Times New Roman" w:cs="Times New Roman" w:eastAsia="Times New Roman" w:hint="default"/>
                <w:sz w:val="18"/>
                <w:szCs w:val="18"/>
              </w:rPr>
              <w:t>01100997</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vMerge/>
            <w:tcBorders>
              <w:left w:val="single" w:sz="4" w:space="0" w:color="000000"/>
              <w:right w:val="single" w:sz="4" w:space="0" w:color="000000"/>
            </w:tcBorders>
          </w:tcPr>
          <w:p>
            <w:pPr/>
          </w:p>
        </w:tc>
        <w:tc>
          <w:tcPr>
            <w:tcW w:w="234" w:type="dxa"/>
            <w:tcBorders>
              <w:top w:val="single" w:sz="4" w:space="0" w:color="000000"/>
              <w:left w:val="single" w:sz="4" w:space="0" w:color="000000"/>
              <w:bottom w:val="nil" w:sz="6" w:space="0" w:color="auto"/>
              <w:right w:val="nil" w:sz="6" w:space="0" w:color="auto"/>
            </w:tcBorders>
          </w:tcPr>
          <w:p>
            <w:pPr>
              <w:pStyle w:val="TableParagraph"/>
              <w:spacing w:line="184"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791" w:type="dxa"/>
            <w:tcBorders>
              <w:top w:val="single" w:sz="4" w:space="0" w:color="000000"/>
              <w:left w:val="nil" w:sz="6" w:space="0" w:color="auto"/>
              <w:bottom w:val="nil" w:sz="6" w:space="0" w:color="auto"/>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2745.95</w:t>
            </w:r>
          </w:p>
        </w:tc>
        <w:tc>
          <w:tcPr>
            <w:tcW w:w="994" w:type="dxa"/>
            <w:vMerge/>
            <w:tcBorders>
              <w:left w:val="single" w:sz="4" w:space="0" w:color="000000"/>
              <w:right w:val="single" w:sz="4" w:space="0" w:color="000000"/>
            </w:tcBorders>
          </w:tcPr>
          <w:p>
            <w:pP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443" w:right="0"/>
              <w:jc w:val="left"/>
              <w:rPr>
                <w:rFonts w:ascii="Times New Roman" w:hAnsi="Times New Roman" w:cs="Times New Roman" w:eastAsia="Times New Roman" w:hint="default"/>
                <w:sz w:val="18"/>
                <w:szCs w:val="18"/>
              </w:rPr>
            </w:pPr>
            <w:r>
              <w:rPr>
                <w:rFonts w:ascii="Times New Roman"/>
                <w:sz w:val="18"/>
              </w:rPr>
              <w:t>257.02</w:t>
            </w:r>
          </w:p>
        </w:tc>
      </w:tr>
      <w:tr>
        <w:trPr>
          <w:trHeight w:val="1359" w:hRule="exact"/>
        </w:trPr>
        <w:tc>
          <w:tcPr>
            <w:tcW w:w="19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7" w:right="0"/>
              <w:jc w:val="both"/>
              <w:rPr>
                <w:rFonts w:ascii="宋体" w:hAnsi="宋体" w:cs="宋体" w:eastAsia="宋体" w:hint="default"/>
                <w:sz w:val="18"/>
                <w:szCs w:val="18"/>
              </w:rPr>
            </w:pPr>
            <w:r>
              <w:rPr>
                <w:rFonts w:ascii="宋体" w:hAnsi="宋体" w:cs="宋体" w:eastAsia="宋体" w:hint="default"/>
                <w:spacing w:val="66"/>
                <w:sz w:val="18"/>
                <w:szCs w:val="18"/>
              </w:rPr>
              <w:t>苏通国用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第 </w:t>
            </w:r>
            <w:r>
              <w:rPr>
                <w:rFonts w:ascii="Times New Roman" w:hAnsi="Times New Roman" w:cs="Times New Roman" w:eastAsia="Times New Roman" w:hint="default"/>
                <w:sz w:val="18"/>
                <w:szCs w:val="18"/>
              </w:rPr>
              <w:t>01101000</w:t>
            </w:r>
            <w:r>
              <w:rPr>
                <w:rFonts w:ascii="宋体" w:hAnsi="宋体" w:cs="宋体" w:eastAsia="宋体" w:hint="default"/>
                <w:sz w:val="18"/>
                <w:szCs w:val="18"/>
              </w:rPr>
              <w:t>号、苏通国用</w:t>
            </w:r>
            <w:r>
              <w:rPr>
                <w:rFonts w:ascii="宋体" w:hAnsi="宋体" w:cs="宋体" w:eastAsia="宋体" w:hint="default"/>
                <w:spacing w:val="-7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第</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01101003</w:t>
            </w:r>
            <w:r>
              <w:rPr>
                <w:rFonts w:ascii="Times New Roman" w:hAnsi="Times New Roman" w:cs="Times New Roman" w:eastAsia="Times New Roman" w:hint="default"/>
                <w:spacing w:val="-24"/>
                <w:sz w:val="18"/>
                <w:szCs w:val="18"/>
              </w:rPr>
              <w:t> </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01101015</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234" w:type="dxa"/>
            <w:tcBorders>
              <w:top w:val="single" w:sz="6" w:space="0" w:color="auto"/>
              <w:left w:val="single" w:sz="6" w:space="0" w:color="auto"/>
              <w:bottom w:val="single" w:sz="6" w:space="0" w:color="auto"/>
              <w:right w:val="single" w:sz="6" w:space="0" w:color="auto"/>
            </w:tcBorders>
          </w:tcPr>
          <w:p>
            <w:pPr/>
          </w:p>
        </w:tc>
        <w:tc>
          <w:tcPr>
            <w:tcW w:w="791" w:type="dxa"/>
            <w:tcBorders>
              <w:top w:val="single" w:sz="6" w:space="0" w:color="auto"/>
              <w:left w:val="single" w:sz="6" w:space="0" w:color="auto"/>
              <w:bottom w:val="single" w:sz="6" w:space="0" w:color="auto"/>
              <w:right w:val="single" w:sz="6" w:space="0" w:color="auto"/>
            </w:tcBorders>
          </w:tcPr>
          <w:p>
            <w:pP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382"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01102613</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101</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2,080.93</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259" w:right="0"/>
              <w:jc w:val="left"/>
              <w:rPr>
                <w:rFonts w:ascii="Times New Roman" w:hAnsi="Times New Roman" w:cs="Times New Roman" w:eastAsia="Times New Roman" w:hint="default"/>
                <w:sz w:val="18"/>
                <w:szCs w:val="18"/>
              </w:rPr>
            </w:pPr>
            <w:r>
              <w:rPr>
                <w:rFonts w:ascii="Times New Roman"/>
                <w:sz w:val="18"/>
              </w:rPr>
              <w:t>70,217.00</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5,855.49</w:t>
            </w: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120058565</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101</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11,319.27</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01102616</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202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667.77</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2"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120058563</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202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3,632.36</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5"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01102618</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302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1,061.06</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120058560</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302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5,771.65</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南通中南世纪城花城投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tabs>
                <w:tab w:pos="554" w:val="left" w:leader="none"/>
                <w:tab w:pos="1101" w:val="left" w:leader="none"/>
                <w:tab w:pos="1648" w:val="left" w:leader="none"/>
              </w:tabs>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苏</w:t>
              <w:tab/>
              <w:t>国</w:t>
              <w:tab/>
              <w:t>通</w:t>
              <w:tab/>
              <w:t>用</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(2009)0110030</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both"/>
              <w:rPr>
                <w:rFonts w:ascii="宋体" w:hAnsi="宋体" w:cs="宋体" w:eastAsia="宋体" w:hint="default"/>
                <w:sz w:val="18"/>
                <w:szCs w:val="18"/>
              </w:rPr>
            </w:pPr>
            <w:r>
              <w:rPr>
                <w:rFonts w:ascii="宋体" w:hAnsi="宋体" w:cs="宋体" w:eastAsia="宋体" w:hint="default"/>
                <w:spacing w:val="6"/>
                <w:sz w:val="18"/>
                <w:szCs w:val="18"/>
              </w:rPr>
              <w:t>崇川路以北、世纪大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道以南南、通富路以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72,940.00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6,827.18</w:t>
            </w:r>
          </w:p>
        </w:tc>
      </w:tr>
      <w:tr>
        <w:trPr>
          <w:trHeight w:val="104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南通中南世纪城花城投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tabs>
                <w:tab w:pos="554" w:val="left" w:leader="none"/>
                <w:tab w:pos="1101" w:val="left" w:leader="none"/>
                <w:tab w:pos="1648" w:val="left" w:leader="none"/>
              </w:tabs>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苏</w:t>
              <w:tab/>
              <w:t>国</w:t>
              <w:tab/>
              <w:t>通</w:t>
              <w:tab/>
              <w:t>用</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(2009)0110030</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both"/>
              <w:rPr>
                <w:rFonts w:ascii="宋体" w:hAnsi="宋体" w:cs="宋体" w:eastAsia="宋体" w:hint="default"/>
                <w:sz w:val="18"/>
                <w:szCs w:val="18"/>
              </w:rPr>
            </w:pPr>
            <w:r>
              <w:rPr>
                <w:rFonts w:ascii="宋体" w:hAnsi="宋体" w:cs="宋体" w:eastAsia="宋体" w:hint="default"/>
                <w:spacing w:val="6"/>
                <w:sz w:val="18"/>
                <w:szCs w:val="18"/>
              </w:rPr>
              <w:t>崇川路以北、世纪大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道以南南、通富路以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29,080.00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35,716.43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4,019.18</w:t>
            </w:r>
          </w:p>
        </w:tc>
      </w:tr>
      <w:tr>
        <w:trPr>
          <w:trHeight w:val="1358"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tabs>
                <w:tab w:pos="1396" w:val="left" w:leader="none"/>
              </w:tabs>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55"/>
                <w:sz w:val="18"/>
                <w:szCs w:val="18"/>
              </w:rPr>
              <w:t>南通房权证</w:t>
              <w:tab/>
            </w:r>
            <w:r>
              <w:rPr>
                <w:rFonts w:ascii="宋体" w:hAnsi="宋体" w:cs="宋体" w:eastAsia="宋体" w:hint="default"/>
                <w:sz w:val="18"/>
                <w:szCs w:val="18"/>
              </w:rPr>
              <w:t>字</w:t>
            </w:r>
            <w:r>
              <w:rPr>
                <w:rFonts w:ascii="宋体" w:hAnsi="宋体" w:cs="宋体" w:eastAsia="宋体" w:hint="default"/>
                <w:spacing w:val="-21"/>
                <w:sz w:val="18"/>
                <w:szCs w:val="18"/>
              </w:rPr>
              <w:t> </w:t>
            </w:r>
            <w:r>
              <w:rPr>
                <w:rFonts w:ascii="宋体" w:hAnsi="宋体" w:cs="宋体" w:eastAsia="宋体" w:hint="default"/>
                <w:sz w:val="18"/>
                <w:szCs w:val="18"/>
              </w:rPr>
              <w:t>第</w:t>
            </w:r>
          </w:p>
          <w:p>
            <w:pPr>
              <w:pStyle w:val="TableParagraph"/>
              <w:spacing w:line="240" w:lineRule="auto" w:before="76"/>
              <w:ind w:left="7"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120052928-120052940</w:t>
            </w:r>
            <w:r>
              <w:rPr>
                <w:rFonts w:ascii="宋体" w:hAnsi="宋体" w:cs="宋体" w:eastAsia="宋体" w:hint="default"/>
                <w:spacing w:val="-2"/>
                <w:sz w:val="18"/>
                <w:szCs w:val="18"/>
              </w:rPr>
              <w:t>、</w:t>
            </w:r>
            <w:r>
              <w:rPr>
                <w:rFonts w:ascii="宋体" w:hAnsi="宋体" w:cs="宋体" w:eastAsia="宋体" w:hint="default"/>
                <w:sz w:val="18"/>
                <w:szCs w:val="18"/>
              </w:rPr>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120052886-120052911</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0"/>
              <w:jc w:val="both"/>
              <w:rPr>
                <w:rFonts w:ascii="宋体" w:hAnsi="宋体" w:cs="宋体" w:eastAsia="宋体" w:hint="default"/>
                <w:sz w:val="18"/>
                <w:szCs w:val="18"/>
              </w:rPr>
            </w:pPr>
            <w:r>
              <w:rPr>
                <w:rFonts w:ascii="宋体" w:hAnsi="宋体" w:cs="宋体" w:eastAsia="宋体" w:hint="default"/>
                <w:spacing w:val="6"/>
                <w:sz w:val="18"/>
                <w:szCs w:val="18"/>
              </w:rPr>
              <w:t>崇川区中南世纪城</w:t>
            </w: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幢 </w:t>
            </w:r>
            <w:r>
              <w:rPr>
                <w:rFonts w:ascii="Times New Roman" w:hAnsi="Times New Roman" w:cs="Times New Roman" w:eastAsia="Times New Roman" w:hint="default"/>
                <w:sz w:val="18"/>
                <w:szCs w:val="18"/>
              </w:rPr>
              <w:t>2918-2930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3001-3029</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2,608.14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348" w:right="0"/>
              <w:jc w:val="left"/>
              <w:rPr>
                <w:rFonts w:ascii="Times New Roman" w:hAnsi="Times New Roman" w:cs="Times New Roman" w:eastAsia="Times New Roman" w:hint="default"/>
                <w:sz w:val="18"/>
                <w:szCs w:val="18"/>
              </w:rPr>
            </w:pPr>
            <w:r>
              <w:rPr>
                <w:rFonts w:ascii="Times New Roman"/>
                <w:sz w:val="18"/>
              </w:rPr>
              <w:t>5,789.33</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2,169.18</w:t>
            </w:r>
          </w:p>
        </w:tc>
      </w:tr>
      <w:tr>
        <w:trPr>
          <w:trHeight w:val="3229"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88"/>
                <w:sz w:val="18"/>
                <w:szCs w:val="18"/>
              </w:rPr>
              <w:t>苏通国</w:t>
            </w:r>
            <w:r>
              <w:rPr>
                <w:rFonts w:ascii="宋体" w:hAnsi="宋体" w:cs="宋体" w:eastAsia="宋体" w:hint="default"/>
                <w:sz w:val="18"/>
                <w:szCs w:val="18"/>
              </w:rPr>
              <w:t>用</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tabs>
                <w:tab w:pos="1648" w:val="left" w:leader="none"/>
              </w:tabs>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01100192</w:t>
              <w:tab/>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01100334-01100357   </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01100359</w:t>
            </w:r>
            <w:r>
              <w:rPr>
                <w:rFonts w:ascii="宋体" w:hAnsi="宋体" w:cs="宋体" w:eastAsia="宋体" w:hint="default"/>
                <w:sz w:val="18"/>
                <w:szCs w:val="18"/>
              </w:rPr>
              <w:t>、</w:t>
            </w:r>
            <w:r>
              <w:rPr>
                <w:rFonts w:ascii="Times New Roman" w:hAnsi="Times New Roman" w:cs="Times New Roman" w:eastAsia="Times New Roman" w:hint="default"/>
                <w:sz w:val="18"/>
                <w:szCs w:val="18"/>
              </w:rPr>
              <w:t>01100360</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01100371</w:t>
            </w:r>
            <w:r>
              <w:rPr>
                <w:rFonts w:ascii="宋体" w:hAnsi="宋体" w:cs="宋体" w:eastAsia="宋体" w:hint="default"/>
                <w:sz w:val="18"/>
                <w:szCs w:val="18"/>
              </w:rPr>
              <w:t>、</w:t>
            </w:r>
            <w:r>
              <w:rPr>
                <w:rFonts w:ascii="Times New Roman" w:hAnsi="Times New Roman" w:cs="Times New Roman" w:eastAsia="Times New Roman" w:hint="default"/>
                <w:sz w:val="18"/>
                <w:szCs w:val="18"/>
              </w:rPr>
              <w:t>01100372</w:t>
            </w:r>
            <w:r>
              <w:rPr>
                <w:rFonts w:ascii="宋体" w:hAnsi="宋体" w:cs="宋体" w:eastAsia="宋体" w:hint="default"/>
                <w:sz w:val="18"/>
                <w:szCs w:val="18"/>
              </w:rPr>
              <w:t>、</w:t>
            </w:r>
          </w:p>
          <w:p>
            <w:pPr>
              <w:pStyle w:val="TableParagraph"/>
              <w:tabs>
                <w:tab w:pos="1648" w:val="left" w:leader="none"/>
              </w:tabs>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01100374</w:t>
              <w:tab/>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01100377-01100379   </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01100381</w:t>
            </w:r>
            <w:r>
              <w:rPr>
                <w:rFonts w:ascii="宋体" w:hAnsi="宋体" w:cs="宋体" w:eastAsia="宋体" w:hint="default"/>
                <w:sz w:val="18"/>
                <w:szCs w:val="18"/>
              </w:rPr>
              <w:t>、</w:t>
            </w:r>
            <w:r>
              <w:rPr>
                <w:rFonts w:ascii="Times New Roman" w:hAnsi="Times New Roman" w:cs="Times New Roman" w:eastAsia="Times New Roman" w:hint="default"/>
                <w:sz w:val="18"/>
                <w:szCs w:val="18"/>
              </w:rPr>
              <w:t>01100384</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01100387</w:t>
            </w:r>
            <w:r>
              <w:rPr>
                <w:rFonts w:ascii="宋体" w:hAnsi="宋体" w:cs="宋体" w:eastAsia="宋体" w:hint="default"/>
                <w:sz w:val="18"/>
                <w:szCs w:val="18"/>
              </w:rPr>
              <w:t>、</w:t>
            </w:r>
            <w:r>
              <w:rPr>
                <w:rFonts w:ascii="Times New Roman" w:hAnsi="Times New Roman" w:cs="Times New Roman" w:eastAsia="Times New Roman" w:hint="default"/>
                <w:sz w:val="18"/>
                <w:szCs w:val="18"/>
              </w:rPr>
              <w:t>01100388</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01100392</w:t>
            </w:r>
            <w:r>
              <w:rPr>
                <w:rFonts w:ascii="宋体" w:hAnsi="宋体" w:cs="宋体" w:eastAsia="宋体" w:hint="default"/>
                <w:sz w:val="18"/>
                <w:szCs w:val="18"/>
              </w:rPr>
              <w:t>、</w:t>
            </w:r>
            <w:r>
              <w:rPr>
                <w:rFonts w:ascii="Times New Roman" w:hAnsi="Times New Roman" w:cs="Times New Roman" w:eastAsia="Times New Roman" w:hint="default"/>
                <w:sz w:val="18"/>
                <w:szCs w:val="18"/>
              </w:rPr>
              <w:t>01100395</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0"/>
              <w:jc w:val="both"/>
              <w:rPr>
                <w:rFonts w:ascii="宋体" w:hAnsi="宋体" w:cs="宋体" w:eastAsia="宋体" w:hint="default"/>
                <w:sz w:val="18"/>
                <w:szCs w:val="18"/>
              </w:rPr>
            </w:pPr>
            <w:r>
              <w:rPr>
                <w:rFonts w:ascii="宋体" w:hAnsi="宋体" w:cs="宋体" w:eastAsia="宋体" w:hint="default"/>
                <w:spacing w:val="6"/>
                <w:sz w:val="18"/>
                <w:szCs w:val="18"/>
              </w:rPr>
              <w:t>崇川区中南世纪城</w:t>
            </w: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幢 </w:t>
            </w:r>
            <w:r>
              <w:rPr>
                <w:rFonts w:ascii="Times New Roman" w:hAnsi="Times New Roman" w:cs="Times New Roman" w:eastAsia="Times New Roman" w:hint="default"/>
                <w:sz w:val="18"/>
                <w:szCs w:val="18"/>
              </w:rPr>
              <w:t>2918-2930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3001-3029</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201.84</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常熟中南御锦城房地产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常国用（</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30640</w:t>
            </w:r>
          </w:p>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虞山镇规划香山南路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以西、昆承南路以南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69,900.00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63,735.68</w:t>
            </w:r>
          </w:p>
        </w:tc>
      </w:tr>
      <w:tr>
        <w:trPr>
          <w:trHeight w:val="1046"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常国用（</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30641</w:t>
            </w:r>
          </w:p>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1"/>
              <w:jc w:val="both"/>
              <w:rPr>
                <w:rFonts w:ascii="宋体" w:hAnsi="宋体" w:cs="宋体" w:eastAsia="宋体" w:hint="default"/>
                <w:sz w:val="18"/>
                <w:szCs w:val="18"/>
              </w:rPr>
            </w:pPr>
            <w:r>
              <w:rPr>
                <w:rFonts w:ascii="宋体" w:hAnsi="宋体" w:cs="宋体" w:eastAsia="宋体" w:hint="default"/>
                <w:sz w:val="18"/>
                <w:szCs w:val="18"/>
              </w:rPr>
              <w:t>虞</w:t>
            </w:r>
            <w:r>
              <w:rPr>
                <w:rFonts w:ascii="宋体" w:hAnsi="宋体" w:cs="宋体" w:eastAsia="宋体" w:hint="default"/>
                <w:spacing w:val="-55"/>
                <w:sz w:val="18"/>
                <w:szCs w:val="18"/>
              </w:rPr>
              <w:t> </w:t>
            </w:r>
            <w:r>
              <w:rPr>
                <w:rFonts w:ascii="宋体" w:hAnsi="宋体" w:cs="宋体" w:eastAsia="宋体" w:hint="default"/>
                <w:sz w:val="18"/>
                <w:szCs w:val="18"/>
              </w:rPr>
              <w:t>山</w:t>
            </w:r>
            <w:r>
              <w:rPr>
                <w:rFonts w:ascii="宋体" w:hAnsi="宋体" w:cs="宋体" w:eastAsia="宋体" w:hint="default"/>
                <w:spacing w:val="-55"/>
                <w:sz w:val="18"/>
                <w:szCs w:val="18"/>
              </w:rPr>
              <w:t> </w:t>
            </w:r>
            <w:r>
              <w:rPr>
                <w:rFonts w:ascii="宋体" w:hAnsi="宋体" w:cs="宋体" w:eastAsia="宋体" w:hint="default"/>
                <w:sz w:val="18"/>
                <w:szCs w:val="18"/>
              </w:rPr>
              <w:t>镇</w:t>
            </w:r>
            <w:r>
              <w:rPr>
                <w:rFonts w:ascii="宋体" w:hAnsi="宋体" w:cs="宋体" w:eastAsia="宋体" w:hint="default"/>
                <w:spacing w:val="-55"/>
                <w:sz w:val="18"/>
                <w:szCs w:val="18"/>
              </w:rPr>
              <w:t> </w:t>
            </w:r>
            <w:r>
              <w:rPr>
                <w:rFonts w:ascii="宋体" w:hAnsi="宋体" w:cs="宋体" w:eastAsia="宋体" w:hint="default"/>
                <w:sz w:val="18"/>
                <w:szCs w:val="18"/>
              </w:rPr>
              <w:t>香</w:t>
            </w:r>
            <w:r>
              <w:rPr>
                <w:rFonts w:ascii="宋体" w:hAnsi="宋体" w:cs="宋体" w:eastAsia="宋体" w:hint="default"/>
                <w:spacing w:val="-55"/>
                <w:sz w:val="18"/>
                <w:szCs w:val="18"/>
              </w:rPr>
              <w:t> </w:t>
            </w:r>
            <w:r>
              <w:rPr>
                <w:rFonts w:ascii="宋体" w:hAnsi="宋体" w:cs="宋体" w:eastAsia="宋体" w:hint="default"/>
                <w:sz w:val="18"/>
                <w:szCs w:val="18"/>
              </w:rPr>
              <w:t>山</w:t>
            </w:r>
            <w:r>
              <w:rPr>
                <w:rFonts w:ascii="宋体" w:hAnsi="宋体" w:cs="宋体" w:eastAsia="宋体" w:hint="default"/>
                <w:spacing w:val="-57"/>
                <w:sz w:val="18"/>
                <w:szCs w:val="18"/>
              </w:rPr>
              <w:t> </w:t>
            </w:r>
            <w:r>
              <w:rPr>
                <w:rFonts w:ascii="宋体" w:hAnsi="宋体" w:cs="宋体" w:eastAsia="宋体" w:hint="default"/>
                <w:sz w:val="18"/>
                <w:szCs w:val="18"/>
              </w:rPr>
              <w:t>南</w:t>
            </w:r>
            <w:r>
              <w:rPr>
                <w:rFonts w:ascii="宋体" w:hAnsi="宋体" w:cs="宋体" w:eastAsia="宋体" w:hint="default"/>
                <w:spacing w:val="-55"/>
                <w:sz w:val="18"/>
                <w:szCs w:val="18"/>
              </w:rPr>
              <w:t> </w:t>
            </w:r>
            <w:r>
              <w:rPr>
                <w:rFonts w:ascii="宋体" w:hAnsi="宋体" w:cs="宋体" w:eastAsia="宋体" w:hint="default"/>
                <w:sz w:val="18"/>
                <w:szCs w:val="18"/>
              </w:rPr>
              <w:t>路</w:t>
            </w:r>
            <w:r>
              <w:rPr>
                <w:rFonts w:ascii="宋体" w:hAnsi="宋体" w:cs="宋体" w:eastAsia="宋体" w:hint="default"/>
                <w:spacing w:val="-55"/>
                <w:sz w:val="18"/>
                <w:szCs w:val="18"/>
              </w:rPr>
              <w:t> </w:t>
            </w:r>
            <w:r>
              <w:rPr>
                <w:rFonts w:ascii="宋体" w:hAnsi="宋体" w:cs="宋体" w:eastAsia="宋体" w:hint="default"/>
                <w:sz w:val="18"/>
                <w:szCs w:val="18"/>
              </w:rPr>
              <w:t>以</w:t>
            </w:r>
            <w:r>
              <w:rPr>
                <w:rFonts w:ascii="宋体" w:hAnsi="宋体" w:cs="宋体" w:eastAsia="宋体" w:hint="default"/>
                <w:sz w:val="18"/>
                <w:szCs w:val="18"/>
              </w:rPr>
              <w:t> </w:t>
            </w:r>
            <w:r>
              <w:rPr>
                <w:rFonts w:ascii="宋体" w:hAnsi="宋体" w:cs="宋体" w:eastAsia="宋体" w:hint="default"/>
                <w:spacing w:val="6"/>
                <w:sz w:val="18"/>
                <w:szCs w:val="18"/>
              </w:rPr>
              <w:t>西、规划昆承南路以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33,323.00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30,384.32</w:t>
            </w:r>
          </w:p>
        </w:tc>
      </w:tr>
      <w:tr>
        <w:trPr>
          <w:trHeight w:val="4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15"/>
                <w:sz w:val="18"/>
                <w:szCs w:val="18"/>
              </w:rPr>
              <w:t>苏州中南世纪城房地产</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江  国  用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松</w:t>
            </w:r>
            <w:r>
              <w:rPr>
                <w:rFonts w:ascii="宋体" w:hAnsi="宋体" w:cs="宋体" w:eastAsia="宋体" w:hint="default"/>
                <w:spacing w:val="-55"/>
                <w:sz w:val="18"/>
                <w:szCs w:val="18"/>
              </w:rPr>
              <w:t> </w:t>
            </w:r>
            <w:r>
              <w:rPr>
                <w:rFonts w:ascii="宋体" w:hAnsi="宋体" w:cs="宋体" w:eastAsia="宋体" w:hint="default"/>
                <w:sz w:val="18"/>
                <w:szCs w:val="18"/>
              </w:rPr>
              <w:t>陵</w:t>
            </w:r>
            <w:r>
              <w:rPr>
                <w:rFonts w:ascii="宋体" w:hAnsi="宋体" w:cs="宋体" w:eastAsia="宋体" w:hint="default"/>
                <w:spacing w:val="-55"/>
                <w:sz w:val="18"/>
                <w:szCs w:val="18"/>
              </w:rPr>
              <w:t> </w:t>
            </w:r>
            <w:r>
              <w:rPr>
                <w:rFonts w:ascii="宋体" w:hAnsi="宋体" w:cs="宋体" w:eastAsia="宋体" w:hint="default"/>
                <w:sz w:val="18"/>
                <w:szCs w:val="18"/>
              </w:rPr>
              <w:t>镇</w:t>
            </w:r>
            <w:r>
              <w:rPr>
                <w:rFonts w:ascii="宋体" w:hAnsi="宋体" w:cs="宋体" w:eastAsia="宋体" w:hint="default"/>
                <w:spacing w:val="-55"/>
                <w:sz w:val="18"/>
                <w:szCs w:val="18"/>
              </w:rPr>
              <w:t> </w:t>
            </w:r>
            <w:r>
              <w:rPr>
                <w:rFonts w:ascii="宋体" w:hAnsi="宋体" w:cs="宋体" w:eastAsia="宋体" w:hint="default"/>
                <w:sz w:val="18"/>
                <w:szCs w:val="18"/>
              </w:rPr>
              <w:t>中</w:t>
            </w:r>
            <w:r>
              <w:rPr>
                <w:rFonts w:ascii="宋体" w:hAnsi="宋体" w:cs="宋体" w:eastAsia="宋体" w:hint="default"/>
                <w:spacing w:val="-55"/>
                <w:sz w:val="18"/>
                <w:szCs w:val="18"/>
              </w:rPr>
              <w:t> </w:t>
            </w:r>
            <w:r>
              <w:rPr>
                <w:rFonts w:ascii="宋体" w:hAnsi="宋体" w:cs="宋体" w:eastAsia="宋体" w:hint="default"/>
                <w:sz w:val="18"/>
                <w:szCs w:val="18"/>
              </w:rPr>
              <w:t>山</w:t>
            </w:r>
            <w:r>
              <w:rPr>
                <w:rFonts w:ascii="宋体" w:hAnsi="宋体" w:cs="宋体" w:eastAsia="宋体" w:hint="default"/>
                <w:spacing w:val="-57"/>
                <w:sz w:val="18"/>
                <w:szCs w:val="18"/>
              </w:rPr>
              <w:t> </w:t>
            </w:r>
            <w:r>
              <w:rPr>
                <w:rFonts w:ascii="宋体" w:hAnsi="宋体" w:cs="宋体" w:eastAsia="宋体" w:hint="default"/>
                <w:sz w:val="18"/>
                <w:szCs w:val="18"/>
              </w:rPr>
              <w:t>南</w:t>
            </w:r>
            <w:r>
              <w:rPr>
                <w:rFonts w:ascii="宋体" w:hAnsi="宋体" w:cs="宋体" w:eastAsia="宋体" w:hint="default"/>
                <w:spacing w:val="-55"/>
                <w:sz w:val="18"/>
                <w:szCs w:val="18"/>
              </w:rPr>
              <w:t> </w:t>
            </w:r>
            <w:r>
              <w:rPr>
                <w:rFonts w:ascii="宋体" w:hAnsi="宋体" w:cs="宋体" w:eastAsia="宋体" w:hint="default"/>
                <w:sz w:val="18"/>
                <w:szCs w:val="18"/>
              </w:rPr>
              <w:t>路</w:t>
            </w:r>
            <w:r>
              <w:rPr>
                <w:rFonts w:ascii="宋体" w:hAnsi="宋体" w:cs="宋体" w:eastAsia="宋体" w:hint="default"/>
                <w:spacing w:val="-55"/>
                <w:sz w:val="18"/>
                <w:szCs w:val="18"/>
              </w:rPr>
              <w:t> </w:t>
            </w:r>
            <w:r>
              <w:rPr>
                <w:rFonts w:ascii="宋体" w:hAnsi="宋体" w:cs="宋体" w:eastAsia="宋体" w:hint="default"/>
                <w:sz w:val="18"/>
                <w:szCs w:val="18"/>
              </w:rPr>
              <w:t>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39,258.20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35,079.00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23,680.55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88"/>
        <w:gridCol w:w="837"/>
        <w:gridCol w:w="994"/>
        <w:gridCol w:w="950"/>
      </w:tblGrid>
      <w:tr>
        <w:trPr>
          <w:trHeight w:val="3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01135010-C</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西、长板路以北</w:t>
            </w: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0"/>
              <w:jc w:val="both"/>
              <w:rPr>
                <w:rFonts w:ascii="宋体" w:hAnsi="宋体" w:cs="宋体" w:eastAsia="宋体" w:hint="default"/>
                <w:sz w:val="18"/>
                <w:szCs w:val="18"/>
              </w:rPr>
            </w:pPr>
            <w:r>
              <w:rPr>
                <w:rFonts w:ascii="宋体" w:hAnsi="宋体" w:cs="宋体" w:eastAsia="宋体" w:hint="default"/>
                <w:sz w:val="18"/>
                <w:szCs w:val="18"/>
              </w:rPr>
              <w:t>所持苏州中南世纪城房</w:t>
            </w:r>
            <w:r>
              <w:rPr>
                <w:rFonts w:ascii="宋体" w:hAnsi="宋体" w:cs="宋体" w:eastAsia="宋体" w:hint="default"/>
                <w:spacing w:val="-71"/>
                <w:sz w:val="18"/>
                <w:szCs w:val="18"/>
              </w:rPr>
              <w:t> </w:t>
            </w:r>
            <w:r>
              <w:rPr>
                <w:rFonts w:ascii="宋体" w:hAnsi="宋体" w:cs="宋体" w:eastAsia="宋体" w:hint="default"/>
                <w:sz w:val="18"/>
                <w:szCs w:val="18"/>
              </w:rPr>
              <w:t>地</w:t>
            </w:r>
            <w:r>
              <w:rPr>
                <w:rFonts w:ascii="宋体" w:hAnsi="宋体" w:cs="宋体" w:eastAsia="宋体" w:hint="default"/>
                <w:spacing w:val="-35"/>
                <w:sz w:val="18"/>
                <w:szCs w:val="18"/>
              </w:rPr>
              <w:t> </w:t>
            </w:r>
            <w:r>
              <w:rPr>
                <w:rFonts w:ascii="宋体" w:hAnsi="宋体" w:cs="宋体" w:eastAsia="宋体" w:hint="default"/>
                <w:sz w:val="18"/>
                <w:szCs w:val="18"/>
              </w:rPr>
              <w:t>产</w:t>
            </w:r>
            <w:r>
              <w:rPr>
                <w:rFonts w:ascii="宋体" w:hAnsi="宋体" w:cs="宋体" w:eastAsia="宋体" w:hint="default"/>
                <w:spacing w:val="-35"/>
                <w:sz w:val="18"/>
                <w:szCs w:val="18"/>
              </w:rPr>
              <w:t> </w:t>
            </w:r>
            <w:r>
              <w:rPr>
                <w:rFonts w:ascii="宋体" w:hAnsi="宋体" w:cs="宋体" w:eastAsia="宋体" w:hint="default"/>
                <w:sz w:val="18"/>
                <w:szCs w:val="18"/>
              </w:rPr>
              <w:t>开</w:t>
            </w:r>
            <w:r>
              <w:rPr>
                <w:rFonts w:ascii="宋体" w:hAnsi="宋体" w:cs="宋体" w:eastAsia="宋体" w:hint="default"/>
                <w:spacing w:val="-35"/>
                <w:sz w:val="18"/>
                <w:szCs w:val="18"/>
              </w:rPr>
              <w:t> </w:t>
            </w:r>
            <w:r>
              <w:rPr>
                <w:rFonts w:ascii="宋体" w:hAnsi="宋体" w:cs="宋体" w:eastAsia="宋体" w:hint="default"/>
                <w:sz w:val="18"/>
                <w:szCs w:val="18"/>
              </w:rPr>
              <w:t>发</w:t>
            </w:r>
            <w:r>
              <w:rPr>
                <w:rFonts w:ascii="宋体" w:hAnsi="宋体" w:cs="宋体" w:eastAsia="宋体" w:hint="default"/>
                <w:spacing w:val="-38"/>
                <w:sz w:val="18"/>
                <w:szCs w:val="18"/>
              </w:rPr>
              <w:t> </w:t>
            </w:r>
            <w:r>
              <w:rPr>
                <w:rFonts w:ascii="宋体" w:hAnsi="宋体" w:cs="宋体" w:eastAsia="宋体" w:hint="default"/>
                <w:sz w:val="18"/>
                <w:szCs w:val="18"/>
              </w:rPr>
              <w:t>有</w:t>
            </w:r>
            <w:r>
              <w:rPr>
                <w:rFonts w:ascii="宋体" w:hAnsi="宋体" w:cs="宋体" w:eastAsia="宋体" w:hint="default"/>
                <w:spacing w:val="-35"/>
                <w:sz w:val="18"/>
                <w:szCs w:val="18"/>
              </w:rPr>
              <w:t> </w:t>
            </w:r>
            <w:r>
              <w:rPr>
                <w:rFonts w:ascii="宋体" w:hAnsi="宋体" w:cs="宋体" w:eastAsia="宋体" w:hint="default"/>
                <w:sz w:val="18"/>
                <w:szCs w:val="18"/>
              </w:rPr>
              <w:t>限</w:t>
            </w:r>
            <w:r>
              <w:rPr>
                <w:rFonts w:ascii="宋体" w:hAnsi="宋体" w:cs="宋体" w:eastAsia="宋体" w:hint="default"/>
                <w:spacing w:val="-38"/>
                <w:sz w:val="18"/>
                <w:szCs w:val="18"/>
              </w:rPr>
              <w:t> </w:t>
            </w:r>
            <w:r>
              <w:rPr>
                <w:rFonts w:ascii="宋体" w:hAnsi="宋体" w:cs="宋体" w:eastAsia="宋体" w:hint="default"/>
                <w:sz w:val="18"/>
                <w:szCs w:val="18"/>
              </w:rPr>
              <w:t>公</w:t>
            </w:r>
            <w:r>
              <w:rPr>
                <w:rFonts w:ascii="宋体" w:hAnsi="宋体" w:cs="宋体" w:eastAsia="宋体" w:hint="default"/>
                <w:spacing w:val="-35"/>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112,463.70</w:t>
            </w: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140036956</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崇川区桃园路</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层</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Times New Roman" w:hAnsi="Times New Roman" w:cs="Times New Roman" w:eastAsia="Times New Roman" w:hint="default"/>
                <w:sz w:val="18"/>
                <w:szCs w:val="18"/>
              </w:rPr>
            </w:pPr>
            <w:r>
              <w:rPr>
                <w:rFonts w:ascii="Times New Roman"/>
                <w:sz w:val="18"/>
              </w:rPr>
              <w:t>7,942.49</w:t>
            </w:r>
          </w:p>
        </w:tc>
        <w:tc>
          <w:tcPr>
            <w:tcW w:w="994" w:type="dxa"/>
            <w:vMerge w:val="restart"/>
            <w:tcBorders>
              <w:top w:val="single" w:sz="4" w:space="0" w:color="000000"/>
              <w:left w:val="single" w:sz="4" w:space="0" w:color="000000"/>
              <w:right w:val="single" w:sz="4" w:space="0" w:color="000000"/>
            </w:tcBorders>
          </w:tcPr>
          <w:p>
            <w:pP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263" w:right="0"/>
              <w:jc w:val="left"/>
              <w:rPr>
                <w:rFonts w:ascii="Times New Roman" w:hAnsi="Times New Roman" w:cs="Times New Roman" w:eastAsia="Times New Roman" w:hint="default"/>
                <w:sz w:val="18"/>
                <w:szCs w:val="18"/>
              </w:rPr>
            </w:pPr>
            <w:r>
              <w:rPr>
                <w:rFonts w:ascii="Times New Roman"/>
                <w:sz w:val="18"/>
              </w:rPr>
              <w:t>14866.32</w:t>
            </w: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01101698</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崇川区桃园路</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层</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8" w:right="0"/>
              <w:jc w:val="left"/>
              <w:rPr>
                <w:rFonts w:ascii="Times New Roman" w:hAnsi="Times New Roman" w:cs="Times New Roman" w:eastAsia="Times New Roman" w:hint="default"/>
                <w:sz w:val="18"/>
                <w:szCs w:val="18"/>
              </w:rPr>
            </w:pPr>
            <w:r>
              <w:rPr>
                <w:rFonts w:ascii="Times New Roman"/>
                <w:sz w:val="18"/>
              </w:rPr>
              <w:t>986.85</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3"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140036955</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崇川区桃园路</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层</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Times New Roman" w:hAnsi="Times New Roman" w:cs="Times New Roman" w:eastAsia="Times New Roman" w:hint="default"/>
                <w:sz w:val="18"/>
                <w:szCs w:val="18"/>
              </w:rPr>
            </w:pPr>
            <w:r>
              <w:rPr>
                <w:rFonts w:ascii="Times New Roman"/>
                <w:sz w:val="18"/>
              </w:rPr>
              <w:t>7,957.64</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01101699</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崇川区桃园路</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w:t>
            </w:r>
          </w:p>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层</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18" w:right="0"/>
              <w:jc w:val="left"/>
              <w:rPr>
                <w:rFonts w:ascii="Times New Roman" w:hAnsi="Times New Roman" w:cs="Times New Roman" w:eastAsia="Times New Roman" w:hint="default"/>
                <w:sz w:val="18"/>
                <w:szCs w:val="18"/>
              </w:rPr>
            </w:pPr>
            <w:r>
              <w:rPr>
                <w:rFonts w:ascii="Times New Roman"/>
                <w:sz w:val="18"/>
              </w:rPr>
              <w:t>988.74</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140036954</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崇川区桃园路</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5</w:t>
            </w:r>
          </w:p>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层</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1" w:right="0"/>
              <w:jc w:val="left"/>
              <w:rPr>
                <w:rFonts w:ascii="Times New Roman" w:hAnsi="Times New Roman" w:cs="Times New Roman" w:eastAsia="Times New Roman" w:hint="default"/>
                <w:sz w:val="18"/>
                <w:szCs w:val="18"/>
              </w:rPr>
            </w:pPr>
            <w:r>
              <w:rPr>
                <w:rFonts w:ascii="Times New Roman"/>
                <w:sz w:val="18"/>
              </w:rPr>
              <w:t>7,767.45</w:t>
            </w:r>
          </w:p>
        </w:tc>
        <w:tc>
          <w:tcPr>
            <w:tcW w:w="994"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01101700</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崇川区桃园路</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层</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8" w:right="0"/>
              <w:jc w:val="left"/>
              <w:rPr>
                <w:rFonts w:ascii="Times New Roman" w:hAnsi="Times New Roman" w:cs="Times New Roman" w:eastAsia="Times New Roman" w:hint="default"/>
                <w:sz w:val="18"/>
                <w:szCs w:val="18"/>
              </w:rPr>
            </w:pPr>
            <w:r>
              <w:rPr>
                <w:rFonts w:ascii="Times New Roman"/>
                <w:sz w:val="18"/>
              </w:rPr>
              <w:t>965.11</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104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both"/>
              <w:rPr>
                <w:rFonts w:ascii="宋体" w:hAnsi="宋体" w:cs="宋体" w:eastAsia="宋体" w:hint="default"/>
                <w:sz w:val="18"/>
                <w:szCs w:val="18"/>
              </w:rPr>
            </w:pPr>
            <w:r>
              <w:rPr>
                <w:rFonts w:ascii="宋体" w:hAnsi="宋体" w:cs="宋体" w:eastAsia="宋体" w:hint="default"/>
                <w:sz w:val="18"/>
                <w:szCs w:val="18"/>
              </w:rPr>
              <w:t>所持盐城中南世纪城房</w:t>
            </w:r>
            <w:r>
              <w:rPr>
                <w:rFonts w:ascii="宋体" w:hAnsi="宋体" w:cs="宋体" w:eastAsia="宋体" w:hint="default"/>
                <w:spacing w:val="-71"/>
                <w:sz w:val="18"/>
                <w:szCs w:val="18"/>
              </w:rPr>
              <w:t> </w:t>
            </w:r>
            <w:r>
              <w:rPr>
                <w:rFonts w:ascii="宋体" w:hAnsi="宋体" w:cs="宋体" w:eastAsia="宋体" w:hint="default"/>
                <w:sz w:val="18"/>
                <w:szCs w:val="18"/>
              </w:rPr>
              <w:t>地</w:t>
            </w:r>
            <w:r>
              <w:rPr>
                <w:rFonts w:ascii="宋体" w:hAnsi="宋体" w:cs="宋体" w:eastAsia="宋体" w:hint="default"/>
                <w:spacing w:val="-35"/>
                <w:sz w:val="18"/>
                <w:szCs w:val="18"/>
              </w:rPr>
              <w:t> </w:t>
            </w:r>
            <w:r>
              <w:rPr>
                <w:rFonts w:ascii="宋体" w:hAnsi="宋体" w:cs="宋体" w:eastAsia="宋体" w:hint="default"/>
                <w:sz w:val="18"/>
                <w:szCs w:val="18"/>
              </w:rPr>
              <w:t>产</w:t>
            </w:r>
            <w:r>
              <w:rPr>
                <w:rFonts w:ascii="宋体" w:hAnsi="宋体" w:cs="宋体" w:eastAsia="宋体" w:hint="default"/>
                <w:spacing w:val="-35"/>
                <w:sz w:val="18"/>
                <w:szCs w:val="18"/>
              </w:rPr>
              <w:t> </w:t>
            </w:r>
            <w:r>
              <w:rPr>
                <w:rFonts w:ascii="宋体" w:hAnsi="宋体" w:cs="宋体" w:eastAsia="宋体" w:hint="default"/>
                <w:sz w:val="18"/>
                <w:szCs w:val="18"/>
              </w:rPr>
              <w:t>投</w:t>
            </w:r>
            <w:r>
              <w:rPr>
                <w:rFonts w:ascii="宋体" w:hAnsi="宋体" w:cs="宋体" w:eastAsia="宋体" w:hint="default"/>
                <w:spacing w:val="-35"/>
                <w:sz w:val="18"/>
                <w:szCs w:val="18"/>
              </w:rPr>
              <w:t> </w:t>
            </w:r>
            <w:r>
              <w:rPr>
                <w:rFonts w:ascii="宋体" w:hAnsi="宋体" w:cs="宋体" w:eastAsia="宋体" w:hint="default"/>
                <w:sz w:val="18"/>
                <w:szCs w:val="18"/>
              </w:rPr>
              <w:t>资</w:t>
            </w:r>
            <w:r>
              <w:rPr>
                <w:rFonts w:ascii="宋体" w:hAnsi="宋体" w:cs="宋体" w:eastAsia="宋体" w:hint="default"/>
                <w:spacing w:val="-38"/>
                <w:sz w:val="18"/>
                <w:szCs w:val="18"/>
              </w:rPr>
              <w:t> </w:t>
            </w:r>
            <w:r>
              <w:rPr>
                <w:rFonts w:ascii="宋体" w:hAnsi="宋体" w:cs="宋体" w:eastAsia="宋体" w:hint="default"/>
                <w:sz w:val="18"/>
                <w:szCs w:val="18"/>
              </w:rPr>
              <w:t>有</w:t>
            </w:r>
            <w:r>
              <w:rPr>
                <w:rFonts w:ascii="宋体" w:hAnsi="宋体" w:cs="宋体" w:eastAsia="宋体" w:hint="default"/>
                <w:spacing w:val="-35"/>
                <w:sz w:val="18"/>
                <w:szCs w:val="18"/>
              </w:rPr>
              <w:t> </w:t>
            </w:r>
            <w:r>
              <w:rPr>
                <w:rFonts w:ascii="宋体" w:hAnsi="宋体" w:cs="宋体" w:eastAsia="宋体" w:hint="default"/>
                <w:sz w:val="18"/>
                <w:szCs w:val="18"/>
              </w:rPr>
              <w:t>限</w:t>
            </w:r>
            <w:r>
              <w:rPr>
                <w:rFonts w:ascii="宋体" w:hAnsi="宋体" w:cs="宋体" w:eastAsia="宋体" w:hint="default"/>
                <w:spacing w:val="-38"/>
                <w:sz w:val="18"/>
                <w:szCs w:val="18"/>
              </w:rPr>
              <w:t> </w:t>
            </w:r>
            <w:r>
              <w:rPr>
                <w:rFonts w:ascii="宋体" w:hAnsi="宋体" w:cs="宋体" w:eastAsia="宋体" w:hint="default"/>
                <w:sz w:val="18"/>
                <w:szCs w:val="18"/>
              </w:rPr>
              <w:t>公</w:t>
            </w:r>
            <w:r>
              <w:rPr>
                <w:rFonts w:ascii="宋体" w:hAnsi="宋体" w:cs="宋体" w:eastAsia="宋体" w:hint="default"/>
                <w:spacing w:val="-35"/>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56,611.45</w:t>
            </w:r>
          </w:p>
        </w:tc>
      </w:tr>
      <w:tr>
        <w:trPr>
          <w:trHeight w:val="167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江苏中南建筑产业集团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7"/>
              <w:jc w:val="left"/>
              <w:rPr>
                <w:rFonts w:ascii="宋体" w:hAnsi="宋体" w:cs="宋体" w:eastAsia="宋体" w:hint="default"/>
                <w:sz w:val="18"/>
                <w:szCs w:val="18"/>
              </w:rPr>
            </w:pPr>
            <w:r>
              <w:rPr>
                <w:rFonts w:ascii="宋体" w:hAnsi="宋体" w:cs="宋体" w:eastAsia="宋体" w:hint="default"/>
                <w:spacing w:val="30"/>
                <w:sz w:val="18"/>
                <w:szCs w:val="18"/>
              </w:rPr>
              <w:t>应收账款</w:t>
            </w:r>
            <w:r>
              <w:rPr>
                <w:rFonts w:ascii="宋体" w:hAnsi="宋体" w:cs="宋体" w:eastAsia="宋体" w:hint="default"/>
                <w:spacing w:val="-50"/>
                <w:sz w:val="18"/>
                <w:szCs w:val="18"/>
              </w:rPr>
              <w:t> </w:t>
            </w:r>
            <w:r>
              <w:rPr>
                <w:rFonts w:ascii="宋体" w:hAnsi="宋体" w:cs="宋体" w:eastAsia="宋体" w:hint="default"/>
                <w:sz w:val="18"/>
                <w:szCs w:val="18"/>
              </w:rPr>
              <w:t>质</w:t>
            </w:r>
            <w:r>
              <w:rPr>
                <w:rFonts w:ascii="宋体" w:hAnsi="宋体" w:cs="宋体" w:eastAsia="宋体" w:hint="default"/>
                <w:spacing w:val="-73"/>
                <w:sz w:val="18"/>
                <w:szCs w:val="18"/>
              </w:rPr>
              <w:t> </w:t>
            </w:r>
            <w:r>
              <w:rPr>
                <w:rFonts w:ascii="宋体" w:hAnsi="宋体" w:cs="宋体" w:eastAsia="宋体" w:hint="default"/>
                <w:sz w:val="18"/>
                <w:szCs w:val="18"/>
              </w:rPr>
              <w:t>押</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both"/>
              <w:rPr>
                <w:rFonts w:ascii="宋体" w:hAnsi="宋体" w:cs="宋体" w:eastAsia="宋体" w:hint="default"/>
                <w:sz w:val="18"/>
                <w:szCs w:val="18"/>
              </w:rPr>
            </w:pPr>
            <w:r>
              <w:rPr>
                <w:rFonts w:ascii="宋体" w:hAnsi="宋体" w:cs="宋体" w:eastAsia="宋体" w:hint="default"/>
                <w:sz w:val="18"/>
                <w:szCs w:val="18"/>
              </w:rPr>
              <w:t>建筑产业集团对盐城中</w:t>
            </w:r>
            <w:r>
              <w:rPr>
                <w:rFonts w:ascii="宋体" w:hAnsi="宋体" w:cs="宋体" w:eastAsia="宋体" w:hint="default"/>
                <w:spacing w:val="-71"/>
                <w:sz w:val="18"/>
                <w:szCs w:val="18"/>
              </w:rPr>
              <w:t> </w:t>
            </w:r>
            <w:r>
              <w:rPr>
                <w:rFonts w:ascii="宋体" w:hAnsi="宋体" w:cs="宋体" w:eastAsia="宋体" w:hint="default"/>
                <w:sz w:val="18"/>
                <w:szCs w:val="18"/>
              </w:rPr>
              <w:t>南世纪城房地产投资有</w:t>
            </w:r>
            <w:r>
              <w:rPr>
                <w:rFonts w:ascii="宋体" w:hAnsi="宋体" w:cs="宋体" w:eastAsia="宋体" w:hint="default"/>
                <w:spacing w:val="-71"/>
                <w:sz w:val="18"/>
                <w:szCs w:val="18"/>
              </w:rPr>
              <w:t> </w:t>
            </w:r>
            <w:r>
              <w:rPr>
                <w:rFonts w:ascii="宋体" w:hAnsi="宋体" w:cs="宋体" w:eastAsia="宋体" w:hint="default"/>
                <w:sz w:val="18"/>
                <w:szCs w:val="18"/>
              </w:rPr>
              <w:t>限公司的债权</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pacing w:val="-19"/>
                <w:sz w:val="18"/>
                <w:szCs w:val="18"/>
              </w:rPr>
              <w:t> </w:t>
            </w:r>
            <w:r>
              <w:rPr>
                <w:rFonts w:ascii="宋体" w:hAnsi="宋体" w:cs="宋体" w:eastAsia="宋体" w:hint="default"/>
                <w:sz w:val="18"/>
                <w:szCs w:val="18"/>
              </w:rPr>
              <w:t>权</w:t>
            </w:r>
            <w:r>
              <w:rPr>
                <w:rFonts w:ascii="宋体" w:hAnsi="宋体" w:cs="宋体" w:eastAsia="宋体" w:hint="default"/>
                <w:spacing w:val="-19"/>
                <w:sz w:val="18"/>
                <w:szCs w:val="18"/>
              </w:rPr>
              <w:t> </w:t>
            </w:r>
            <w:r>
              <w:rPr>
                <w:rFonts w:ascii="宋体" w:hAnsi="宋体" w:cs="宋体" w:eastAsia="宋体" w:hint="default"/>
                <w:sz w:val="18"/>
                <w:szCs w:val="18"/>
              </w:rPr>
              <w:t>合</w:t>
            </w:r>
            <w:r>
              <w:rPr>
                <w:rFonts w:ascii="宋体" w:hAnsi="宋体" w:cs="宋体" w:eastAsia="宋体" w:hint="default"/>
                <w:spacing w:val="-19"/>
                <w:sz w:val="18"/>
                <w:szCs w:val="18"/>
              </w:rPr>
              <w:t> </w:t>
            </w:r>
            <w:r>
              <w:rPr>
                <w:rFonts w:ascii="宋体" w:hAnsi="宋体" w:cs="宋体" w:eastAsia="宋体" w:hint="default"/>
                <w:sz w:val="18"/>
                <w:szCs w:val="18"/>
              </w:rPr>
              <w:t>同</w:t>
            </w:r>
            <w:r>
              <w:rPr>
                <w:rFonts w:ascii="宋体" w:hAnsi="宋体" w:cs="宋体" w:eastAsia="宋体" w:hint="default"/>
                <w:spacing w:val="-21"/>
                <w:sz w:val="18"/>
                <w:szCs w:val="18"/>
              </w:rPr>
              <w:t> </w:t>
            </w:r>
            <w:r>
              <w:rPr>
                <w:rFonts w:ascii="宋体" w:hAnsi="宋体" w:cs="宋体" w:eastAsia="宋体" w:hint="default"/>
                <w:sz w:val="18"/>
                <w:szCs w:val="18"/>
              </w:rPr>
              <w:t>编</w:t>
            </w:r>
            <w:r>
              <w:rPr>
                <w:rFonts w:ascii="宋体" w:hAnsi="宋体" w:cs="宋体" w:eastAsia="宋体" w:hint="default"/>
                <w:spacing w:val="-19"/>
                <w:sz w:val="18"/>
                <w:szCs w:val="18"/>
              </w:rPr>
              <w:t> </w:t>
            </w:r>
            <w:r>
              <w:rPr>
                <w:rFonts w:ascii="宋体" w:hAnsi="宋体" w:cs="宋体" w:eastAsia="宋体" w:hint="default"/>
                <w:sz w:val="18"/>
                <w:szCs w:val="18"/>
              </w:rPr>
              <w:t>号</w:t>
            </w:r>
            <w:r>
              <w:rPr>
                <w:rFonts w:ascii="宋体" w:hAnsi="宋体" w:cs="宋体" w:eastAsia="宋体" w:hint="default"/>
                <w:spacing w:val="-19"/>
                <w:sz w:val="18"/>
                <w:szCs w:val="18"/>
              </w:rPr>
              <w:t> </w:t>
            </w:r>
            <w:r>
              <w:rPr>
                <w:rFonts w:ascii="宋体" w:hAnsi="宋体" w:cs="宋体" w:eastAsia="宋体" w:hint="default"/>
                <w:sz w:val="18"/>
                <w:szCs w:val="18"/>
              </w:rPr>
              <w:t>为</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ZN-YC-HT(13)GC-01</w:t>
            </w:r>
          </w:p>
          <w:p>
            <w:pPr>
              <w:pStyle w:val="TableParagraph"/>
              <w:tabs>
                <w:tab w:pos="1511" w:val="left" w:leader="none"/>
              </w:tabs>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tab/>
            </w:r>
            <w:r>
              <w:rPr>
                <w:rFonts w:ascii="宋体" w:hAnsi="宋体" w:cs="宋体" w:eastAsia="宋体" w:hint="default"/>
                <w:sz w:val="18"/>
                <w:szCs w:val="18"/>
              </w:rPr>
              <w:t>、</w:t>
            </w:r>
          </w:p>
          <w:p>
            <w:pPr>
              <w:pStyle w:val="TableParagraph"/>
              <w:spacing w:line="312" w:lineRule="auto" w:before="10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ZN-YC-HT(14)GC-01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ZN-HT(12)GC-024</w:t>
            </w: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1,59,600.00</w:t>
            </w:r>
          </w:p>
        </w:tc>
      </w:tr>
      <w:tr>
        <w:trPr>
          <w:trHeight w:val="104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镇江中南新锦城房地产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2"/>
              <w:jc w:val="left"/>
              <w:rPr>
                <w:rFonts w:ascii="宋体" w:hAnsi="宋体" w:cs="宋体" w:eastAsia="宋体" w:hint="default"/>
                <w:sz w:val="18"/>
                <w:szCs w:val="18"/>
              </w:rPr>
            </w:pPr>
            <w:r>
              <w:rPr>
                <w:rFonts w:ascii="宋体" w:hAnsi="宋体" w:cs="宋体" w:eastAsia="宋体" w:hint="default"/>
                <w:sz w:val="18"/>
                <w:szCs w:val="18"/>
              </w:rPr>
              <w:t>镇国用（</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Times New Roman" w:hAnsi="Times New Roman" w:cs="Times New Roman" w:eastAsia="Times New Roman" w:hint="default"/>
                <w:sz w:val="18"/>
                <w:szCs w:val="18"/>
              </w:rPr>
              <w:t>8818</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京口区象山镇清河路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以南、陈家门路以东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清平路以西</w:t>
            </w:r>
          </w:p>
        </w:tc>
        <w:tc>
          <w:tcPr>
            <w:tcW w:w="1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09" w:right="0"/>
              <w:jc w:val="left"/>
              <w:rPr>
                <w:rFonts w:ascii="Times New Roman" w:hAnsi="Times New Roman" w:cs="Times New Roman" w:eastAsia="Times New Roman" w:hint="default"/>
                <w:sz w:val="18"/>
                <w:szCs w:val="18"/>
              </w:rPr>
            </w:pPr>
            <w:r>
              <w:rPr>
                <w:rFonts w:ascii="Times New Roman"/>
                <w:sz w:val="18"/>
              </w:rPr>
              <w:t>64,401.70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34,049.18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22,871.85</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4"/>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01102622</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501</w:t>
            </w:r>
            <w:r>
              <w:rPr>
                <w:rFonts w:ascii="宋体" w:hAnsi="宋体" w:cs="宋体" w:eastAsia="宋体" w:hint="default"/>
                <w:sz w:val="18"/>
                <w:szCs w:val="18"/>
              </w:rPr>
              <w:t>室</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1" w:right="0"/>
              <w:jc w:val="left"/>
              <w:rPr>
                <w:rFonts w:ascii="Times New Roman" w:hAnsi="Times New Roman" w:cs="Times New Roman" w:eastAsia="Times New Roman" w:hint="default"/>
                <w:sz w:val="18"/>
                <w:szCs w:val="18"/>
              </w:rPr>
            </w:pPr>
            <w:r>
              <w:rPr>
                <w:rFonts w:ascii="Times New Roman"/>
                <w:sz w:val="18"/>
              </w:rPr>
              <w:t>1,664.30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3"/>
              <w:ind w:left="259" w:right="0"/>
              <w:jc w:val="left"/>
              <w:rPr>
                <w:rFonts w:ascii="Times New Roman" w:hAnsi="Times New Roman" w:cs="Times New Roman" w:eastAsia="Times New Roman" w:hint="default"/>
                <w:sz w:val="18"/>
                <w:szCs w:val="18"/>
              </w:rPr>
            </w:pPr>
            <w:r>
              <w:rPr>
                <w:rFonts w:ascii="Times New Roman"/>
                <w:sz w:val="18"/>
              </w:rPr>
              <w:t>22,610.32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860.95</w:t>
            </w: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120058575</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1" w:right="0"/>
              <w:jc w:val="left"/>
              <w:rPr>
                <w:rFonts w:ascii="Times New Roman" w:hAnsi="Times New Roman" w:cs="Times New Roman" w:eastAsia="Times New Roman" w:hint="default"/>
                <w:sz w:val="18"/>
                <w:szCs w:val="18"/>
              </w:rPr>
            </w:pPr>
            <w:r>
              <w:rPr>
                <w:rFonts w:ascii="Times New Roman"/>
                <w:sz w:val="18"/>
              </w:rPr>
              <w:t>9,052.96</w:t>
            </w:r>
          </w:p>
        </w:tc>
        <w:tc>
          <w:tcPr>
            <w:tcW w:w="994" w:type="dxa"/>
            <w:vMerge/>
            <w:tcBorders>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4,683.12</w:t>
            </w:r>
          </w:p>
        </w:tc>
      </w:tr>
      <w:tr>
        <w:trPr>
          <w:trHeight w:val="135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江苏中南建筑产业集团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7"/>
              <w:jc w:val="left"/>
              <w:rPr>
                <w:rFonts w:ascii="宋体" w:hAnsi="宋体" w:cs="宋体" w:eastAsia="宋体" w:hint="default"/>
                <w:sz w:val="18"/>
                <w:szCs w:val="18"/>
              </w:rPr>
            </w:pPr>
            <w:r>
              <w:rPr>
                <w:rFonts w:ascii="宋体" w:hAnsi="宋体" w:cs="宋体" w:eastAsia="宋体" w:hint="default"/>
                <w:spacing w:val="30"/>
                <w:sz w:val="18"/>
                <w:szCs w:val="18"/>
              </w:rPr>
              <w:t>应收账款</w:t>
            </w:r>
            <w:r>
              <w:rPr>
                <w:rFonts w:ascii="宋体" w:hAnsi="宋体" w:cs="宋体" w:eastAsia="宋体" w:hint="default"/>
                <w:spacing w:val="-50"/>
                <w:sz w:val="18"/>
                <w:szCs w:val="18"/>
              </w:rPr>
              <w:t> </w:t>
            </w:r>
            <w:r>
              <w:rPr>
                <w:rFonts w:ascii="宋体" w:hAnsi="宋体" w:cs="宋体" w:eastAsia="宋体" w:hint="default"/>
                <w:sz w:val="18"/>
                <w:szCs w:val="18"/>
              </w:rPr>
              <w:t>质</w:t>
            </w:r>
            <w:r>
              <w:rPr>
                <w:rFonts w:ascii="宋体" w:hAnsi="宋体" w:cs="宋体" w:eastAsia="宋体" w:hint="default"/>
                <w:spacing w:val="-73"/>
                <w:sz w:val="18"/>
                <w:szCs w:val="18"/>
              </w:rPr>
              <w:t> </w:t>
            </w:r>
            <w:r>
              <w:rPr>
                <w:rFonts w:ascii="宋体" w:hAnsi="宋体" w:cs="宋体" w:eastAsia="宋体" w:hint="default"/>
                <w:sz w:val="18"/>
                <w:szCs w:val="18"/>
              </w:rPr>
              <w:t>押</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7" w:right="-31"/>
              <w:jc w:val="both"/>
              <w:rPr>
                <w:rFonts w:ascii="宋体" w:hAnsi="宋体" w:cs="宋体" w:eastAsia="宋体" w:hint="default"/>
                <w:sz w:val="18"/>
                <w:szCs w:val="18"/>
              </w:rPr>
            </w:pPr>
            <w:r>
              <w:rPr>
                <w:rFonts w:ascii="宋体" w:hAnsi="宋体" w:cs="宋体" w:eastAsia="宋体" w:hint="default"/>
                <w:spacing w:val="26"/>
                <w:sz w:val="18"/>
                <w:szCs w:val="18"/>
              </w:rPr>
              <w:t>中南新合字</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[2012]005 </w:t>
            </w:r>
            <w:r>
              <w:rPr>
                <w:rFonts w:ascii="宋体" w:hAnsi="宋体" w:cs="宋体" w:eastAsia="宋体" w:hint="default"/>
                <w:spacing w:val="3"/>
                <w:sz w:val="18"/>
                <w:szCs w:val="18"/>
              </w:rPr>
              <w:t>号 、 中 南 新 </w:t>
            </w:r>
            <w:r>
              <w:rPr>
                <w:rFonts w:ascii="宋体" w:hAnsi="宋体" w:cs="宋体" w:eastAsia="宋体" w:hint="default"/>
                <w:sz w:val="18"/>
                <w:szCs w:val="18"/>
              </w:rPr>
              <w:t>合</w:t>
            </w:r>
            <w:r>
              <w:rPr>
                <w:rFonts w:ascii="宋体" w:hAnsi="宋体" w:cs="宋体" w:eastAsia="宋体" w:hint="default"/>
                <w:spacing w:val="-13"/>
                <w:sz w:val="18"/>
                <w:szCs w:val="18"/>
              </w:rPr>
              <w:t> </w:t>
            </w:r>
            <w:r>
              <w:rPr>
                <w:rFonts w:ascii="宋体" w:hAnsi="宋体" w:cs="宋体" w:eastAsia="宋体" w:hint="default"/>
                <w:sz w:val="18"/>
                <w:szCs w:val="18"/>
              </w:rPr>
              <w:t>字</w:t>
            </w:r>
            <w:r>
              <w:rPr>
                <w:rFonts w:ascii="宋体" w:hAnsi="宋体" w:cs="宋体" w:eastAsia="宋体" w:hint="default"/>
                <w:sz w:val="18"/>
                <w:szCs w:val="18"/>
              </w:rPr>
              <w:t> </w:t>
            </w:r>
            <w:r>
              <w:rPr>
                <w:rFonts w:ascii="Times New Roman" w:hAnsi="Times New Roman" w:cs="Times New Roman" w:eastAsia="Times New Roman" w:hint="default"/>
                <w:sz w:val="18"/>
                <w:szCs w:val="18"/>
              </w:rPr>
              <w:t>[2011]003</w:t>
            </w:r>
            <w:r>
              <w:rPr>
                <w:rFonts w:ascii="Times New Roman" w:hAnsi="Times New Roman" w:cs="Times New Roman" w:eastAsia="Times New Roman" w:hint="default"/>
                <w:spacing w:val="-10"/>
                <w:sz w:val="18"/>
                <w:szCs w:val="18"/>
              </w:rPr>
              <w:t> </w:t>
            </w:r>
            <w:r>
              <w:rPr>
                <w:rFonts w:ascii="宋体" w:hAnsi="宋体" w:cs="宋体" w:eastAsia="宋体" w:hint="default"/>
                <w:spacing w:val="26"/>
                <w:sz w:val="18"/>
                <w:szCs w:val="18"/>
              </w:rPr>
              <w:t>号建筑施工</w:t>
            </w:r>
            <w:r>
              <w:rPr>
                <w:rFonts w:ascii="宋体" w:hAnsi="宋体" w:cs="宋体" w:eastAsia="宋体" w:hint="default"/>
                <w:spacing w:val="-57"/>
                <w:sz w:val="18"/>
                <w:szCs w:val="18"/>
              </w:rPr>
              <w:t> </w:t>
            </w:r>
            <w:r>
              <w:rPr>
                <w:rFonts w:ascii="宋体" w:hAnsi="宋体" w:cs="宋体" w:eastAsia="宋体" w:hint="default"/>
                <w:sz w:val="18"/>
                <w:szCs w:val="18"/>
              </w:rPr>
              <w:t>合同项下的应收账款</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94,700.00</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0110004</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2"/>
              <w:jc w:val="left"/>
              <w:rPr>
                <w:rFonts w:ascii="宋体" w:hAnsi="宋体" w:cs="宋体" w:eastAsia="宋体" w:hint="default"/>
                <w:sz w:val="18"/>
                <w:szCs w:val="18"/>
              </w:rPr>
            </w:pPr>
            <w:r>
              <w:rPr>
                <w:rFonts w:ascii="宋体" w:hAnsi="宋体" w:cs="宋体" w:eastAsia="宋体" w:hint="default"/>
                <w:spacing w:val="6"/>
                <w:sz w:val="18"/>
                <w:szCs w:val="18"/>
              </w:rPr>
              <w:t>南通市新区中央商务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CR0504-A(A-01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地</w:t>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块）</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2" w:right="0"/>
              <w:jc w:val="left"/>
              <w:rPr>
                <w:rFonts w:ascii="Times New Roman" w:hAnsi="Times New Roman" w:cs="Times New Roman" w:eastAsia="Times New Roman" w:hint="default"/>
                <w:sz w:val="18"/>
                <w:szCs w:val="18"/>
              </w:rPr>
            </w:pPr>
            <w:r>
              <w:rPr>
                <w:rFonts w:ascii="Times New Roman"/>
                <w:sz w:val="18"/>
              </w:rPr>
              <w:t>22,987.21</w:t>
            </w: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8,324.53</w:t>
            </w:r>
          </w:p>
        </w:tc>
      </w:tr>
      <w:tr>
        <w:trPr>
          <w:trHeight w:val="4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所持海门中南世纪城有</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45,852.02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3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镇江中南新锦城房地产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7" w:right="2"/>
              <w:jc w:val="left"/>
              <w:rPr>
                <w:rFonts w:ascii="宋体" w:hAnsi="宋体" w:cs="宋体" w:eastAsia="宋体" w:hint="default"/>
                <w:sz w:val="18"/>
                <w:szCs w:val="18"/>
              </w:rPr>
            </w:pPr>
            <w:r>
              <w:rPr>
                <w:rFonts w:ascii="宋体" w:hAnsi="宋体" w:cs="宋体" w:eastAsia="宋体" w:hint="default"/>
                <w:sz w:val="18"/>
                <w:szCs w:val="18"/>
              </w:rPr>
              <w:t>镇国用（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Times New Roman" w:hAnsi="Times New Roman" w:cs="Times New Roman" w:eastAsia="Times New Roman" w:hint="default"/>
                <w:sz w:val="18"/>
                <w:szCs w:val="18"/>
              </w:rPr>
              <w:t>1635</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象山路南侧、清平路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西侧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66,754.00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40,200.00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34,231.60</w:t>
            </w: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镇江中南新锦城房地产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2"/>
              <w:jc w:val="left"/>
              <w:rPr>
                <w:rFonts w:ascii="宋体" w:hAnsi="宋体" w:cs="宋体" w:eastAsia="宋体" w:hint="default"/>
                <w:sz w:val="18"/>
                <w:szCs w:val="18"/>
              </w:rPr>
            </w:pPr>
            <w:r>
              <w:rPr>
                <w:rFonts w:ascii="宋体" w:hAnsi="宋体" w:cs="宋体" w:eastAsia="宋体" w:hint="default"/>
                <w:sz w:val="18"/>
                <w:szCs w:val="18"/>
              </w:rPr>
              <w:t>镇国用（</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Times New Roman" w:hAnsi="Times New Roman" w:cs="Times New Roman" w:eastAsia="Times New Roman" w:hint="default"/>
                <w:sz w:val="18"/>
                <w:szCs w:val="18"/>
              </w:rPr>
              <w:t>8883</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镇江市京口区象山镇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禹山路北侧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61,437.60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40,382.75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31,505.33</w:t>
            </w: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所持文昌中南房地产开</w:t>
            </w:r>
            <w:r>
              <w:rPr>
                <w:rFonts w:ascii="宋体" w:hAnsi="宋体" w:cs="宋体" w:eastAsia="宋体" w:hint="default"/>
                <w:spacing w:val="-71"/>
                <w:sz w:val="18"/>
                <w:szCs w:val="18"/>
              </w:rPr>
              <w:t> </w:t>
            </w:r>
            <w:r>
              <w:rPr>
                <w:rFonts w:ascii="宋体" w:hAnsi="宋体" w:cs="宋体" w:eastAsia="宋体" w:hint="default"/>
                <w:sz w:val="18"/>
                <w:szCs w:val="18"/>
              </w:rPr>
              <w:t>发有限公司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37,185.38</w:t>
            </w:r>
          </w:p>
        </w:tc>
      </w:tr>
      <w:tr>
        <w:trPr>
          <w:trHeight w:val="732"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盐城中南世纪城房地产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城南国用（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600309</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城南新区戴庄路东、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纬十路南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61,331.00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18,828.60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11,606.20</w:t>
            </w:r>
          </w:p>
        </w:tc>
      </w:tr>
      <w:tr>
        <w:trPr>
          <w:trHeight w:val="735"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城南国用（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600308</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城南新区康居路西、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纬十路南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57,632.00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18,960.90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10,909.70</w:t>
            </w:r>
          </w:p>
        </w:tc>
      </w:tr>
      <w:tr>
        <w:trPr>
          <w:trHeight w:val="1046"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城南国用（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600382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6"/>
              <w:jc w:val="both"/>
              <w:rPr>
                <w:rFonts w:ascii="宋体" w:hAnsi="宋体" w:cs="宋体" w:eastAsia="宋体" w:hint="default"/>
                <w:sz w:val="18"/>
                <w:szCs w:val="18"/>
              </w:rPr>
            </w:pPr>
            <w:r>
              <w:rPr>
                <w:rFonts w:ascii="宋体" w:hAnsi="宋体" w:cs="宋体" w:eastAsia="宋体" w:hint="default"/>
                <w:spacing w:val="6"/>
                <w:sz w:val="18"/>
                <w:szCs w:val="18"/>
              </w:rPr>
              <w:t>新都街道办事处南港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社区（纬十路南、康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居路东）</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67,621.00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22,247.30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12,800.70</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both"/>
              <w:rPr>
                <w:rFonts w:ascii="宋体" w:hAnsi="宋体" w:cs="宋体" w:eastAsia="宋体" w:hint="default"/>
                <w:sz w:val="18"/>
                <w:szCs w:val="18"/>
              </w:rPr>
            </w:pPr>
            <w:r>
              <w:rPr>
                <w:rFonts w:ascii="宋体" w:hAnsi="宋体" w:cs="宋体" w:eastAsia="宋体" w:hint="default"/>
                <w:sz w:val="18"/>
                <w:szCs w:val="18"/>
              </w:rPr>
              <w:t>所持常熟中南世纪城房</w:t>
            </w:r>
            <w:r>
              <w:rPr>
                <w:rFonts w:ascii="宋体" w:hAnsi="宋体" w:cs="宋体" w:eastAsia="宋体" w:hint="default"/>
                <w:spacing w:val="-71"/>
                <w:sz w:val="18"/>
                <w:szCs w:val="18"/>
              </w:rPr>
              <w:t> </w:t>
            </w:r>
            <w:r>
              <w:rPr>
                <w:rFonts w:ascii="宋体" w:hAnsi="宋体" w:cs="宋体" w:eastAsia="宋体" w:hint="default"/>
                <w:sz w:val="18"/>
                <w:szCs w:val="18"/>
              </w:rPr>
              <w:t>地</w:t>
            </w:r>
            <w:r>
              <w:rPr>
                <w:rFonts w:ascii="宋体" w:hAnsi="宋体" w:cs="宋体" w:eastAsia="宋体" w:hint="default"/>
                <w:spacing w:val="-35"/>
                <w:sz w:val="18"/>
                <w:szCs w:val="18"/>
              </w:rPr>
              <w:t> </w:t>
            </w:r>
            <w:r>
              <w:rPr>
                <w:rFonts w:ascii="宋体" w:hAnsi="宋体" w:cs="宋体" w:eastAsia="宋体" w:hint="default"/>
                <w:sz w:val="18"/>
                <w:szCs w:val="18"/>
              </w:rPr>
              <w:t>产</w:t>
            </w:r>
            <w:r>
              <w:rPr>
                <w:rFonts w:ascii="宋体" w:hAnsi="宋体" w:cs="宋体" w:eastAsia="宋体" w:hint="default"/>
                <w:spacing w:val="-35"/>
                <w:sz w:val="18"/>
                <w:szCs w:val="18"/>
              </w:rPr>
              <w:t> </w:t>
            </w:r>
            <w:r>
              <w:rPr>
                <w:rFonts w:ascii="宋体" w:hAnsi="宋体" w:cs="宋体" w:eastAsia="宋体" w:hint="default"/>
                <w:sz w:val="18"/>
                <w:szCs w:val="18"/>
              </w:rPr>
              <w:t>开</w:t>
            </w:r>
            <w:r>
              <w:rPr>
                <w:rFonts w:ascii="宋体" w:hAnsi="宋体" w:cs="宋体" w:eastAsia="宋体" w:hint="default"/>
                <w:spacing w:val="-35"/>
                <w:sz w:val="18"/>
                <w:szCs w:val="18"/>
              </w:rPr>
              <w:t> </w:t>
            </w:r>
            <w:r>
              <w:rPr>
                <w:rFonts w:ascii="宋体" w:hAnsi="宋体" w:cs="宋体" w:eastAsia="宋体" w:hint="default"/>
                <w:sz w:val="18"/>
                <w:szCs w:val="18"/>
              </w:rPr>
              <w:t>发</w:t>
            </w:r>
            <w:r>
              <w:rPr>
                <w:rFonts w:ascii="宋体" w:hAnsi="宋体" w:cs="宋体" w:eastAsia="宋体" w:hint="default"/>
                <w:spacing w:val="-38"/>
                <w:sz w:val="18"/>
                <w:szCs w:val="18"/>
              </w:rPr>
              <w:t> </w:t>
            </w:r>
            <w:r>
              <w:rPr>
                <w:rFonts w:ascii="宋体" w:hAnsi="宋体" w:cs="宋体" w:eastAsia="宋体" w:hint="default"/>
                <w:sz w:val="18"/>
                <w:szCs w:val="18"/>
              </w:rPr>
              <w:t>有</w:t>
            </w:r>
            <w:r>
              <w:rPr>
                <w:rFonts w:ascii="宋体" w:hAnsi="宋体" w:cs="宋体" w:eastAsia="宋体" w:hint="default"/>
                <w:spacing w:val="-35"/>
                <w:sz w:val="18"/>
                <w:szCs w:val="18"/>
              </w:rPr>
              <w:t> </w:t>
            </w:r>
            <w:r>
              <w:rPr>
                <w:rFonts w:ascii="宋体" w:hAnsi="宋体" w:cs="宋体" w:eastAsia="宋体" w:hint="default"/>
                <w:sz w:val="18"/>
                <w:szCs w:val="18"/>
              </w:rPr>
              <w:t>限</w:t>
            </w:r>
            <w:r>
              <w:rPr>
                <w:rFonts w:ascii="宋体" w:hAnsi="宋体" w:cs="宋体" w:eastAsia="宋体" w:hint="default"/>
                <w:spacing w:val="-38"/>
                <w:sz w:val="18"/>
                <w:szCs w:val="18"/>
              </w:rPr>
              <w:t> </w:t>
            </w:r>
            <w:r>
              <w:rPr>
                <w:rFonts w:ascii="宋体" w:hAnsi="宋体" w:cs="宋体" w:eastAsia="宋体" w:hint="default"/>
                <w:sz w:val="18"/>
                <w:szCs w:val="18"/>
              </w:rPr>
              <w:t>公</w:t>
            </w:r>
            <w:r>
              <w:rPr>
                <w:rFonts w:ascii="宋体" w:hAnsi="宋体" w:cs="宋体" w:eastAsia="宋体" w:hint="default"/>
                <w:spacing w:val="-35"/>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79,035.62</w:t>
            </w:r>
          </w:p>
        </w:tc>
      </w:tr>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所持南通中南新世界中</w:t>
            </w:r>
            <w:r>
              <w:rPr>
                <w:rFonts w:ascii="宋体" w:hAnsi="宋体" w:cs="宋体" w:eastAsia="宋体" w:hint="default"/>
                <w:spacing w:val="-71"/>
                <w:sz w:val="18"/>
                <w:szCs w:val="18"/>
              </w:rPr>
              <w:t> </w:t>
            </w:r>
            <w:r>
              <w:rPr>
                <w:rFonts w:ascii="宋体" w:hAnsi="宋体" w:cs="宋体" w:eastAsia="宋体" w:hint="default"/>
                <w:sz w:val="18"/>
                <w:szCs w:val="18"/>
              </w:rPr>
              <w:t>心开发有限公司股权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28860</w:t>
            </w:r>
            <w:r>
              <w:rPr>
                <w:rFonts w:ascii="宋体" w:hAnsi="宋体" w:cs="宋体" w:eastAsia="宋体" w:hint="default"/>
                <w:sz w:val="18"/>
                <w:szCs w:val="18"/>
              </w:rPr>
              <w:t>万股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41"/>
              <w:jc w:val="left"/>
              <w:rPr>
                <w:rFonts w:ascii="宋体" w:hAnsi="宋体" w:cs="宋体" w:eastAsia="宋体" w:hint="default"/>
                <w:sz w:val="18"/>
                <w:szCs w:val="18"/>
              </w:rPr>
            </w:pPr>
            <w:r>
              <w:rPr>
                <w:rFonts w:ascii="宋体" w:hAnsi="宋体" w:cs="宋体" w:eastAsia="宋体" w:hint="default"/>
                <w:spacing w:val="32"/>
                <w:sz w:val="18"/>
                <w:szCs w:val="18"/>
              </w:rPr>
              <w:t>应收账款质</w:t>
            </w:r>
            <w:r>
              <w:rPr>
                <w:rFonts w:ascii="宋体" w:hAnsi="宋体" w:cs="宋体" w:eastAsia="宋体" w:hint="default"/>
                <w:spacing w:val="-50"/>
                <w:sz w:val="18"/>
                <w:szCs w:val="18"/>
              </w:rPr>
              <w:t> </w:t>
            </w:r>
            <w:r>
              <w:rPr>
                <w:rFonts w:ascii="宋体" w:hAnsi="宋体" w:cs="宋体" w:eastAsia="宋体" w:hint="default"/>
                <w:sz w:val="18"/>
                <w:szCs w:val="18"/>
              </w:rPr>
              <w:t>押</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37,300.00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江苏中南建筑产业集团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41"/>
              <w:jc w:val="left"/>
              <w:rPr>
                <w:rFonts w:ascii="宋体" w:hAnsi="宋体" w:cs="宋体" w:eastAsia="宋体" w:hint="default"/>
                <w:sz w:val="18"/>
                <w:szCs w:val="18"/>
              </w:rPr>
            </w:pPr>
            <w:r>
              <w:rPr>
                <w:rFonts w:ascii="宋体" w:hAnsi="宋体" w:cs="宋体" w:eastAsia="宋体" w:hint="default"/>
                <w:spacing w:val="32"/>
                <w:sz w:val="18"/>
                <w:szCs w:val="18"/>
              </w:rPr>
              <w:t>应收账款质</w:t>
            </w:r>
            <w:r>
              <w:rPr>
                <w:rFonts w:ascii="宋体" w:hAnsi="宋体" w:cs="宋体" w:eastAsia="宋体" w:hint="default"/>
                <w:spacing w:val="-50"/>
                <w:sz w:val="18"/>
                <w:szCs w:val="18"/>
              </w:rPr>
              <w:t> </w:t>
            </w:r>
            <w:r>
              <w:rPr>
                <w:rFonts w:ascii="宋体" w:hAnsi="宋体" w:cs="宋体" w:eastAsia="宋体" w:hint="default"/>
                <w:sz w:val="18"/>
                <w:szCs w:val="18"/>
              </w:rPr>
              <w:t>押</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28,600.00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3"/>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120058559</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301</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8,939.47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3"/>
              <w:ind w:left="259" w:right="0"/>
              <w:jc w:val="left"/>
              <w:rPr>
                <w:rFonts w:ascii="Times New Roman" w:hAnsi="Times New Roman" w:cs="Times New Roman" w:eastAsia="Times New Roman" w:hint="default"/>
                <w:sz w:val="18"/>
                <w:szCs w:val="18"/>
              </w:rPr>
            </w:pPr>
            <w:r>
              <w:rPr>
                <w:rFonts w:ascii="Times New Roman"/>
                <w:sz w:val="18"/>
              </w:rPr>
              <w:t>14,913.79</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307" w:right="0"/>
              <w:jc w:val="left"/>
              <w:rPr>
                <w:rFonts w:ascii="Times New Roman" w:hAnsi="Times New Roman" w:cs="Times New Roman" w:eastAsia="Times New Roman" w:hint="default"/>
                <w:sz w:val="18"/>
                <w:szCs w:val="18"/>
              </w:rPr>
            </w:pPr>
            <w:r>
              <w:rPr>
                <w:rFonts w:ascii="Times New Roman"/>
                <w:sz w:val="18"/>
              </w:rPr>
              <w:t>4,624.41</w:t>
            </w: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01102617</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301</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1,643.43</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4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NO.322000015029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3,000.00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3,000.00</w:t>
            </w:r>
          </w:p>
        </w:tc>
      </w:tr>
      <w:tr>
        <w:trPr>
          <w:trHeight w:val="4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NO.322000015026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6,000.00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6,000.00</w:t>
            </w: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江苏中南建设集团股份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41"/>
              <w:jc w:val="left"/>
              <w:rPr>
                <w:rFonts w:ascii="宋体" w:hAnsi="宋体" w:cs="宋体" w:eastAsia="宋体" w:hint="default"/>
                <w:sz w:val="18"/>
                <w:szCs w:val="18"/>
              </w:rPr>
            </w:pPr>
            <w:r>
              <w:rPr>
                <w:rFonts w:ascii="宋体" w:hAnsi="宋体" w:cs="宋体" w:eastAsia="宋体" w:hint="default"/>
                <w:spacing w:val="32"/>
                <w:sz w:val="18"/>
                <w:szCs w:val="18"/>
              </w:rPr>
              <w:t>应收账款质</w:t>
            </w:r>
            <w:r>
              <w:rPr>
                <w:rFonts w:ascii="宋体" w:hAnsi="宋体" w:cs="宋体" w:eastAsia="宋体" w:hint="default"/>
                <w:spacing w:val="-50"/>
                <w:sz w:val="18"/>
                <w:szCs w:val="18"/>
              </w:rPr>
              <w:t> </w:t>
            </w:r>
            <w:r>
              <w:rPr>
                <w:rFonts w:ascii="宋体" w:hAnsi="宋体" w:cs="宋体" w:eastAsia="宋体" w:hint="default"/>
                <w:sz w:val="18"/>
                <w:szCs w:val="18"/>
              </w:rPr>
              <w:t>押</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60,313.00</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宋体" w:hAnsi="宋体" w:cs="宋体" w:eastAsia="宋体" w:hint="default"/>
                <w:sz w:val="18"/>
                <w:szCs w:val="18"/>
              </w:rPr>
            </w:pPr>
            <w:r>
              <w:rPr>
                <w:rFonts w:ascii="宋体" w:hAnsi="宋体" w:cs="宋体" w:eastAsia="宋体" w:hint="default"/>
                <w:spacing w:val="-2"/>
                <w:sz w:val="18"/>
                <w:szCs w:val="18"/>
              </w:rPr>
              <w:t>中南世纪城（沈阳）房地</w:t>
            </w:r>
            <w:r>
              <w:rPr>
                <w:rFonts w:ascii="宋体" w:hAnsi="宋体" w:cs="宋体" w:eastAsia="宋体" w:hint="default"/>
                <w:sz w:val="18"/>
                <w:szCs w:val="18"/>
              </w:rPr>
              <w:t> 产开发有限公司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沈开国用（</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291</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沈阳经济技术开发区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中央南大街</w:t>
            </w:r>
            <w:r>
              <w:rPr>
                <w:rFonts w:ascii="Times New Roman" w:hAnsi="Times New Roman" w:cs="Times New Roman" w:eastAsia="Times New Roman" w:hint="default"/>
                <w:sz w:val="18"/>
                <w:szCs w:val="18"/>
              </w:rPr>
              <w:t>55</w:t>
            </w:r>
            <w:r>
              <w:rPr>
                <w:rFonts w:ascii="宋体" w:hAnsi="宋体" w:cs="宋体" w:eastAsia="宋体" w:hint="default"/>
                <w:sz w:val="18"/>
                <w:szCs w:val="18"/>
              </w:rPr>
              <w:t>号</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92,754.14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18,968.22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10,707.54</w:t>
            </w:r>
          </w:p>
        </w:tc>
      </w:tr>
      <w:tr>
        <w:trPr>
          <w:trHeight w:val="163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南 通 房 权 字   </w:t>
            </w:r>
            <w:r>
              <w:rPr>
                <w:rFonts w:ascii="宋体" w:hAnsi="宋体" w:cs="宋体" w:eastAsia="宋体" w:hint="default"/>
                <w:spacing w:val="18"/>
                <w:sz w:val="18"/>
                <w:szCs w:val="18"/>
              </w:rPr>
              <w:t> </w:t>
            </w:r>
            <w:r>
              <w:rPr>
                <w:rFonts w:ascii="宋体" w:hAnsi="宋体" w:cs="宋体" w:eastAsia="宋体" w:hint="default"/>
                <w:sz w:val="18"/>
                <w:szCs w:val="18"/>
              </w:rPr>
              <w:t>第</w:t>
            </w:r>
          </w:p>
          <w:p>
            <w:pPr>
              <w:pStyle w:val="TableParagraph"/>
              <w:tabs>
                <w:tab w:pos="1648" w:val="left" w:leader="none"/>
              </w:tabs>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120052853-855</w:t>
              <w:tab/>
            </w:r>
            <w:r>
              <w:rPr>
                <w:rFonts w:ascii="宋体" w:hAnsi="宋体" w:cs="宋体" w:eastAsia="宋体" w:hint="default"/>
                <w:sz w:val="18"/>
                <w:szCs w:val="18"/>
              </w:rPr>
              <w:t>、</w:t>
            </w:r>
          </w:p>
          <w:p>
            <w:pPr>
              <w:pStyle w:val="TableParagraph"/>
              <w:tabs>
                <w:tab w:pos="1648" w:val="left" w:leader="none"/>
              </w:tabs>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120052808-830</w:t>
              <w:tab/>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120052782-791</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 w:pos="1514" w:val="left" w:leader="none"/>
              </w:tabs>
              <w:spacing w:line="297" w:lineRule="auto" w:before="61"/>
              <w:ind w:left="4" w:right="0"/>
              <w:jc w:val="left"/>
              <w:rPr>
                <w:rFonts w:ascii="宋体" w:hAnsi="宋体" w:cs="宋体" w:eastAsia="宋体" w:hint="default"/>
                <w:sz w:val="18"/>
                <w:szCs w:val="18"/>
              </w:rPr>
            </w:pPr>
            <w:r>
              <w:rPr>
                <w:rFonts w:ascii="宋体" w:hAnsi="宋体" w:cs="宋体" w:eastAsia="宋体" w:hint="default"/>
                <w:spacing w:val="6"/>
                <w:sz w:val="18"/>
                <w:szCs w:val="18"/>
              </w:rPr>
              <w:t>南通市中南世纪城</w:t>
            </w: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幢</w:t>
              <w:tab/>
            </w:r>
            <w:r>
              <w:rPr>
                <w:rFonts w:ascii="Times New Roman" w:hAnsi="Times New Roman" w:cs="Times New Roman" w:eastAsia="Times New Roman" w:hint="default"/>
                <w:sz w:val="18"/>
                <w:szCs w:val="18"/>
              </w:rPr>
              <w:t>3228-30</w:t>
              <w:tab/>
            </w:r>
            <w:r>
              <w:rPr>
                <w:rFonts w:ascii="宋体" w:hAnsi="宋体" w:cs="宋体" w:eastAsia="宋体" w:hint="default"/>
                <w:sz w:val="18"/>
                <w:szCs w:val="18"/>
              </w:rPr>
              <w:t>、</w:t>
            </w:r>
          </w:p>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3302-3306 </w:t>
            </w:r>
            <w:r>
              <w:rPr>
                <w:rFonts w:ascii="宋体" w:hAnsi="宋体" w:cs="宋体" w:eastAsia="宋体" w:hint="default"/>
                <w:sz w:val="18"/>
                <w:szCs w:val="18"/>
              </w:rPr>
              <w:t>、 </w:t>
            </w:r>
            <w:r>
              <w:rPr>
                <w:rFonts w:ascii="Times New Roman" w:hAnsi="Times New Roman" w:cs="Times New Roman" w:eastAsia="Times New Roman" w:hint="default"/>
                <w:sz w:val="18"/>
                <w:szCs w:val="18"/>
              </w:rPr>
              <w:t>3808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3310-14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3317-20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3323-30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3402-08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2,221.22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4,750.00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1,847.38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382"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3410-12</w:t>
            </w:r>
            <w:r>
              <w:rPr>
                <w:rFonts w:ascii="宋体" w:hAnsi="宋体" w:cs="宋体" w:eastAsia="宋体" w:hint="default"/>
                <w:sz w:val="18"/>
                <w:szCs w:val="18"/>
              </w:rPr>
              <w:t>共</w:t>
            </w:r>
            <w:r>
              <w:rPr>
                <w:rFonts w:ascii="Times New Roman" w:hAnsi="Times New Roman" w:cs="Times New Roman" w:eastAsia="Times New Roman" w:hint="default"/>
                <w:sz w:val="18"/>
                <w:szCs w:val="18"/>
              </w:rPr>
              <w:t>36</w:t>
            </w:r>
            <w:r>
              <w:rPr>
                <w:rFonts w:ascii="宋体" w:hAnsi="宋体" w:cs="宋体" w:eastAsia="宋体" w:hint="default"/>
                <w:sz w:val="18"/>
                <w:szCs w:val="18"/>
              </w:rPr>
              <w:t>套</w:t>
            </w: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江苏中南建筑产业集团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青 房 地 权 崂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00184363</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4" w:right="-29"/>
              <w:jc w:val="both"/>
              <w:rPr>
                <w:rFonts w:ascii="宋体" w:hAnsi="宋体" w:cs="宋体" w:eastAsia="宋体" w:hint="default"/>
                <w:sz w:val="18"/>
                <w:szCs w:val="18"/>
              </w:rPr>
            </w:pPr>
            <w:r>
              <w:rPr>
                <w:rFonts w:ascii="宋体" w:hAnsi="宋体" w:cs="宋体" w:eastAsia="宋体" w:hint="default"/>
                <w:spacing w:val="7"/>
                <w:sz w:val="18"/>
                <w:szCs w:val="18"/>
              </w:rPr>
              <w:t>崂山区苗段路</w:t>
            </w:r>
            <w:r>
              <w:rPr>
                <w:rFonts w:ascii="Times New Roman" w:hAnsi="Times New Roman" w:cs="Times New Roman" w:eastAsia="Times New Roman" w:hint="default"/>
                <w:spacing w:val="7"/>
                <w:sz w:val="18"/>
                <w:szCs w:val="18"/>
              </w:rPr>
              <w:t>19</w:t>
            </w:r>
            <w:r>
              <w:rPr>
                <w:rFonts w:ascii="宋体" w:hAnsi="宋体" w:cs="宋体" w:eastAsia="宋体" w:hint="default"/>
                <w:spacing w:val="7"/>
                <w:sz w:val="18"/>
                <w:szCs w:val="18"/>
              </w:rPr>
              <w:t>号裕 </w:t>
            </w:r>
            <w:r>
              <w:rPr>
                <w:rFonts w:ascii="宋体" w:hAnsi="宋体" w:cs="宋体" w:eastAsia="宋体" w:hint="default"/>
                <w:spacing w:val="20"/>
                <w:sz w:val="18"/>
                <w:szCs w:val="18"/>
              </w:rPr>
              <w:t>龙大厦</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pacing w:val="15"/>
                <w:sz w:val="18"/>
                <w:szCs w:val="18"/>
              </w:rPr>
              <w:t>号楼</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pacing w:val="15"/>
                <w:sz w:val="18"/>
                <w:szCs w:val="18"/>
              </w:rPr>
              <w:t>单元</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2102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193.22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313.69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159.21</w:t>
            </w: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江苏中南建筑产业集团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2"/>
              <w:jc w:val="left"/>
              <w:rPr>
                <w:rFonts w:ascii="宋体" w:hAnsi="宋体" w:cs="宋体" w:eastAsia="宋体" w:hint="default"/>
                <w:sz w:val="18"/>
                <w:szCs w:val="18"/>
              </w:rPr>
            </w:pPr>
            <w:r>
              <w:rPr>
                <w:rFonts w:ascii="宋体" w:hAnsi="宋体" w:cs="宋体" w:eastAsia="宋体" w:hint="default"/>
                <w:sz w:val="18"/>
                <w:szCs w:val="18"/>
              </w:rPr>
              <w:t>青房地权市字第</w:t>
            </w:r>
            <w:r>
              <w:rPr>
                <w:rFonts w:ascii="Times New Roman" w:hAnsi="Times New Roman" w:cs="Times New Roman" w:eastAsia="Times New Roman" w:hint="default"/>
                <w:sz w:val="18"/>
                <w:szCs w:val="18"/>
              </w:rPr>
              <w:t>326489</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市南区瞿塘峡路</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号</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层</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678.44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607.61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241.91</w:t>
            </w:r>
          </w:p>
        </w:tc>
      </w:tr>
      <w:tr>
        <w:trPr>
          <w:trHeight w:val="10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江苏中南建筑产业集团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both"/>
              <w:rPr>
                <w:rFonts w:ascii="宋体" w:hAnsi="宋体" w:cs="宋体" w:eastAsia="宋体" w:hint="default"/>
                <w:sz w:val="18"/>
                <w:szCs w:val="18"/>
              </w:rPr>
            </w:pPr>
            <w:r>
              <w:rPr>
                <w:rFonts w:ascii="宋体" w:hAnsi="宋体" w:cs="宋体" w:eastAsia="宋体" w:hint="default"/>
                <w:sz w:val="18"/>
                <w:szCs w:val="18"/>
              </w:rPr>
              <w:t>持有的南通市中南建工</w:t>
            </w:r>
            <w:r>
              <w:rPr>
                <w:rFonts w:ascii="宋体" w:hAnsi="宋体" w:cs="宋体" w:eastAsia="宋体" w:hint="default"/>
                <w:spacing w:val="-71"/>
                <w:sz w:val="18"/>
                <w:szCs w:val="18"/>
              </w:rPr>
              <w:t> </w:t>
            </w: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备</w:t>
            </w:r>
            <w:r>
              <w:rPr>
                <w:rFonts w:ascii="宋体" w:hAnsi="宋体" w:cs="宋体" w:eastAsia="宋体" w:hint="default"/>
                <w:spacing w:val="-67"/>
                <w:sz w:val="18"/>
                <w:szCs w:val="18"/>
              </w:rPr>
              <w:t> </w:t>
            </w:r>
            <w:r>
              <w:rPr>
                <w:rFonts w:ascii="宋体" w:hAnsi="宋体" w:cs="宋体" w:eastAsia="宋体" w:hint="default"/>
                <w:sz w:val="18"/>
                <w:szCs w:val="18"/>
              </w:rPr>
              <w:t>安</w:t>
            </w:r>
            <w:r>
              <w:rPr>
                <w:rFonts w:ascii="宋体" w:hAnsi="宋体" w:cs="宋体" w:eastAsia="宋体" w:hint="default"/>
                <w:spacing w:val="-64"/>
                <w:sz w:val="18"/>
                <w:szCs w:val="18"/>
              </w:rPr>
              <w:t> </w:t>
            </w:r>
            <w:r>
              <w:rPr>
                <w:rFonts w:ascii="宋体" w:hAnsi="宋体" w:cs="宋体" w:eastAsia="宋体" w:hint="default"/>
                <w:sz w:val="18"/>
                <w:szCs w:val="18"/>
              </w:rPr>
              <w:t>装</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Times New Roman" w:hAnsi="Times New Roman" w:cs="Times New Roman" w:eastAsia="Times New Roman" w:hint="default"/>
                <w:sz w:val="18"/>
                <w:szCs w:val="18"/>
              </w:rPr>
              <w:t>4557.5</w:t>
            </w:r>
            <w:r>
              <w:rPr>
                <w:rFonts w:ascii="宋体" w:hAnsi="宋体" w:cs="宋体" w:eastAsia="宋体" w:hint="default"/>
                <w:sz w:val="18"/>
                <w:szCs w:val="18"/>
              </w:rPr>
              <w:t>万元人民币股权</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45" w:hRule="exact"/>
        </w:trPr>
        <w:tc>
          <w:tcPr>
            <w:tcW w:w="1980" w:type="dxa"/>
            <w:vMerge w:val="restart"/>
            <w:tcBorders>
              <w:top w:val="single" w:sz="4" w:space="0" w:color="000000"/>
              <w:left w:val="single" w:sz="4" w:space="0" w:color="000000"/>
              <w:right w:val="single" w:sz="4" w:space="0" w:color="000000"/>
            </w:tcBorders>
          </w:tcPr>
          <w:p>
            <w:pPr>
              <w:pStyle w:val="TableParagraph"/>
              <w:spacing w:line="319"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中南镇江房地产开发有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镇 江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tabs>
                <w:tab w:pos="1648" w:val="left" w:leader="none"/>
              </w:tabs>
              <w:spacing w:line="240" w:lineRule="auto" w:before="77"/>
              <w:ind w:left="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0201005833100111</w:t>
              <w:tab/>
            </w:r>
            <w:r>
              <w:rPr>
                <w:rFonts w:ascii="宋体" w:hAnsi="宋体" w:cs="宋体" w:eastAsia="宋体" w:hint="default"/>
                <w:sz w:val="18"/>
                <w:szCs w:val="18"/>
              </w:rPr>
              <w:t>号</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-0201005833102211</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300" w:lineRule="auto" w:before="58"/>
              <w:ind w:left="4" w:right="2"/>
              <w:jc w:val="left"/>
              <w:rPr>
                <w:rFonts w:ascii="宋体" w:hAnsi="宋体" w:cs="宋体" w:eastAsia="宋体" w:hint="default"/>
                <w:sz w:val="18"/>
                <w:szCs w:val="18"/>
              </w:rPr>
            </w:pPr>
            <w:r>
              <w:rPr>
                <w:rFonts w:ascii="宋体" w:hAnsi="宋体" w:cs="宋体" w:eastAsia="宋体" w:hint="default"/>
                <w:spacing w:val="15"/>
                <w:sz w:val="18"/>
                <w:szCs w:val="18"/>
              </w:rPr>
              <w:t>镇江市东</w:t>
            </w:r>
            <w:r>
              <w:rPr>
                <w:rFonts w:ascii="宋体" w:hAnsi="宋体" w:cs="宋体" w:eastAsia="宋体" w:hint="default"/>
                <w:spacing w:val="-66"/>
                <w:sz w:val="18"/>
                <w:szCs w:val="18"/>
              </w:rPr>
              <w:t> </w:t>
            </w:r>
            <w:r>
              <w:rPr>
                <w:rFonts w:ascii="宋体" w:hAnsi="宋体" w:cs="宋体" w:eastAsia="宋体" w:hint="default"/>
                <w:spacing w:val="10"/>
                <w:sz w:val="18"/>
                <w:szCs w:val="18"/>
              </w:rPr>
              <w:t>吴路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 </w:t>
            </w:r>
            <w:r>
              <w:rPr>
                <w:rFonts w:ascii="宋体" w:hAnsi="宋体" w:cs="宋体" w:eastAsia="宋体" w:hint="default"/>
                <w:spacing w:val="5"/>
                <w:sz w:val="18"/>
                <w:szCs w:val="18"/>
              </w:rPr>
              <w:t>中南世纪城</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幢</w:t>
            </w:r>
            <w:r>
              <w:rPr>
                <w:rFonts w:ascii="Times New Roman" w:hAnsi="Times New Roman" w:cs="Times New Roman" w:eastAsia="Times New Roman" w:hint="default"/>
                <w:spacing w:val="5"/>
                <w:sz w:val="18"/>
                <w:szCs w:val="18"/>
              </w:rPr>
              <w:t>101</w:t>
            </w:r>
            <w:r>
              <w:rPr>
                <w:rFonts w:ascii="宋体" w:hAnsi="宋体" w:cs="宋体" w:eastAsia="宋体" w:hint="default"/>
                <w:spacing w:val="5"/>
                <w:sz w:val="18"/>
                <w:szCs w:val="18"/>
              </w:rPr>
              <w:t>号</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4,340.64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8,580.59</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2,290.50</w:t>
            </w:r>
          </w:p>
        </w:tc>
      </w:tr>
      <w:tr>
        <w:trPr>
          <w:trHeight w:val="1982"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镇</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6703-05,6717-21,6223-3</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0,6732,6743,6736,6938,</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6734,6745,6746,6759,67</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66,6775,6776,6777,6779</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1,983.10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628.70</w:t>
            </w:r>
          </w:p>
        </w:tc>
        <w:tc>
          <w:tcPr>
            <w:tcW w:w="950" w:type="dxa"/>
            <w:vMerge/>
            <w:tcBorders>
              <w:left w:val="single" w:sz="4" w:space="0" w:color="000000"/>
              <w:bottom w:val="single" w:sz="4" w:space="0" w:color="000000"/>
              <w:right w:val="single" w:sz="4" w:space="0" w:color="000000"/>
            </w:tcBorders>
          </w:tcPr>
          <w:p>
            <w:pPr/>
          </w:p>
        </w:tc>
      </w:tr>
      <w:tr>
        <w:trPr>
          <w:trHeight w:val="1047"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 权 证 镇 字   </w:t>
            </w:r>
            <w:r>
              <w:rPr>
                <w:rFonts w:ascii="宋体" w:hAnsi="宋体" w:cs="宋体" w:eastAsia="宋体" w:hint="default"/>
                <w:spacing w:val="18"/>
                <w:sz w:val="18"/>
                <w:szCs w:val="18"/>
              </w:rPr>
              <w:t> </w:t>
            </w:r>
            <w:r>
              <w:rPr>
                <w:rFonts w:ascii="宋体" w:hAnsi="宋体" w:cs="宋体" w:eastAsia="宋体" w:hint="default"/>
                <w:sz w:val="18"/>
                <w:szCs w:val="18"/>
              </w:rPr>
              <w:t>第</w:t>
            </w:r>
          </w:p>
          <w:p>
            <w:pPr>
              <w:pStyle w:val="TableParagraph"/>
              <w:tabs>
                <w:tab w:pos="1648" w:val="left" w:leader="none"/>
              </w:tabs>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0201012672100111</w:t>
              <w:tab/>
            </w:r>
            <w:r>
              <w:rPr>
                <w:rFonts w:ascii="宋体" w:hAnsi="宋体" w:cs="宋体" w:eastAsia="宋体" w:hint="default"/>
                <w:sz w:val="18"/>
                <w:szCs w:val="18"/>
              </w:rPr>
              <w:t>号</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-020101267210161</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300" w:lineRule="auto" w:before="61"/>
              <w:ind w:left="4" w:right="-15"/>
              <w:jc w:val="both"/>
              <w:rPr>
                <w:rFonts w:ascii="宋体" w:hAnsi="宋体" w:cs="宋体" w:eastAsia="宋体" w:hint="default"/>
                <w:sz w:val="18"/>
                <w:szCs w:val="18"/>
              </w:rPr>
            </w:pPr>
            <w:r>
              <w:rPr>
                <w:rFonts w:ascii="宋体" w:hAnsi="宋体" w:cs="宋体" w:eastAsia="宋体" w:hint="default"/>
                <w:spacing w:val="14"/>
                <w:sz w:val="18"/>
                <w:szCs w:val="18"/>
              </w:rPr>
              <w:t>东吴路</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2"/>
                <w:sz w:val="18"/>
                <w:szCs w:val="18"/>
              </w:rPr>
              <w:t> </w:t>
            </w:r>
            <w:r>
              <w:rPr>
                <w:rFonts w:ascii="宋体" w:hAnsi="宋体" w:cs="宋体" w:eastAsia="宋体" w:hint="default"/>
                <w:spacing w:val="15"/>
                <w:sz w:val="18"/>
                <w:szCs w:val="18"/>
              </w:rPr>
              <w:t>号中南世</w:t>
            </w:r>
            <w:r>
              <w:rPr>
                <w:rFonts w:ascii="宋体" w:hAnsi="宋体" w:cs="宋体" w:eastAsia="宋体" w:hint="default"/>
                <w:spacing w:val="-88"/>
                <w:sz w:val="18"/>
                <w:szCs w:val="18"/>
              </w:rPr>
              <w:t> </w:t>
            </w:r>
            <w:r>
              <w:rPr>
                <w:rFonts w:ascii="宋体" w:hAnsi="宋体" w:cs="宋体" w:eastAsia="宋体" w:hint="default"/>
                <w:spacing w:val="10"/>
                <w:sz w:val="18"/>
                <w:szCs w:val="18"/>
              </w:rPr>
              <w:t>纪城</w:t>
            </w:r>
            <w:r>
              <w:rPr>
                <w:rFonts w:ascii="Times New Roman" w:hAnsi="Times New Roman" w:cs="Times New Roman" w:eastAsia="Times New Roman" w:hint="default"/>
                <w:spacing w:val="10"/>
                <w:sz w:val="18"/>
                <w:szCs w:val="18"/>
              </w:rPr>
              <w:t>9</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幢第</w:t>
            </w:r>
            <w:r>
              <w:rPr>
                <w:rFonts w:ascii="Times New Roman" w:hAnsi="Times New Roman" w:cs="Times New Roman" w:eastAsia="Times New Roman" w:hint="default"/>
                <w:spacing w:val="10"/>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至第</w:t>
            </w:r>
            <w:r>
              <w:rPr>
                <w:rFonts w:ascii="Times New Roman" w:hAnsi="Times New Roman" w:cs="Times New Roman" w:eastAsia="Times New Roman" w:hint="default"/>
                <w:spacing w:val="10"/>
                <w:sz w:val="18"/>
                <w:szCs w:val="18"/>
              </w:rPr>
              <w:t>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层</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室</w:t>
            </w:r>
            <w:r>
              <w:rPr>
                <w:rFonts w:ascii="Times New Roman" w:hAnsi="Times New Roman" w:cs="Times New Roman" w:eastAsia="Times New Roman" w:hint="default"/>
                <w:sz w:val="18"/>
                <w:szCs w:val="18"/>
              </w:rPr>
              <w:t>-116</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1,718.75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3,416.74</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443" w:right="0"/>
              <w:jc w:val="left"/>
              <w:rPr>
                <w:rFonts w:ascii="Times New Roman" w:hAnsi="Times New Roman" w:cs="Times New Roman" w:eastAsia="Times New Roman" w:hint="default"/>
                <w:sz w:val="18"/>
                <w:szCs w:val="18"/>
              </w:rPr>
            </w:pPr>
            <w:r>
              <w:rPr>
                <w:rFonts w:ascii="Times New Roman"/>
                <w:sz w:val="18"/>
              </w:rPr>
              <w:t>899.42</w:t>
            </w:r>
          </w:p>
        </w:tc>
      </w:tr>
      <w:tr>
        <w:trPr>
          <w:trHeight w:val="198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镇</w:t>
            </w:r>
            <w:r>
              <w:rPr>
                <w:rFonts w:ascii="宋体" w:hAnsi="宋体" w:cs="宋体" w:eastAsia="宋体" w:hint="default"/>
                <w:spacing w:val="-28"/>
                <w:sz w:val="18"/>
                <w:szCs w:val="18"/>
              </w:rPr>
              <w:t> </w:t>
            </w:r>
            <w:r>
              <w:rPr>
                <w:rFonts w:ascii="宋体" w:hAnsi="宋体" w:cs="宋体" w:eastAsia="宋体" w:hint="default"/>
                <w:sz w:val="18"/>
                <w:szCs w:val="18"/>
              </w:rPr>
              <w:t>国</w:t>
            </w:r>
            <w:r>
              <w:rPr>
                <w:rFonts w:ascii="宋体" w:hAnsi="宋体" w:cs="宋体" w:eastAsia="宋体" w:hint="default"/>
                <w:spacing w:val="-28"/>
                <w:sz w:val="18"/>
                <w:szCs w:val="18"/>
              </w:rPr>
              <w:t> </w:t>
            </w:r>
            <w:r>
              <w:rPr>
                <w:rFonts w:ascii="宋体" w:hAnsi="宋体" w:cs="宋体" w:eastAsia="宋体" w:hint="default"/>
                <w:sz w:val="18"/>
                <w:szCs w:val="18"/>
              </w:rPr>
              <w:t>用</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第</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12497,12499,12475,125</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01,12492,12495,12488,1</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2489,12485,12484,1248</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2,12481,12479,12477,12</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461,12474</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1,056.20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307.62</w:t>
            </w:r>
          </w:p>
        </w:tc>
        <w:tc>
          <w:tcPr>
            <w:tcW w:w="950" w:type="dxa"/>
            <w:vMerge/>
            <w:tcBorders>
              <w:left w:val="single" w:sz="4" w:space="0" w:color="000000"/>
              <w:bottom w:val="single" w:sz="4" w:space="0" w:color="000000"/>
              <w:right w:val="single" w:sz="4" w:space="0" w:color="000000"/>
            </w:tcBorders>
          </w:tcPr>
          <w:p>
            <w:pPr/>
          </w:p>
        </w:tc>
      </w:tr>
      <w:tr>
        <w:trPr>
          <w:trHeight w:val="1047"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71001418-19</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0"/>
              <w:jc w:val="both"/>
              <w:rPr>
                <w:rFonts w:ascii="宋体" w:hAnsi="宋体" w:cs="宋体" w:eastAsia="宋体" w:hint="default"/>
                <w:sz w:val="18"/>
                <w:szCs w:val="18"/>
              </w:rPr>
            </w:pPr>
            <w:r>
              <w:rPr>
                <w:rFonts w:ascii="宋体" w:hAnsi="宋体" w:cs="宋体" w:eastAsia="宋体" w:hint="default"/>
                <w:spacing w:val="16"/>
                <w:sz w:val="18"/>
                <w:szCs w:val="18"/>
              </w:rPr>
              <w:t>中南世纪城桃园路</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号附</w:t>
            </w:r>
            <w:r>
              <w:rPr>
                <w:rFonts w:ascii="Times New Roman" w:hAnsi="Times New Roman" w:cs="Times New Roman" w:eastAsia="Times New Roman" w:hint="default"/>
                <w:sz w:val="18"/>
                <w:szCs w:val="18"/>
              </w:rPr>
              <w:t>10</w:t>
            </w:r>
            <w:r>
              <w:rPr>
                <w:rFonts w:ascii="宋体" w:hAnsi="宋体" w:cs="宋体" w:eastAsia="宋体" w:hint="default"/>
                <w:sz w:val="18"/>
                <w:szCs w:val="18"/>
              </w:rPr>
              <w:t>号</w:t>
            </w:r>
            <w:r>
              <w:rPr>
                <w:rFonts w:ascii="Times New Roman" w:hAnsi="Times New Roman" w:cs="Times New Roman" w:eastAsia="Times New Roman" w:hint="default"/>
                <w:sz w:val="18"/>
                <w:szCs w:val="18"/>
              </w:rPr>
              <w:t>301</w:t>
            </w:r>
            <w:r>
              <w:rPr>
                <w:rFonts w:ascii="宋体" w:hAnsi="宋体" w:cs="宋体" w:eastAsia="宋体" w:hint="default"/>
                <w:sz w:val="18"/>
                <w:szCs w:val="18"/>
              </w:rPr>
              <w:t>、</w:t>
            </w:r>
            <w:r>
              <w:rPr>
                <w:rFonts w:ascii="Times New Roman" w:hAnsi="Times New Roman" w:cs="Times New Roman" w:eastAsia="Times New Roman" w:hint="default"/>
                <w:sz w:val="18"/>
                <w:szCs w:val="18"/>
              </w:rPr>
              <w:t>A38</w:t>
            </w:r>
            <w:r>
              <w:rPr>
                <w:rFonts w:ascii="宋体" w:hAnsi="宋体" w:cs="宋体" w:eastAsia="宋体" w:hint="default"/>
                <w:sz w:val="18"/>
                <w:szCs w:val="18"/>
              </w:rPr>
              <w:t>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302</w:t>
            </w:r>
            <w:r>
              <w:rPr>
                <w:rFonts w:ascii="宋体" w:hAnsi="宋体" w:cs="宋体" w:eastAsia="宋体" w:hint="default"/>
                <w:sz w:val="18"/>
                <w:szCs w:val="18"/>
              </w:rPr>
              <w:t>室、</w:t>
            </w:r>
            <w:r>
              <w:rPr>
                <w:rFonts w:ascii="Times New Roman" w:hAnsi="Times New Roman" w:cs="Times New Roman" w:eastAsia="Times New Roman" w:hint="default"/>
                <w:sz w:val="18"/>
                <w:szCs w:val="18"/>
              </w:rPr>
              <w:t>402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4,102.51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3,351.95</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1,739.48</w:t>
            </w:r>
          </w:p>
        </w:tc>
      </w:tr>
      <w:tr>
        <w:trPr>
          <w:trHeight w:val="1046"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01102220</w:t>
            </w:r>
            <w:r>
              <w:rPr>
                <w:rFonts w:ascii="宋体" w:hAnsi="宋体" w:cs="宋体" w:eastAsia="宋体" w:hint="default"/>
                <w:sz w:val="18"/>
                <w:szCs w:val="18"/>
              </w:rPr>
              <w:t>号、</w:t>
            </w:r>
            <w:r>
              <w:rPr>
                <w:rFonts w:ascii="Times New Roman" w:hAnsi="Times New Roman" w:cs="Times New Roman" w:eastAsia="Times New Roman" w:hint="default"/>
                <w:sz w:val="18"/>
                <w:szCs w:val="18"/>
              </w:rPr>
              <w:t>01102234</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4" w:right="-17"/>
              <w:jc w:val="both"/>
              <w:rPr>
                <w:rFonts w:ascii="宋体" w:hAnsi="宋体" w:cs="宋体" w:eastAsia="宋体" w:hint="default"/>
                <w:sz w:val="18"/>
                <w:szCs w:val="18"/>
              </w:rPr>
            </w:pPr>
            <w:r>
              <w:rPr>
                <w:rFonts w:ascii="宋体" w:hAnsi="宋体" w:cs="宋体" w:eastAsia="宋体" w:hint="default"/>
                <w:spacing w:val="32"/>
                <w:sz w:val="18"/>
                <w:szCs w:val="18"/>
              </w:rPr>
              <w:t>桃园路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pacing w:val="24"/>
                <w:sz w:val="18"/>
                <w:szCs w:val="18"/>
              </w:rPr>
              <w:t>号附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A38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弄</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25"/>
                <w:sz w:val="18"/>
                <w:szCs w:val="18"/>
              </w:rPr>
              <w:t> </w:t>
            </w:r>
            <w:r>
              <w:rPr>
                <w:rFonts w:ascii="宋体" w:hAnsi="宋体" w:cs="宋体" w:eastAsia="宋体" w:hint="default"/>
                <w:spacing w:val="9"/>
                <w:sz w:val="18"/>
                <w:szCs w:val="18"/>
              </w:rPr>
              <w:t>室、</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A38</w:t>
            </w:r>
            <w:r>
              <w:rPr>
                <w:rFonts w:ascii="宋体" w:hAnsi="宋体" w:cs="宋体" w:eastAsia="宋体" w:hint="default"/>
                <w:sz w:val="18"/>
                <w:szCs w:val="18"/>
              </w:rPr>
              <w:t>弄</w:t>
            </w:r>
            <w:r>
              <w:rPr>
                <w:rFonts w:ascii="Times New Roman" w:hAnsi="Times New Roman" w:cs="Times New Roman" w:eastAsia="Times New Roman" w:hint="default"/>
                <w:sz w:val="18"/>
                <w:szCs w:val="18"/>
              </w:rPr>
              <w:t>402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1,624.22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1,136.95</w:t>
            </w:r>
          </w:p>
        </w:tc>
        <w:tc>
          <w:tcPr>
            <w:tcW w:w="950" w:type="dxa"/>
            <w:vMerge/>
            <w:tcBorders>
              <w:left w:val="single" w:sz="4" w:space="0" w:color="000000"/>
              <w:bottom w:val="single" w:sz="4" w:space="0" w:color="000000"/>
              <w:right w:val="single" w:sz="4" w:space="0" w:color="000000"/>
            </w:tcBorders>
          </w:tcPr>
          <w:p>
            <w:pPr/>
          </w:p>
        </w:tc>
      </w:tr>
      <w:tr>
        <w:trPr>
          <w:trHeight w:val="732"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01101696</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南通市崇川区桃园路</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826.48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661.18</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352" w:right="0"/>
              <w:jc w:val="left"/>
              <w:rPr>
                <w:rFonts w:ascii="Times New Roman" w:hAnsi="Times New Roman" w:cs="Times New Roman" w:eastAsia="Times New Roman" w:hint="default"/>
                <w:sz w:val="18"/>
                <w:szCs w:val="18"/>
              </w:rPr>
            </w:pPr>
            <w:r>
              <w:rPr>
                <w:rFonts w:ascii="Times New Roman"/>
                <w:sz w:val="18"/>
              </w:rPr>
              <w:t>4178.06</w:t>
            </w: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140036958</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6,651.77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31,461.54</w:t>
            </w:r>
          </w:p>
        </w:tc>
        <w:tc>
          <w:tcPr>
            <w:tcW w:w="950" w:type="dxa"/>
            <w:vMerge/>
            <w:tcBorders>
              <w:left w:val="single" w:sz="4" w:space="0" w:color="000000"/>
              <w:bottom w:val="single" w:sz="4" w:space="0" w:color="000000"/>
              <w:right w:val="single" w:sz="4" w:space="0" w:color="000000"/>
            </w:tcBorders>
          </w:tcPr>
          <w:p>
            <w:pPr/>
          </w:p>
        </w:tc>
      </w:tr>
      <w:tr>
        <w:trPr>
          <w:trHeight w:val="735"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01101697</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6"/>
                <w:sz w:val="18"/>
                <w:szCs w:val="18"/>
              </w:rPr>
              <w:t>南通市崇川区桃园路</w:t>
            </w:r>
          </w:p>
          <w:p>
            <w:pPr>
              <w:pStyle w:val="TableParagraph"/>
              <w:spacing w:line="240" w:lineRule="auto" w:before="7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层</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817.63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654.10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4133.32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302"/>
        <w:gridCol w:w="723"/>
        <w:gridCol w:w="994"/>
        <w:gridCol w:w="950"/>
      </w:tblGrid>
      <w:tr>
        <w:trPr>
          <w:trHeight w:val="735"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140036957</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1" w:right="0"/>
              <w:jc w:val="left"/>
              <w:rPr>
                <w:rFonts w:ascii="Times New Roman" w:hAnsi="Times New Roman" w:cs="Times New Roman" w:eastAsia="Times New Roman" w:hint="default"/>
                <w:sz w:val="18"/>
                <w:szCs w:val="18"/>
              </w:rPr>
            </w:pPr>
            <w:r>
              <w:rPr>
                <w:rFonts w:ascii="Times New Roman"/>
                <w:sz w:val="18"/>
              </w:rPr>
              <w:t>6,580.54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20,231.21</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2919"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01102396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苏</w:t>
            </w:r>
            <w:r>
              <w:rPr>
                <w:rFonts w:ascii="宋体" w:hAnsi="宋体" w:cs="宋体" w:eastAsia="宋体" w:hint="default"/>
                <w:spacing w:val="-68"/>
                <w:sz w:val="18"/>
                <w:szCs w:val="18"/>
              </w:rPr>
              <w:t> </w:t>
            </w:r>
            <w:r>
              <w:rPr>
                <w:rFonts w:ascii="宋体" w:hAnsi="宋体" w:cs="宋体" w:eastAsia="宋体" w:hint="default"/>
                <w:spacing w:val="10"/>
                <w:sz w:val="18"/>
                <w:szCs w:val="18"/>
              </w:rPr>
              <w:t>通国</w:t>
            </w:r>
            <w:r>
              <w:rPr>
                <w:rFonts w:ascii="宋体" w:hAnsi="宋体" w:cs="宋体" w:eastAsia="宋体" w:hint="default"/>
                <w:spacing w:val="-68"/>
                <w:sz w:val="18"/>
                <w:szCs w:val="18"/>
              </w:rPr>
              <w:t> </w:t>
            </w:r>
            <w:r>
              <w:rPr>
                <w:rFonts w:ascii="宋体" w:hAnsi="宋体" w:cs="宋体" w:eastAsia="宋体" w:hint="default"/>
                <w:sz w:val="18"/>
                <w:szCs w:val="18"/>
              </w:rPr>
              <w:t>用</w:t>
            </w:r>
          </w:p>
          <w:p>
            <w:pPr>
              <w:pStyle w:val="TableParagraph"/>
              <w:spacing w:line="240" w:lineRule="auto" w:before="63"/>
              <w:ind w:left="7" w:right="-1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宋体" w:hAnsi="宋体" w:cs="宋体" w:eastAsia="宋体" w:hint="default"/>
                <w:spacing w:val="-70"/>
                <w:sz w:val="18"/>
                <w:szCs w:val="18"/>
              </w:rPr>
              <w:t>）</w:t>
            </w:r>
            <w:r>
              <w:rPr>
                <w:rFonts w:ascii="宋体" w:hAnsi="宋体" w:cs="宋体" w:eastAsia="宋体" w:hint="default"/>
                <w:spacing w:val="-3"/>
                <w:sz w:val="18"/>
                <w:szCs w:val="18"/>
              </w:rPr>
              <w:t>第</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53</w:t>
            </w:r>
            <w:r>
              <w:rPr>
                <w:rFonts w:ascii="宋体" w:hAnsi="宋体" w:cs="宋体" w:eastAsia="宋体" w:hint="default"/>
                <w:sz w:val="18"/>
                <w:szCs w:val="18"/>
              </w:rPr>
              <w:t>号</w:t>
            </w:r>
            <w:r>
              <w:rPr>
                <w:rFonts w:ascii="宋体" w:hAnsi="宋体" w:cs="宋体" w:eastAsia="宋体" w:hint="default"/>
                <w:spacing w:val="-74"/>
                <w:sz w:val="18"/>
                <w:szCs w:val="18"/>
              </w:rPr>
              <w:t>、</w:t>
            </w:r>
            <w:r>
              <w:rPr>
                <w:rFonts w:ascii="宋体" w:hAnsi="宋体" w:cs="宋体" w:eastAsia="宋体" w:hint="default"/>
                <w:sz w:val="18"/>
                <w:szCs w:val="18"/>
              </w:rPr>
            </w:r>
          </w:p>
          <w:p>
            <w:pPr>
              <w:pStyle w:val="TableParagraph"/>
              <w:spacing w:line="240" w:lineRule="auto" w:before="63"/>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01102369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苏</w:t>
            </w:r>
            <w:r>
              <w:rPr>
                <w:rFonts w:ascii="宋体" w:hAnsi="宋体" w:cs="宋体" w:eastAsia="宋体" w:hint="default"/>
                <w:spacing w:val="-68"/>
                <w:sz w:val="18"/>
                <w:szCs w:val="18"/>
              </w:rPr>
              <w:t> </w:t>
            </w:r>
            <w:r>
              <w:rPr>
                <w:rFonts w:ascii="宋体" w:hAnsi="宋体" w:cs="宋体" w:eastAsia="宋体" w:hint="default"/>
                <w:spacing w:val="10"/>
                <w:sz w:val="18"/>
                <w:szCs w:val="18"/>
              </w:rPr>
              <w:t>通国</w:t>
            </w:r>
            <w:r>
              <w:rPr>
                <w:rFonts w:ascii="宋体" w:hAnsi="宋体" w:cs="宋体" w:eastAsia="宋体" w:hint="default"/>
                <w:spacing w:val="-68"/>
                <w:sz w:val="18"/>
                <w:szCs w:val="18"/>
              </w:rPr>
              <w:t> </w:t>
            </w:r>
            <w:r>
              <w:rPr>
                <w:rFonts w:ascii="宋体" w:hAnsi="宋体" w:cs="宋体" w:eastAsia="宋体" w:hint="default"/>
                <w:sz w:val="18"/>
                <w:szCs w:val="18"/>
              </w:rPr>
              <w:t>用</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2007</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01102375</w:t>
            </w:r>
            <w:r>
              <w:rPr>
                <w:rFonts w:ascii="宋体" w:hAnsi="宋体" w:cs="宋体" w:eastAsia="宋体" w:hint="default"/>
                <w:spacing w:val="-5"/>
                <w:sz w:val="18"/>
                <w:szCs w:val="18"/>
              </w:rPr>
              <w:t>号</w:t>
            </w:r>
          </w:p>
          <w:p>
            <w:pPr>
              <w:pStyle w:val="TableParagraph"/>
              <w:spacing w:line="240" w:lineRule="auto" w:before="63"/>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01100394</w:t>
            </w:r>
            <w:r>
              <w:rPr>
                <w:rFonts w:ascii="宋体" w:hAnsi="宋体" w:cs="宋体" w:eastAsia="宋体" w:hint="default"/>
                <w:sz w:val="18"/>
                <w:szCs w:val="18"/>
              </w:rPr>
              <w:t>号、苏通国用</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）第</w:t>
            </w:r>
            <w:r>
              <w:rPr>
                <w:rFonts w:ascii="Times New Roman" w:hAnsi="Times New Roman" w:cs="Times New Roman" w:eastAsia="Times New Roman" w:hint="default"/>
                <w:sz w:val="18"/>
                <w:szCs w:val="18"/>
              </w:rPr>
              <w:t>01100395</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4" w:right="-3"/>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9</w:t>
            </w:r>
            <w:r>
              <w:rPr>
                <w:rFonts w:ascii="宋体" w:hAnsi="宋体" w:cs="宋体" w:eastAsia="宋体" w:hint="default"/>
                <w:sz w:val="18"/>
                <w:szCs w:val="18"/>
              </w:rPr>
              <w:t>号附</w:t>
            </w:r>
            <w:r>
              <w:rPr>
                <w:rFonts w:ascii="Times New Roman" w:hAnsi="Times New Roman" w:cs="Times New Roman" w:eastAsia="Times New Roman" w:hint="default"/>
                <w:sz w:val="18"/>
                <w:szCs w:val="18"/>
              </w:rPr>
              <w:t>8</w:t>
            </w:r>
            <w:r>
              <w:rPr>
                <w:rFonts w:ascii="宋体" w:hAnsi="宋体" w:cs="宋体" w:eastAsia="宋体" w:hint="default"/>
                <w:sz w:val="18"/>
                <w:szCs w:val="18"/>
              </w:rPr>
              <w:t>一层</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宋体" w:hAnsi="宋体" w:cs="宋体" w:eastAsia="宋体" w:hint="default"/>
                <w:spacing w:val="-86"/>
                <w:sz w:val="18"/>
                <w:szCs w:val="18"/>
              </w:rPr>
              <w:t> </w:t>
            </w:r>
            <w:r>
              <w:rPr>
                <w:rFonts w:ascii="宋体" w:hAnsi="宋体" w:cs="宋体" w:eastAsia="宋体" w:hint="default"/>
                <w:sz w:val="18"/>
                <w:szCs w:val="18"/>
              </w:rPr>
              <w:t>层 </w:t>
            </w:r>
            <w:r>
              <w:rPr>
                <w:rFonts w:ascii="宋体" w:hAnsi="宋体" w:cs="宋体" w:eastAsia="宋体" w:hint="default"/>
                <w:spacing w:val="7"/>
                <w:sz w:val="18"/>
                <w:szCs w:val="18"/>
              </w:rPr>
              <w:t>桃园路</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号附</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一层、 </w:t>
            </w:r>
            <w:r>
              <w:rPr>
                <w:rFonts w:ascii="宋体" w:hAnsi="宋体" w:cs="宋体" w:eastAsia="宋体" w:hint="default"/>
                <w:sz w:val="18"/>
                <w:szCs w:val="18"/>
              </w:rPr>
              <w:t>二层</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02" w:right="0"/>
              <w:jc w:val="left"/>
              <w:rPr>
                <w:rFonts w:ascii="宋体" w:hAnsi="宋体" w:cs="宋体" w:eastAsia="宋体" w:hint="default"/>
                <w:sz w:val="18"/>
                <w:szCs w:val="18"/>
              </w:rPr>
            </w:pPr>
            <w:r>
              <w:rPr>
                <w:rFonts w:ascii="宋体" w:hAnsi="宋体" w:cs="宋体" w:eastAsia="宋体" w:hint="default"/>
                <w:sz w:val="18"/>
                <w:szCs w:val="18"/>
              </w:rPr>
              <w:t>、</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Times New Roman" w:hAnsi="Times New Roman" w:cs="Times New Roman" w:eastAsia="Times New Roman" w:hint="default"/>
                <w:sz w:val="18"/>
                <w:szCs w:val="18"/>
              </w:rPr>
            </w:pPr>
            <w:r>
              <w:rPr>
                <w:rFonts w:ascii="Times New Roman"/>
                <w:sz w:val="18"/>
              </w:rPr>
              <w:t>5,204.92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259" w:right="0"/>
              <w:jc w:val="left"/>
              <w:rPr>
                <w:rFonts w:ascii="Times New Roman" w:hAnsi="Times New Roman" w:cs="Times New Roman" w:eastAsia="Times New Roman" w:hint="default"/>
                <w:sz w:val="18"/>
                <w:szCs w:val="18"/>
              </w:rPr>
            </w:pPr>
            <w:r>
              <w:rPr>
                <w:rFonts w:ascii="Times New Roman"/>
                <w:sz w:val="18"/>
              </w:rPr>
              <w:t>13,483.13</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4,773.78</w:t>
            </w:r>
          </w:p>
        </w:tc>
      </w:tr>
      <w:tr>
        <w:trPr>
          <w:trHeight w:val="5412"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1"/>
              <w:jc w:val="left"/>
              <w:rPr>
                <w:rFonts w:ascii="宋体" w:hAnsi="宋体" w:cs="宋体" w:eastAsia="宋体" w:hint="default"/>
                <w:sz w:val="18"/>
                <w:szCs w:val="18"/>
              </w:rPr>
            </w:pPr>
            <w:r>
              <w:rPr>
                <w:rFonts w:ascii="宋体" w:hAnsi="宋体" w:cs="宋体" w:eastAsia="宋体" w:hint="default"/>
                <w:spacing w:val="30"/>
                <w:sz w:val="18"/>
                <w:szCs w:val="18"/>
              </w:rPr>
              <w:t>房屋（共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8"/>
              <w:ind w:left="7" w:right="0"/>
              <w:jc w:val="both"/>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12113012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南</w:t>
            </w:r>
            <w:r>
              <w:rPr>
                <w:rFonts w:ascii="宋体" w:hAnsi="宋体" w:cs="宋体" w:eastAsia="宋体" w:hint="default"/>
                <w:spacing w:val="-68"/>
                <w:sz w:val="18"/>
                <w:szCs w:val="18"/>
              </w:rPr>
              <w:t> </w:t>
            </w:r>
            <w:r>
              <w:rPr>
                <w:rFonts w:ascii="宋体" w:hAnsi="宋体" w:cs="宋体" w:eastAsia="宋体" w:hint="default"/>
                <w:spacing w:val="10"/>
                <w:sz w:val="18"/>
                <w:szCs w:val="18"/>
              </w:rPr>
              <w:t>通房</w:t>
            </w:r>
            <w:r>
              <w:rPr>
                <w:rFonts w:ascii="宋体" w:hAnsi="宋体" w:cs="宋体" w:eastAsia="宋体" w:hint="default"/>
                <w:spacing w:val="-68"/>
                <w:sz w:val="18"/>
                <w:szCs w:val="18"/>
              </w:rPr>
              <w:t> </w:t>
            </w:r>
            <w:r>
              <w:rPr>
                <w:rFonts w:ascii="宋体" w:hAnsi="宋体" w:cs="宋体" w:eastAsia="宋体" w:hint="default"/>
                <w:sz w:val="18"/>
                <w:szCs w:val="18"/>
              </w:rPr>
              <w:t>权</w:t>
            </w:r>
            <w:r>
              <w:rPr>
                <w:rFonts w:ascii="宋体" w:hAnsi="宋体" w:cs="宋体" w:eastAsia="宋体" w:hint="default"/>
                <w:sz w:val="18"/>
                <w:szCs w:val="18"/>
              </w:rPr>
              <w:t> 证字第</w:t>
            </w:r>
            <w:r>
              <w:rPr>
                <w:rFonts w:ascii="Times New Roman" w:hAnsi="Times New Roman" w:cs="Times New Roman" w:eastAsia="Times New Roman" w:hint="default"/>
                <w:sz w:val="18"/>
                <w:szCs w:val="18"/>
              </w:rPr>
              <w:t>12113017</w:t>
            </w:r>
            <w:r>
              <w:rPr>
                <w:rFonts w:ascii="宋体" w:hAnsi="宋体" w:cs="宋体" w:eastAsia="宋体" w:hint="default"/>
                <w:sz w:val="18"/>
                <w:szCs w:val="18"/>
              </w:rPr>
              <w:t>号、南</w:t>
            </w:r>
            <w:r>
              <w:rPr>
                <w:rFonts w:ascii="宋体" w:hAnsi="宋体" w:cs="宋体" w:eastAsia="宋体" w:hint="default"/>
                <w:spacing w:val="-71"/>
                <w:sz w:val="18"/>
                <w:szCs w:val="18"/>
              </w:rPr>
              <w:t> </w:t>
            </w:r>
            <w:r>
              <w:rPr>
                <w:rFonts w:ascii="宋体" w:hAnsi="宋体" w:cs="宋体" w:eastAsia="宋体" w:hint="default"/>
                <w:sz w:val="18"/>
                <w:szCs w:val="18"/>
              </w:rPr>
              <w:t>通房权证字第</w:t>
            </w:r>
            <w:r>
              <w:rPr>
                <w:rFonts w:ascii="Times New Roman" w:hAnsi="Times New Roman" w:cs="Times New Roman" w:eastAsia="Times New Roman" w:hint="default"/>
                <w:sz w:val="18"/>
                <w:szCs w:val="18"/>
              </w:rPr>
              <w:t>12113082</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南</w:t>
            </w:r>
            <w:r>
              <w:rPr>
                <w:rFonts w:ascii="宋体" w:hAnsi="宋体" w:cs="宋体" w:eastAsia="宋体" w:hint="default"/>
                <w:spacing w:val="-50"/>
                <w:sz w:val="18"/>
                <w:szCs w:val="18"/>
              </w:rPr>
              <w:t> </w:t>
            </w:r>
            <w:r>
              <w:rPr>
                <w:rFonts w:ascii="宋体" w:hAnsi="宋体" w:cs="宋体" w:eastAsia="宋体" w:hint="default"/>
                <w:sz w:val="18"/>
                <w:szCs w:val="18"/>
              </w:rPr>
              <w:t>通</w:t>
            </w:r>
            <w:r>
              <w:rPr>
                <w:rFonts w:ascii="宋体" w:hAnsi="宋体" w:cs="宋体" w:eastAsia="宋体" w:hint="default"/>
                <w:spacing w:val="-52"/>
                <w:sz w:val="18"/>
                <w:szCs w:val="18"/>
              </w:rPr>
              <w:t> </w:t>
            </w:r>
            <w:r>
              <w:rPr>
                <w:rFonts w:ascii="宋体" w:hAnsi="宋体" w:cs="宋体" w:eastAsia="宋体" w:hint="default"/>
                <w:sz w:val="18"/>
                <w:szCs w:val="18"/>
              </w:rPr>
              <w:t>房</w:t>
            </w:r>
            <w:r>
              <w:rPr>
                <w:rFonts w:ascii="宋体" w:hAnsi="宋体" w:cs="宋体" w:eastAsia="宋体" w:hint="default"/>
                <w:spacing w:val="-50"/>
                <w:sz w:val="18"/>
                <w:szCs w:val="18"/>
              </w:rPr>
              <w:t> </w:t>
            </w:r>
            <w:r>
              <w:rPr>
                <w:rFonts w:ascii="宋体" w:hAnsi="宋体" w:cs="宋体" w:eastAsia="宋体" w:hint="default"/>
                <w:sz w:val="18"/>
                <w:szCs w:val="18"/>
              </w:rPr>
              <w:t>权</w:t>
            </w:r>
            <w:r>
              <w:rPr>
                <w:rFonts w:ascii="宋体" w:hAnsi="宋体" w:cs="宋体" w:eastAsia="宋体" w:hint="default"/>
                <w:spacing w:val="-50"/>
                <w:sz w:val="18"/>
                <w:szCs w:val="18"/>
              </w:rPr>
              <w:t> </w:t>
            </w:r>
            <w:r>
              <w:rPr>
                <w:rFonts w:ascii="宋体" w:hAnsi="宋体" w:cs="宋体" w:eastAsia="宋体" w:hint="default"/>
                <w:sz w:val="18"/>
                <w:szCs w:val="18"/>
              </w:rPr>
              <w:t>证</w:t>
            </w:r>
            <w:r>
              <w:rPr>
                <w:rFonts w:ascii="宋体" w:hAnsi="宋体" w:cs="宋体" w:eastAsia="宋体" w:hint="default"/>
                <w:spacing w:val="-52"/>
                <w:sz w:val="18"/>
                <w:szCs w:val="18"/>
              </w:rPr>
              <w:t> </w:t>
            </w:r>
            <w:r>
              <w:rPr>
                <w:rFonts w:ascii="宋体" w:hAnsi="宋体" w:cs="宋体" w:eastAsia="宋体" w:hint="default"/>
                <w:sz w:val="18"/>
                <w:szCs w:val="18"/>
              </w:rPr>
              <w:t>字</w:t>
            </w:r>
            <w:r>
              <w:rPr>
                <w:rFonts w:ascii="宋体" w:hAnsi="宋体" w:cs="宋体" w:eastAsia="宋体" w:hint="default"/>
                <w:spacing w:val="-50"/>
                <w:sz w:val="18"/>
                <w:szCs w:val="18"/>
              </w:rPr>
              <w:t> </w:t>
            </w:r>
            <w:r>
              <w:rPr>
                <w:rFonts w:ascii="宋体" w:hAnsi="宋体" w:cs="宋体" w:eastAsia="宋体" w:hint="default"/>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12113088</w:t>
            </w:r>
            <w:r>
              <w:rPr>
                <w:rFonts w:ascii="宋体" w:hAnsi="宋体" w:cs="宋体" w:eastAsia="宋体" w:hint="default"/>
                <w:sz w:val="18"/>
                <w:szCs w:val="18"/>
              </w:rPr>
              <w:t>号、南通房权</w:t>
            </w:r>
            <w:r>
              <w:rPr>
                <w:rFonts w:ascii="宋体" w:hAnsi="宋体" w:cs="宋体" w:eastAsia="宋体" w:hint="default"/>
                <w:spacing w:val="-77"/>
                <w:sz w:val="18"/>
                <w:szCs w:val="18"/>
              </w:rPr>
              <w:t> </w:t>
            </w:r>
            <w:r>
              <w:rPr>
                <w:rFonts w:ascii="宋体" w:hAnsi="宋体" w:cs="宋体" w:eastAsia="宋体" w:hint="default"/>
                <w:sz w:val="18"/>
                <w:szCs w:val="18"/>
              </w:rPr>
              <w:t>证字第</w:t>
            </w:r>
            <w:r>
              <w:rPr>
                <w:rFonts w:ascii="Times New Roman" w:hAnsi="Times New Roman" w:cs="Times New Roman" w:eastAsia="Times New Roman" w:hint="default"/>
                <w:sz w:val="18"/>
                <w:szCs w:val="18"/>
              </w:rPr>
              <w:t>12113043</w:t>
            </w:r>
            <w:r>
              <w:rPr>
                <w:rFonts w:ascii="宋体" w:hAnsi="宋体" w:cs="宋体" w:eastAsia="宋体" w:hint="default"/>
                <w:sz w:val="18"/>
                <w:szCs w:val="18"/>
              </w:rPr>
              <w:t>号、南</w:t>
            </w:r>
            <w:r>
              <w:rPr>
                <w:rFonts w:ascii="宋体" w:hAnsi="宋体" w:cs="宋体" w:eastAsia="宋体" w:hint="default"/>
                <w:spacing w:val="-71"/>
                <w:sz w:val="18"/>
                <w:szCs w:val="18"/>
              </w:rPr>
              <w:t> </w:t>
            </w:r>
            <w:r>
              <w:rPr>
                <w:rFonts w:ascii="宋体" w:hAnsi="宋体" w:cs="宋体" w:eastAsia="宋体" w:hint="default"/>
                <w:sz w:val="18"/>
                <w:szCs w:val="18"/>
              </w:rPr>
              <w:t>通房权证字第</w:t>
            </w:r>
            <w:r>
              <w:rPr>
                <w:rFonts w:ascii="Times New Roman" w:hAnsi="Times New Roman" w:cs="Times New Roman" w:eastAsia="Times New Roman" w:hint="default"/>
                <w:sz w:val="18"/>
                <w:szCs w:val="18"/>
              </w:rPr>
              <w:t>12113075</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南</w:t>
            </w:r>
            <w:r>
              <w:rPr>
                <w:rFonts w:ascii="宋体" w:hAnsi="宋体" w:cs="宋体" w:eastAsia="宋体" w:hint="default"/>
                <w:spacing w:val="-50"/>
                <w:sz w:val="18"/>
                <w:szCs w:val="18"/>
              </w:rPr>
              <w:t> </w:t>
            </w:r>
            <w:r>
              <w:rPr>
                <w:rFonts w:ascii="宋体" w:hAnsi="宋体" w:cs="宋体" w:eastAsia="宋体" w:hint="default"/>
                <w:sz w:val="18"/>
                <w:szCs w:val="18"/>
              </w:rPr>
              <w:t>通</w:t>
            </w:r>
            <w:r>
              <w:rPr>
                <w:rFonts w:ascii="宋体" w:hAnsi="宋体" w:cs="宋体" w:eastAsia="宋体" w:hint="default"/>
                <w:spacing w:val="-52"/>
                <w:sz w:val="18"/>
                <w:szCs w:val="18"/>
              </w:rPr>
              <w:t> </w:t>
            </w:r>
            <w:r>
              <w:rPr>
                <w:rFonts w:ascii="宋体" w:hAnsi="宋体" w:cs="宋体" w:eastAsia="宋体" w:hint="default"/>
                <w:sz w:val="18"/>
                <w:szCs w:val="18"/>
              </w:rPr>
              <w:t>房</w:t>
            </w:r>
            <w:r>
              <w:rPr>
                <w:rFonts w:ascii="宋体" w:hAnsi="宋体" w:cs="宋体" w:eastAsia="宋体" w:hint="default"/>
                <w:spacing w:val="-50"/>
                <w:sz w:val="18"/>
                <w:szCs w:val="18"/>
              </w:rPr>
              <w:t> </w:t>
            </w:r>
            <w:r>
              <w:rPr>
                <w:rFonts w:ascii="宋体" w:hAnsi="宋体" w:cs="宋体" w:eastAsia="宋体" w:hint="default"/>
                <w:sz w:val="18"/>
                <w:szCs w:val="18"/>
              </w:rPr>
              <w:t>权</w:t>
            </w:r>
            <w:r>
              <w:rPr>
                <w:rFonts w:ascii="宋体" w:hAnsi="宋体" w:cs="宋体" w:eastAsia="宋体" w:hint="default"/>
                <w:spacing w:val="-50"/>
                <w:sz w:val="18"/>
                <w:szCs w:val="18"/>
              </w:rPr>
              <w:t> </w:t>
            </w:r>
            <w:r>
              <w:rPr>
                <w:rFonts w:ascii="宋体" w:hAnsi="宋体" w:cs="宋体" w:eastAsia="宋体" w:hint="default"/>
                <w:sz w:val="18"/>
                <w:szCs w:val="18"/>
              </w:rPr>
              <w:t>证</w:t>
            </w:r>
            <w:r>
              <w:rPr>
                <w:rFonts w:ascii="宋体" w:hAnsi="宋体" w:cs="宋体" w:eastAsia="宋体" w:hint="default"/>
                <w:spacing w:val="-52"/>
                <w:sz w:val="18"/>
                <w:szCs w:val="18"/>
              </w:rPr>
              <w:t> </w:t>
            </w:r>
            <w:r>
              <w:rPr>
                <w:rFonts w:ascii="宋体" w:hAnsi="宋体" w:cs="宋体" w:eastAsia="宋体" w:hint="default"/>
                <w:sz w:val="18"/>
                <w:szCs w:val="18"/>
              </w:rPr>
              <w:t>字</w:t>
            </w:r>
            <w:r>
              <w:rPr>
                <w:rFonts w:ascii="宋体" w:hAnsi="宋体" w:cs="宋体" w:eastAsia="宋体" w:hint="default"/>
                <w:spacing w:val="-50"/>
                <w:sz w:val="18"/>
                <w:szCs w:val="18"/>
              </w:rPr>
              <w:t> </w:t>
            </w:r>
            <w:r>
              <w:rPr>
                <w:rFonts w:ascii="宋体" w:hAnsi="宋体" w:cs="宋体" w:eastAsia="宋体" w:hint="default"/>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12113077</w:t>
            </w:r>
            <w:r>
              <w:rPr>
                <w:rFonts w:ascii="宋体" w:hAnsi="宋体" w:cs="宋体" w:eastAsia="宋体" w:hint="default"/>
                <w:sz w:val="18"/>
                <w:szCs w:val="18"/>
              </w:rPr>
              <w:t>号、南通房权</w:t>
            </w:r>
            <w:r>
              <w:rPr>
                <w:rFonts w:ascii="宋体" w:hAnsi="宋体" w:cs="宋体" w:eastAsia="宋体" w:hint="default"/>
                <w:spacing w:val="-77"/>
                <w:sz w:val="18"/>
                <w:szCs w:val="18"/>
              </w:rPr>
              <w:t> </w:t>
            </w:r>
            <w:r>
              <w:rPr>
                <w:rFonts w:ascii="宋体" w:hAnsi="宋体" w:cs="宋体" w:eastAsia="宋体" w:hint="default"/>
                <w:sz w:val="18"/>
                <w:szCs w:val="18"/>
              </w:rPr>
              <w:t>证字第</w:t>
            </w:r>
            <w:r>
              <w:rPr>
                <w:rFonts w:ascii="Times New Roman" w:hAnsi="Times New Roman" w:cs="Times New Roman" w:eastAsia="Times New Roman" w:hint="default"/>
                <w:sz w:val="18"/>
                <w:szCs w:val="18"/>
              </w:rPr>
              <w:t>12113018</w:t>
            </w:r>
            <w:r>
              <w:rPr>
                <w:rFonts w:ascii="宋体" w:hAnsi="宋体" w:cs="宋体" w:eastAsia="宋体" w:hint="default"/>
                <w:sz w:val="18"/>
                <w:szCs w:val="18"/>
              </w:rPr>
              <w:t>号、南</w:t>
            </w:r>
            <w:r>
              <w:rPr>
                <w:rFonts w:ascii="宋体" w:hAnsi="宋体" w:cs="宋体" w:eastAsia="宋体" w:hint="default"/>
                <w:spacing w:val="-71"/>
                <w:sz w:val="18"/>
                <w:szCs w:val="18"/>
              </w:rPr>
              <w:t> </w:t>
            </w:r>
            <w:r>
              <w:rPr>
                <w:rFonts w:ascii="宋体" w:hAnsi="宋体" w:cs="宋体" w:eastAsia="宋体" w:hint="default"/>
                <w:sz w:val="18"/>
                <w:szCs w:val="18"/>
              </w:rPr>
              <w:t>通房权证字第</w:t>
            </w:r>
            <w:r>
              <w:rPr>
                <w:rFonts w:ascii="Times New Roman" w:hAnsi="Times New Roman" w:cs="Times New Roman" w:eastAsia="Times New Roman" w:hint="default"/>
                <w:sz w:val="18"/>
                <w:szCs w:val="18"/>
              </w:rPr>
              <w:t>12113038</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南</w:t>
            </w:r>
            <w:r>
              <w:rPr>
                <w:rFonts w:ascii="宋体" w:hAnsi="宋体" w:cs="宋体" w:eastAsia="宋体" w:hint="default"/>
                <w:spacing w:val="-50"/>
                <w:sz w:val="18"/>
                <w:szCs w:val="18"/>
              </w:rPr>
              <w:t> </w:t>
            </w:r>
            <w:r>
              <w:rPr>
                <w:rFonts w:ascii="宋体" w:hAnsi="宋体" w:cs="宋体" w:eastAsia="宋体" w:hint="default"/>
                <w:sz w:val="18"/>
                <w:szCs w:val="18"/>
              </w:rPr>
              <w:t>通</w:t>
            </w:r>
            <w:r>
              <w:rPr>
                <w:rFonts w:ascii="宋体" w:hAnsi="宋体" w:cs="宋体" w:eastAsia="宋体" w:hint="default"/>
                <w:spacing w:val="-52"/>
                <w:sz w:val="18"/>
                <w:szCs w:val="18"/>
              </w:rPr>
              <w:t> </w:t>
            </w:r>
            <w:r>
              <w:rPr>
                <w:rFonts w:ascii="宋体" w:hAnsi="宋体" w:cs="宋体" w:eastAsia="宋体" w:hint="default"/>
                <w:sz w:val="18"/>
                <w:szCs w:val="18"/>
              </w:rPr>
              <w:t>房</w:t>
            </w:r>
            <w:r>
              <w:rPr>
                <w:rFonts w:ascii="宋体" w:hAnsi="宋体" w:cs="宋体" w:eastAsia="宋体" w:hint="default"/>
                <w:spacing w:val="-50"/>
                <w:sz w:val="18"/>
                <w:szCs w:val="18"/>
              </w:rPr>
              <w:t> </w:t>
            </w:r>
            <w:r>
              <w:rPr>
                <w:rFonts w:ascii="宋体" w:hAnsi="宋体" w:cs="宋体" w:eastAsia="宋体" w:hint="default"/>
                <w:sz w:val="18"/>
                <w:szCs w:val="18"/>
              </w:rPr>
              <w:t>权</w:t>
            </w:r>
            <w:r>
              <w:rPr>
                <w:rFonts w:ascii="宋体" w:hAnsi="宋体" w:cs="宋体" w:eastAsia="宋体" w:hint="default"/>
                <w:spacing w:val="-50"/>
                <w:sz w:val="18"/>
                <w:szCs w:val="18"/>
              </w:rPr>
              <w:t> </w:t>
            </w:r>
            <w:r>
              <w:rPr>
                <w:rFonts w:ascii="宋体" w:hAnsi="宋体" w:cs="宋体" w:eastAsia="宋体" w:hint="default"/>
                <w:sz w:val="18"/>
                <w:szCs w:val="18"/>
              </w:rPr>
              <w:t>证</w:t>
            </w:r>
            <w:r>
              <w:rPr>
                <w:rFonts w:ascii="宋体" w:hAnsi="宋体" w:cs="宋体" w:eastAsia="宋体" w:hint="default"/>
                <w:spacing w:val="-52"/>
                <w:sz w:val="18"/>
                <w:szCs w:val="18"/>
              </w:rPr>
              <w:t> </w:t>
            </w:r>
            <w:r>
              <w:rPr>
                <w:rFonts w:ascii="宋体" w:hAnsi="宋体" w:cs="宋体" w:eastAsia="宋体" w:hint="default"/>
                <w:sz w:val="18"/>
                <w:szCs w:val="18"/>
              </w:rPr>
              <w:t>字</w:t>
            </w:r>
            <w:r>
              <w:rPr>
                <w:rFonts w:ascii="宋体" w:hAnsi="宋体" w:cs="宋体" w:eastAsia="宋体" w:hint="default"/>
                <w:spacing w:val="-50"/>
                <w:sz w:val="18"/>
                <w:szCs w:val="18"/>
              </w:rPr>
              <w:t> </w:t>
            </w:r>
            <w:r>
              <w:rPr>
                <w:rFonts w:ascii="宋体" w:hAnsi="宋体" w:cs="宋体" w:eastAsia="宋体" w:hint="default"/>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12113042</w:t>
            </w:r>
            <w:r>
              <w:rPr>
                <w:rFonts w:ascii="宋体" w:hAnsi="宋体" w:cs="宋体" w:eastAsia="宋体" w:hint="default"/>
                <w:sz w:val="18"/>
                <w:szCs w:val="18"/>
              </w:rPr>
              <w:t>号、南通房权</w:t>
            </w:r>
            <w:r>
              <w:rPr>
                <w:rFonts w:ascii="宋体" w:hAnsi="宋体" w:cs="宋体" w:eastAsia="宋体" w:hint="default"/>
                <w:spacing w:val="-77"/>
                <w:sz w:val="18"/>
                <w:szCs w:val="18"/>
              </w:rPr>
              <w:t> </w:t>
            </w:r>
            <w:r>
              <w:rPr>
                <w:rFonts w:ascii="宋体" w:hAnsi="宋体" w:cs="宋体" w:eastAsia="宋体" w:hint="default"/>
                <w:sz w:val="18"/>
                <w:szCs w:val="18"/>
              </w:rPr>
              <w:t>证字第</w:t>
            </w:r>
            <w:r>
              <w:rPr>
                <w:rFonts w:ascii="Times New Roman" w:hAnsi="Times New Roman" w:cs="Times New Roman" w:eastAsia="Times New Roman" w:hint="default"/>
                <w:sz w:val="18"/>
                <w:szCs w:val="18"/>
              </w:rPr>
              <w:t>12113415</w:t>
            </w:r>
            <w:r>
              <w:rPr>
                <w:rFonts w:ascii="宋体" w:hAnsi="宋体" w:cs="宋体" w:eastAsia="宋体" w:hint="default"/>
                <w:sz w:val="18"/>
                <w:szCs w:val="18"/>
              </w:rPr>
              <w:t>号、南</w:t>
            </w:r>
            <w:r>
              <w:rPr>
                <w:rFonts w:ascii="宋体" w:hAnsi="宋体" w:cs="宋体" w:eastAsia="宋体" w:hint="default"/>
                <w:spacing w:val="-71"/>
                <w:sz w:val="18"/>
                <w:szCs w:val="18"/>
              </w:rPr>
              <w:t> </w:t>
            </w:r>
            <w:r>
              <w:rPr>
                <w:rFonts w:ascii="宋体" w:hAnsi="宋体" w:cs="宋体" w:eastAsia="宋体" w:hint="default"/>
                <w:sz w:val="18"/>
                <w:szCs w:val="18"/>
              </w:rPr>
              <w:t>通房权证字第</w:t>
            </w:r>
            <w:r>
              <w:rPr>
                <w:rFonts w:ascii="Times New Roman" w:hAnsi="Times New Roman" w:cs="Times New Roman" w:eastAsia="Times New Roman" w:hint="default"/>
                <w:sz w:val="18"/>
                <w:szCs w:val="18"/>
              </w:rPr>
              <w:t>12113414</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号等共</w:t>
            </w:r>
            <w:r>
              <w:rPr>
                <w:rFonts w:ascii="Times New Roman" w:hAnsi="Times New Roman" w:cs="Times New Roman" w:eastAsia="Times New Roman" w:hint="default"/>
                <w:sz w:val="18"/>
                <w:szCs w:val="18"/>
              </w:rPr>
              <w:t>68</w:t>
            </w:r>
            <w:r>
              <w:rPr>
                <w:rFonts w:ascii="宋体" w:hAnsi="宋体" w:cs="宋体" w:eastAsia="宋体" w:hint="default"/>
                <w:sz w:val="18"/>
                <w:szCs w:val="18"/>
              </w:rPr>
              <w:t>套</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4" w:right="-3"/>
              <w:jc w:val="left"/>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z w:val="18"/>
                <w:szCs w:val="18"/>
              </w:rPr>
              <w:t>9</w:t>
            </w:r>
            <w:r>
              <w:rPr>
                <w:rFonts w:ascii="宋体" w:hAnsi="宋体" w:cs="宋体" w:eastAsia="宋体" w:hint="default"/>
                <w:sz w:val="18"/>
                <w:szCs w:val="18"/>
              </w:rPr>
              <w:t>号附</w:t>
            </w:r>
            <w:r>
              <w:rPr>
                <w:rFonts w:ascii="Times New Roman" w:hAnsi="Times New Roman" w:cs="Times New Roman" w:eastAsia="Times New Roman" w:hint="default"/>
                <w:sz w:val="18"/>
                <w:szCs w:val="18"/>
              </w:rPr>
              <w:t>8</w:t>
            </w:r>
            <w:r>
              <w:rPr>
                <w:rFonts w:ascii="宋体" w:hAnsi="宋体" w:cs="宋体" w:eastAsia="宋体" w:hint="default"/>
                <w:sz w:val="18"/>
                <w:szCs w:val="18"/>
              </w:rPr>
              <w:t>一层</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宋体" w:hAnsi="宋体" w:cs="宋体" w:eastAsia="宋体" w:hint="default"/>
                <w:spacing w:val="-86"/>
                <w:sz w:val="18"/>
                <w:szCs w:val="18"/>
              </w:rPr>
              <w:t> </w:t>
            </w:r>
            <w:r>
              <w:rPr>
                <w:rFonts w:ascii="宋体" w:hAnsi="宋体" w:cs="宋体" w:eastAsia="宋体" w:hint="default"/>
                <w:sz w:val="18"/>
                <w:szCs w:val="18"/>
              </w:rPr>
              <w:t>层 </w:t>
            </w:r>
            <w:r>
              <w:rPr>
                <w:rFonts w:ascii="宋体" w:hAnsi="宋体" w:cs="宋体" w:eastAsia="宋体" w:hint="default"/>
                <w:spacing w:val="7"/>
                <w:sz w:val="18"/>
                <w:szCs w:val="18"/>
              </w:rPr>
              <w:t>桃园路</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号附</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一层、 </w:t>
            </w:r>
            <w:r>
              <w:rPr>
                <w:rFonts w:ascii="宋体" w:hAnsi="宋体" w:cs="宋体" w:eastAsia="宋体" w:hint="default"/>
                <w:sz w:val="18"/>
                <w:szCs w:val="18"/>
              </w:rPr>
              <w:t>二层</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Times New Roman" w:hAnsi="Times New Roman" w:cs="Times New Roman" w:eastAsia="Times New Roman" w:hint="default"/>
                <w:sz w:val="18"/>
                <w:szCs w:val="18"/>
              </w:rPr>
            </w:pPr>
            <w:r>
              <w:rPr>
                <w:rFonts w:ascii="Times New Roman"/>
                <w:sz w:val="18"/>
              </w:rPr>
              <w:t>6,573.77</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江苏中南建筑产业集团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17"/>
              <w:jc w:val="left"/>
              <w:rPr>
                <w:rFonts w:ascii="宋体" w:hAnsi="宋体" w:cs="宋体" w:eastAsia="宋体" w:hint="default"/>
                <w:sz w:val="18"/>
                <w:szCs w:val="18"/>
              </w:rPr>
            </w:pPr>
            <w:r>
              <w:rPr>
                <w:rFonts w:ascii="宋体" w:hAnsi="宋体" w:cs="宋体" w:eastAsia="宋体" w:hint="default"/>
                <w:spacing w:val="30"/>
                <w:sz w:val="18"/>
                <w:szCs w:val="18"/>
              </w:rPr>
              <w:t>应收账款</w:t>
            </w:r>
            <w:r>
              <w:rPr>
                <w:rFonts w:ascii="宋体" w:hAnsi="宋体" w:cs="宋体" w:eastAsia="宋体" w:hint="default"/>
                <w:spacing w:val="-50"/>
                <w:sz w:val="18"/>
                <w:szCs w:val="18"/>
              </w:rPr>
              <w:t> </w:t>
            </w:r>
            <w:r>
              <w:rPr>
                <w:rFonts w:ascii="宋体" w:hAnsi="宋体" w:cs="宋体" w:eastAsia="宋体" w:hint="default"/>
                <w:sz w:val="18"/>
                <w:szCs w:val="18"/>
              </w:rPr>
              <w:t>质</w:t>
            </w:r>
            <w:r>
              <w:rPr>
                <w:rFonts w:ascii="宋体" w:hAnsi="宋体" w:cs="宋体" w:eastAsia="宋体" w:hint="default"/>
                <w:spacing w:val="-73"/>
                <w:sz w:val="18"/>
                <w:szCs w:val="18"/>
              </w:rPr>
              <w:t> </w:t>
            </w:r>
            <w:r>
              <w:rPr>
                <w:rFonts w:ascii="宋体" w:hAnsi="宋体" w:cs="宋体" w:eastAsia="宋体" w:hint="default"/>
                <w:sz w:val="18"/>
                <w:szCs w:val="18"/>
              </w:rPr>
              <w:t>押</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hAnsi="宋体" w:cs="宋体" w:eastAsia="宋体" w:hint="default"/>
                <w:sz w:val="18"/>
                <w:szCs w:val="18"/>
              </w:rPr>
              <w:t>和黄西安（</w:t>
            </w:r>
            <w:r>
              <w:rPr>
                <w:rFonts w:ascii="Times New Roman" w:hAnsi="Times New Roman" w:cs="Times New Roman" w:eastAsia="Times New Roman" w:hint="default"/>
                <w:sz w:val="18"/>
                <w:szCs w:val="18"/>
              </w:rPr>
              <w:t>201302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3,674.90</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359"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01102590</w:t>
            </w:r>
            <w:r>
              <w:rPr>
                <w:rFonts w:ascii="宋体" w:hAnsi="宋体" w:cs="宋体" w:eastAsia="宋体" w:hint="default"/>
                <w:sz w:val="18"/>
                <w:szCs w:val="18"/>
              </w:rPr>
              <w:t>、</w:t>
            </w:r>
            <w:r>
              <w:rPr>
                <w:rFonts w:ascii="Times New Roman" w:hAnsi="Times New Roman" w:cs="Times New Roman" w:eastAsia="Times New Roman" w:hint="default"/>
                <w:sz w:val="18"/>
                <w:szCs w:val="18"/>
              </w:rPr>
              <w:t>01102592</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01102581</w:t>
            </w:r>
            <w:r>
              <w:rPr>
                <w:rFonts w:ascii="宋体" w:hAnsi="宋体" w:cs="宋体" w:eastAsia="宋体" w:hint="default"/>
                <w:sz w:val="18"/>
                <w:szCs w:val="18"/>
              </w:rPr>
              <w:t>、</w:t>
            </w:r>
            <w:r>
              <w:rPr>
                <w:rFonts w:ascii="Times New Roman" w:hAnsi="Times New Roman" w:cs="Times New Roman" w:eastAsia="Times New Roman" w:hint="default"/>
                <w:sz w:val="18"/>
                <w:szCs w:val="18"/>
              </w:rPr>
              <w:t>01102580</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01102579</w:t>
            </w:r>
            <w:r>
              <w:rPr>
                <w:rFonts w:ascii="宋体" w:hAnsi="宋体" w:cs="宋体" w:eastAsia="宋体" w:hint="default"/>
                <w:sz w:val="18"/>
                <w:szCs w:val="18"/>
              </w:rPr>
              <w:t>、</w:t>
            </w:r>
            <w:r>
              <w:rPr>
                <w:rFonts w:ascii="Times New Roman" w:hAnsi="Times New Roman" w:cs="Times New Roman" w:eastAsia="Times New Roman" w:hint="default"/>
                <w:sz w:val="18"/>
                <w:szCs w:val="18"/>
              </w:rPr>
              <w:t>01102578</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300" w:lineRule="auto" w:before="61"/>
              <w:ind w:left="4" w:right="1"/>
              <w:jc w:val="left"/>
              <w:rPr>
                <w:rFonts w:ascii="宋体" w:hAnsi="宋体" w:cs="宋体" w:eastAsia="宋体" w:hint="default"/>
                <w:sz w:val="18"/>
                <w:szCs w:val="18"/>
              </w:rPr>
            </w:pPr>
            <w:r>
              <w:rPr>
                <w:rFonts w:ascii="宋体" w:hAnsi="宋体" w:cs="宋体" w:eastAsia="宋体" w:hint="default"/>
                <w:spacing w:val="6"/>
                <w:sz w:val="18"/>
                <w:szCs w:val="18"/>
              </w:rPr>
              <w:t>崇川区中南世纪城</w:t>
            </w:r>
            <w:r>
              <w:rPr>
                <w:rFonts w:ascii="Times New Roman" w:hAnsi="Times New Roman" w:cs="Times New Roman" w:eastAsia="Times New Roman" w:hint="default"/>
                <w:spacing w:val="6"/>
                <w:sz w:val="18"/>
                <w:szCs w:val="18"/>
              </w:rPr>
              <w:t>22</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幢</w:t>
            </w:r>
            <w:r>
              <w:rPr>
                <w:rFonts w:ascii="Times New Roman" w:hAnsi="Times New Roman" w:cs="Times New Roman" w:eastAsia="Times New Roman" w:hint="default"/>
                <w:spacing w:val="4"/>
                <w:sz w:val="18"/>
                <w:szCs w:val="18"/>
              </w:rPr>
              <w:t>0102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0103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0305</w:t>
            </w:r>
            <w:r>
              <w:rPr>
                <w:rFonts w:ascii="Times New Roman" w:hAnsi="Times New Roman" w:cs="Times New Roman" w:eastAsia="Times New Roman" w:hint="default"/>
                <w:sz w:val="18"/>
                <w:szCs w:val="18"/>
              </w:rPr>
              <w:t> </w:t>
            </w:r>
            <w:r>
              <w:rPr>
                <w:rFonts w:ascii="宋体" w:hAnsi="宋体" w:cs="宋体" w:eastAsia="宋体" w:hint="default"/>
                <w:sz w:val="18"/>
                <w:szCs w:val="18"/>
              </w:rPr>
              <w:t>室和</w:t>
            </w:r>
            <w:r>
              <w:rPr>
                <w:rFonts w:ascii="Times New Roman" w:hAnsi="Times New Roman" w:cs="Times New Roman" w:eastAsia="Times New Roman" w:hint="default"/>
                <w:sz w:val="18"/>
                <w:szCs w:val="18"/>
              </w:rPr>
              <w:t>24</w:t>
            </w:r>
            <w:r>
              <w:rPr>
                <w:rFonts w:ascii="宋体" w:hAnsi="宋体" w:cs="宋体" w:eastAsia="宋体" w:hint="default"/>
                <w:sz w:val="18"/>
                <w:szCs w:val="18"/>
              </w:rPr>
              <w:t>幢</w:t>
            </w:r>
            <w:r>
              <w:rPr>
                <w:rFonts w:ascii="Times New Roman" w:hAnsi="Times New Roman" w:cs="Times New Roman" w:eastAsia="Times New Roman" w:hint="default"/>
                <w:sz w:val="18"/>
                <w:szCs w:val="18"/>
              </w:rPr>
              <w:t>0101</w:t>
            </w:r>
            <w:r>
              <w:rPr>
                <w:rFonts w:ascii="宋体" w:hAnsi="宋体" w:cs="宋体" w:eastAsia="宋体" w:hint="default"/>
                <w:sz w:val="18"/>
                <w:szCs w:val="18"/>
              </w:rPr>
              <w:t>、</w:t>
            </w:r>
            <w:r>
              <w:rPr>
                <w:rFonts w:ascii="Times New Roman" w:hAnsi="Times New Roman" w:cs="Times New Roman" w:eastAsia="Times New Roman" w:hint="default"/>
                <w:sz w:val="18"/>
                <w:szCs w:val="18"/>
              </w:rPr>
              <w:t>0106 0107</w:t>
            </w:r>
            <w:r>
              <w:rPr>
                <w:rFonts w:ascii="宋体" w:hAnsi="宋体" w:cs="宋体" w:eastAsia="宋体" w:hint="default"/>
                <w:sz w:val="18"/>
                <w:szCs w:val="18"/>
              </w:rPr>
              <w:t>室</w:t>
            </w:r>
          </w:p>
        </w:tc>
        <w:tc>
          <w:tcPr>
            <w:tcW w:w="3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20" w:right="0"/>
              <w:jc w:val="left"/>
              <w:rPr>
                <w:rFonts w:ascii="Times New Roman" w:hAnsi="Times New Roman" w:cs="Times New Roman" w:eastAsia="Times New Roman" w:hint="default"/>
                <w:sz w:val="18"/>
                <w:szCs w:val="18"/>
              </w:rPr>
            </w:pPr>
            <w:r>
              <w:rPr>
                <w:rFonts w:ascii="Times New Roman"/>
                <w:sz w:val="18"/>
              </w:rPr>
              <w:t>165.25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3"/>
              <w:ind w:left="348" w:right="0"/>
              <w:jc w:val="left"/>
              <w:rPr>
                <w:rFonts w:ascii="Times New Roman" w:hAnsi="Times New Roman" w:cs="Times New Roman" w:eastAsia="Times New Roman" w:hint="default"/>
                <w:sz w:val="18"/>
                <w:szCs w:val="18"/>
              </w:rPr>
            </w:pPr>
            <w:r>
              <w:rPr>
                <w:rFonts w:ascii="Times New Roman"/>
                <w:sz w:val="18"/>
              </w:rPr>
              <w:t>4,866.91</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443" w:right="0"/>
              <w:jc w:val="left"/>
              <w:rPr>
                <w:rFonts w:ascii="Times New Roman" w:hAnsi="Times New Roman" w:cs="Times New Roman" w:eastAsia="Times New Roman" w:hint="default"/>
                <w:sz w:val="18"/>
                <w:szCs w:val="18"/>
              </w:rPr>
            </w:pPr>
            <w:r>
              <w:rPr>
                <w:rFonts w:ascii="Times New Roman"/>
                <w:sz w:val="18"/>
              </w:rPr>
              <w:t>881.58</w:t>
            </w:r>
          </w:p>
        </w:tc>
      </w:tr>
      <w:tr>
        <w:trPr>
          <w:trHeight w:val="1358"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71084777</w:t>
            </w:r>
            <w:r>
              <w:rPr>
                <w:rFonts w:ascii="宋体" w:hAnsi="宋体" w:cs="宋体" w:eastAsia="宋体" w:hint="default"/>
                <w:sz w:val="18"/>
                <w:szCs w:val="18"/>
              </w:rPr>
              <w:t>、</w:t>
            </w:r>
            <w:r>
              <w:rPr>
                <w:rFonts w:ascii="Times New Roman" w:hAnsi="Times New Roman" w:cs="Times New Roman" w:eastAsia="Times New Roman" w:hint="default"/>
                <w:sz w:val="18"/>
                <w:szCs w:val="18"/>
              </w:rPr>
              <w:t>71084778</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71084277</w:t>
            </w:r>
            <w:r>
              <w:rPr>
                <w:rFonts w:ascii="宋体" w:hAnsi="宋体" w:cs="宋体" w:eastAsia="宋体" w:hint="default"/>
                <w:sz w:val="18"/>
                <w:szCs w:val="18"/>
              </w:rPr>
              <w:t>、</w:t>
            </w:r>
            <w:r>
              <w:rPr>
                <w:rFonts w:ascii="Times New Roman" w:hAnsi="Times New Roman" w:cs="Times New Roman" w:eastAsia="Times New Roman" w:hint="default"/>
                <w:sz w:val="18"/>
                <w:szCs w:val="18"/>
              </w:rPr>
              <w:t>71084278</w:t>
            </w:r>
            <w:r>
              <w:rPr>
                <w:rFonts w:ascii="宋体" w:hAnsi="宋体" w:cs="宋体" w:eastAsia="宋体"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71084280</w:t>
            </w:r>
            <w:r>
              <w:rPr>
                <w:rFonts w:ascii="宋体" w:hAnsi="宋体" w:cs="宋体" w:eastAsia="宋体" w:hint="default"/>
                <w:sz w:val="18"/>
                <w:szCs w:val="18"/>
              </w:rPr>
              <w:t>、</w:t>
            </w:r>
            <w:r>
              <w:rPr>
                <w:rFonts w:ascii="Times New Roman" w:hAnsi="Times New Roman" w:cs="Times New Roman" w:eastAsia="Times New Roman" w:hint="default"/>
                <w:sz w:val="18"/>
                <w:szCs w:val="18"/>
              </w:rPr>
              <w:t>71084276</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Times New Roman" w:hAnsi="Times New Roman" w:cs="Times New Roman" w:eastAsia="Times New Roman" w:hint="default"/>
                <w:sz w:val="18"/>
                <w:szCs w:val="18"/>
              </w:rPr>
            </w:pPr>
            <w:r>
              <w:rPr>
                <w:rFonts w:ascii="Times New Roman"/>
                <w:sz w:val="18"/>
              </w:rPr>
              <w:t>1,595.71</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江苏中南建筑产业有限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7"/>
              <w:jc w:val="left"/>
              <w:rPr>
                <w:rFonts w:ascii="宋体" w:hAnsi="宋体" w:cs="宋体" w:eastAsia="宋体" w:hint="default"/>
                <w:sz w:val="18"/>
                <w:szCs w:val="18"/>
              </w:rPr>
            </w:pPr>
            <w:r>
              <w:rPr>
                <w:rFonts w:ascii="宋体" w:hAnsi="宋体" w:cs="宋体" w:eastAsia="宋体" w:hint="default"/>
                <w:spacing w:val="30"/>
                <w:sz w:val="18"/>
                <w:szCs w:val="18"/>
              </w:rPr>
              <w:t>应收账款</w:t>
            </w:r>
            <w:r>
              <w:rPr>
                <w:rFonts w:ascii="宋体" w:hAnsi="宋体" w:cs="宋体" w:eastAsia="宋体" w:hint="default"/>
                <w:spacing w:val="-50"/>
                <w:sz w:val="18"/>
                <w:szCs w:val="18"/>
              </w:rPr>
              <w:t> </w:t>
            </w:r>
            <w:r>
              <w:rPr>
                <w:rFonts w:ascii="宋体" w:hAnsi="宋体" w:cs="宋体" w:eastAsia="宋体" w:hint="default"/>
                <w:sz w:val="18"/>
                <w:szCs w:val="18"/>
              </w:rPr>
              <w:t>质</w:t>
            </w:r>
            <w:r>
              <w:rPr>
                <w:rFonts w:ascii="宋体" w:hAnsi="宋体" w:cs="宋体" w:eastAsia="宋体" w:hint="default"/>
                <w:spacing w:val="-73"/>
                <w:sz w:val="18"/>
                <w:szCs w:val="18"/>
              </w:rPr>
              <w:t> </w:t>
            </w:r>
            <w:r>
              <w:rPr>
                <w:rFonts w:ascii="宋体" w:hAnsi="宋体" w:cs="宋体" w:eastAsia="宋体" w:hint="default"/>
                <w:sz w:val="18"/>
                <w:szCs w:val="18"/>
              </w:rPr>
              <w:t>押</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hAnsi="宋体" w:cs="宋体" w:eastAsia="宋体" w:hint="default"/>
                <w:sz w:val="18"/>
                <w:szCs w:val="18"/>
              </w:rPr>
              <w:t>和黄西安（</w:t>
            </w:r>
            <w:r>
              <w:rPr>
                <w:rFonts w:ascii="Times New Roman" w:hAnsi="Times New Roman" w:cs="Times New Roman" w:eastAsia="Times New Roman" w:hint="default"/>
                <w:sz w:val="18"/>
                <w:szCs w:val="18"/>
              </w:rPr>
              <w:t>201302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
        </w:tc>
        <w:tc>
          <w:tcPr>
            <w:tcW w:w="1025"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4,779.70</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15"/>
                <w:sz w:val="18"/>
                <w:szCs w:val="18"/>
              </w:rPr>
              <w:t>海门中南世纪城开发有</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海国</w:t>
            </w:r>
            <w:r>
              <w:rPr>
                <w:rFonts w:ascii="宋体" w:hAnsi="宋体" w:cs="宋体" w:eastAsia="宋体" w:hint="default"/>
                <w:spacing w:val="-80"/>
                <w:sz w:val="18"/>
                <w:szCs w:val="18"/>
              </w:rPr>
              <w:t>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0</w:t>
            </w:r>
            <w:r>
              <w:rPr>
                <w:rFonts w:ascii="宋体" w:hAnsi="宋体" w:cs="宋体" w:eastAsia="宋体" w:hint="default"/>
                <w:spacing w:val="-80"/>
                <w:sz w:val="18"/>
                <w:szCs w:val="18"/>
              </w:rPr>
              <w:t>）</w:t>
            </w:r>
            <w:r>
              <w:rPr>
                <w:rFonts w:ascii="宋体" w:hAnsi="宋体" w:cs="宋体" w:eastAsia="宋体" w:hint="default"/>
                <w:sz w:val="18"/>
                <w:szCs w:val="18"/>
              </w:rPr>
              <w:t>第</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pacing w:val="6"/>
                <w:sz w:val="18"/>
                <w:szCs w:val="18"/>
              </w:rPr>
              <w:t>海门市海门镇瑞江路</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92" w:right="0"/>
              <w:jc w:val="left"/>
              <w:rPr>
                <w:rFonts w:ascii="Times New Roman" w:hAnsi="Times New Roman" w:cs="Times New Roman" w:eastAsia="Times New Roman" w:hint="default"/>
                <w:sz w:val="18"/>
                <w:szCs w:val="18"/>
              </w:rPr>
            </w:pPr>
            <w:r>
              <w:rPr>
                <w:rFonts w:ascii="Times New Roman"/>
                <w:sz w:val="18"/>
              </w:rPr>
              <w:t>17,418.00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w w:val="95"/>
                <w:sz w:val="18"/>
              </w:rPr>
              <w:t>8,113.00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7" w:right="0"/>
              <w:jc w:val="left"/>
              <w:rPr>
                <w:rFonts w:ascii="Times New Roman" w:hAnsi="Times New Roman" w:cs="Times New Roman" w:eastAsia="Times New Roman" w:hint="default"/>
                <w:sz w:val="18"/>
                <w:szCs w:val="18"/>
              </w:rPr>
            </w:pPr>
            <w:r>
              <w:rPr>
                <w:rFonts w:ascii="Times New Roman"/>
                <w:sz w:val="18"/>
              </w:rPr>
              <w:t>2,901.98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3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号、第</w:t>
            </w:r>
            <w:r>
              <w:rPr>
                <w:rFonts w:ascii="Times New Roman" w:hAnsi="Times New Roman" w:cs="Times New Roman" w:eastAsia="Times New Roman" w:hint="default"/>
                <w:sz w:val="18"/>
                <w:szCs w:val="18"/>
              </w:rPr>
              <w:t>071042</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东、人民路北</w:t>
            </w: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01102620</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崇</w:t>
            </w:r>
            <w:r>
              <w:rPr>
                <w:rFonts w:ascii="宋体" w:hAnsi="宋体" w:cs="宋体" w:eastAsia="宋体" w:hint="default"/>
                <w:spacing w:val="-56"/>
                <w:sz w:val="18"/>
                <w:szCs w:val="18"/>
              </w:rPr>
              <w:t> </w:t>
            </w:r>
            <w:r>
              <w:rPr>
                <w:rFonts w:ascii="宋体" w:hAnsi="宋体" w:cs="宋体" w:eastAsia="宋体" w:hint="default"/>
                <w:sz w:val="18"/>
                <w:szCs w:val="18"/>
              </w:rPr>
              <w:t>川</w:t>
            </w:r>
            <w:r>
              <w:rPr>
                <w:rFonts w:ascii="宋体" w:hAnsi="宋体" w:cs="宋体" w:eastAsia="宋体" w:hint="default"/>
                <w:spacing w:val="-56"/>
                <w:sz w:val="18"/>
                <w:szCs w:val="18"/>
              </w:rPr>
              <w:t> </w:t>
            </w:r>
            <w:r>
              <w:rPr>
                <w:rFonts w:ascii="宋体" w:hAnsi="宋体" w:cs="宋体" w:eastAsia="宋体" w:hint="default"/>
                <w:sz w:val="18"/>
                <w:szCs w:val="18"/>
              </w:rPr>
              <w:t>区</w:t>
            </w:r>
            <w:r>
              <w:rPr>
                <w:rFonts w:ascii="宋体" w:hAnsi="宋体" w:cs="宋体" w:eastAsia="宋体" w:hint="default"/>
                <w:spacing w:val="-56"/>
                <w:sz w:val="18"/>
                <w:szCs w:val="18"/>
              </w:rPr>
              <w:t> </w:t>
            </w:r>
            <w:r>
              <w:rPr>
                <w:rFonts w:ascii="宋体" w:hAnsi="宋体" w:cs="宋体" w:eastAsia="宋体" w:hint="default"/>
                <w:sz w:val="18"/>
                <w:szCs w:val="18"/>
              </w:rPr>
              <w:t>桃</w:t>
            </w:r>
            <w:r>
              <w:rPr>
                <w:rFonts w:ascii="宋体" w:hAnsi="宋体" w:cs="宋体" w:eastAsia="宋体" w:hint="default"/>
                <w:spacing w:val="-56"/>
                <w:sz w:val="18"/>
                <w:szCs w:val="18"/>
              </w:rPr>
              <w:t> </w:t>
            </w:r>
            <w:r>
              <w:rPr>
                <w:rFonts w:ascii="宋体" w:hAnsi="宋体" w:cs="宋体" w:eastAsia="宋体" w:hint="default"/>
                <w:sz w:val="18"/>
                <w:szCs w:val="18"/>
              </w:rPr>
              <w:t>园</w:t>
            </w:r>
            <w:r>
              <w:rPr>
                <w:rFonts w:ascii="宋体" w:hAnsi="宋体" w:cs="宋体" w:eastAsia="宋体" w:hint="default"/>
                <w:spacing w:val="-58"/>
                <w:sz w:val="18"/>
                <w:szCs w:val="18"/>
              </w:rPr>
              <w:t> </w:t>
            </w:r>
            <w:r>
              <w:rPr>
                <w:rFonts w:ascii="宋体" w:hAnsi="宋体" w:cs="宋体" w:eastAsia="宋体" w:hint="default"/>
                <w:sz w:val="18"/>
                <w:szCs w:val="18"/>
              </w:rPr>
              <w:t>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pStyle w:val="TableParagraph"/>
              <w:spacing w:line="240" w:lineRule="auto" w:before="6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743.39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307" w:right="0"/>
              <w:jc w:val="left"/>
              <w:rPr>
                <w:rFonts w:ascii="Times New Roman" w:hAnsi="Times New Roman" w:cs="Times New Roman" w:eastAsia="Times New Roman" w:hint="default"/>
                <w:sz w:val="18"/>
                <w:szCs w:val="18"/>
              </w:rPr>
            </w:pPr>
            <w:r>
              <w:rPr>
                <w:rFonts w:ascii="Times New Roman"/>
                <w:sz w:val="18"/>
              </w:rPr>
              <w:t>2,091.81</w:t>
            </w: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120058556</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4,043.68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6,300.00</w:t>
            </w: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0110005</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南通市新区中央商务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区</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17,269.58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23,945.48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6,253.96</w:t>
            </w:r>
          </w:p>
        </w:tc>
      </w:tr>
      <w:tr>
        <w:trPr>
          <w:trHeight w:val="73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宋体" w:hAnsi="宋体" w:cs="宋体" w:eastAsia="宋体" w:hint="default"/>
                <w:sz w:val="18"/>
                <w:szCs w:val="18"/>
              </w:rPr>
            </w:pPr>
            <w:r>
              <w:rPr>
                <w:rFonts w:ascii="宋体" w:hAnsi="宋体" w:cs="宋体" w:eastAsia="宋体" w:hint="default"/>
                <w:spacing w:val="-2"/>
                <w:sz w:val="18"/>
                <w:szCs w:val="18"/>
              </w:rPr>
              <w:t>中南建设（沈阳）建筑产</w:t>
            </w:r>
            <w:r>
              <w:rPr>
                <w:rFonts w:ascii="宋体" w:hAnsi="宋体" w:cs="宋体" w:eastAsia="宋体" w:hint="default"/>
                <w:sz w:val="18"/>
                <w:szCs w:val="18"/>
              </w:rPr>
              <w:t> 业有限公司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3"/>
              <w:jc w:val="left"/>
              <w:rPr>
                <w:rFonts w:ascii="宋体" w:hAnsi="宋体" w:cs="宋体" w:eastAsia="宋体" w:hint="default"/>
                <w:sz w:val="18"/>
                <w:szCs w:val="18"/>
              </w:rPr>
            </w:pPr>
            <w:r>
              <w:rPr>
                <w:rFonts w:ascii="宋体" w:hAnsi="宋体" w:cs="宋体" w:eastAsia="宋体" w:hint="default"/>
                <w:sz w:val="18"/>
                <w:szCs w:val="18"/>
              </w:rPr>
              <w:t>沈开国用（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沈阳经济开发区开发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二十二号路</w:t>
            </w:r>
            <w:r>
              <w:rPr>
                <w:rFonts w:ascii="Times New Roman" w:hAnsi="Times New Roman" w:cs="Times New Roman" w:eastAsia="Times New Roman" w:hint="default"/>
                <w:sz w:val="18"/>
                <w:szCs w:val="18"/>
              </w:rPr>
              <w:t>45</w:t>
            </w:r>
            <w:r>
              <w:rPr>
                <w:rFonts w:ascii="宋体" w:hAnsi="宋体" w:cs="宋体" w:eastAsia="宋体" w:hint="default"/>
                <w:sz w:val="18"/>
                <w:szCs w:val="18"/>
              </w:rPr>
              <w:t>号</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152,589.79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7,370.09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2,591.65</w:t>
            </w:r>
          </w:p>
        </w:tc>
      </w:tr>
      <w:tr>
        <w:trPr>
          <w:trHeight w:val="735"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120058576</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6"/>
                <w:sz w:val="18"/>
                <w:szCs w:val="18"/>
              </w:rPr>
              <w:t>南通市崇川区桃园路</w:t>
            </w:r>
          </w:p>
          <w:p>
            <w:pPr>
              <w:pStyle w:val="TableParagraph"/>
              <w:spacing w:line="240" w:lineRule="auto" w:before="7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502</w:t>
            </w:r>
            <w:r>
              <w:rPr>
                <w:rFonts w:ascii="宋体" w:hAnsi="宋体" w:cs="宋体" w:eastAsia="宋体" w:hint="default"/>
                <w:sz w:val="18"/>
                <w:szCs w:val="18"/>
              </w:rPr>
              <w:t>室</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5,671.32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3"/>
              <w:ind w:left="259" w:right="0"/>
              <w:jc w:val="left"/>
              <w:rPr>
                <w:rFonts w:ascii="Times New Roman" w:hAnsi="Times New Roman" w:cs="Times New Roman" w:eastAsia="Times New Roman" w:hint="default"/>
                <w:sz w:val="18"/>
                <w:szCs w:val="18"/>
              </w:rPr>
            </w:pPr>
            <w:r>
              <w:rPr>
                <w:rFonts w:ascii="Times New Roman"/>
                <w:sz w:val="18"/>
              </w:rPr>
              <w:t>18,148.22</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307" w:right="0"/>
              <w:jc w:val="left"/>
              <w:rPr>
                <w:rFonts w:ascii="Times New Roman" w:hAnsi="Times New Roman" w:cs="Times New Roman" w:eastAsia="Times New Roman" w:hint="default"/>
                <w:sz w:val="18"/>
                <w:szCs w:val="18"/>
              </w:rPr>
            </w:pPr>
            <w:r>
              <w:rPr>
                <w:rFonts w:ascii="Times New Roman"/>
                <w:sz w:val="18"/>
              </w:rPr>
              <w:t>2,933.79</w:t>
            </w: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01102623</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1,042.62</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1982"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both"/>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105"/>
              <w:ind w:left="7" w:right="0"/>
              <w:jc w:val="both"/>
              <w:rPr>
                <w:rFonts w:ascii="Times New Roman" w:hAnsi="Times New Roman" w:cs="Times New Roman" w:eastAsia="Times New Roman" w:hint="default"/>
                <w:sz w:val="18"/>
                <w:szCs w:val="18"/>
              </w:rPr>
            </w:pPr>
            <w:r>
              <w:rPr>
                <w:rFonts w:ascii="Times New Roman"/>
                <w:sz w:val="18"/>
              </w:rPr>
              <w:t>01100450\51\53\54\55\5</w:t>
            </w:r>
          </w:p>
          <w:p>
            <w:pPr>
              <w:pStyle w:val="TableParagraph"/>
              <w:spacing w:line="321" w:lineRule="auto" w:before="63"/>
              <w:ind w:left="7" w:right="-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6\59\60\67\68</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苏通国</w:t>
            </w:r>
            <w:r>
              <w:rPr>
                <w:rFonts w:ascii="宋体" w:hAnsi="宋体" w:cs="宋体" w:eastAsia="宋体" w:hint="default"/>
                <w:spacing w:val="-84"/>
                <w:sz w:val="18"/>
                <w:szCs w:val="18"/>
              </w:rPr>
              <w:t> </w:t>
            </w:r>
            <w:r>
              <w:rPr>
                <w:rFonts w:ascii="宋体" w:hAnsi="宋体" w:cs="宋体" w:eastAsia="宋体" w:hint="default"/>
                <w:sz w:val="18"/>
                <w:szCs w:val="18"/>
              </w:rPr>
              <w:t>用 （ </w:t>
            </w:r>
            <w:r>
              <w:rPr>
                <w:rFonts w:ascii="Times New Roman" w:hAnsi="Times New Roman" w:cs="Times New Roman" w:eastAsia="Times New Roman" w:hint="default"/>
                <w:sz w:val="18"/>
                <w:szCs w:val="18"/>
              </w:rPr>
              <w:t>2009 </w:t>
            </w:r>
            <w:r>
              <w:rPr>
                <w:rFonts w:ascii="宋体" w:hAnsi="宋体" w:cs="宋体" w:eastAsia="宋体" w:hint="default"/>
                <w:sz w:val="18"/>
                <w:szCs w:val="18"/>
              </w:rPr>
              <w:t>）</w:t>
            </w:r>
            <w:r>
              <w:rPr>
                <w:rFonts w:ascii="宋体" w:hAnsi="宋体" w:cs="宋体" w:eastAsia="宋体" w:hint="default"/>
                <w:spacing w:val="17"/>
                <w:sz w:val="18"/>
                <w:szCs w:val="18"/>
              </w:rPr>
              <w:t> </w:t>
            </w:r>
            <w:r>
              <w:rPr>
                <w:rFonts w:ascii="宋体" w:hAnsi="宋体" w:cs="宋体" w:eastAsia="宋体" w:hint="default"/>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01100871\872\873\902</w:t>
            </w:r>
          </w:p>
          <w:p>
            <w:pPr>
              <w:pStyle w:val="TableParagraph"/>
              <w:spacing w:line="231" w:lineRule="exact"/>
              <w:ind w:left="7"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58"/>
              <w:ind w:left="4" w:right="0"/>
              <w:jc w:val="both"/>
              <w:rPr>
                <w:rFonts w:ascii="宋体" w:hAnsi="宋体" w:cs="宋体" w:eastAsia="宋体" w:hint="default"/>
                <w:sz w:val="18"/>
                <w:szCs w:val="18"/>
              </w:rPr>
            </w:pPr>
            <w:r>
              <w:rPr>
                <w:rFonts w:ascii="宋体" w:hAnsi="宋体" w:cs="宋体" w:eastAsia="宋体" w:hint="default"/>
                <w:sz w:val="18"/>
                <w:szCs w:val="18"/>
              </w:rPr>
              <w:t>桃园路</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号</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04</w:t>
            </w:r>
            <w:r>
              <w:rPr>
                <w:rFonts w:ascii="宋体" w:hAnsi="宋体" w:cs="宋体" w:eastAsia="宋体" w:hint="default"/>
                <w:sz w:val="18"/>
                <w:szCs w:val="18"/>
              </w:rPr>
              <w:t>、</w:t>
            </w:r>
          </w:p>
          <w:p>
            <w:pPr>
              <w:pStyle w:val="TableParagraph"/>
              <w:spacing w:line="240" w:lineRule="auto" w:before="6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106-109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112-113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w:t>
            </w:r>
          </w:p>
          <w:p>
            <w:pPr>
              <w:pStyle w:val="TableParagraph"/>
              <w:spacing w:line="300" w:lineRule="auto" w:before="6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120-121</w:t>
            </w:r>
            <w:r>
              <w:rPr>
                <w:rFonts w:ascii="宋体" w:hAnsi="宋体" w:cs="宋体" w:eastAsia="宋体" w:hint="default"/>
                <w:sz w:val="18"/>
                <w:szCs w:val="18"/>
              </w:rPr>
              <w:t>室；中南世纪 </w:t>
            </w:r>
            <w:r>
              <w:rPr>
                <w:rFonts w:ascii="宋体" w:hAnsi="宋体" w:cs="宋体" w:eastAsia="宋体" w:hint="default"/>
                <w:spacing w:val="-6"/>
                <w:sz w:val="18"/>
                <w:szCs w:val="18"/>
              </w:rPr>
              <w:t>城</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幢</w:t>
            </w:r>
            <w:r>
              <w:rPr>
                <w:rFonts w:ascii="Times New Roman" w:hAnsi="Times New Roman" w:cs="Times New Roman" w:eastAsia="Times New Roman" w:hint="default"/>
                <w:spacing w:val="-6"/>
                <w:sz w:val="18"/>
                <w:szCs w:val="18"/>
              </w:rPr>
              <w:t>0115-0118</w:t>
            </w:r>
            <w:r>
              <w:rPr>
                <w:rFonts w:ascii="宋体" w:hAnsi="宋体" w:cs="宋体" w:eastAsia="宋体" w:hint="default"/>
                <w:spacing w:val="-6"/>
                <w:sz w:val="18"/>
                <w:szCs w:val="18"/>
              </w:rPr>
              <w:t>室（共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14</w:t>
            </w:r>
            <w:r>
              <w:rPr>
                <w:rFonts w:ascii="宋体" w:hAnsi="宋体" w:cs="宋体" w:eastAsia="宋体" w:hint="default"/>
                <w:sz w:val="18"/>
                <w:szCs w:val="18"/>
              </w:rPr>
              <w:t>套）</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z w:val="18"/>
                <w:szCs w:val="18"/>
              </w:rPr>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00"/>
              <w:ind w:left="381" w:right="0"/>
              <w:jc w:val="left"/>
              <w:rPr>
                <w:rFonts w:ascii="Times New Roman" w:hAnsi="Times New Roman" w:cs="Times New Roman" w:eastAsia="Times New Roman" w:hint="default"/>
                <w:sz w:val="18"/>
                <w:szCs w:val="18"/>
              </w:rPr>
            </w:pPr>
            <w:r>
              <w:rPr>
                <w:rFonts w:ascii="Times New Roman"/>
                <w:sz w:val="18"/>
              </w:rPr>
              <w:t>2,464.55</w:t>
            </w:r>
          </w:p>
        </w:tc>
        <w:tc>
          <w:tcPr>
            <w:tcW w:w="994" w:type="dxa"/>
            <w:vMerge w:val="restart"/>
            <w:tcBorders>
              <w:top w:val="single" w:sz="4" w:space="0" w:color="000000"/>
              <w:left w:val="single" w:sz="4" w:space="0" w:color="000000"/>
              <w:right w:val="single" w:sz="4" w:space="0" w:color="000000"/>
            </w:tcBorders>
          </w:tcPr>
          <w:p>
            <w:pP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1,044.98</w:t>
            </w:r>
          </w:p>
        </w:tc>
      </w:tr>
      <w:tr>
        <w:trPr>
          <w:trHeight w:val="2295"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130047945\46\66\67\68\</w:t>
            </w:r>
          </w:p>
          <w:p>
            <w:pPr>
              <w:pStyle w:val="TableParagraph"/>
              <w:spacing w:line="300" w:lineRule="auto" w:before="63"/>
              <w:ind w:left="7"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51\52\60\70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pacing w:val="24"/>
                <w:sz w:val="18"/>
                <w:szCs w:val="18"/>
              </w:rPr>
              <w:t>南通房</w:t>
            </w:r>
            <w:r>
              <w:rPr>
                <w:rFonts w:ascii="宋体" w:hAnsi="宋体" w:cs="宋体" w:eastAsia="宋体" w:hint="default"/>
                <w:spacing w:val="-54"/>
                <w:sz w:val="18"/>
                <w:szCs w:val="18"/>
              </w:rPr>
              <w:t> </w:t>
            </w:r>
            <w:r>
              <w:rPr>
                <w:rFonts w:ascii="宋体" w:hAnsi="宋体" w:cs="宋体" w:eastAsia="宋体" w:hint="default"/>
                <w:sz w:val="18"/>
                <w:szCs w:val="18"/>
              </w:rPr>
              <w:t>权证字第</w:t>
            </w:r>
            <w:r>
              <w:rPr>
                <w:rFonts w:ascii="Times New Roman" w:hAnsi="Times New Roman" w:cs="Times New Roman" w:eastAsia="Times New Roman" w:hint="default"/>
                <w:sz w:val="18"/>
                <w:szCs w:val="18"/>
              </w:rPr>
              <w:t>130048177</w:t>
            </w:r>
            <w:r>
              <w:rPr>
                <w:rFonts w:ascii="宋体" w:hAnsi="宋体" w:cs="宋体" w:eastAsia="宋体" w:hint="default"/>
                <w:sz w:val="18"/>
                <w:szCs w:val="18"/>
              </w:rPr>
              <w:t>号</w:t>
            </w:r>
          </w:p>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118"/>
              <w:ind w:left="7" w:right="0"/>
              <w:jc w:val="left"/>
              <w:rPr>
                <w:rFonts w:ascii="Times New Roman" w:hAnsi="Times New Roman" w:cs="Times New Roman" w:eastAsia="Times New Roman" w:hint="default"/>
                <w:sz w:val="18"/>
                <w:szCs w:val="18"/>
              </w:rPr>
            </w:pPr>
            <w:r>
              <w:rPr>
                <w:rFonts w:ascii="Times New Roman"/>
                <w:sz w:val="18"/>
              </w:rPr>
              <w:t>71032305\300\298\297</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01102376-92</w:t>
            </w: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58"/>
              <w:ind w:left="4" w:right="-3"/>
              <w:jc w:val="left"/>
              <w:rPr>
                <w:rFonts w:ascii="宋体" w:hAnsi="宋体" w:cs="宋体" w:eastAsia="宋体" w:hint="default"/>
                <w:sz w:val="18"/>
                <w:szCs w:val="18"/>
              </w:rPr>
            </w:pPr>
            <w:r>
              <w:rPr>
                <w:rFonts w:ascii="宋体" w:hAnsi="宋体" w:cs="宋体" w:eastAsia="宋体" w:hint="default"/>
                <w:spacing w:val="7"/>
                <w:sz w:val="18"/>
                <w:szCs w:val="18"/>
              </w:rPr>
              <w:t>桃园路</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号附</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号一层</w:t>
            </w:r>
            <w:r>
              <w:rPr>
                <w:rFonts w:ascii="宋体" w:hAnsi="宋体" w:cs="宋体" w:eastAsia="宋体"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宋体" w:hAnsi="宋体" w:cs="宋体" w:eastAsia="宋体" w:hint="default"/>
                <w:sz w:val="18"/>
                <w:szCs w:val="18"/>
              </w:rPr>
              <w:t>、</w:t>
            </w:r>
            <w:r>
              <w:rPr>
                <w:rFonts w:ascii="Times New Roman" w:hAnsi="Times New Roman" w:cs="Times New Roman" w:eastAsia="Times New Roman" w:hint="default"/>
                <w:sz w:val="18"/>
                <w:szCs w:val="18"/>
              </w:rPr>
              <w:t>102</w:t>
            </w:r>
            <w:r>
              <w:rPr>
                <w:rFonts w:ascii="宋体" w:hAnsi="宋体" w:cs="宋体" w:eastAsia="宋体" w:hint="default"/>
                <w:sz w:val="18"/>
                <w:szCs w:val="18"/>
              </w:rPr>
              <w:t>、</w:t>
            </w:r>
            <w:r>
              <w:rPr>
                <w:rFonts w:ascii="Times New Roman" w:hAnsi="Times New Roman" w:cs="Times New Roman" w:eastAsia="Times New Roman" w:hint="default"/>
                <w:sz w:val="18"/>
                <w:szCs w:val="18"/>
              </w:rPr>
              <w:t>104-117</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w:t>
            </w:r>
            <w:r>
              <w:rPr>
                <w:rFonts w:ascii="宋体" w:hAnsi="宋体" w:cs="宋体" w:eastAsia="宋体" w:hint="default"/>
                <w:sz w:val="18"/>
                <w:szCs w:val="18"/>
              </w:rPr>
              <w:t>室（共</w:t>
            </w:r>
            <w:r>
              <w:rPr>
                <w:rFonts w:ascii="Times New Roman" w:hAnsi="Times New Roman" w:cs="Times New Roman" w:eastAsia="Times New Roman" w:hint="default"/>
                <w:sz w:val="18"/>
                <w:szCs w:val="18"/>
              </w:rPr>
              <w:t>17</w:t>
            </w:r>
            <w:r>
              <w:rPr>
                <w:rFonts w:ascii="宋体" w:hAnsi="宋体" w:cs="宋体" w:eastAsia="宋体" w:hint="default"/>
                <w:sz w:val="18"/>
                <w:szCs w:val="18"/>
              </w:rPr>
              <w:t>套）</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00"/>
              <w:ind w:left="518" w:right="0"/>
              <w:jc w:val="left"/>
              <w:rPr>
                <w:rFonts w:ascii="Times New Roman" w:hAnsi="Times New Roman" w:cs="Times New Roman" w:eastAsia="Times New Roman" w:hint="default"/>
                <w:sz w:val="18"/>
                <w:szCs w:val="18"/>
              </w:rPr>
            </w:pPr>
            <w:r>
              <w:rPr>
                <w:rFonts w:ascii="Times New Roman"/>
                <w:sz w:val="18"/>
              </w:rPr>
              <w:t>861.64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0"/>
              <w:ind w:left="348" w:right="0"/>
              <w:jc w:val="left"/>
              <w:rPr>
                <w:rFonts w:ascii="Times New Roman" w:hAnsi="Times New Roman" w:cs="Times New Roman" w:eastAsia="Times New Roman" w:hint="default"/>
                <w:sz w:val="18"/>
                <w:szCs w:val="18"/>
              </w:rPr>
            </w:pPr>
            <w:r>
              <w:rPr>
                <w:rFonts w:ascii="Times New Roman"/>
                <w:sz w:val="18"/>
              </w:rPr>
              <w:t>2,762.00</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0"/>
              <w:ind w:left="443" w:right="0"/>
              <w:jc w:val="left"/>
              <w:rPr>
                <w:rFonts w:ascii="Times New Roman" w:hAnsi="Times New Roman" w:cs="Times New Roman" w:eastAsia="Times New Roman" w:hint="default"/>
                <w:sz w:val="18"/>
                <w:szCs w:val="18"/>
              </w:rPr>
            </w:pPr>
            <w:r>
              <w:rPr>
                <w:rFonts w:ascii="Times New Roman"/>
                <w:sz w:val="18"/>
              </w:rPr>
              <w:t>365.34</w:t>
            </w:r>
          </w:p>
        </w:tc>
      </w:tr>
      <w:tr>
        <w:trPr>
          <w:trHeight w:val="1981"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tabs>
                <w:tab w:pos="1648" w:val="left" w:leader="none"/>
              </w:tabs>
              <w:spacing w:line="240" w:lineRule="auto" w:before="77"/>
              <w:ind w:left="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12113004-10</w:t>
              <w:tab/>
            </w:r>
            <w:r>
              <w:rPr>
                <w:rFonts w:ascii="宋体" w:hAnsi="宋体" w:cs="宋体" w:eastAsia="宋体" w:hint="default"/>
                <w:sz w:val="18"/>
                <w:szCs w:val="18"/>
              </w:rPr>
              <w:t>，</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12113089,12113078-81,</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12113046,12113049,121</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sz w:val="18"/>
              </w:rPr>
              <w:t>13025,12113026,121130</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vMerge w:val="restart"/>
            <w:tcBorders>
              <w:top w:val="single" w:sz="4" w:space="0" w:color="000000"/>
              <w:left w:val="single" w:sz="4" w:space="0" w:color="000000"/>
              <w:right w:val="single" w:sz="4" w:space="0" w:color="000000"/>
            </w:tcBorders>
          </w:tcPr>
          <w:p>
            <w:pPr>
              <w:pStyle w:val="TableParagraph"/>
              <w:spacing w:line="314" w:lineRule="auto" w:before="61"/>
              <w:ind w:left="7" w:right="6"/>
              <w:jc w:val="left"/>
              <w:rPr>
                <w:rFonts w:ascii="宋体" w:hAnsi="宋体" w:cs="宋体" w:eastAsia="宋体" w:hint="default"/>
                <w:sz w:val="18"/>
                <w:szCs w:val="18"/>
              </w:rPr>
            </w:pPr>
            <w:r>
              <w:rPr>
                <w:rFonts w:ascii="宋体" w:hAnsi="宋体" w:cs="宋体" w:eastAsia="宋体" w:hint="default"/>
                <w:spacing w:val="15"/>
                <w:sz w:val="18"/>
                <w:szCs w:val="18"/>
              </w:rPr>
              <w:t>南通中南新世界中心开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27"/>
              <w:jc w:val="left"/>
              <w:rPr>
                <w:rFonts w:ascii="宋体" w:hAnsi="宋体" w:cs="宋体" w:eastAsia="宋体" w:hint="default"/>
                <w:sz w:val="18"/>
                <w:szCs w:val="18"/>
              </w:rPr>
            </w:pPr>
            <w:r>
              <w:rPr>
                <w:rFonts w:ascii="宋体" w:hAnsi="宋体" w:cs="宋体" w:eastAsia="宋体" w:hint="default"/>
                <w:spacing w:val="22"/>
                <w:sz w:val="18"/>
                <w:szCs w:val="18"/>
              </w:rPr>
              <w:t>苏通国用（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）第</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01101319</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6"/>
                <w:sz w:val="18"/>
                <w:szCs w:val="18"/>
              </w:rPr>
              <w:t>南通桃园路</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号附</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号</w:t>
            </w:r>
          </w:p>
          <w:p>
            <w:pPr>
              <w:pStyle w:val="TableParagraph"/>
              <w:spacing w:line="240" w:lineRule="auto" w:before="6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A2</w:t>
            </w:r>
            <w:r>
              <w:rPr>
                <w:rFonts w:ascii="宋体" w:hAnsi="宋体" w:cs="宋体" w:eastAsia="宋体" w:hint="default"/>
                <w:sz w:val="18"/>
                <w:szCs w:val="18"/>
              </w:rPr>
              <w:t>至</w:t>
            </w:r>
            <w:r>
              <w:rPr>
                <w:rFonts w:ascii="Times New Roman" w:hAnsi="Times New Roman" w:cs="Times New Roman" w:eastAsia="Times New Roman" w:hint="default"/>
                <w:sz w:val="18"/>
                <w:szCs w:val="18"/>
              </w:rPr>
              <w:t>A16</w:t>
            </w:r>
            <w:r>
              <w:rPr>
                <w:rFonts w:ascii="宋体" w:hAnsi="宋体" w:cs="宋体" w:eastAsia="宋体" w:hint="default"/>
                <w:sz w:val="18"/>
                <w:szCs w:val="18"/>
              </w:rPr>
              <w:t>（双数）</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1,476.32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3"/>
              <w:ind w:left="348" w:right="0"/>
              <w:jc w:val="left"/>
              <w:rPr>
                <w:rFonts w:ascii="Times New Roman" w:hAnsi="Times New Roman" w:cs="Times New Roman" w:eastAsia="Times New Roman" w:hint="default"/>
                <w:sz w:val="18"/>
                <w:szCs w:val="18"/>
              </w:rPr>
            </w:pPr>
            <w:r>
              <w:rPr>
                <w:rFonts w:ascii="Times New Roman"/>
                <w:sz w:val="18"/>
              </w:rPr>
              <w:t>7,577.87</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03"/>
              <w:ind w:left="307" w:right="0"/>
              <w:jc w:val="left"/>
              <w:rPr>
                <w:rFonts w:ascii="Times New Roman" w:hAnsi="Times New Roman" w:cs="Times New Roman" w:eastAsia="Times New Roman" w:hint="default"/>
                <w:sz w:val="18"/>
                <w:szCs w:val="18"/>
              </w:rPr>
            </w:pPr>
            <w:r>
              <w:rPr>
                <w:rFonts w:ascii="Times New Roman"/>
                <w:sz w:val="18"/>
              </w:rPr>
              <w:t>2,209.57</w:t>
            </w: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71046738</w:t>
            </w: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6"/>
                <w:sz w:val="18"/>
                <w:szCs w:val="18"/>
              </w:rPr>
              <w:t>南通桃园路</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号附</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号</w:t>
            </w:r>
          </w:p>
          <w:p>
            <w:pPr>
              <w:pStyle w:val="TableParagraph"/>
              <w:spacing w:line="240" w:lineRule="auto" w:before="6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A2</w:t>
            </w:r>
            <w:r>
              <w:rPr>
                <w:rFonts w:ascii="宋体" w:hAnsi="宋体" w:cs="宋体" w:eastAsia="宋体" w:hint="default"/>
                <w:sz w:val="18"/>
                <w:szCs w:val="18"/>
              </w:rPr>
              <w:t>至</w:t>
            </w:r>
            <w:r>
              <w:rPr>
                <w:rFonts w:ascii="Times New Roman" w:hAnsi="Times New Roman" w:cs="Times New Roman" w:eastAsia="Times New Roman" w:hint="default"/>
                <w:sz w:val="18"/>
                <w:szCs w:val="18"/>
              </w:rPr>
              <w:t>A16</w:t>
            </w:r>
            <w:r>
              <w:rPr>
                <w:rFonts w:ascii="宋体" w:hAnsi="宋体" w:cs="宋体" w:eastAsia="宋体" w:hint="default"/>
                <w:sz w:val="18"/>
                <w:szCs w:val="18"/>
              </w:rPr>
              <w:t>（双数）</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5"/>
                <w:sz w:val="18"/>
              </w:rPr>
              <w:t>3,042.71</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4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15"/>
                <w:sz w:val="18"/>
                <w:szCs w:val="18"/>
              </w:rPr>
              <w:t>海门中南世纪城开发有</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海国</w:t>
            </w:r>
            <w:r>
              <w:rPr>
                <w:rFonts w:ascii="宋体" w:hAnsi="宋体" w:cs="宋体" w:eastAsia="宋体" w:hint="default"/>
                <w:spacing w:val="-80"/>
                <w:sz w:val="18"/>
                <w:szCs w:val="18"/>
              </w:rPr>
              <w:t>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第</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海门镇丝绸路</w:t>
            </w:r>
            <w:r>
              <w:rPr>
                <w:rFonts w:ascii="Times New Roman" w:hAnsi="Times New Roman" w:cs="Times New Roman" w:eastAsia="Times New Roman" w:hint="default"/>
                <w:sz w:val="18"/>
                <w:szCs w:val="18"/>
              </w:rPr>
              <w:t>103</w:t>
            </w:r>
            <w:r>
              <w:rPr>
                <w:rFonts w:ascii="宋体" w:hAnsi="宋体" w:cs="宋体" w:eastAsia="宋体" w:hint="default"/>
                <w:sz w:val="18"/>
                <w:szCs w:val="18"/>
              </w:rPr>
              <w:t>号</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3.93</w:t>
            </w: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17.16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841"/>
        <w:gridCol w:w="1706"/>
        <w:gridCol w:w="1025"/>
        <w:gridCol w:w="994"/>
        <w:gridCol w:w="950"/>
      </w:tblGrid>
      <w:tr>
        <w:trPr>
          <w:trHeight w:val="382"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950" w:type="dxa"/>
            <w:vMerge w:val="restart"/>
            <w:tcBorders>
              <w:top w:val="single" w:sz="4" w:space="0" w:color="000000"/>
              <w:left w:val="single" w:sz="4" w:space="0" w:color="000000"/>
              <w:right w:val="single" w:sz="4" w:space="0" w:color="000000"/>
            </w:tcBorders>
          </w:tcPr>
          <w:p>
            <w:pPr/>
          </w:p>
        </w:tc>
      </w:tr>
      <w:tr>
        <w:trPr>
          <w:trHeight w:val="734"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pacing w:val="3"/>
                <w:sz w:val="18"/>
                <w:szCs w:val="18"/>
              </w:rPr>
              <w:t>南 通 房 权 证 </w:t>
            </w:r>
            <w:r>
              <w:rPr>
                <w:rFonts w:ascii="宋体" w:hAnsi="宋体" w:cs="宋体" w:eastAsia="宋体" w:hint="default"/>
                <w:sz w:val="18"/>
                <w:szCs w:val="18"/>
              </w:rPr>
              <w:t>字</w:t>
            </w:r>
            <w:r>
              <w:rPr>
                <w:rFonts w:ascii="宋体" w:hAnsi="宋体" w:cs="宋体" w:eastAsia="宋体" w:hint="default"/>
                <w:spacing w:val="-13"/>
                <w:sz w:val="18"/>
                <w:szCs w:val="18"/>
              </w:rPr>
              <w:t> </w:t>
            </w:r>
            <w:r>
              <w:rPr>
                <w:rFonts w:ascii="宋体" w:hAnsi="宋体" w:cs="宋体" w:eastAsia="宋体" w:hint="default"/>
                <w:sz w:val="18"/>
                <w:szCs w:val="18"/>
              </w:rPr>
              <w:t>第</w:t>
            </w:r>
          </w:p>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120007256</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46.36</w:t>
            </w:r>
          </w:p>
        </w:tc>
        <w:tc>
          <w:tcPr>
            <w:tcW w:w="994"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7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海门中南世纪城开发有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海国用（</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07162</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海门市北京路北、张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謇大道西侧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63,468.00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10,167.57</w:t>
            </w:r>
          </w:p>
        </w:tc>
      </w:tr>
      <w:tr>
        <w:trPr>
          <w:trHeight w:val="1670"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唐山中南国际旅游岛房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地产投资开发有限公司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8"/>
              <w:ind w:left="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土地证编号：唐湾岛国</w:t>
            </w:r>
            <w:r>
              <w:rPr>
                <w:rFonts w:ascii="宋体" w:hAnsi="宋体" w:cs="宋体" w:eastAsia="宋体" w:hint="default"/>
                <w:spacing w:val="-71"/>
                <w:sz w:val="18"/>
                <w:szCs w:val="18"/>
              </w:rPr>
              <w:t> </w:t>
            </w:r>
            <w:r>
              <w:rPr>
                <w:rFonts w:ascii="宋体" w:hAnsi="宋体" w:cs="宋体" w:eastAsia="宋体" w:hint="default"/>
                <w:spacing w:val="16"/>
                <w:sz w:val="18"/>
                <w:szCs w:val="18"/>
              </w:rPr>
              <w:t>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130218001004GB00011</w:t>
            </w:r>
          </w:p>
          <w:p>
            <w:pPr>
              <w:pStyle w:val="TableParagraph"/>
              <w:spacing w:line="225" w:lineRule="exact"/>
              <w:ind w:left="7" w:right="0"/>
              <w:jc w:val="both"/>
              <w:rPr>
                <w:rFonts w:ascii="宋体" w:hAnsi="宋体" w:cs="宋体" w:eastAsia="宋体" w:hint="default"/>
                <w:sz w:val="18"/>
                <w:szCs w:val="18"/>
              </w:rPr>
            </w:pPr>
            <w:r>
              <w:rPr>
                <w:rFonts w:ascii="宋体" w:hAnsi="宋体" w:cs="宋体" w:eastAsia="宋体" w:hint="default"/>
                <w:sz w:val="18"/>
                <w:szCs w:val="18"/>
              </w:rPr>
              <w:t>押   品   编   号</w:t>
            </w:r>
            <w:r>
              <w:rPr>
                <w:rFonts w:ascii="宋体" w:hAnsi="宋体" w:cs="宋体" w:eastAsia="宋体" w:hint="default"/>
                <w:spacing w:val="20"/>
                <w:sz w:val="18"/>
                <w:szCs w:val="18"/>
              </w:rPr>
              <w:t> </w:t>
            </w:r>
            <w:r>
              <w:rPr>
                <w:rFonts w:ascii="宋体" w:hAnsi="宋体" w:cs="宋体" w:eastAsia="宋体" w:hint="default"/>
                <w:sz w:val="18"/>
                <w:szCs w:val="18"/>
              </w:rPr>
              <w:t>：</w:t>
            </w:r>
          </w:p>
          <w:p>
            <w:pPr>
              <w:pStyle w:val="TableParagraph"/>
              <w:spacing w:line="240" w:lineRule="auto" w:before="118"/>
              <w:ind w:left="7" w:right="0"/>
              <w:jc w:val="both"/>
              <w:rPr>
                <w:rFonts w:ascii="Times New Roman" w:hAnsi="Times New Roman" w:cs="Times New Roman" w:eastAsia="Times New Roman" w:hint="default"/>
                <w:sz w:val="18"/>
                <w:szCs w:val="18"/>
              </w:rPr>
            </w:pPr>
            <w:r>
              <w:rPr>
                <w:rFonts w:ascii="Times New Roman"/>
                <w:sz w:val="18"/>
              </w:rPr>
              <w:t>2014042400000651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海挡路以南、新潮河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以东、通海路以西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67,537.00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3,545.72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3,472.66</w:t>
            </w:r>
          </w:p>
        </w:tc>
      </w:tr>
      <w:tr>
        <w:trPr>
          <w:trHeight w:val="1669"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9"/>
              <w:ind w:left="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土地证编号：唐湾岛国</w:t>
            </w:r>
            <w:r>
              <w:rPr>
                <w:rFonts w:ascii="宋体" w:hAnsi="宋体" w:cs="宋体" w:eastAsia="宋体" w:hint="default"/>
                <w:spacing w:val="-71"/>
                <w:sz w:val="18"/>
                <w:szCs w:val="18"/>
              </w:rPr>
              <w:t> </w:t>
            </w:r>
            <w:r>
              <w:rPr>
                <w:rFonts w:ascii="宋体" w:hAnsi="宋体" w:cs="宋体" w:eastAsia="宋体" w:hint="default"/>
                <w:spacing w:val="16"/>
                <w:sz w:val="18"/>
                <w:szCs w:val="18"/>
              </w:rPr>
              <w:t>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130218001004GB00012</w:t>
            </w:r>
          </w:p>
          <w:p>
            <w:pPr>
              <w:pStyle w:val="TableParagraph"/>
              <w:spacing w:line="225" w:lineRule="exact"/>
              <w:ind w:left="7" w:right="0"/>
              <w:jc w:val="both"/>
              <w:rPr>
                <w:rFonts w:ascii="宋体" w:hAnsi="宋体" w:cs="宋体" w:eastAsia="宋体" w:hint="default"/>
                <w:sz w:val="18"/>
                <w:szCs w:val="18"/>
              </w:rPr>
            </w:pPr>
            <w:r>
              <w:rPr>
                <w:rFonts w:ascii="宋体" w:hAnsi="宋体" w:cs="宋体" w:eastAsia="宋体" w:hint="default"/>
                <w:sz w:val="18"/>
                <w:szCs w:val="18"/>
              </w:rPr>
              <w:t>押   品   编   号</w:t>
            </w:r>
            <w:r>
              <w:rPr>
                <w:rFonts w:ascii="宋体" w:hAnsi="宋体" w:cs="宋体" w:eastAsia="宋体" w:hint="default"/>
                <w:spacing w:val="20"/>
                <w:sz w:val="18"/>
                <w:szCs w:val="18"/>
              </w:rPr>
              <w:t> </w:t>
            </w:r>
            <w:r>
              <w:rPr>
                <w:rFonts w:ascii="宋体" w:hAnsi="宋体" w:cs="宋体" w:eastAsia="宋体" w:hint="default"/>
                <w:sz w:val="18"/>
                <w:szCs w:val="18"/>
              </w:rPr>
              <w:t>：</w:t>
            </w:r>
          </w:p>
          <w:p>
            <w:pPr>
              <w:pStyle w:val="TableParagraph"/>
              <w:spacing w:line="240" w:lineRule="auto" w:before="118"/>
              <w:ind w:left="7" w:right="0"/>
              <w:jc w:val="both"/>
              <w:rPr>
                <w:rFonts w:ascii="Times New Roman" w:hAnsi="Times New Roman" w:cs="Times New Roman" w:eastAsia="Times New Roman" w:hint="default"/>
                <w:sz w:val="18"/>
                <w:szCs w:val="18"/>
              </w:rPr>
            </w:pPr>
            <w:r>
              <w:rPr>
                <w:rFonts w:ascii="Times New Roman"/>
                <w:sz w:val="18"/>
              </w:rPr>
              <w:t>2014042400000602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4" w:right="6"/>
              <w:jc w:val="left"/>
              <w:rPr>
                <w:rFonts w:ascii="宋体" w:hAnsi="宋体" w:cs="宋体" w:eastAsia="宋体" w:hint="default"/>
                <w:sz w:val="18"/>
                <w:szCs w:val="18"/>
              </w:rPr>
            </w:pPr>
            <w:r>
              <w:rPr>
                <w:rFonts w:ascii="宋体" w:hAnsi="宋体" w:cs="宋体" w:eastAsia="宋体" w:hint="default"/>
                <w:spacing w:val="6"/>
                <w:sz w:val="18"/>
                <w:szCs w:val="18"/>
              </w:rPr>
              <w:t>海挡路以南、新潮河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以东、通海路以西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54,462.88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w w:val="95"/>
                <w:sz w:val="18"/>
              </w:rPr>
              <w:t>2,859.30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95"/>
                <w:sz w:val="18"/>
              </w:rPr>
              <w:t>2,800.18</w:t>
            </w:r>
          </w:p>
        </w:tc>
      </w:tr>
      <w:tr>
        <w:trPr>
          <w:trHeight w:val="1671" w:hRule="exact"/>
        </w:trPr>
        <w:tc>
          <w:tcPr>
            <w:tcW w:w="1980" w:type="dxa"/>
            <w:vMerge/>
            <w:tcBorders>
              <w:left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61"/>
              <w:ind w:left="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土地证编号：唐湾岛国</w:t>
            </w:r>
            <w:r>
              <w:rPr>
                <w:rFonts w:ascii="宋体" w:hAnsi="宋体" w:cs="宋体" w:eastAsia="宋体" w:hint="default"/>
                <w:spacing w:val="-71"/>
                <w:sz w:val="18"/>
                <w:szCs w:val="18"/>
              </w:rPr>
              <w:t> </w:t>
            </w:r>
            <w:r>
              <w:rPr>
                <w:rFonts w:ascii="宋体" w:hAnsi="宋体" w:cs="宋体" w:eastAsia="宋体" w:hint="default"/>
                <w:spacing w:val="16"/>
                <w:sz w:val="18"/>
                <w:szCs w:val="18"/>
              </w:rPr>
              <w:t>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130218001004GB00013</w:t>
            </w:r>
          </w:p>
          <w:p>
            <w:pPr>
              <w:pStyle w:val="TableParagraph"/>
              <w:spacing w:line="225" w:lineRule="exact"/>
              <w:ind w:left="7" w:right="0"/>
              <w:jc w:val="both"/>
              <w:rPr>
                <w:rFonts w:ascii="宋体" w:hAnsi="宋体" w:cs="宋体" w:eastAsia="宋体" w:hint="default"/>
                <w:sz w:val="18"/>
                <w:szCs w:val="18"/>
              </w:rPr>
            </w:pPr>
            <w:r>
              <w:rPr>
                <w:rFonts w:ascii="宋体" w:hAnsi="宋体" w:cs="宋体" w:eastAsia="宋体" w:hint="default"/>
                <w:sz w:val="18"/>
                <w:szCs w:val="18"/>
              </w:rPr>
              <w:t>押   品   编   号</w:t>
            </w:r>
            <w:r>
              <w:rPr>
                <w:rFonts w:ascii="宋体" w:hAnsi="宋体" w:cs="宋体" w:eastAsia="宋体" w:hint="default"/>
                <w:spacing w:val="20"/>
                <w:sz w:val="18"/>
                <w:szCs w:val="18"/>
              </w:rPr>
              <w:t> </w:t>
            </w:r>
            <w:r>
              <w:rPr>
                <w:rFonts w:ascii="宋体" w:hAnsi="宋体" w:cs="宋体" w:eastAsia="宋体" w:hint="default"/>
                <w:sz w:val="18"/>
                <w:szCs w:val="18"/>
              </w:rPr>
              <w:t>：</w:t>
            </w:r>
          </w:p>
          <w:p>
            <w:pPr>
              <w:pStyle w:val="TableParagraph"/>
              <w:spacing w:line="240" w:lineRule="auto" w:before="118"/>
              <w:ind w:left="7" w:right="0"/>
              <w:jc w:val="both"/>
              <w:rPr>
                <w:rFonts w:ascii="Times New Roman" w:hAnsi="Times New Roman" w:cs="Times New Roman" w:eastAsia="Times New Roman" w:hint="default"/>
                <w:sz w:val="18"/>
                <w:szCs w:val="18"/>
              </w:rPr>
            </w:pPr>
            <w:r>
              <w:rPr>
                <w:rFonts w:ascii="Times New Roman"/>
                <w:sz w:val="18"/>
              </w:rPr>
              <w:t>2014042400000606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海挡路以南、新潮河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以东、通海路以西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60,890.06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3,196.73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3,130.95</w:t>
            </w:r>
          </w:p>
        </w:tc>
      </w:tr>
      <w:tr>
        <w:trPr>
          <w:trHeight w:val="1670"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61"/>
              <w:ind w:left="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土地证编号：唐湾岛国</w:t>
            </w:r>
            <w:r>
              <w:rPr>
                <w:rFonts w:ascii="宋体" w:hAnsi="宋体" w:cs="宋体" w:eastAsia="宋体" w:hint="default"/>
                <w:spacing w:val="-71"/>
                <w:sz w:val="18"/>
                <w:szCs w:val="18"/>
              </w:rPr>
              <w:t> </w:t>
            </w:r>
            <w:r>
              <w:rPr>
                <w:rFonts w:ascii="宋体" w:hAnsi="宋体" w:cs="宋体" w:eastAsia="宋体" w:hint="default"/>
                <w:spacing w:val="16"/>
                <w:sz w:val="18"/>
                <w:szCs w:val="18"/>
              </w:rPr>
              <w:t>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130218001004GB00010</w:t>
            </w:r>
          </w:p>
          <w:p>
            <w:pPr>
              <w:pStyle w:val="TableParagraph"/>
              <w:spacing w:line="225" w:lineRule="exact"/>
              <w:ind w:left="7" w:right="0"/>
              <w:jc w:val="both"/>
              <w:rPr>
                <w:rFonts w:ascii="宋体" w:hAnsi="宋体" w:cs="宋体" w:eastAsia="宋体" w:hint="default"/>
                <w:sz w:val="18"/>
                <w:szCs w:val="18"/>
              </w:rPr>
            </w:pPr>
            <w:r>
              <w:rPr>
                <w:rFonts w:ascii="宋体" w:hAnsi="宋体" w:cs="宋体" w:eastAsia="宋体" w:hint="default"/>
                <w:sz w:val="18"/>
                <w:szCs w:val="18"/>
              </w:rPr>
              <w:t>押   品   编   号</w:t>
            </w:r>
            <w:r>
              <w:rPr>
                <w:rFonts w:ascii="宋体" w:hAnsi="宋体" w:cs="宋体" w:eastAsia="宋体" w:hint="default"/>
                <w:spacing w:val="20"/>
                <w:sz w:val="18"/>
                <w:szCs w:val="18"/>
              </w:rPr>
              <w:t> </w:t>
            </w:r>
            <w:r>
              <w:rPr>
                <w:rFonts w:ascii="宋体" w:hAnsi="宋体" w:cs="宋体" w:eastAsia="宋体" w:hint="default"/>
                <w:sz w:val="18"/>
                <w:szCs w:val="18"/>
              </w:rPr>
              <w:t>：</w:t>
            </w:r>
          </w:p>
          <w:p>
            <w:pPr>
              <w:pStyle w:val="TableParagraph"/>
              <w:spacing w:line="240" w:lineRule="auto" w:before="118"/>
              <w:ind w:left="7" w:right="0"/>
              <w:jc w:val="both"/>
              <w:rPr>
                <w:rFonts w:ascii="Times New Roman" w:hAnsi="Times New Roman" w:cs="Times New Roman" w:eastAsia="Times New Roman" w:hint="default"/>
                <w:sz w:val="18"/>
                <w:szCs w:val="18"/>
              </w:rPr>
            </w:pPr>
            <w:r>
              <w:rPr>
                <w:rFonts w:ascii="Times New Roman"/>
                <w:sz w:val="18"/>
              </w:rPr>
              <w:t>2014042400000691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4" w:right="6"/>
              <w:jc w:val="left"/>
              <w:rPr>
                <w:rFonts w:ascii="宋体" w:hAnsi="宋体" w:cs="宋体" w:eastAsia="宋体" w:hint="default"/>
                <w:sz w:val="18"/>
                <w:szCs w:val="18"/>
              </w:rPr>
            </w:pPr>
            <w:r>
              <w:rPr>
                <w:rFonts w:ascii="宋体" w:hAnsi="宋体" w:cs="宋体" w:eastAsia="宋体" w:hint="default"/>
                <w:spacing w:val="6"/>
                <w:sz w:val="18"/>
                <w:szCs w:val="18"/>
              </w:rPr>
              <w:t>海挡路以南、新潮河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以东、通海路以西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65,507.81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5"/>
                <w:sz w:val="18"/>
              </w:rPr>
              <w:t>3,439.16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3,368.19</w:t>
            </w:r>
          </w:p>
        </w:tc>
      </w:tr>
      <w:tr>
        <w:trPr>
          <w:trHeight w:val="1046" w:hRule="exact"/>
        </w:trPr>
        <w:tc>
          <w:tcPr>
            <w:tcW w:w="1980"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6"/>
              <w:jc w:val="left"/>
              <w:rPr>
                <w:rFonts w:ascii="宋体" w:hAnsi="宋体" w:cs="宋体" w:eastAsia="宋体" w:hint="default"/>
                <w:sz w:val="18"/>
                <w:szCs w:val="18"/>
              </w:rPr>
            </w:pPr>
            <w:r>
              <w:rPr>
                <w:rFonts w:ascii="宋体" w:hAnsi="宋体" w:cs="宋体" w:eastAsia="宋体" w:hint="default"/>
                <w:spacing w:val="15"/>
                <w:sz w:val="18"/>
                <w:szCs w:val="18"/>
              </w:rPr>
              <w:t>山东锦城钢结构有限责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房产（</w:t>
            </w:r>
            <w:r>
              <w:rPr>
                <w:rFonts w:ascii="Times New Roman" w:hAnsi="Times New Roman" w:cs="Times New Roman" w:eastAsia="Times New Roman" w:hint="default"/>
                <w:sz w:val="18"/>
                <w:szCs w:val="18"/>
              </w:rPr>
              <w:t>7</w:t>
            </w:r>
            <w:r>
              <w:rPr>
                <w:rFonts w:ascii="宋体" w:hAnsi="宋体" w:cs="宋体" w:eastAsia="宋体" w:hint="default"/>
                <w:sz w:val="18"/>
                <w:szCs w:val="18"/>
              </w:rPr>
              <w:t>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淄博市房权证淄川区字</w:t>
            </w:r>
            <w:r>
              <w:rPr>
                <w:rFonts w:ascii="宋体" w:hAnsi="宋体" w:cs="宋体" w:eastAsia="宋体" w:hint="default"/>
                <w:spacing w:val="-71"/>
                <w:sz w:val="18"/>
                <w:szCs w:val="18"/>
              </w:rPr>
              <w:t> </w:t>
            </w:r>
            <w:r>
              <w:rPr>
                <w:rFonts w:ascii="宋体" w:hAnsi="宋体" w:cs="宋体" w:eastAsia="宋体" w:hint="default"/>
                <w:sz w:val="18"/>
                <w:szCs w:val="18"/>
              </w:rPr>
              <w:t>第</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04-1026014-1026020</w:t>
            </w:r>
          </w:p>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06" w:type="dxa"/>
            <w:vMerge w:val="restart"/>
            <w:tcBorders>
              <w:top w:val="single" w:sz="4" w:space="0" w:color="000000"/>
              <w:left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6"/>
                <w:sz w:val="18"/>
                <w:szCs w:val="18"/>
              </w:rPr>
              <w:t>淄川区经济开发区招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村村北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16,475.18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2,128.92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835.81</w:t>
            </w:r>
          </w:p>
        </w:tc>
      </w:tr>
      <w:tr>
        <w:trPr>
          <w:trHeight w:val="735" w:hRule="exact"/>
        </w:trPr>
        <w:tc>
          <w:tcPr>
            <w:tcW w:w="198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pacing w:val="-35"/>
                <w:sz w:val="18"/>
                <w:szCs w:val="18"/>
              </w:rPr>
              <w:t> </w:t>
            </w:r>
            <w:r>
              <w:rPr>
                <w:rFonts w:ascii="宋体" w:hAnsi="宋体" w:cs="宋体" w:eastAsia="宋体" w:hint="default"/>
                <w:sz w:val="18"/>
                <w:szCs w:val="18"/>
              </w:rPr>
              <w:t>地</w:t>
            </w:r>
            <w:r>
              <w:rPr>
                <w:rFonts w:ascii="宋体" w:hAnsi="宋体" w:cs="宋体" w:eastAsia="宋体" w:hint="default"/>
                <w:spacing w:val="-35"/>
                <w:sz w:val="18"/>
                <w:szCs w:val="18"/>
              </w:rPr>
              <w:t> </w:t>
            </w:r>
            <w:r>
              <w:rPr>
                <w:rFonts w:ascii="宋体" w:hAnsi="宋体" w:cs="宋体" w:eastAsia="宋体" w:hint="default"/>
                <w:sz w:val="18"/>
                <w:szCs w:val="18"/>
              </w:rPr>
              <w:t>证</w:t>
            </w:r>
            <w:r>
              <w:rPr>
                <w:rFonts w:ascii="宋体" w:hAnsi="宋体" w:cs="宋体" w:eastAsia="宋体" w:hint="default"/>
                <w:spacing w:val="-35"/>
                <w:sz w:val="18"/>
                <w:szCs w:val="18"/>
              </w:rPr>
              <w:t> </w:t>
            </w:r>
            <w:r>
              <w:rPr>
                <w:rFonts w:ascii="宋体" w:hAnsi="宋体" w:cs="宋体" w:eastAsia="宋体" w:hint="default"/>
                <w:sz w:val="18"/>
                <w:szCs w:val="18"/>
              </w:rPr>
              <w:t>号</w:t>
            </w:r>
            <w:r>
              <w:rPr>
                <w:rFonts w:ascii="宋体" w:hAnsi="宋体" w:cs="宋体" w:eastAsia="宋体" w:hint="default"/>
                <w:spacing w:val="-38"/>
                <w:sz w:val="18"/>
                <w:szCs w:val="18"/>
              </w:rPr>
              <w:t> </w:t>
            </w:r>
            <w:r>
              <w:rPr>
                <w:rFonts w:ascii="宋体" w:hAnsi="宋体" w:cs="宋体" w:eastAsia="宋体" w:hint="default"/>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淄</w:t>
            </w:r>
            <w:r>
              <w:rPr>
                <w:rFonts w:ascii="宋体" w:hAnsi="宋体" w:cs="宋体" w:eastAsia="宋体" w:hint="default"/>
                <w:spacing w:val="-38"/>
                <w:sz w:val="18"/>
                <w:szCs w:val="18"/>
              </w:rPr>
              <w:t> </w:t>
            </w:r>
            <w:r>
              <w:rPr>
                <w:rFonts w:ascii="宋体" w:hAnsi="宋体" w:cs="宋体" w:eastAsia="宋体" w:hint="default"/>
                <w:sz w:val="18"/>
                <w:szCs w:val="18"/>
              </w:rPr>
              <w:t>国</w:t>
            </w:r>
            <w:r>
              <w:rPr>
                <w:rFonts w:ascii="宋体" w:hAnsi="宋体" w:cs="宋体" w:eastAsia="宋体" w:hint="default"/>
                <w:spacing w:val="-35"/>
                <w:sz w:val="18"/>
                <w:szCs w:val="18"/>
              </w:rPr>
              <w:t> </w:t>
            </w:r>
            <w:r>
              <w:rPr>
                <w:rFonts w:ascii="宋体" w:hAnsi="宋体" w:cs="宋体" w:eastAsia="宋体" w:hint="default"/>
                <w:sz w:val="18"/>
                <w:szCs w:val="18"/>
              </w:rPr>
              <w:t>用</w:t>
            </w:r>
          </w:p>
          <w:p>
            <w:pPr>
              <w:pStyle w:val="TableParagraph"/>
              <w:spacing w:line="240" w:lineRule="auto" w:before="7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Times New Roman" w:hAnsi="Times New Roman" w:cs="Times New Roman" w:eastAsia="Times New Roman" w:hint="default"/>
                <w:sz w:val="18"/>
                <w:szCs w:val="18"/>
              </w:rPr>
              <w:t>001503</w:t>
            </w:r>
            <w:r>
              <w:rPr>
                <w:rFonts w:ascii="宋体" w:hAnsi="宋体" w:cs="宋体" w:eastAsia="宋体" w:hint="default"/>
                <w:sz w:val="18"/>
                <w:szCs w:val="18"/>
              </w:rPr>
              <w:t>号</w:t>
            </w:r>
          </w:p>
        </w:tc>
        <w:tc>
          <w:tcPr>
            <w:tcW w:w="1706"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49,476.24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5"/>
                <w:sz w:val="18"/>
              </w:rPr>
              <w:t>1,706.93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611.47</w:t>
            </w:r>
          </w:p>
        </w:tc>
      </w:tr>
    </w:tbl>
    <w:p>
      <w:pPr>
        <w:pStyle w:val="BodyText"/>
        <w:spacing w:line="300" w:lineRule="auto" w:before="8"/>
        <w:ind w:left="513" w:right="142" w:hanging="361"/>
        <w:jc w:val="left"/>
      </w:pPr>
      <w:r>
        <w:rPr/>
        <w:t>（</w:t>
      </w:r>
      <w:r>
        <w:rPr>
          <w:rFonts w:ascii="Times New Roman" w:hAnsi="Times New Roman" w:cs="Times New Roman" w:eastAsia="Times New Roman" w:hint="default"/>
        </w:rPr>
        <w:t>4</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日，本公司为商品房承购人向银行提供抵押贷款担保的情况如下： </w:t>
      </w:r>
      <w:r>
        <w:rPr>
          <w:spacing w:val="-2"/>
        </w:rPr>
        <w:t>本公司之地产子公司按房地产经营惯例为商品房承购人提供抵押贷款担保。截止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日，本公司为商品房承购</w:t>
      </w:r>
    </w:p>
    <w:p>
      <w:pPr>
        <w:pStyle w:val="BodyText"/>
        <w:spacing w:line="309" w:lineRule="auto" w:before="13"/>
        <w:ind w:right="151"/>
        <w:jc w:val="both"/>
      </w:pPr>
      <w:r>
        <w:rPr/>
        <w:t>人的按揭贷款提供担保的余额为</w:t>
      </w:r>
      <w:r>
        <w:rPr>
          <w:rFonts w:ascii="Times New Roman" w:hAnsi="Times New Roman" w:cs="Times New Roman" w:eastAsia="Times New Roman" w:hint="default"/>
        </w:rPr>
        <w:t>811,616.78</w:t>
      </w:r>
      <w:r>
        <w:rPr/>
        <w:t>万元。担保金额为贷款本金、利息、罚息、复利、违约金、补偿金及贷款人实现</w:t>
      </w:r>
      <w:r>
        <w:rPr>
          <w:spacing w:val="-85"/>
        </w:rPr>
        <w:t> </w:t>
      </w:r>
      <w:r>
        <w:rPr>
          <w:spacing w:val="-85"/>
        </w:rPr>
      </w:r>
      <w:r>
        <w:rPr>
          <w:spacing w:val="-2"/>
        </w:rPr>
        <w:t>债权的费用和借款人所有其他应付费用。担保期限自业主与银行签订的借款合同生效之日起至本公司为商品房承购人办妥房</w:t>
      </w:r>
      <w:r>
        <w:rPr>
          <w:spacing w:val="-63"/>
        </w:rPr>
        <w:t> </w:t>
      </w:r>
      <w:r>
        <w:rPr>
          <w:spacing w:val="-63"/>
        </w:rPr>
      </w:r>
      <w:r>
        <w:rPr/>
        <w:t>屋抵押登记手续，并将相关的登记文件交付银行收执之日止。</w:t>
      </w:r>
    </w:p>
    <w:p>
      <w:pPr>
        <w:pStyle w:val="BodyText"/>
        <w:spacing w:line="300" w:lineRule="auto" w:before="24"/>
        <w:ind w:left="513" w:right="4373" w:hanging="180"/>
        <w:jc w:val="left"/>
      </w:pPr>
      <w:r>
        <w:rPr/>
        <w:t>（</w:t>
      </w:r>
      <w:r>
        <w:rPr>
          <w:rFonts w:ascii="Times New Roman" w:hAnsi="Times New Roman" w:cs="Times New Roman" w:eastAsia="Times New Roman" w:hint="default"/>
        </w:rPr>
        <w:t>5</w:t>
      </w:r>
      <w:r>
        <w:rPr/>
        <w:t>）开出保函 截止到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日，未履行完毕的不可撤销保函情况如下：</w:t>
      </w:r>
    </w:p>
    <w:tbl>
      <w:tblPr>
        <w:tblW w:w="0" w:type="auto"/>
        <w:jc w:val="left"/>
        <w:tblInd w:w="145" w:type="dxa"/>
        <w:tblLayout w:type="fixed"/>
        <w:tblCellMar>
          <w:top w:w="0" w:type="dxa"/>
          <w:left w:w="0" w:type="dxa"/>
          <w:bottom w:w="0" w:type="dxa"/>
          <w:right w:w="0" w:type="dxa"/>
        </w:tblCellMar>
        <w:tblLook w:val="01E0"/>
      </w:tblPr>
      <w:tblGrid>
        <w:gridCol w:w="2701"/>
        <w:gridCol w:w="2126"/>
        <w:gridCol w:w="1419"/>
        <w:gridCol w:w="1700"/>
        <w:gridCol w:w="1702"/>
      </w:tblGrid>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司淮安健康支行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1,340,804.00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2013.12.25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2015.12.24</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司淮安经济开发区支行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2,688,380.00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2013.09.25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2018.09.25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2701"/>
        <w:gridCol w:w="2126"/>
        <w:gridCol w:w="1419"/>
        <w:gridCol w:w="1700"/>
        <w:gridCol w:w="1702"/>
      </w:tblGrid>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司淮安健康支行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659,597.00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2013.12.25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2018.12.23</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中国银行股份有限公司江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苏省分行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2,168,786.72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2014.07.11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2019.07.10</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中国银行股份有限公司江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苏省分行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296,754.82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2014.07.11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2019.07.10</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淮安市建设工程质量监督站</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中国银行股份有限公司江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苏省分行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2,554,877.17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2014.05.21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2019.05.20</w:t>
            </w:r>
          </w:p>
        </w:tc>
      </w:tr>
      <w:tr>
        <w:trPr>
          <w:trHeight w:val="973"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南通市建筑工程管理处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司南通经济技术开发区支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2014.01.17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2015.12.15</w:t>
            </w:r>
          </w:p>
        </w:tc>
      </w:tr>
      <w:tr>
        <w:trPr>
          <w:trHeight w:val="346"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台北富邦银行</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富邦华一银行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2014.04.10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2015.03.30</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云南建工集团有限公司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23,021,138.96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2012.02.18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2015.02.18</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青岛上实地产有限公司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2013.01.31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2015.05.31</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云南建工集团有限公司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92,084,557.50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2013.06.03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2016.06.03</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常州大华进出口集团有限公司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2013.07.04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2016.07.25</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和记黄埔地产（西安）有限公司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26,137,000.00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2013.10.15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2015.10.14</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和记黄埔地产（西安）有限公司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33,396,500.00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2013.10.15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2015.10.14</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汕头大学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1"/>
                <w:sz w:val="18"/>
                <w:szCs w:val="18"/>
              </w:rPr>
              <w:t>中国建设银行股份有限公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29,256,000.00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2013.11.05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2015.05.30</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上海建工集团股份有限公司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2,253,566.00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2013.11.20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2015.07.20</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上海建工集团股份有限公司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2,253,566.23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2013.11.20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2015.03.31</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淮安茂华置业有限公司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2014.01.14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2017.01.13</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云南建工集团有限公司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6,791,000.00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2014.03.13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2015.11.30</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1"/>
              <w:jc w:val="left"/>
              <w:rPr>
                <w:rFonts w:ascii="宋体" w:hAnsi="宋体" w:cs="宋体" w:eastAsia="宋体" w:hint="default"/>
                <w:sz w:val="18"/>
                <w:szCs w:val="18"/>
              </w:rPr>
            </w:pPr>
            <w:r>
              <w:rPr>
                <w:rFonts w:ascii="宋体" w:hAnsi="宋体" w:cs="宋体" w:eastAsia="宋体" w:hint="default"/>
                <w:spacing w:val="12"/>
                <w:sz w:val="18"/>
                <w:szCs w:val="18"/>
              </w:rPr>
              <w:t>江苏梓盛发欢乐水城旅游有限公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2014.03.26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2016.03.12</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芜湖星焱置业有限公司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2014.09.29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2015.09.28</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绿地地产（济南）有限公司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2014.10.15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2015.04.17</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绿地集团济南西河置业有限公司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2014.10.15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2015.04.17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2701"/>
        <w:gridCol w:w="2126"/>
        <w:gridCol w:w="1419"/>
        <w:gridCol w:w="1700"/>
        <w:gridCol w:w="1702"/>
      </w:tblGrid>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绿地地产（济南）有限公司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2014.10.15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2015.04.17</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绿地集团济南西河置业有限公司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2014.10.15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2015.04.17</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1"/>
              <w:jc w:val="left"/>
              <w:rPr>
                <w:rFonts w:ascii="宋体" w:hAnsi="宋体" w:cs="宋体" w:eastAsia="宋体" w:hint="default"/>
                <w:sz w:val="18"/>
                <w:szCs w:val="18"/>
              </w:rPr>
            </w:pPr>
            <w:r>
              <w:rPr>
                <w:rFonts w:ascii="宋体" w:hAnsi="宋体" w:cs="宋体" w:eastAsia="宋体" w:hint="default"/>
                <w:spacing w:val="12"/>
                <w:sz w:val="18"/>
                <w:szCs w:val="18"/>
              </w:rPr>
              <w:t>金科集团苏州百俊房地产开发有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13,460,000.00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2014.10.23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2018.06.30</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商务部国际经济合作事务局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司海门支行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1,560,000.00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2014.10.27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2015.01.30</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南通创源科技园发展有限公司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中国工商银行股份有限公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司南通分行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2014.12.17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2016.02.21</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南通创源科技园发展有限公司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中国工商银行股份有限公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司南通分行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2014.12.17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2016.02.21</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南通市商务局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中国工商银行股份有限公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司南通分行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2014.12.17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2016.02.21</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万泰商业银行（</w:t>
            </w:r>
            <w:r>
              <w:rPr>
                <w:rFonts w:ascii="Times New Roman" w:hAnsi="Times New Roman" w:cs="Times New Roman" w:eastAsia="Times New Roman" w:hint="default"/>
                <w:spacing w:val="6"/>
                <w:sz w:val="18"/>
                <w:szCs w:val="18"/>
              </w:rPr>
              <w:t>COSMOS</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BANK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TAIWAN)</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富邦华一银行有限公司上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海徐汇支行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2014.09.15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2015.04.10</w:t>
            </w:r>
          </w:p>
        </w:tc>
      </w:tr>
      <w:tr>
        <w:trPr>
          <w:trHeight w:val="658"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万泰商业银行（</w:t>
            </w:r>
            <w:r>
              <w:rPr>
                <w:rFonts w:ascii="Times New Roman" w:hAnsi="Times New Roman" w:cs="Times New Roman" w:eastAsia="Times New Roman" w:hint="default"/>
                <w:spacing w:val="6"/>
                <w:sz w:val="18"/>
                <w:szCs w:val="18"/>
              </w:rPr>
              <w:t>COSMOS</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BANK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TAIWAN)</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富邦华一银行有限公司上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海徐汇支行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4"/>
              <w:jc w:val="right"/>
              <w:rPr>
                <w:rFonts w:ascii="Times New Roman" w:hAnsi="Times New Roman" w:cs="Times New Roman" w:eastAsia="Times New Roman" w:hint="default"/>
                <w:sz w:val="18"/>
                <w:szCs w:val="18"/>
              </w:rPr>
            </w:pPr>
            <w:r>
              <w:rPr>
                <w:rFonts w:ascii="Times New Roman"/>
                <w:w w:val="95"/>
                <w:sz w:val="18"/>
              </w:rPr>
              <w:t>2014.09.15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2015.04.10</w:t>
            </w:r>
          </w:p>
        </w:tc>
      </w:tr>
      <w:tr>
        <w:trPr>
          <w:trHeight w:val="660" w:hRule="exact"/>
        </w:trPr>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万泰商业银行（</w:t>
            </w:r>
            <w:r>
              <w:rPr>
                <w:rFonts w:ascii="Times New Roman" w:hAnsi="Times New Roman" w:cs="Times New Roman" w:eastAsia="Times New Roman" w:hint="default"/>
                <w:spacing w:val="6"/>
                <w:sz w:val="18"/>
                <w:szCs w:val="18"/>
              </w:rPr>
              <w:t>COSMOS</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BANK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TAIWAN)</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0"/>
                <w:sz w:val="18"/>
                <w:szCs w:val="18"/>
              </w:rPr>
              <w:t>富邦华一银行有限公司上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海徐汇支行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4"/>
              <w:jc w:val="right"/>
              <w:rPr>
                <w:rFonts w:ascii="Times New Roman" w:hAnsi="Times New Roman" w:cs="Times New Roman" w:eastAsia="Times New Roman" w:hint="default"/>
                <w:sz w:val="18"/>
                <w:szCs w:val="18"/>
              </w:rPr>
            </w:pPr>
            <w:r>
              <w:rPr>
                <w:rFonts w:ascii="Times New Roman"/>
                <w:w w:val="95"/>
                <w:sz w:val="18"/>
              </w:rPr>
              <w:t>2014.09.22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2015.04.10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42"/>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42"/>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2"/>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116,783,922.60</w:t>
            </w:r>
          </w:p>
        </w:tc>
      </w:tr>
      <w:tr>
        <w:trPr>
          <w:trHeight w:val="40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42"/>
        <w:jc w:val="left"/>
      </w:pPr>
      <w:r>
        <w:rPr/>
        <w:t>（</w:t>
      </w:r>
      <w:r>
        <w:rPr>
          <w:rFonts w:ascii="Times New Roman" w:hAnsi="Times New Roman" w:cs="Times New Roman" w:eastAsia="Times New Roman" w:hint="default"/>
        </w:rPr>
        <w:t>1</w:t>
      </w:r>
      <w:r>
        <w:rPr/>
        <w:t>）公司股东股权出售</w:t>
      </w:r>
    </w:p>
    <w:p>
      <w:pPr>
        <w:pStyle w:val="BodyText"/>
        <w:spacing w:line="240" w:lineRule="auto" w:before="63"/>
        <w:ind w:left="513" w:right="14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日，本公司股东中南城市建设投资有限公司出售所持公司无限售条件流通股</w:t>
      </w:r>
      <w:r>
        <w:rPr>
          <w:rFonts w:ascii="Times New Roman" w:hAnsi="Times New Roman" w:cs="Times New Roman" w:eastAsia="Times New Roman" w:hint="default"/>
        </w:rPr>
        <w:t>20,000,000</w:t>
      </w:r>
      <w:r>
        <w:rPr/>
        <w:t>股</w:t>
      </w:r>
      <w:r>
        <w:rPr>
          <w:rFonts w:ascii="Times New Roman" w:hAnsi="Times New Roman" w:cs="Times New Roman" w:eastAsia="Times New Roman" w:hint="default"/>
        </w:rPr>
        <w:t>(</w:t>
      </w:r>
      <w:r>
        <w:rPr/>
        <w:t>占公司总股本的</w:t>
      </w:r>
    </w:p>
    <w:p>
      <w:pPr>
        <w:pStyle w:val="BodyText"/>
        <w:spacing w:line="240" w:lineRule="auto" w:before="63"/>
        <w:ind w:right="142"/>
        <w:jc w:val="left"/>
      </w:pPr>
      <w:r>
        <w:rPr>
          <w:rFonts w:ascii="Times New Roman" w:hAnsi="Times New Roman" w:cs="Times New Roman" w:eastAsia="Times New Roman" w:hint="default"/>
        </w:rPr>
        <w:t>1.713%)</w:t>
      </w:r>
      <w:r>
        <w:rPr/>
        <w:t>，减持后，持有</w:t>
      </w:r>
      <w:r>
        <w:rPr>
          <w:rFonts w:ascii="Times New Roman" w:hAnsi="Times New Roman" w:cs="Times New Roman" w:eastAsia="Times New Roman" w:hint="default"/>
        </w:rPr>
        <w:t>828,245,184</w:t>
      </w:r>
      <w:r>
        <w:rPr/>
        <w:t>股，占总股本的</w:t>
      </w:r>
      <w:r>
        <w:rPr>
          <w:rFonts w:ascii="Times New Roman" w:hAnsi="Times New Roman" w:cs="Times New Roman" w:eastAsia="Times New Roman" w:hint="default"/>
        </w:rPr>
        <w:t>70.921%</w:t>
      </w:r>
      <w:r>
        <w:rPr/>
        <w:t>。</w:t>
      </w:r>
    </w:p>
    <w:p>
      <w:pPr>
        <w:pStyle w:val="BodyText"/>
        <w:spacing w:line="240" w:lineRule="auto" w:before="63"/>
        <w:ind w:left="513" w:right="142"/>
        <w:jc w:val="left"/>
      </w:pPr>
      <w:r>
        <w:rPr/>
        <w:t>（</w:t>
      </w:r>
      <w:r>
        <w:rPr>
          <w:rFonts w:ascii="Times New Roman" w:hAnsi="Times New Roman" w:cs="Times New Roman" w:eastAsia="Times New Roman" w:hint="default"/>
        </w:rPr>
        <w:t>2</w:t>
      </w:r>
      <w:r>
        <w:rPr/>
        <w:t>）子公司清算注销情况</w:t>
      </w:r>
    </w:p>
    <w:p>
      <w:pPr>
        <w:pStyle w:val="BodyText"/>
        <w:spacing w:line="300" w:lineRule="auto" w:before="63"/>
        <w:ind w:right="142"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月本公司全资子公司广饶圣园旅游文化产业有限责任公司进行注销，取得广饶县工商行政管理局下发的 准予注销登记通知书（（广） 登记私销字</w:t>
      </w:r>
      <w:r>
        <w:rPr>
          <w:rFonts w:ascii="Times New Roman" w:hAnsi="Times New Roman" w:cs="Times New Roman" w:eastAsia="Times New Roman" w:hint="default"/>
        </w:rPr>
        <w:t>[2015]</w:t>
      </w:r>
      <w:r>
        <w:rPr/>
        <w:t>第 </w:t>
      </w:r>
      <w:r>
        <w:rPr>
          <w:rFonts w:ascii="Times New Roman" w:hAnsi="Times New Roman" w:cs="Times New Roman" w:eastAsia="Times New Roman" w:hint="default"/>
        </w:rPr>
        <w:t>0010</w:t>
      </w:r>
      <w:r>
        <w:rPr>
          <w:rFonts w:ascii="Times New Roman" w:hAnsi="Times New Roman" w:cs="Times New Roman" w:eastAsia="Times New Roman" w:hint="default"/>
          <w:spacing w:val="-15"/>
        </w:rPr>
        <w:t> </w:t>
      </w:r>
      <w:r>
        <w:rPr/>
        <w:t>号）。</w:t>
      </w:r>
    </w:p>
    <w:p>
      <w:pPr>
        <w:pStyle w:val="BodyText"/>
        <w:spacing w:line="300" w:lineRule="auto" w:before="13"/>
        <w:ind w:right="137" w:firstLine="36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2015 </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月本公司子公司之子公司南通中锦钢结构有限公司进行注销，取得南通市海门市公司工商行政管理局下发 的准予注销登记通知书（公司注销 </w:t>
      </w:r>
      <w:r>
        <w:rPr>
          <w:rFonts w:ascii="Times New Roman" w:hAnsi="Times New Roman" w:cs="Times New Roman" w:eastAsia="Times New Roman" w:hint="default"/>
        </w:rPr>
        <w:t>[2015]</w:t>
      </w:r>
      <w:r>
        <w:rPr/>
        <w:t>第</w:t>
      </w:r>
      <w:r>
        <w:rPr>
          <w:spacing w:val="-40"/>
        </w:rPr>
        <w:t> </w:t>
      </w:r>
      <w:r>
        <w:rPr>
          <w:rFonts w:ascii="Times New Roman" w:hAnsi="Times New Roman" w:cs="Times New Roman" w:eastAsia="Times New Roman" w:hint="default"/>
        </w:rPr>
        <w:t>01300001</w:t>
      </w:r>
      <w:r>
        <w:rPr/>
        <w:t>号）。</w:t>
      </w:r>
    </w:p>
    <w:p>
      <w:pPr>
        <w:spacing w:after="0" w:line="30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00" w:lineRule="auto" w:before="44"/>
        <w:ind w:right="176" w:firstLine="36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 </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月本公司子公司之子公司无锡中南城发城市建设投资有限公司成立清算组，决定解散公司，清算程序正在 进行中。</w:t>
      </w:r>
    </w:p>
    <w:p>
      <w:pPr>
        <w:pStyle w:val="BodyText"/>
        <w:spacing w:line="240" w:lineRule="auto" w:before="31"/>
        <w:ind w:left="513" w:right="94"/>
        <w:jc w:val="left"/>
      </w:pPr>
      <w:r>
        <w:rPr/>
        <w:t>（</w:t>
      </w:r>
      <w:r>
        <w:rPr>
          <w:rFonts w:ascii="Times New Roman" w:hAnsi="Times New Roman" w:cs="Times New Roman" w:eastAsia="Times New Roman" w:hint="default"/>
        </w:rPr>
        <w:t>3</w:t>
      </w:r>
      <w:r>
        <w:rPr/>
        <w:t>）员工持股计划情况</w:t>
      </w:r>
    </w:p>
    <w:p>
      <w:pPr>
        <w:pStyle w:val="BodyText"/>
        <w:spacing w:line="300" w:lineRule="auto" w:before="63"/>
        <w:ind w:right="84" w:firstLine="360"/>
        <w:jc w:val="left"/>
      </w:pPr>
      <w:r>
        <w:rPr>
          <w:rFonts w:ascii="Times New Roman" w:hAnsi="Times New Roman" w:cs="Times New Roman" w:eastAsia="Times New Roman" w:hint="default"/>
          <w:spacing w:val="-2"/>
        </w:rPr>
        <w:t>2015</w:t>
      </w:r>
      <w:r>
        <w:rPr>
          <w:spacing w:val="-2"/>
        </w:rPr>
        <w:t>年，公司董事会拟筹划推出员工持股计划。持股计划的规模：全部有效的员工持股计划所持有的股票总数累计不超</w:t>
      </w:r>
      <w:r>
        <w:rPr/>
        <w:t> 过公司股本总额的</w:t>
      </w:r>
      <w:r>
        <w:rPr>
          <w:rFonts w:ascii="Times New Roman" w:hAnsi="Times New Roman" w:cs="Times New Roman" w:eastAsia="Times New Roman" w:hint="default"/>
        </w:rPr>
        <w:t>10%</w:t>
      </w:r>
      <w:r>
        <w:rPr/>
        <w:t>，单个员工所获股份权益对应的股票总数累计不超过公司股本总额的</w:t>
      </w:r>
      <w:r>
        <w:rPr>
          <w:spacing w:val="-50"/>
        </w:rPr>
        <w:t> </w:t>
      </w:r>
      <w:r>
        <w:rPr>
          <w:rFonts w:ascii="Times New Roman" w:hAnsi="Times New Roman" w:cs="Times New Roman" w:eastAsia="Times New Roman" w:hint="default"/>
          <w:spacing w:val="-4"/>
        </w:rPr>
        <w:t>1%</w:t>
      </w:r>
      <w:r>
        <w:rPr>
          <w:spacing w:val="-4"/>
        </w:rPr>
        <w:t>，员工持股计划持有人范围：</w:t>
      </w:r>
      <w:r>
        <w:rPr/>
        <w:t> 公司及下属子公司的部分董事（除独立董事）、监事、高级管理人员、中层管理人员和核心骨干员工。</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360"/>
        <w:jc w:val="left"/>
      </w:pPr>
      <w:r>
        <w:rPr/>
        <w:t>公司以内部组织结构、管理要求、内部报告制度等为依据确定经营分部。本公司各经营分部的会计政策与在</w:t>
      </w:r>
      <w:r>
        <w:rPr>
          <w:rFonts w:ascii="Times New Roman" w:hAnsi="Times New Roman" w:cs="Times New Roman" w:eastAsia="Times New Roman" w:hint="default"/>
        </w:rPr>
        <w:t>“</w:t>
      </w:r>
      <w:r>
        <w:rPr/>
        <w:t>重要会计 政策和会计估计</w:t>
      </w:r>
      <w:r>
        <w:rPr>
          <w:rFonts w:ascii="Times New Roman" w:hAnsi="Times New Roman" w:cs="Times New Roman" w:eastAsia="Times New Roman" w:hint="default"/>
        </w:rPr>
        <w:t>”</w:t>
      </w:r>
      <w:r>
        <w:rPr/>
        <w:t>所描述的会计政策相同。</w:t>
      </w:r>
    </w:p>
    <w:p>
      <w:pPr>
        <w:spacing w:line="240" w:lineRule="auto" w:before="4"/>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0"/>
        <w:gridCol w:w="1801"/>
        <w:gridCol w:w="1447"/>
        <w:gridCol w:w="1467"/>
        <w:gridCol w:w="1767"/>
        <w:gridCol w:w="1471"/>
      </w:tblGrid>
      <w:tr>
        <w:trPr>
          <w:trHeight w:val="3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46" w:right="0"/>
              <w:jc w:val="left"/>
              <w:rPr>
                <w:rFonts w:ascii="宋体" w:hAnsi="宋体" w:cs="宋体" w:eastAsia="宋体" w:hint="default"/>
                <w:sz w:val="18"/>
                <w:szCs w:val="18"/>
              </w:rPr>
            </w:pPr>
            <w:r>
              <w:rPr>
                <w:rFonts w:ascii="宋体" w:hAnsi="宋体" w:cs="宋体" w:eastAsia="宋体" w:hint="default"/>
                <w:sz w:val="18"/>
                <w:szCs w:val="18"/>
              </w:rPr>
              <w:t>房地产分部</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建筑施工分部</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0" w:right="0"/>
              <w:jc w:val="left"/>
              <w:rPr>
                <w:rFonts w:ascii="宋体" w:hAnsi="宋体" w:cs="宋体" w:eastAsia="宋体" w:hint="default"/>
                <w:sz w:val="18"/>
                <w:szCs w:val="18"/>
              </w:rPr>
            </w:pPr>
            <w:r>
              <w:rPr>
                <w:rFonts w:ascii="宋体" w:hAnsi="宋体" w:cs="宋体" w:eastAsia="宋体" w:hint="default"/>
                <w:sz w:val="18"/>
                <w:szCs w:val="18"/>
              </w:rPr>
              <w:t>物业分部</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sz w:val="18"/>
                <w:szCs w:val="18"/>
              </w:rPr>
              <w:t>分部间抵消</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10,508,657,413.07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1" w:right="0"/>
              <w:jc w:val="center"/>
              <w:rPr>
                <w:rFonts w:ascii="Times New Roman" w:hAnsi="Times New Roman" w:cs="Times New Roman" w:eastAsia="Times New Roman" w:hint="default"/>
                <w:sz w:val="18"/>
                <w:szCs w:val="18"/>
              </w:rPr>
            </w:pPr>
            <w:r>
              <w:rPr>
                <w:rFonts w:ascii="Times New Roman"/>
                <w:sz w:val="18"/>
              </w:rPr>
              <w:t>12,244,399,277.05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1,577,753,353.99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-2,643,038,645.31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center"/>
              <w:rPr>
                <w:rFonts w:ascii="Times New Roman" w:hAnsi="Times New Roman" w:cs="Times New Roman" w:eastAsia="Times New Roman" w:hint="default"/>
                <w:sz w:val="18"/>
                <w:szCs w:val="18"/>
              </w:rPr>
            </w:pPr>
            <w:r>
              <w:rPr>
                <w:rFonts w:ascii="Times New Roman"/>
                <w:sz w:val="18"/>
              </w:rPr>
              <w:t>21,687,771,398.80</w:t>
            </w:r>
          </w:p>
        </w:tc>
      </w:tr>
      <w:tr>
        <w:trPr>
          <w:trHeight w:val="3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7,200,749,402.73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1" w:right="0"/>
              <w:jc w:val="center"/>
              <w:rPr>
                <w:rFonts w:ascii="Times New Roman" w:hAnsi="Times New Roman" w:cs="Times New Roman" w:eastAsia="Times New Roman" w:hint="default"/>
                <w:sz w:val="18"/>
                <w:szCs w:val="18"/>
              </w:rPr>
            </w:pPr>
            <w:r>
              <w:rPr>
                <w:rFonts w:ascii="Times New Roman"/>
                <w:sz w:val="18"/>
              </w:rPr>
              <w:t>10,397,310,108.38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1,214,377,522.27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-2,439,804,249.76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center"/>
              <w:rPr>
                <w:rFonts w:ascii="Times New Roman" w:hAnsi="Times New Roman" w:cs="Times New Roman" w:eastAsia="Times New Roman" w:hint="default"/>
                <w:sz w:val="18"/>
                <w:szCs w:val="18"/>
              </w:rPr>
            </w:pPr>
            <w:r>
              <w:rPr>
                <w:rFonts w:ascii="Times New Roman"/>
                <w:sz w:val="18"/>
              </w:rPr>
              <w:t>16,372,632,783.62</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104,672,237,039.87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1" w:right="0"/>
              <w:jc w:val="center"/>
              <w:rPr>
                <w:rFonts w:ascii="Times New Roman" w:hAnsi="Times New Roman" w:cs="Times New Roman" w:eastAsia="Times New Roman" w:hint="default"/>
                <w:sz w:val="18"/>
                <w:szCs w:val="18"/>
              </w:rPr>
            </w:pPr>
            <w:r>
              <w:rPr>
                <w:rFonts w:ascii="Times New Roman"/>
                <w:sz w:val="18"/>
              </w:rPr>
              <w:t>29,145,052,136.06</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45,304,757,826.64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-94,841,747,022.07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center"/>
              <w:rPr>
                <w:rFonts w:ascii="Times New Roman" w:hAnsi="Times New Roman" w:cs="Times New Roman" w:eastAsia="Times New Roman" w:hint="default"/>
                <w:sz w:val="18"/>
                <w:szCs w:val="18"/>
              </w:rPr>
            </w:pPr>
            <w:r>
              <w:rPr>
                <w:rFonts w:ascii="Times New Roman"/>
                <w:sz w:val="18"/>
              </w:rPr>
              <w:t>84,280,299,980.50</w:t>
            </w:r>
          </w:p>
        </w:tc>
      </w:tr>
      <w:tr>
        <w:trPr>
          <w:trHeight w:val="3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90,083,267,549.86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1" w:right="0"/>
              <w:jc w:val="center"/>
              <w:rPr>
                <w:rFonts w:ascii="Times New Roman" w:hAnsi="Times New Roman" w:cs="Times New Roman" w:eastAsia="Times New Roman" w:hint="default"/>
                <w:sz w:val="18"/>
                <w:szCs w:val="18"/>
              </w:rPr>
            </w:pPr>
            <w:r>
              <w:rPr>
                <w:rFonts w:ascii="Times New Roman"/>
                <w:sz w:val="18"/>
              </w:rPr>
              <w:t>24,982,680,299.48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40,450,290,959.40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-84,106,885,973.48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center"/>
              <w:rPr>
                <w:rFonts w:ascii="Times New Roman" w:hAnsi="Times New Roman" w:cs="Times New Roman" w:eastAsia="Times New Roman" w:hint="default"/>
                <w:sz w:val="18"/>
                <w:szCs w:val="18"/>
              </w:rPr>
            </w:pPr>
            <w:r>
              <w:rPr>
                <w:rFonts w:ascii="Times New Roman"/>
                <w:sz w:val="18"/>
              </w:rPr>
              <w:t>71,409,352,835.26</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94"/>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28,069,9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01,853.4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23,611,1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38.07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28,046,29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0,715.40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25,482,</w:t>
            </w:r>
          </w:p>
          <w:p>
            <w:pPr>
              <w:pStyle w:val="TableParagraph"/>
              <w:spacing w:line="240" w:lineRule="auto" w:before="102"/>
              <w:ind w:left="38" w:right="0"/>
              <w:jc w:val="left"/>
              <w:rPr>
                <w:rFonts w:ascii="Times New Roman" w:hAnsi="Times New Roman" w:cs="Times New Roman" w:eastAsia="Times New Roman" w:hint="default"/>
                <w:sz w:val="18"/>
                <w:szCs w:val="18"/>
              </w:rPr>
            </w:pPr>
            <w:r>
              <w:rPr>
                <w:rFonts w:ascii="Times New Roman"/>
                <w:sz w:val="18"/>
              </w:rPr>
              <w:t>512,261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18,127,55</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3.00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25,464,384,</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708.15</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01,853.4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23,611,1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38.07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28,046,29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0,715.40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25,482,</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512,261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.15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18,127,55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25,464,384,</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708.15</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980"/>
        </w:sectPr>
      </w:pPr>
    </w:p>
    <w:p>
      <w:pPr>
        <w:pStyle w:val="BodyText"/>
        <w:spacing w:line="240" w:lineRule="auto" w:before="44"/>
        <w:ind w:right="-20"/>
        <w:jc w:val="left"/>
      </w:pPr>
      <w:r>
        <w:rPr/>
        <w:t>期末单项金额重大并单项计提坏账准备的其他应收款：</w:t>
      </w:r>
    </w:p>
    <w:p>
      <w:pPr>
        <w:pStyle w:val="BodyText"/>
        <w:spacing w:line="357" w:lineRule="auto" w:before="117"/>
        <w:ind w:right="160"/>
        <w:jc w:val="left"/>
      </w:pPr>
      <w:r>
        <w:rPr/>
        <w:t>□ 适用 √</w:t>
      </w:r>
      <w:r>
        <w:rPr>
          <w:spacing w:val="3"/>
        </w:rPr>
        <w:t> </w:t>
      </w:r>
      <w:r>
        <w:rPr/>
        <w:t>不适用</w:t>
      </w:r>
      <w:r>
        <w:rPr/>
        <w:t> 组合中，按账龄分析法计提坏账准备的其他应收款：</w:t>
      </w:r>
    </w:p>
    <w:p>
      <w:pPr>
        <w:pStyle w:val="BodyText"/>
        <w:spacing w:line="240" w:lineRule="auto" w:before="29"/>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348,022,761.23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17,401,138.07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379,272,761.23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23,611,138.07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274"/>
        <w:jc w:val="left"/>
      </w:pPr>
      <w:r>
        <w:rPr/>
        <w:t>确定该组合依据的说明： 组合中，采用余额百分比法计提坏账准备的其他应收款：</w:t>
      </w:r>
    </w:p>
    <w:p>
      <w:pPr>
        <w:pStyle w:val="BodyText"/>
        <w:spacing w:line="360" w:lineRule="auto" w:before="25"/>
        <w:ind w:right="5634"/>
        <w:jc w:val="left"/>
      </w:pPr>
      <w:r>
        <w:rPr/>
        <w:t>□ 适用 √</w:t>
      </w:r>
      <w:r>
        <w:rPr>
          <w:spacing w:val="3"/>
        </w:rPr>
        <w:t> </w:t>
      </w:r>
      <w:r>
        <w:rPr/>
        <w:t>不适用</w:t>
      </w:r>
      <w:r>
        <w:rPr/>
        <w:t> 组合中，采用其他方法计提坏账准备的其他应收款：</w:t>
      </w:r>
    </w:p>
    <w:p>
      <w:pPr>
        <w:pStyle w:val="BodyText"/>
        <w:spacing w:line="240" w:lineRule="auto" w:before="27"/>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42"/>
        <w:jc w:val="left"/>
      </w:pPr>
      <w:r>
        <w:rPr/>
        <w:t>本期计提坏账准备金额</w:t>
      </w:r>
      <w:r>
        <w:rPr>
          <w:spacing w:val="-47"/>
        </w:rPr>
        <w:t> </w:t>
      </w:r>
      <w:r>
        <w:rPr>
          <w:rFonts w:ascii="Times New Roman" w:hAnsi="Times New Roman" w:cs="Times New Roman" w:eastAsia="Times New Roman" w:hint="default"/>
        </w:rPr>
        <w:t>5,483,585.07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142"/>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履约保证金、定金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81,373,310.10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198,441,752.68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子孙公司往来款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27,524,957,394.04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24,172,684,269.00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应收政府款项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34,298,388.10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25,134,320.94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379,272,761.23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836,251,918.53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28,069,901,853.47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25,482,512,261.15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南通中南新世界中心 开发有限公司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5,699,990,227.81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海门中南世纪城开发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2,425,975,110.64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淮安中南世纪城房地 产有限公司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1,399,068,784.50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青岛中南世纪城房地 产业投资有限公司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1,380,342,973.34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常熟中南世纪城房地 产开发有限公司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1,368,795,088.46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12,274,172,184.75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43.73%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2</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523"/>
        <w:gridCol w:w="1080"/>
        <w:gridCol w:w="1692"/>
        <w:gridCol w:w="1368"/>
        <w:gridCol w:w="1081"/>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96" w:type="dxa"/>
            <w:gridSpan w:val="3"/>
            <w:vMerge/>
            <w:tcBorders>
              <w:left w:val="single" w:sz="4" w:space="0" w:color="000000"/>
              <w:bottom w:val="single" w:sz="4" w:space="0" w:color="000000"/>
              <w:right w:val="single" w:sz="4" w:space="0" w:color="000000"/>
            </w:tcBorders>
            <w:shd w:val="clear" w:color="auto" w:fill="D2D2D2"/>
          </w:tcPr>
          <w:p>
            <w:pPr/>
          </w:p>
        </w:tc>
        <w:tc>
          <w:tcPr>
            <w:tcW w:w="3817"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3"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692"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10,475,733,703.92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10,475,733,703.92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9,414,537,551.18</w:t>
            </w:r>
          </w:p>
        </w:tc>
        <w:tc>
          <w:tcPr>
            <w:tcW w:w="108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9,414,537,551.18</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35,533,907.55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35,533,907.55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2,159,123.20</w:t>
            </w:r>
          </w:p>
        </w:tc>
        <w:tc>
          <w:tcPr>
            <w:tcW w:w="108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2,159,123.20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10,511,267,611.47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10,511,267,611.47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9,416,696,674.38</w:t>
            </w:r>
          </w:p>
        </w:tc>
        <w:tc>
          <w:tcPr>
            <w:tcW w:w="108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9,416,696,674.38</w:t>
            </w:r>
          </w:p>
        </w:tc>
      </w:tr>
    </w:tbl>
    <w:p>
      <w:pPr>
        <w:spacing w:line="240" w:lineRule="auto" w:before="3"/>
        <w:rPr>
          <w:rFonts w:ascii="宋体" w:hAnsi="宋体" w:cs="宋体" w:eastAsia="宋体" w:hint="default"/>
          <w:sz w:val="19"/>
          <w:szCs w:val="19"/>
        </w:rPr>
      </w:pPr>
    </w:p>
    <w:p>
      <w:pPr>
        <w:pStyle w:val="Heading3"/>
        <w:spacing w:line="240" w:lineRule="auto" w:before="36"/>
        <w:ind w:right="14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中南镇江房地产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191,564,249.35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191,564,249.35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文昌中南房地产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371,853,809.47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371,853,809.47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海门中南世纪城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458,520,217.47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458,520,217.47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青岛海湾新城房</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494,355,523.75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494,355,523.75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67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3"/>
              <w:jc w:val="left"/>
              <w:rPr>
                <w:rFonts w:ascii="宋体" w:hAnsi="宋体" w:cs="宋体" w:eastAsia="宋体" w:hint="default"/>
                <w:sz w:val="18"/>
                <w:szCs w:val="18"/>
              </w:rPr>
            </w:pPr>
            <w:r>
              <w:rPr>
                <w:rFonts w:ascii="宋体" w:hAnsi="宋体" w:cs="宋体" w:eastAsia="宋体" w:hint="default"/>
                <w:sz w:val="18"/>
                <w:szCs w:val="18"/>
              </w:rPr>
              <w:t>地产开发有限公 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南京常锦房地产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143,037,967.57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143,037,967.57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南通中南新世界 中心开发有限公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1,422,895,788.36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1,422,895,788.36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南通华城中南房 地产开发有限公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184,842,909.50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184,842,909.50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常熟中南世纪城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790,356,249.30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790,356,249.30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南通中南世纪城 物业管理有限公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5,795,220.69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5,795,220.69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江苏中南建筑产 业集团有限责任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1,923,178,629.42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1,923,178,629.42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儋州中南房地产 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江苏中南园林工 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江苏中南世纪城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儋州中南城市开 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江苏中南建筑防 水工程有限公司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文昌中南城市开 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南通中南世纪花 城投资有限公司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海门中南投资有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乐东中南投资有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儋州中南土地开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苏州中南世纪城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1,124,636,986.30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1,124,636,986.30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菏泽中南世纪城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营口中南世纪城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南通市中南商品 混凝土有限公司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海南中南物业服 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南通中南城购物 中心管理有限公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南充世纪城（中 </w:t>
            </w:r>
            <w:r>
              <w:rPr>
                <w:rFonts w:ascii="宋体" w:hAnsi="宋体" w:cs="宋体" w:eastAsia="宋体" w:hint="default"/>
                <w:spacing w:val="-7"/>
                <w:sz w:val="18"/>
                <w:szCs w:val="18"/>
              </w:rPr>
              <w:t>南）房地产开发有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南通中南商业发 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海门中南国际房 产经纪有限公司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南通中昱建材有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广饶中南房地产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南通金石世苑酒 店有限公司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安徽中盛建设投 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中南世纪城（沈 </w:t>
            </w:r>
            <w:r>
              <w:rPr>
                <w:rFonts w:ascii="宋体" w:hAnsi="宋体" w:cs="宋体" w:eastAsia="宋体" w:hint="default"/>
                <w:spacing w:val="-7"/>
                <w:sz w:val="18"/>
                <w:szCs w:val="18"/>
              </w:rPr>
              <w:t>阳）房地产开发有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广饶圣园旅游文 化产业有限责任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大石桥中南房地</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产开发有限公司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苏州中南中心投 资建设有限公司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东营中南城市建 设投资有限公司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唐山中南国际旅 游岛投资开发有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泰兴市中南世纪 城房地产发展有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大连中南欧美亚 城市发展有限责 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江苏通州湾中南 城市开发建设有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江苏中南一德文 化旅游产业发展 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南京中南新锦城 房地产开发有限 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C&amp;S </w:t>
            </w:r>
            <w:r>
              <w:rPr>
                <w:rFonts w:ascii="宋体" w:hAnsi="宋体" w:cs="宋体" w:eastAsia="宋体" w:hint="default"/>
                <w:sz w:val="18"/>
                <w:szCs w:val="18"/>
              </w:rPr>
              <w:t>集团有限 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28,744,664.20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28,744,664.20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青岛中南世纪城 房地产业投资有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571,351,488.54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571,351,488.54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9,414,537,551.18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1,405,196,152.74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10,475,733,703.9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4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1003"/>
        <w:gridCol w:w="1261"/>
        <w:gridCol w:w="463"/>
        <w:gridCol w:w="1104"/>
        <w:gridCol w:w="800"/>
        <w:gridCol w:w="641"/>
        <w:gridCol w:w="799"/>
        <w:gridCol w:w="694"/>
        <w:gridCol w:w="360"/>
        <w:gridCol w:w="1260"/>
        <w:gridCol w:w="800"/>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2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7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其 他</w:t>
            </w:r>
          </w:p>
        </w:tc>
        <w:tc>
          <w:tcPr>
            <w:tcW w:w="1260"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98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国信中南</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15,000,000.00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-951,310.98</w:t>
            </w:r>
          </w:p>
        </w:tc>
        <w:tc>
          <w:tcPr>
            <w:tcW w:w="80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14,048,689.02</w:t>
            </w:r>
          </w:p>
        </w:tc>
        <w:tc>
          <w:tcPr>
            <w:tcW w:w="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6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1003"/>
        <w:gridCol w:w="1261"/>
        <w:gridCol w:w="463"/>
        <w:gridCol w:w="1104"/>
        <w:gridCol w:w="800"/>
        <w:gridCol w:w="641"/>
        <w:gridCol w:w="799"/>
        <w:gridCol w:w="694"/>
        <w:gridCol w:w="360"/>
        <w:gridCol w:w="1260"/>
        <w:gridCol w:w="800"/>
      </w:tblGrid>
      <w:tr>
        <w:trPr>
          <w:trHeight w:val="161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城市开发 投资基金 管理（北 京）有限 责任公司</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3" w:type="dxa"/>
            <w:tcBorders>
              <w:top w:val="single" w:sz="4" w:space="0" w:color="000000"/>
              <w:left w:val="single" w:sz="13"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-951,310.98</w:t>
            </w:r>
          </w:p>
        </w:tc>
        <w:tc>
          <w:tcPr>
            <w:tcW w:w="80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14,048,689.02</w:t>
            </w:r>
          </w:p>
        </w:tc>
        <w:tc>
          <w:tcPr>
            <w:tcW w:w="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8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青岛中南 物业管理 有限公司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2,159,123.20</w:t>
            </w:r>
          </w:p>
        </w:tc>
        <w:tc>
          <w:tcPr>
            <w:tcW w:w="126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520,748.56</w:t>
            </w:r>
          </w:p>
        </w:tc>
        <w:tc>
          <w:tcPr>
            <w:tcW w:w="80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2,679,871.76</w:t>
            </w:r>
          </w:p>
        </w:tc>
        <w:tc>
          <w:tcPr>
            <w:tcW w:w="800"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南京中南 天生桥旅 游开发有 限公司</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-794,653.23</w:t>
            </w:r>
          </w:p>
        </w:tc>
        <w:tc>
          <w:tcPr>
            <w:tcW w:w="80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18,805,346.77</w:t>
            </w:r>
          </w:p>
        </w:tc>
        <w:tc>
          <w:tcPr>
            <w:tcW w:w="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2,159,123.20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-273,904.67</w:t>
            </w:r>
          </w:p>
        </w:tc>
        <w:tc>
          <w:tcPr>
            <w:tcW w:w="80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21,485,218.53</w:t>
            </w:r>
          </w:p>
        </w:tc>
        <w:tc>
          <w:tcPr>
            <w:tcW w:w="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2,159,123.20</w:t>
            </w:r>
          </w:p>
        </w:tc>
        <w:tc>
          <w:tcPr>
            <w:tcW w:w="126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35,533,907.55</w:t>
            </w:r>
          </w:p>
        </w:tc>
        <w:tc>
          <w:tcPr>
            <w:tcW w:w="8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4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-1,225,215.65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-18,382.05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6,070,262.83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7,852,328.77</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410,845,047.18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607,833,946.72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7"/>
        <w:ind w:left="0" w:right="4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-920,663.01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80,471,848.50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6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36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965,327.33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-28,672,861.35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-6,636,533.94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180,770.73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58,299,414.68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4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4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0.82</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0.77</w:t>
            </w:r>
          </w:p>
        </w:tc>
      </w:tr>
    </w:tbl>
    <w:p>
      <w:pPr>
        <w:spacing w:line="240" w:lineRule="auto" w:before="3"/>
        <w:rPr>
          <w:rFonts w:ascii="宋体" w:hAnsi="宋体" w:cs="宋体" w:eastAsia="宋体" w:hint="default"/>
          <w:b/>
          <w:bCs/>
          <w:sz w:val="19"/>
          <w:szCs w:val="19"/>
        </w:rPr>
      </w:pPr>
    </w:p>
    <w:p>
      <w:pPr>
        <w:pStyle w:val="Heading3"/>
        <w:spacing w:line="240" w:lineRule="auto" w:before="36"/>
        <w:ind w:right="142"/>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2"/>
        <w:jc w:val="left"/>
      </w:pPr>
      <w:r>
        <w:rPr/>
        <w:t>√ 适用 □</w:t>
      </w:r>
      <w:r>
        <w:rPr>
          <w:spacing w:val="3"/>
        </w:rPr>
        <w:t> </w:t>
      </w:r>
      <w:r>
        <w:rPr/>
        <w:t>不适用</w:t>
      </w:r>
    </w:p>
    <w:p>
      <w:pPr>
        <w:pStyle w:val="BodyText"/>
        <w:spacing w:line="240" w:lineRule="auto" w:before="117"/>
        <w:ind w:left="513" w:right="0"/>
        <w:jc w:val="left"/>
      </w:pPr>
      <w:r>
        <w:rPr/>
        <w:t>公司根据财政部</w:t>
      </w:r>
      <w:r>
        <w:rPr>
          <w:spacing w:val="-47"/>
        </w:rPr>
        <w:t> </w:t>
      </w:r>
      <w:r>
        <w:rPr>
          <w:rFonts w:ascii="Times New Roman" w:hAnsi="Times New Roman" w:cs="Times New Roman" w:eastAsia="Times New Roman" w:hint="default"/>
        </w:rPr>
        <w:t>2014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w:t>
      </w:r>
    </w:p>
    <w:p>
      <w:pPr>
        <w:pStyle w:val="BodyText"/>
        <w:spacing w:line="240" w:lineRule="auto" w:before="63"/>
        <w:ind w:right="142"/>
        <w:jc w:val="left"/>
      </w:pPr>
      <w:r>
        <w:rPr/>
        <w:t>较财务报表进行了追溯重述，重述后的</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日合并资产负债表如下：</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05"/>
              <w:jc w:val="right"/>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5,136,541,718.64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6,424,066,771.28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6,642,865,551.86</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2,285,538.59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2,794,245.22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3,759,572.55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38,529,833.12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16,924,464.60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41,418,404.01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4,929,321,981.75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6,016,407,453.86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6,112,825,352.42</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3,954,186,602.57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3,690,290,298.42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2,863,408,079.24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9"/>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3,386,592,525.35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4,945,672,123.69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3,828,764,813.99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26,498,168,606.79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38,836,094,793.38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57,211,824,994.37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629,050,000.00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43,945,676,806.81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59,932,300,150.45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77,333,916,768.44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2,177,505.25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2,159,123.20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35,533,907.55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618,815,801.43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587,428,370.84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1,300,152,404.49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1,526,531,421.78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1,643,756,492.03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2,205,545,636.45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141,830,424.09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198,912,143.13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67,155,146.49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50,909,894.98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593,257,158.74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547,973,258.72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4,188,653.58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4,188,653.58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4,188,653.58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1,205,418,886.71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1,707,233,653.24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2,211,895,984.39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342,633,273.23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442,867,753.88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573,938,220.39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3,892,505,861.05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5,179,803,348.64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6,946,383,212.06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47,838,182,667.86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65,112,103,499.09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84,280,299,980.50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6,219,000,000.00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4,103,800,000.00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4,198,500,000.00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1,442,070,000.00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1,825,850,000.00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2,703,051,973.20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3,966,003,693.83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4,308,332,587.60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5,209,951,976.83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15,593,476,572.11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22,075,981,721.88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28,390,603,350.32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833,508,751.41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891,760,654.44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1,204,352,798.33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2,632,352,886.19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2,734,538,249.92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1,866,793,308.11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83,287,671.23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25,967,375.56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1,679,885.70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2,581,953,162.07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2,271,891,690.30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2,745,080,744.66</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2,788,000,000.00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3,136,940,000.00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11,354,422,773.87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1,425,923,866.56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35,316,772,863.09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41,248,589,426.11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60,049,713,404.92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4,314,450,000.00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14,014,607,083.33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10,139,950,000.00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989,998,448.50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178,336,236.91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8,198,500.00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51,354,744.93</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4,323,080,000.00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14,022,805,583.33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11,359,639,430.34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39,639,852,863.09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55,271,395,009.44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71,409,352,835.26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1,167,839,226.00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1,167,839,226.00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1,167,839,226.00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627,066,780.69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797,473,267.60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1,062,956,131.99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-34,652.96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-56,405.70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-4,888,143.72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212,886,822.92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245,096,977.88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258,435,813.64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4,465,796,373.16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5,526,185,160.86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6,331,892,751.27</w:t>
            </w: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6,473,554,549.81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7,736,538,226.64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8,816,235,779.18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1,724,775,254.96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2,104,170,263.01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4,054,711,366.06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8,198,329,804.77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9,840,708,489.65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12,870,947,145.24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47,838,182,667.86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65,112,103,499.09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84,280,299,980.50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3285" w:right="142"/>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9"/>
        <w:rPr>
          <w:rFonts w:ascii="宋体" w:hAnsi="宋体" w:cs="宋体" w:eastAsia="宋体" w:hint="default"/>
          <w:b/>
          <w:bCs/>
          <w:sz w:val="42"/>
          <w:szCs w:val="42"/>
        </w:rPr>
      </w:pPr>
    </w:p>
    <w:p>
      <w:pPr>
        <w:pStyle w:val="BodyText"/>
        <w:spacing w:line="240" w:lineRule="auto"/>
        <w:ind w:right="142"/>
        <w:jc w:val="left"/>
      </w:pPr>
      <w:r>
        <w:rPr>
          <w:rFonts w:ascii="Times New Roman" w:hAnsi="Times New Roman" w:cs="Times New Roman" w:eastAsia="Times New Roman" w:hint="default"/>
        </w:rPr>
        <w:t>1</w:t>
      </w:r>
      <w:r>
        <w:rPr/>
        <w:t>、载有法定代表人、主管会计工作负责人、会计机构负责人签名并盖章的会计报表。</w:t>
      </w:r>
    </w:p>
    <w:p>
      <w:pPr>
        <w:pStyle w:val="BodyText"/>
        <w:spacing w:line="240" w:lineRule="auto" w:before="101"/>
        <w:ind w:right="142"/>
        <w:jc w:val="left"/>
      </w:pPr>
      <w:r>
        <w:rPr>
          <w:rFonts w:ascii="Times New Roman" w:hAnsi="Times New Roman" w:cs="Times New Roman" w:eastAsia="Times New Roman" w:hint="default"/>
        </w:rPr>
        <w:t>2</w:t>
      </w:r>
      <w:r>
        <w:rPr/>
        <w:t>、载有会计师事务所盖章、注册会计师签名并盖章的审计报告的原件。</w:t>
      </w:r>
    </w:p>
    <w:p>
      <w:pPr>
        <w:pStyle w:val="BodyText"/>
        <w:spacing w:line="240" w:lineRule="auto" w:before="103"/>
        <w:ind w:right="142"/>
        <w:jc w:val="left"/>
      </w:pPr>
      <w:r>
        <w:rPr>
          <w:rFonts w:ascii="Times New Roman" w:hAnsi="Times New Roman" w:cs="Times New Roman" w:eastAsia="Times New Roman" w:hint="default"/>
        </w:rPr>
        <w:t>3</w:t>
      </w:r>
      <w:r>
        <w:rPr/>
        <w:t>、报告期内在中国证监会指定报纸上公开披露过的所有公司文件正本及公告的原稿。</w:t>
      </w:r>
    </w:p>
    <w:sectPr>
      <w:pgSz w:w="11910" w:h="16840"/>
      <w:pgMar w:header="877"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1317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31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59973pt;margin-top:781.957947pt;width:11.15pt;height:11pt;mso-position-horizontal-relative:page;mso-position-vertical-relative:page;z-index:-11313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131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131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131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131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31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57971pt;width:13.15pt;height:11pt;mso-position-horizontal-relative:page;mso-position-vertical-relative:page;z-index:-1131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31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57971pt;width:13.15pt;height:11pt;mso-position-horizontal-relative:page;mso-position-vertical-relative:page;z-index:-1131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31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37</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57971pt;width:13.15pt;height:11pt;mso-position-horizontal-relative:page;mso-position-vertical-relative:page;z-index:-1131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31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31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131808" type="#_x0000_t202" filled="false" stroked="false">
          <v:textbox inset="0,0,0,0">
            <w:txbxContent>
              <w:p>
                <w:pPr>
                  <w:pStyle w:val="BodyText"/>
                  <w:spacing w:line="214" w:lineRule="exact"/>
                  <w:ind w:left="20" w:right="0"/>
                  <w:jc w:val="left"/>
                </w:pPr>
                <w:r>
                  <w:rPr/>
                  <w:t>江苏中南建设集团股份有限公司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131736" type="#_x0000_t202" filled="false" stroked="false">
          <v:textbox inset="0,0,0,0">
            <w:txbxContent>
              <w:p>
                <w:pPr>
                  <w:pStyle w:val="BodyText"/>
                  <w:spacing w:line="214" w:lineRule="exact"/>
                  <w:ind w:left="20" w:right="0"/>
                  <w:jc w:val="left"/>
                </w:pPr>
                <w:r>
                  <w:rPr/>
                  <w:t>江苏中南建设集团股份有限公司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31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131664" type="#_x0000_t202" filled="false" stroked="false">
          <v:textbox inset="0,0,0,0">
            <w:txbxContent>
              <w:p>
                <w:pPr>
                  <w:pStyle w:val="BodyText"/>
                  <w:spacing w:line="214" w:lineRule="exact"/>
                  <w:ind w:left="20" w:right="0"/>
                  <w:jc w:val="left"/>
                </w:pPr>
                <w:r>
                  <w:rPr/>
                  <w:t>江苏中南建设集团股份有限公司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131616" type="#_x0000_t202" filled="false" stroked="false">
          <v:textbox inset="0,0,0,0">
            <w:txbxContent>
              <w:p>
                <w:pPr>
                  <w:pStyle w:val="BodyText"/>
                  <w:spacing w:line="214" w:lineRule="exact"/>
                  <w:ind w:left="20" w:right="0"/>
                  <w:jc w:val="left"/>
                </w:pPr>
                <w:r>
                  <w:rPr/>
                  <w:t>江苏中南建设集团股份有限公司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1315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131544" type="#_x0000_t202" filled="false" stroked="false">
          <v:textbox inset="0,0,0,0">
            <w:txbxContent>
              <w:p>
                <w:pPr>
                  <w:pStyle w:val="BodyText"/>
                  <w:spacing w:line="214" w:lineRule="exact"/>
                  <w:ind w:left="20" w:right="0"/>
                  <w:jc w:val="left"/>
                </w:pPr>
                <w:r>
                  <w:rPr/>
                  <w:t>江苏中南建设集团股份有限公司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131496" type="#_x0000_t202" filled="false" stroked="false">
          <v:textbox inset="0,0,0,0">
            <w:txbxContent>
              <w:p>
                <w:pPr>
                  <w:pStyle w:val="BodyText"/>
                  <w:spacing w:line="214" w:lineRule="exact"/>
                  <w:ind w:left="20" w:right="0"/>
                  <w:jc w:val="left"/>
                </w:pPr>
                <w:r>
                  <w:rPr/>
                  <w:t>江苏中南建设集团股份有限公司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314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131424" type="#_x0000_t202" filled="false" stroked="false">
          <v:textbox inset="0,0,0,0">
            <w:txbxContent>
              <w:p>
                <w:pPr>
                  <w:pStyle w:val="BodyText"/>
                  <w:spacing w:line="214" w:lineRule="exact"/>
                  <w:ind w:left="20" w:right="0"/>
                  <w:jc w:val="left"/>
                </w:pPr>
                <w:r>
                  <w:rPr/>
                  <w:t>江苏中南建设集团股份有限公司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9"/>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zhongnanconstruction.cn/" TargetMode="External"/><Relationship Id="rId9" Type="http://schemas.openxmlformats.org/officeDocument/2006/relationships/hyperlink" Target="mailto:zhongnanconstruction@zhongnangroup.cn"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image" Target="media/image1.jpe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header" Target="header6.xml"/><Relationship Id="rId25" Type="http://schemas.openxmlformats.org/officeDocument/2006/relationships/footer" Target="footer7.xml"/><Relationship Id="rId26" Type="http://schemas.openxmlformats.org/officeDocument/2006/relationships/header" Target="head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江苏中南建设集团股份有限公司</dc:creator>
  <dc:title>江苏中南建设集团股份有限公司2014年年度报告全文</dc:title>
  <dcterms:created xsi:type="dcterms:W3CDTF">2020-05-06T15:11:45Z</dcterms:created>
  <dcterms:modified xsi:type="dcterms:W3CDTF">2020-05-06T15:11:45Z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Microsoft Office Word 2007</vt:lpwstr>
  </property>
  <property fmtid="{D5CDD505-2E9C-101B-9397-08002B2CF9AE}" pid="4" name="LastSaved">
    <vt:filetime>2020-05-06T00:00:00Z</vt:filetime>
  </property>
</Properties>
</file>