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headerReference w:type="default" r:id="rId5"/>
          <w:footnotePr>
            <w:pos w:val="pageBottom"/>
            <w:numFmt w:val="decimal"/>
            <w:numRestart w:val="continuous"/>
          </w:footnotePr>
          <w:pgSz w:w="11900" w:h="16840"/>
          <w:pgMar w:top="1152" w:right="1627" w:bottom="3308" w:left="1771" w:header="0" w:footer="3" w:gutter="0"/>
          <w:pgNumType w:start="1"/>
          <w:cols w:space="720"/>
          <w:noEndnote/>
          <w:rtlGutter w:val="0"/>
          <w:docGrid w:linePitch="360"/>
        </w:sectPr>
      </w:pPr>
    </w:p>
    <w:p>
      <w:pPr>
        <w:pStyle w:val="Style6"/>
        <w:keepNext w:val="0"/>
        <w:keepLines w:val="0"/>
        <w:framePr w:w="1589" w:h="389" w:wrap="none" w:vAnchor="text" w:hAnchor="page" w:x="1772" w:y="35"/>
        <w:widowControl w:val="0"/>
        <w:shd w:val="clear" w:color="auto" w:fill="auto"/>
        <w:bidi w:val="0"/>
        <w:spacing w:before="0" w:after="0" w:line="240" w:lineRule="auto"/>
        <w:ind w:left="0" w:right="0" w:firstLine="0"/>
        <w:jc w:val="left"/>
        <w:rPr>
          <w:sz w:val="32"/>
          <w:szCs w:val="32"/>
        </w:rPr>
      </w:pPr>
      <w:r>
        <w:rPr>
          <w:rFonts w:ascii="SimHei" w:eastAsia="SimHei" w:hAnsi="SimHei" w:cs="SimHei"/>
          <w:b/>
          <w:bCs/>
          <w:color w:val="000000"/>
          <w:spacing w:val="0"/>
          <w:w w:val="100"/>
          <w:position w:val="0"/>
          <w:sz w:val="32"/>
          <w:szCs w:val="32"/>
        </w:rPr>
        <w:t>证券简称:</w:t>
      </w:r>
    </w:p>
    <w:p>
      <w:pPr>
        <w:pStyle w:val="Style6"/>
        <w:keepNext w:val="0"/>
        <w:keepLines w:val="0"/>
        <w:framePr w:w="6758" w:h="446" w:wrap="none" w:vAnchor="text" w:hAnchor="page" w:x="3366" w:y="21"/>
        <w:widowControl w:val="0"/>
        <w:shd w:val="clear" w:color="auto" w:fill="auto"/>
        <w:tabs>
          <w:tab w:pos="4090" w:val="left"/>
        </w:tabs>
        <w:bidi w:val="0"/>
        <w:spacing w:before="0" w:after="0" w:line="240" w:lineRule="auto"/>
        <w:ind w:left="0" w:right="0" w:firstLine="0"/>
        <w:jc w:val="center"/>
        <w:rPr>
          <w:sz w:val="32"/>
          <w:szCs w:val="32"/>
        </w:rPr>
      </w:pPr>
      <w:r>
        <w:rPr>
          <w:rFonts w:ascii="SimHei" w:eastAsia="SimHei" w:hAnsi="SimHei" w:cs="SimHei"/>
          <w:b/>
          <w:bCs/>
          <w:color w:val="000000"/>
          <w:spacing w:val="0"/>
          <w:w w:val="100"/>
          <w:position w:val="0"/>
          <w:sz w:val="32"/>
          <w:szCs w:val="32"/>
        </w:rPr>
        <w:t>传化智联</w:t>
        <w:tab/>
        <w:t>证券代码：</w:t>
      </w:r>
      <w:r>
        <w:rPr>
          <w:rFonts w:ascii="Times New Roman" w:eastAsia="Times New Roman" w:hAnsi="Times New Roman" w:cs="Times New Roman"/>
          <w:b/>
          <w:bCs/>
          <w:color w:val="000000"/>
          <w:spacing w:val="0"/>
          <w:w w:val="100"/>
          <w:position w:val="0"/>
          <w:sz w:val="32"/>
          <w:szCs w:val="32"/>
        </w:rPr>
        <w:t>002010</w:t>
      </w:r>
    </w:p>
    <w:p>
      <w:pPr>
        <w:widowControl w:val="0"/>
        <w:spacing w:line="360" w:lineRule="exact"/>
      </w:pPr>
      <w:r>
        <w:drawing>
          <wp:anchor distT="0" distB="0" distL="0" distR="0" simplePos="0" relativeHeight="62914692" behindDoc="1" locked="0" layoutInCell="1" allowOverlap="1">
            <wp:simplePos x="0" y="0"/>
            <wp:positionH relativeFrom="page">
              <wp:posOffset>3225165</wp:posOffset>
            </wp:positionH>
            <wp:positionV relativeFrom="paragraph">
              <wp:posOffset>2231390</wp:posOffset>
            </wp:positionV>
            <wp:extent cx="1115695" cy="109093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1115695" cy="10909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52" w:right="1627" w:bottom="3308" w:left="1771" w:header="0" w:footer="2880" w:gutter="0"/>
          <w:cols w:space="720"/>
          <w:noEndnote/>
          <w:rtlGutter w:val="0"/>
          <w:docGrid w:linePitch="360"/>
        </w:sectPr>
      </w:pPr>
    </w:p>
    <w:p>
      <w:pPr>
        <w:pStyle w:val="Style6"/>
        <w:keepNext w:val="0"/>
        <w:keepLines w:val="0"/>
        <w:widowControl w:val="0"/>
        <w:shd w:val="clear" w:color="auto" w:fill="auto"/>
        <w:bidi w:val="0"/>
        <w:spacing w:before="0" w:after="1240" w:line="240" w:lineRule="auto"/>
        <w:ind w:left="0" w:right="0" w:firstLine="0"/>
        <w:jc w:val="center"/>
        <w:rPr>
          <w:sz w:val="66"/>
          <w:szCs w:val="66"/>
        </w:rPr>
      </w:pPr>
      <w:r>
        <w:rPr>
          <w:rFonts w:ascii="Arial" w:eastAsia="Arial" w:hAnsi="Arial" w:cs="Arial"/>
          <w:b/>
          <w:bCs/>
          <w:color w:val="575756"/>
          <w:spacing w:val="0"/>
          <w:w w:val="100"/>
          <w:position w:val="0"/>
          <w:sz w:val="66"/>
          <w:szCs w:val="66"/>
        </w:rPr>
        <w:t>Transfar</w:t>
      </w:r>
    </w:p>
    <w:p>
      <w:pPr>
        <w:pStyle w:val="Style6"/>
        <w:keepNext w:val="0"/>
        <w:keepLines w:val="0"/>
        <w:widowControl w:val="0"/>
        <w:shd w:val="clear" w:color="auto" w:fill="auto"/>
        <w:bidi w:val="0"/>
        <w:spacing w:before="0" w:after="2420" w:line="566" w:lineRule="exact"/>
        <w:ind w:left="0" w:right="0" w:firstLine="0"/>
        <w:jc w:val="center"/>
        <w:rPr>
          <w:sz w:val="36"/>
          <w:szCs w:val="36"/>
        </w:rPr>
      </w:pPr>
      <w:r>
        <w:rPr>
          <w:rFonts w:ascii="SimHei" w:eastAsia="SimHei" w:hAnsi="SimHei" w:cs="SimHei"/>
          <w:b/>
          <w:bCs/>
          <w:color w:val="000000"/>
          <w:spacing w:val="0"/>
          <w:w w:val="100"/>
          <w:position w:val="0"/>
          <w:sz w:val="36"/>
          <w:szCs w:val="36"/>
        </w:rPr>
        <w:t>传化智联股份有限公司</w:t>
        <w:br/>
      </w:r>
      <w:r>
        <w:rPr>
          <w:rFonts w:ascii="Times New Roman" w:eastAsia="Times New Roman" w:hAnsi="Times New Roman" w:cs="Times New Roman"/>
          <w:b/>
          <w:bCs/>
          <w:color w:val="000000"/>
          <w:spacing w:val="0"/>
          <w:w w:val="100"/>
          <w:position w:val="0"/>
          <w:sz w:val="36"/>
          <w:szCs w:val="36"/>
        </w:rPr>
        <w:t>2016</w:t>
      </w:r>
      <w:r>
        <w:rPr>
          <w:rFonts w:ascii="SimHei" w:eastAsia="SimHei" w:hAnsi="SimHei" w:cs="SimHei"/>
          <w:b/>
          <w:bCs/>
          <w:color w:val="000000"/>
          <w:spacing w:val="0"/>
          <w:w w:val="100"/>
          <w:position w:val="0"/>
          <w:sz w:val="36"/>
          <w:szCs w:val="36"/>
        </w:rPr>
        <w:t>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1556" w:right="1649" w:bottom="3308" w:left="1751" w:header="0" w:footer="3" w:gutter="0"/>
          <w:cols w:space="720"/>
          <w:noEndnote/>
          <w:rtlGutter w:val="0"/>
          <w:docGrid w:linePitch="360"/>
        </w:sectPr>
      </w:pPr>
      <w:r>
        <w:rPr>
          <w:rFonts w:ascii="SimHei" w:eastAsia="SimHei" w:hAnsi="SimHei" w:cs="SimHei"/>
          <w:b/>
          <w:bCs/>
          <w:color w:val="000000"/>
          <w:spacing w:val="0"/>
          <w:w w:val="100"/>
          <w:position w:val="0"/>
          <w:sz w:val="32"/>
          <w:szCs w:val="32"/>
        </w:rPr>
        <w:t>二</w:t>
      </w:r>
      <w:r>
        <w:rPr>
          <w:b/>
          <w:bCs/>
          <w:color w:val="000000"/>
          <w:spacing w:val="0"/>
          <w:w w:val="100"/>
          <w:position w:val="0"/>
          <w:sz w:val="32"/>
          <w:szCs w:val="32"/>
        </w:rPr>
        <w:t>。</w:t>
      </w:r>
      <w:r>
        <w:rPr>
          <w:rFonts w:ascii="SimHei" w:eastAsia="SimHei" w:hAnsi="SimHei" w:cs="SimHei"/>
          <w:b/>
          <w:bCs/>
          <w:color w:val="000000"/>
          <w:spacing w:val="0"/>
          <w:w w:val="100"/>
          <w:position w:val="0"/>
          <w:sz w:val="32"/>
          <w:szCs w:val="32"/>
        </w:rPr>
        <w:t>一七年四月</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578" w:lineRule="exact"/>
        <w:ind w:left="0" w:right="0" w:firstLine="0"/>
        <w:jc w:val="center"/>
        <w:rPr>
          <w:sz w:val="32"/>
          <w:szCs w:val="32"/>
        </w:rPr>
      </w:pPr>
      <w:r>
        <w:rPr>
          <w:rFonts w:ascii="SimHei" w:eastAsia="SimHei" w:hAnsi="SimHei" w:cs="SimHei"/>
          <w:b/>
          <w:bCs/>
          <w:color w:val="000000"/>
          <w:spacing w:val="0"/>
          <w:w w:val="100"/>
          <w:position w:val="0"/>
          <w:sz w:val="32"/>
          <w:szCs w:val="32"/>
        </w:rPr>
        <w:t>重要提示、目录和释义</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8" w:lineRule="exact"/>
        <w:ind w:left="0" w:right="0" w:firstLine="620"/>
        <w:jc w:val="both"/>
        <w:rPr>
          <w:sz w:val="26"/>
          <w:szCs w:val="26"/>
        </w:rPr>
      </w:pPr>
      <w:r>
        <w:rPr>
          <w:b/>
          <w:bCs/>
          <w:color w:val="000000"/>
          <w:spacing w:val="0"/>
          <w:w w:val="100"/>
          <w:position w:val="0"/>
          <w:sz w:val="26"/>
          <w:szCs w:val="26"/>
        </w:rPr>
        <w:t>本公司董事会、监事会及董事、监事、高级管理人员保证本报 告所载资料不存在任何虚假记载、误导性陈述或者重大遗漏，并对其 内容的真实性、准确性和完整性承担个别及连带责任。</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8" w:lineRule="exact"/>
        <w:ind w:left="0" w:right="0" w:firstLine="620"/>
        <w:jc w:val="both"/>
        <w:rPr>
          <w:sz w:val="26"/>
          <w:szCs w:val="26"/>
        </w:rPr>
      </w:pPr>
      <w:r>
        <w:rPr>
          <w:b/>
          <w:bCs/>
          <w:color w:val="000000"/>
          <w:spacing w:val="0"/>
          <w:w w:val="100"/>
          <w:position w:val="0"/>
          <w:sz w:val="26"/>
          <w:szCs w:val="26"/>
        </w:rPr>
        <w:t>公司负责人徐冠巨、主管会计工作负责人徐冠巨及会计机构负 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会计主管人员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杨万清声明：保证年度报告中财务报告的真实、 准确、完整。</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8" w:lineRule="exact"/>
        <w:ind w:left="0" w:right="0" w:firstLine="620"/>
        <w:jc w:val="both"/>
        <w:rPr>
          <w:sz w:val="26"/>
          <w:szCs w:val="26"/>
        </w:rPr>
      </w:pPr>
      <w:r>
        <w:rPr>
          <w:b/>
          <w:bCs/>
          <w:color w:val="000000"/>
          <w:spacing w:val="0"/>
          <w:w w:val="100"/>
          <w:position w:val="0"/>
          <w:sz w:val="26"/>
          <w:szCs w:val="26"/>
        </w:rPr>
        <w:t>没有董事、监事、高级管理人员声明对本报告内容的真实性、 准确性和完整性无法保证或存在异议。</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8" w:lineRule="exact"/>
        <w:ind w:left="0" w:right="0" w:firstLine="620"/>
        <w:jc w:val="both"/>
        <w:rPr>
          <w:sz w:val="26"/>
          <w:szCs w:val="26"/>
        </w:rPr>
      </w:pPr>
      <w:r>
        <w:rPr>
          <w:b/>
          <w:bCs/>
          <w:color w:val="000000"/>
          <w:spacing w:val="0"/>
          <w:w w:val="100"/>
          <w:position w:val="0"/>
          <w:sz w:val="26"/>
          <w:szCs w:val="26"/>
        </w:rPr>
        <w:t>独立董事李易因公出差在外未能参加本次会议，委托独立董事 费忠新代为出席并表决，独立董事周春生因公出差在外未能参加本次 会议，委托独立董事费忠新代为出席并表决，其他董事均已出席了审 议本报告的董事会会议。</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8" w:lineRule="exact"/>
        <w:ind w:left="0" w:right="0" w:firstLine="620"/>
        <w:jc w:val="both"/>
        <w:rPr>
          <w:sz w:val="26"/>
          <w:szCs w:val="26"/>
        </w:rPr>
      </w:pPr>
      <w:r>
        <w:rPr>
          <w:b/>
          <w:bCs/>
          <w:color w:val="000000"/>
          <w:spacing w:val="0"/>
          <w:w w:val="100"/>
          <w:position w:val="0"/>
          <w:sz w:val="26"/>
          <w:szCs w:val="26"/>
        </w:rPr>
        <w:t>涉及公司未来计划等前瞻性陈述，同时附有相应的警示性陈述 的，声明该计划不构成公司对投资者的实质承诺，请注意风险。本报 告“第四节经营情况讨论与分析</w:t>
      </w:r>
      <w:r>
        <w:rPr>
          <w:b/>
          <w:bCs/>
          <w:color w:val="000000"/>
          <w:spacing w:val="0"/>
          <w:w w:val="100"/>
          <w:position w:val="0"/>
          <w:sz w:val="28"/>
          <w:szCs w:val="28"/>
        </w:rPr>
        <w:t>”</w:t>
      </w:r>
      <w:r>
        <w:rPr>
          <w:b/>
          <w:bCs/>
          <w:color w:val="000000"/>
          <w:spacing w:val="0"/>
          <w:w w:val="100"/>
          <w:position w:val="0"/>
          <w:sz w:val="26"/>
          <w:szCs w:val="26"/>
        </w:rPr>
        <w:t>中披露了公司可能面对的风险因素, 敬请投资者关注。</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578" w:lineRule="exact"/>
        <w:ind w:left="0" w:right="0" w:firstLine="620"/>
        <w:jc w:val="both"/>
        <w:rPr>
          <w:sz w:val="26"/>
          <w:szCs w:val="26"/>
        </w:rPr>
      </w:pPr>
      <w:r>
        <w:rPr>
          <w:b/>
          <w:bCs/>
          <w:color w:val="000000"/>
          <w:spacing w:val="0"/>
          <w:w w:val="100"/>
          <w:position w:val="0"/>
          <w:sz w:val="26"/>
          <w:szCs w:val="26"/>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2016</w:t>
      </w:r>
      <w:r>
        <w:rPr>
          <w:b/>
          <w:bCs/>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28"/>
          <w:szCs w:val="28"/>
        </w:rPr>
        <w:t xml:space="preserve">12 </w:t>
      </w:r>
      <w:r>
        <w:rPr>
          <w:b/>
          <w:bCs/>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28"/>
          <w:szCs w:val="28"/>
        </w:rPr>
        <w:t>31</w:t>
      </w:r>
      <w:r>
        <w:rPr>
          <w:b/>
          <w:bCs/>
          <w:color w:val="000000"/>
          <w:spacing w:val="0"/>
          <w:w w:val="100"/>
          <w:position w:val="0"/>
          <w:sz w:val="26"/>
          <w:szCs w:val="26"/>
        </w:rPr>
        <w:t>日的公司总股本为基数，向全体股东每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6"/>
          <w:szCs w:val="26"/>
        </w:rPr>
        <w:t>股派发现金红利</w:t>
      </w:r>
      <w:r>
        <w:rPr>
          <w:rFonts w:ascii="Times New Roman" w:eastAsia="Times New Roman" w:hAnsi="Times New Roman" w:cs="Times New Roman"/>
          <w:b/>
          <w:bCs/>
          <w:color w:val="000000"/>
          <w:spacing w:val="0"/>
          <w:w w:val="100"/>
          <w:position w:val="0"/>
          <w:sz w:val="28"/>
          <w:szCs w:val="28"/>
        </w:rPr>
        <w:t xml:space="preserve">1.00 </w:t>
      </w:r>
      <w:r>
        <w:rPr>
          <w:b/>
          <w:bCs/>
          <w:color w:val="000000"/>
          <w:spacing w:val="0"/>
          <w:w w:val="100"/>
          <w:position w:val="0"/>
          <w:sz w:val="26"/>
          <w:szCs w:val="26"/>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6"/>
          <w:szCs w:val="26"/>
        </w:rPr>
        <w:t>股（含税），不以公积金转增股本。</w:t>
      </w:r>
      <w:r>
        <w:br w:type="page"/>
      </w:r>
    </w:p>
    <w:p>
      <w:pPr>
        <w:pStyle w:val="Style6"/>
        <w:keepNext w:val="0"/>
        <w:keepLines w:val="0"/>
        <w:widowControl w:val="0"/>
        <w:shd w:val="clear" w:color="auto" w:fill="auto"/>
        <w:bidi w:val="0"/>
        <w:spacing w:before="0" w:after="78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414"/>
        <w:gridCol w:w="960"/>
        <w:gridCol w:w="4973"/>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释义项</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公司股东大会</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传化智联股份有限公司股东大会</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传化智联股份有限公司董事会</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公司监事会</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传化智联股份有限公司监事会</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徐氏父子</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徐传化、徐冠巨、徐观宝三人</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中登公司深圳分公司</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中国证券登记结算有限责任公司深圳分公司</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《公司法》</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《中华人民共和国公司法》</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《证券法》</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《中华人民共和国证券法》</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《传化智联股份有限公司章程》</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w:t>
            </w:r>
          </w:p>
        </w:tc>
      </w:tr>
      <w:tr>
        <w:trPr>
          <w:trHeight w:val="30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p>
        </w:tc>
      </w:tr>
    </w:tbl>
    <w:p>
      <w:pPr>
        <w:sectPr>
          <w:headerReference w:type="default" r:id="rId8"/>
          <w:footerReference w:type="default" r:id="rId9"/>
          <w:footnotePr>
            <w:pos w:val="pageBottom"/>
            <w:numFmt w:val="decimal"/>
            <w:numRestart w:val="continuous"/>
          </w:footnotePr>
          <w:pgSz w:w="11900" w:h="16840"/>
          <w:pgMar w:top="1556" w:right="1649" w:bottom="3308" w:left="1751" w:header="0" w:footer="3" w:gutter="0"/>
          <w:pgNumType w:start="1"/>
          <w:cols w:space="720"/>
          <w:noEndnote/>
          <w:rtlGutter w:val="0"/>
          <w:docGrid w:linePitch="360"/>
        </w:sectPr>
      </w:pPr>
    </w:p>
    <w:p>
      <w:pPr>
        <w:pStyle w:val="Style6"/>
        <w:keepNext w:val="0"/>
        <w:keepLines w:val="0"/>
        <w:widowControl w:val="0"/>
        <w:shd w:val="clear" w:color="auto" w:fill="auto"/>
        <w:bidi w:val="0"/>
        <w:spacing w:before="0" w:after="820" w:line="240" w:lineRule="auto"/>
        <w:ind w:left="0" w:right="0" w:firstLine="0"/>
        <w:jc w:val="center"/>
        <w:rPr>
          <w:sz w:val="30"/>
          <w:szCs w:val="30"/>
        </w:rPr>
      </w:pPr>
      <w:r>
        <w:rPr>
          <w:rFonts w:ascii="SimHei" w:eastAsia="SimHei" w:hAnsi="SimHei" w:cs="SimHei"/>
          <w:color w:val="000000"/>
          <w:spacing w:val="0"/>
          <w:w w:val="100"/>
          <w:position w:val="0"/>
          <w:sz w:val="30"/>
          <w:szCs w:val="30"/>
        </w:rPr>
        <w:t>目 录</w:t>
      </w:r>
    </w:p>
    <w:p>
      <w:pPr>
        <w:pStyle w:val="Style22"/>
        <w:keepNext w:val="0"/>
        <w:keepLines w:val="0"/>
        <w:widowControl w:val="0"/>
        <w:shd w:val="clear" w:color="auto" w:fill="auto"/>
        <w:tabs>
          <w:tab w:leader="dot" w:pos="8284" w:val="right"/>
        </w:tabs>
        <w:bidi w:val="0"/>
        <w:spacing w:before="0" w:line="240" w:lineRule="auto"/>
        <w:ind w:left="0" w:right="0"/>
        <w:jc w:val="both"/>
      </w:pPr>
      <w:r>
        <w:fldChar w:fldCharType="begin"/>
        <w:instrText xml:space="preserve"> TOC \o "1-5" \h \z </w:instrText>
        <w:fldChar w:fldCharType="separate"/>
      </w:r>
      <w:r>
        <w:rPr>
          <w:color w:val="000000"/>
          <w:spacing w:val="0"/>
          <w:w w:val="100"/>
          <w:position w:val="0"/>
          <w:sz w:val="24"/>
          <w:szCs w:val="24"/>
        </w:rPr>
        <w:t>第一节重要提示、目录和释义</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4</w:t>
      </w:r>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4</w:t>
        </w:r>
      </w:hyperlink>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1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7</w:t>
        </w:r>
      </w:hyperlink>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3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17</w:t>
        </w:r>
      </w:hyperlink>
    </w:p>
    <w:p>
      <w:pPr>
        <w:pStyle w:val="Style22"/>
        <w:keepNext w:val="0"/>
        <w:keepLines w:val="0"/>
        <w:widowControl w:val="0"/>
        <w:shd w:val="clear" w:color="auto" w:fill="auto"/>
        <w:tabs>
          <w:tab w:pos="1457" w:val="left"/>
          <w:tab w:leader="dot" w:pos="8284" w:val="right"/>
        </w:tabs>
        <w:bidi w:val="0"/>
        <w:spacing w:before="0" w:line="240" w:lineRule="auto"/>
        <w:ind w:left="0" w:right="0"/>
        <w:jc w:val="both"/>
      </w:pPr>
      <w:r>
        <w:rPr>
          <w:color w:val="000000"/>
          <w:spacing w:val="0"/>
          <w:w w:val="100"/>
          <w:position w:val="0"/>
          <w:sz w:val="24"/>
          <w:szCs w:val="24"/>
        </w:rPr>
        <w:t>第五节</w:t>
        <w:tab/>
        <w:t>重要事项</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37</w:t>
      </w:r>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10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57</w:t>
        </w:r>
      </w:hyperlink>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12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61</w:t>
        </w:r>
      </w:hyperlink>
    </w:p>
    <w:p>
      <w:pPr>
        <w:pStyle w:val="Style22"/>
        <w:keepNext w:val="0"/>
        <w:keepLines w:val="0"/>
        <w:widowControl w:val="0"/>
        <w:shd w:val="clear" w:color="auto" w:fill="auto"/>
        <w:tabs>
          <w:tab w:pos="1457" w:val="left"/>
          <w:tab w:leader="dot" w:pos="8284" w:val="right"/>
        </w:tabs>
        <w:bidi w:val="0"/>
        <w:spacing w:before="0" w:line="240" w:lineRule="auto"/>
        <w:ind w:left="0" w:right="0"/>
        <w:jc w:val="both"/>
      </w:pPr>
      <w:hyperlink w:anchor="bookmark127" w:tooltip="Current Document">
        <w:r>
          <w:rPr>
            <w:color w:val="000000"/>
            <w:spacing w:val="0"/>
            <w:w w:val="100"/>
            <w:position w:val="0"/>
            <w:sz w:val="24"/>
            <w:szCs w:val="24"/>
          </w:rPr>
          <w:t>第八节</w:t>
          <w:tab/>
          <w:t>董事、监事、高级管理人员和员工情况</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62</w:t>
        </w:r>
      </w:hyperlink>
    </w:p>
    <w:p>
      <w:pPr>
        <w:pStyle w:val="Style22"/>
        <w:keepNext w:val="0"/>
        <w:keepLines w:val="0"/>
        <w:widowControl w:val="0"/>
        <w:shd w:val="clear" w:color="auto" w:fill="auto"/>
        <w:tabs>
          <w:tab w:leader="dot" w:pos="8284" w:val="right"/>
        </w:tabs>
        <w:bidi w:val="0"/>
        <w:spacing w:before="0" w:line="240" w:lineRule="auto"/>
        <w:ind w:left="0" w:right="0"/>
        <w:jc w:val="both"/>
      </w:pPr>
      <w:r>
        <w:rPr>
          <w:color w:val="000000"/>
          <w:spacing w:val="0"/>
          <w:w w:val="100"/>
          <w:position w:val="0"/>
          <w:sz w:val="24"/>
          <w:szCs w:val="24"/>
        </w:rPr>
        <w:t>第九节公司治理</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69</w:t>
      </w:r>
    </w:p>
    <w:p>
      <w:pPr>
        <w:pStyle w:val="Style22"/>
        <w:keepNext w:val="0"/>
        <w:keepLines w:val="0"/>
        <w:widowControl w:val="0"/>
        <w:shd w:val="clear" w:color="auto" w:fill="auto"/>
        <w:tabs>
          <w:tab w:leader="dot" w:pos="8284" w:val="right"/>
        </w:tabs>
        <w:bidi w:val="0"/>
        <w:spacing w:before="0" w:line="240" w:lineRule="auto"/>
        <w:ind w:left="0" w:right="0"/>
        <w:jc w:val="both"/>
      </w:pPr>
      <w:hyperlink w:anchor="bookmark16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Cambria" w:eastAsia="Cambria" w:hAnsi="Cambria" w:cs="Cambria"/>
            <w:b w:val="0"/>
            <w:bCs w:val="0"/>
            <w:color w:val="000000"/>
            <w:spacing w:val="0"/>
            <w:w w:val="100"/>
            <w:position w:val="0"/>
            <w:sz w:val="24"/>
            <w:szCs w:val="24"/>
          </w:rPr>
          <w:t>76</w:t>
        </w:r>
      </w:hyperlink>
    </w:p>
    <w:p>
      <w:pPr>
        <w:pStyle w:val="Style22"/>
        <w:keepNext w:val="0"/>
        <w:keepLines w:val="0"/>
        <w:widowControl w:val="0"/>
        <w:shd w:val="clear" w:color="auto" w:fill="auto"/>
        <w:tabs>
          <w:tab w:leader="dot" w:pos="8284" w:val="right"/>
        </w:tabs>
        <w:bidi w:val="0"/>
        <w:spacing w:before="0" w:line="240" w:lineRule="auto"/>
        <w:ind w:left="0" w:right="0"/>
        <w:jc w:val="both"/>
      </w:pPr>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b w:val="0"/>
          <w:bCs w:val="0"/>
          <w:color w:val="000000"/>
          <w:spacing w:val="0"/>
          <w:w w:val="100"/>
          <w:position w:val="0"/>
          <w:sz w:val="24"/>
          <w:szCs w:val="24"/>
        </w:rPr>
        <w:t>78</w:t>
      </w:r>
    </w:p>
    <w:p>
      <w:pPr>
        <w:pStyle w:val="Style22"/>
        <w:keepNext w:val="0"/>
        <w:keepLines w:val="0"/>
        <w:widowControl w:val="0"/>
        <w:shd w:val="clear" w:color="auto" w:fill="auto"/>
        <w:tabs>
          <w:tab w:leader="dot" w:pos="8284" w:val="right"/>
        </w:tabs>
        <w:bidi w:val="0"/>
        <w:spacing w:before="0" w:line="240" w:lineRule="auto"/>
        <w:ind w:left="0" w:right="0"/>
        <w:jc w:val="both"/>
        <w:sectPr>
          <w:footnotePr>
            <w:pos w:val="pageBottom"/>
            <w:numFmt w:val="decimal"/>
            <w:numRestart w:val="continuous"/>
          </w:footnotePr>
          <w:pgSz w:w="11900" w:h="16840"/>
          <w:pgMar w:top="1561" w:right="536" w:bottom="1561" w:left="1784" w:header="0" w:footer="3" w:gutter="0"/>
          <w:cols w:space="720"/>
          <w:noEndnote/>
          <w:rtlGutter w:val="0"/>
          <w:docGrid w:linePitch="360"/>
        </w:sectPr>
      </w:pPr>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b w:val="0"/>
          <w:bCs w:val="0"/>
          <w:color w:val="000000"/>
          <w:spacing w:val="0"/>
          <w:w w:val="100"/>
          <w:position w:val="0"/>
          <w:sz w:val="24"/>
          <w:szCs w:val="24"/>
        </w:rPr>
        <w:t>195</w:t>
      </w:r>
      <w:r>
        <w:fldChar w:fldCharType="end"/>
      </w:r>
    </w:p>
    <w:p>
      <w:pPr>
        <w:pStyle w:val="Style26"/>
        <w:keepNext/>
        <w:keepLines/>
        <w:widowControl w:val="0"/>
        <w:shd w:val="clear" w:color="auto" w:fill="auto"/>
        <w:bidi w:val="0"/>
        <w:spacing w:before="120" w:after="58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第二节公司简介和主要财务指标</w:t>
      </w:r>
      <w:bookmarkEnd w:id="1"/>
      <w:bookmarkEnd w:id="2"/>
      <w:bookmarkEnd w:id="3"/>
      <w:bookmarkEnd w:id="0"/>
    </w:p>
    <w:p>
      <w:pPr>
        <w:pStyle w:val="Style14"/>
        <w:keepNext w:val="0"/>
        <w:keepLines w:val="0"/>
        <w:widowControl w:val="0"/>
        <w:shd w:val="clear" w:color="auto" w:fill="auto"/>
        <w:bidi w:val="0"/>
        <w:spacing w:before="0" w:after="140" w:line="240" w:lineRule="auto"/>
        <w:ind w:left="2100" w:right="0" w:firstLine="0"/>
        <w:jc w:val="left"/>
      </w:pPr>
      <w:r>
        <w:rPr>
          <w:b/>
          <w:bCs/>
          <w:color w:val="000000"/>
          <w:spacing w:val="0"/>
          <w:w w:val="100"/>
          <w:position w:val="0"/>
          <w:sz w:val="24"/>
          <w:szCs w:val="24"/>
        </w:rPr>
        <w:t>、公司信息</w:t>
      </w:r>
    </w:p>
    <w:tbl>
      <w:tblPr>
        <w:tblOverlap w:val="never"/>
        <w:jc w:val="right"/>
        <w:tblLayout w:type="fixed"/>
      </w:tblPr>
      <w:tblGrid>
        <w:gridCol w:w="2592"/>
        <w:gridCol w:w="2952"/>
        <w:gridCol w:w="2160"/>
        <w:gridCol w:w="1810"/>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002010</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变更后的股票简称（如有）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股票上市证券交易所</w:t>
            </w:r>
          </w:p>
        </w:tc>
        <w:tc>
          <w:tcPr>
            <w:gridSpan w:val="3"/>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传化智联股份有限公司</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传化智联</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公司的外文名称（如有）</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Transfar Zhilian Co.,Ltd.</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公司的外文名称缩写（如有）</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Transfar Zhilian</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杭州市萧山经济技术开发区</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311215</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杭州市萧山钱江世纪城民和路</w:t>
            </w:r>
            <w:r>
              <w:rPr>
                <w:rFonts w:ascii="Times New Roman" w:eastAsia="Times New Roman" w:hAnsi="Times New Roman" w:cs="Times New Roman"/>
                <w:color w:val="000000"/>
                <w:spacing w:val="0"/>
                <w:w w:val="100"/>
                <w:position w:val="0"/>
                <w:sz w:val="20"/>
                <w:szCs w:val="20"/>
              </w:rPr>
              <w:t>945</w:t>
            </w:r>
            <w:r>
              <w:rPr>
                <w:color w:val="000000"/>
                <w:spacing w:val="0"/>
                <w:w w:val="100"/>
                <w:position w:val="0"/>
                <w:sz w:val="20"/>
                <w:szCs w:val="20"/>
              </w:rPr>
              <w:t>号传化大厦</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楼</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311215</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公司网址</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"http://www.transfarchem" </w:instrText>
            </w:r>
            <w:r>
              <w:fldChar w:fldCharType="separate"/>
            </w:r>
            <w:r>
              <w:rPr>
                <w:rFonts w:ascii="Times New Roman" w:eastAsia="Times New Roman" w:hAnsi="Times New Roman" w:cs="Times New Roman"/>
                <w:color w:val="000000"/>
                <w:spacing w:val="0"/>
                <w:w w:val="100"/>
                <w:position w:val="0"/>
                <w:sz w:val="20"/>
                <w:szCs w:val="20"/>
              </w:rPr>
              <w:t>www.transfarchem</w:t>
            </w:r>
            <w:r>
              <w:fldChar w:fldCharType="end"/>
            </w:r>
            <w:r>
              <w:rPr>
                <w:rFonts w:ascii="Times New Roman" w:eastAsia="Times New Roman" w:hAnsi="Times New Roman" w:cs="Times New Roman"/>
                <w:color w:val="000000"/>
                <w:spacing w:val="0"/>
                <w:w w:val="100"/>
                <w:position w:val="0"/>
                <w:sz w:val="20"/>
                <w:szCs w:val="20"/>
              </w:rPr>
              <w:t>. com</w:t>
            </w: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sz w:val="20"/>
                <w:szCs w:val="20"/>
              </w:rPr>
              <w:t>zqb@etransfar.com</w:t>
            </w:r>
            <w:r>
              <w:fldChar w:fldCharType="end"/>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840" w:right="0" w:firstLine="0"/>
        <w:jc w:val="both"/>
      </w:pPr>
      <w:bookmarkStart w:id="4" w:name="bookmark4"/>
      <w:r>
        <w:rPr>
          <w:b/>
          <w:bCs/>
          <w:color w:val="000000"/>
          <w:spacing w:val="0"/>
          <w:w w:val="100"/>
          <w:position w:val="0"/>
          <w:sz w:val="24"/>
          <w:szCs w:val="24"/>
        </w:rPr>
        <w:t>二</w:t>
      </w:r>
      <w:bookmarkEnd w:id="4"/>
      <w:r>
        <w:rPr>
          <w:b/>
          <w:bCs/>
          <w:color w:val="000000"/>
          <w:spacing w:val="0"/>
          <w:w w:val="100"/>
          <w:position w:val="0"/>
          <w:sz w:val="24"/>
          <w:szCs w:val="24"/>
        </w:rPr>
        <w:t>、联系人和联系方式</w:t>
      </w:r>
    </w:p>
    <w:tbl>
      <w:tblPr>
        <w:tblOverlap w:val="never"/>
        <w:jc w:val="right"/>
        <w:tblLayout w:type="fixed"/>
      </w:tblPr>
      <w:tblGrid>
        <w:gridCol w:w="3197"/>
        <w:gridCol w:w="3187"/>
        <w:gridCol w:w="3197"/>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朱江英</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章八一</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杭州市萧山钱江世纪城民和路</w:t>
            </w:r>
            <w:r>
              <w:rPr>
                <w:rFonts w:ascii="Times New Roman" w:eastAsia="Times New Roman" w:hAnsi="Times New Roman" w:cs="Times New Roman"/>
                <w:color w:val="000000"/>
                <w:spacing w:val="0"/>
                <w:w w:val="100"/>
                <w:position w:val="0"/>
                <w:sz w:val="20"/>
                <w:szCs w:val="20"/>
              </w:rPr>
              <w:t xml:space="preserve">945 </w:t>
            </w:r>
            <w:r>
              <w:rPr>
                <w:color w:val="000000"/>
                <w:spacing w:val="0"/>
                <w:w w:val="100"/>
                <w:position w:val="0"/>
                <w:sz w:val="20"/>
                <w:szCs w:val="20"/>
              </w:rPr>
              <w:t>号传化大厦</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楼</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杭州市萧山钱江世纪城民和路</w:t>
            </w:r>
            <w:r>
              <w:rPr>
                <w:rFonts w:ascii="Times New Roman" w:eastAsia="Times New Roman" w:hAnsi="Times New Roman" w:cs="Times New Roman"/>
                <w:color w:val="000000"/>
                <w:spacing w:val="0"/>
                <w:w w:val="100"/>
                <w:position w:val="0"/>
                <w:sz w:val="20"/>
                <w:szCs w:val="20"/>
              </w:rPr>
              <w:t xml:space="preserve">945 </w:t>
            </w:r>
            <w:r>
              <w:rPr>
                <w:color w:val="000000"/>
                <w:spacing w:val="0"/>
                <w:w w:val="100"/>
                <w:position w:val="0"/>
                <w:sz w:val="20"/>
                <w:szCs w:val="20"/>
              </w:rPr>
              <w:t>号传化大厦</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楼</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0571-82872991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0571-82872991</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0571-83782070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0571-83782070</w:t>
            </w: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sz w:val="20"/>
                <w:szCs w:val="20"/>
              </w:rPr>
              <w:t>zqb@etransfar.com</w:t>
            </w:r>
            <w:r>
              <w:fldChar w:fldCharType="end"/>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sz w:val="20"/>
                <w:szCs w:val="20"/>
              </w:rPr>
              <w:t>zqb@etransfar.com</w:t>
            </w:r>
            <w:r>
              <w:fldChar w:fldCharType="end"/>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840" w:right="0" w:firstLine="0"/>
        <w:jc w:val="both"/>
      </w:pPr>
      <w:bookmarkStart w:id="5" w:name="bookmark5"/>
      <w:r>
        <w:rPr>
          <w:b/>
          <w:bCs/>
          <w:color w:val="000000"/>
          <w:spacing w:val="0"/>
          <w:w w:val="100"/>
          <w:position w:val="0"/>
          <w:sz w:val="24"/>
          <w:szCs w:val="24"/>
        </w:rPr>
        <w:t>三</w:t>
      </w:r>
      <w:bookmarkEnd w:id="5"/>
      <w:r>
        <w:rPr>
          <w:b/>
          <w:bCs/>
          <w:color w:val="000000"/>
          <w:spacing w:val="0"/>
          <w:w w:val="100"/>
          <w:position w:val="0"/>
          <w:sz w:val="24"/>
          <w:szCs w:val="24"/>
        </w:rPr>
        <w:t>、信息披露及备置地点</w:t>
      </w:r>
    </w:p>
    <w:tbl>
      <w:tblPr>
        <w:tblOverlap w:val="never"/>
        <w:jc w:val="right"/>
        <w:tblLayout w:type="fixed"/>
      </w:tblPr>
      <w:tblGrid>
        <w:gridCol w:w="4114"/>
        <w:gridCol w:w="5438"/>
      </w:tblGrid>
      <w:tr>
        <w:trPr>
          <w:trHeight w:val="307"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公司选定的信息披露报纸的名称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www. cninfo. com. cn</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公司证券部</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840" w:right="0" w:firstLine="0"/>
        <w:jc w:val="both"/>
      </w:pPr>
      <w:bookmarkStart w:id="6" w:name="bookmark6"/>
      <w:r>
        <w:rPr>
          <w:b/>
          <w:bCs/>
          <w:color w:val="000000"/>
          <w:spacing w:val="0"/>
          <w:w w:val="100"/>
          <w:position w:val="0"/>
          <w:sz w:val="24"/>
          <w:szCs w:val="24"/>
        </w:rPr>
        <w:t>四</w:t>
      </w:r>
      <w:bookmarkEnd w:id="6"/>
      <w:r>
        <w:rPr>
          <w:b/>
          <w:bCs/>
          <w:color w:val="000000"/>
          <w:spacing w:val="0"/>
          <w:w w:val="100"/>
          <w:position w:val="0"/>
          <w:sz w:val="24"/>
          <w:szCs w:val="24"/>
        </w:rPr>
        <w:t>、注册变更情况</w:t>
      </w:r>
    </w:p>
    <w:tbl>
      <w:tblPr>
        <w:tblOverlap w:val="never"/>
        <w:jc w:val="right"/>
        <w:tblLayout w:type="fixed"/>
      </w:tblPr>
      <w:tblGrid>
        <w:gridCol w:w="3197"/>
        <w:gridCol w:w="6384"/>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统一社会信用代码</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91330000609301348W</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公司上市以来主营业务的变化情 况（如有）</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年，公司顺利完成发行股份购买传化集团旗下的物流业务资产， 上市公司主营业务从单一的化工变为物流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化工。</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历次控股股东的变更情况（如有）</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无变更</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840" w:right="0" w:firstLine="0"/>
        <w:jc w:val="both"/>
      </w:pPr>
      <w:bookmarkStart w:id="7" w:name="bookmark7"/>
      <w:r>
        <w:rPr>
          <w:b/>
          <w:bCs/>
          <w:color w:val="000000"/>
          <w:spacing w:val="0"/>
          <w:w w:val="100"/>
          <w:position w:val="0"/>
          <w:sz w:val="24"/>
          <w:szCs w:val="24"/>
        </w:rPr>
        <w:t>五</w:t>
      </w:r>
      <w:bookmarkEnd w:id="7"/>
      <w:r>
        <w:rPr>
          <w:b/>
          <w:bCs/>
          <w:color w:val="000000"/>
          <w:spacing w:val="0"/>
          <w:w w:val="100"/>
          <w:position w:val="0"/>
          <w:sz w:val="24"/>
          <w:szCs w:val="24"/>
        </w:rPr>
        <w:t xml:space="preserve">、其他有关资料 </w:t>
      </w:r>
      <w:r>
        <w:rPr>
          <w:color w:val="000000"/>
          <w:spacing w:val="0"/>
          <w:w w:val="100"/>
          <w:position w:val="0"/>
          <w:sz w:val="24"/>
          <w:szCs w:val="24"/>
        </w:rPr>
        <w:t>公司聘请的会计师事务所:</w:t>
      </w:r>
    </w:p>
    <w:tbl>
      <w:tblPr>
        <w:tblOverlap w:val="never"/>
        <w:jc w:val="right"/>
        <w:tblLayout w:type="fixed"/>
      </w:tblPr>
      <w:tblGrid>
        <w:gridCol w:w="2669"/>
        <w:gridCol w:w="6912"/>
      </w:tblGrid>
      <w:tr>
        <w:trPr>
          <w:trHeight w:val="307"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浙江省杭州市江干区钱江路</w:t>
            </w:r>
            <w:r>
              <w:rPr>
                <w:rFonts w:ascii="Times New Roman" w:eastAsia="Times New Roman" w:hAnsi="Times New Roman" w:cs="Times New Roman"/>
                <w:color w:val="000000"/>
                <w:spacing w:val="0"/>
                <w:w w:val="100"/>
                <w:position w:val="0"/>
                <w:sz w:val="20"/>
                <w:szCs w:val="20"/>
              </w:rPr>
              <w:t>1366</w:t>
            </w:r>
            <w:r>
              <w:rPr>
                <w:color w:val="000000"/>
                <w:spacing w:val="0"/>
                <w:w w:val="100"/>
                <w:position w:val="0"/>
                <w:sz w:val="20"/>
                <w:szCs w:val="20"/>
              </w:rPr>
              <w:t>号华润大厦</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缪志坚、张小利</w:t>
            </w:r>
          </w:p>
        </w:tc>
      </w:tr>
    </w:tbl>
    <w:p>
      <w:pPr>
        <w:spacing w:lineRule="exact" w:line="1"/>
        <w:rPr>
          <w:sz w:val="2"/>
          <w:szCs w:val="2"/>
        </w:rPr>
      </w:pPr>
      <w:r>
        <w:br w:type="page"/>
      </w:r>
    </w:p>
    <w:p>
      <w:pPr>
        <w:pStyle w:val="Style14"/>
        <w:keepNext w:val="0"/>
        <w:keepLines w:val="0"/>
        <w:widowControl w:val="0"/>
        <w:shd w:val="clear" w:color="auto" w:fill="auto"/>
        <w:bidi w:val="0"/>
        <w:spacing w:before="0" w:after="280" w:line="240" w:lineRule="auto"/>
        <w:ind w:left="1840" w:right="0" w:firstLine="0"/>
        <w:jc w:val="left"/>
      </w:pPr>
      <w:r>
        <w:rPr>
          <w:color w:val="000000"/>
          <w:spacing w:val="0"/>
          <w:w w:val="100"/>
          <w:position w:val="0"/>
          <w:sz w:val="24"/>
          <w:szCs w:val="24"/>
        </w:rPr>
        <w:t>公司不存在报告期内履行持续督导职责的保荐机构。</w:t>
      </w:r>
    </w:p>
    <w:p>
      <w:pPr>
        <w:pStyle w:val="Style14"/>
        <w:keepNext w:val="0"/>
        <w:keepLines w:val="0"/>
        <w:widowControl w:val="0"/>
        <w:shd w:val="clear" w:color="auto" w:fill="auto"/>
        <w:bidi w:val="0"/>
        <w:spacing w:before="0" w:after="140" w:line="240" w:lineRule="auto"/>
        <w:ind w:left="1840" w:right="0" w:firstLine="0"/>
        <w:jc w:val="left"/>
      </w:pPr>
      <w:r>
        <w:rPr>
          <w:color w:val="000000"/>
          <w:spacing w:val="0"/>
          <w:w w:val="100"/>
          <w:position w:val="0"/>
          <w:sz w:val="24"/>
          <w:szCs w:val="24"/>
        </w:rPr>
        <w:t>公司聘请的报告期内履行持续督导职责的财务顾问:</w:t>
      </w:r>
    </w:p>
    <w:tbl>
      <w:tblPr>
        <w:tblOverlap w:val="never"/>
        <w:jc w:val="center"/>
        <w:tblLayout w:type="fixed"/>
      </w:tblPr>
      <w:tblGrid>
        <w:gridCol w:w="2683"/>
        <w:gridCol w:w="2390"/>
        <w:gridCol w:w="2160"/>
        <w:gridCol w:w="2842"/>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财务顾问名称</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财务顾问办公地址</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财务顾问主办人姓名</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59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国泰君安证券股份有限公司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 xml:space="preserve">上海市浦东新区银城中路 </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号上海银行大厦</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张宁、黄央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620" w:right="0" w:firstLine="0"/>
        <w:jc w:val="left"/>
      </w:pPr>
      <w:bookmarkStart w:id="8" w:name="bookmark8"/>
      <w:r>
        <w:rPr>
          <w:b/>
          <w:bCs/>
          <w:color w:val="000000"/>
          <w:spacing w:val="0"/>
          <w:w w:val="100"/>
          <w:position w:val="0"/>
          <w:sz w:val="24"/>
          <w:szCs w:val="24"/>
        </w:rPr>
        <w:t>六</w:t>
      </w:r>
      <w:bookmarkEnd w:id="8"/>
      <w:r>
        <w:rPr>
          <w:b/>
          <w:bCs/>
          <w:color w:val="000000"/>
          <w:spacing w:val="0"/>
          <w:w w:val="100"/>
          <w:position w:val="0"/>
          <w:sz w:val="24"/>
          <w:szCs w:val="24"/>
        </w:rPr>
        <w:t>、主要会计数据和财务指标</w:t>
      </w:r>
    </w:p>
    <w:p>
      <w:pPr>
        <w:pStyle w:val="Style14"/>
        <w:keepNext w:val="0"/>
        <w:keepLines w:val="0"/>
        <w:widowControl w:val="0"/>
        <w:shd w:val="clear" w:color="auto" w:fill="auto"/>
        <w:bidi w:val="0"/>
        <w:spacing w:before="0" w:after="280" w:line="240" w:lineRule="auto"/>
        <w:ind w:left="1620" w:right="0" w:firstLine="0"/>
        <w:jc w:val="left"/>
      </w:pPr>
      <w:r>
        <w:rPr>
          <w:color w:val="000000"/>
          <w:spacing w:val="0"/>
          <w:w w:val="100"/>
          <w:position w:val="0"/>
          <w:sz w:val="24"/>
          <w:szCs w:val="24"/>
        </w:rPr>
        <w:t>公司不存在因会计政策变更及会计差错更正等追溯调整或重述以前年度会</w:t>
      </w:r>
    </w:p>
    <w:p>
      <w:pPr>
        <w:pStyle w:val="Style30"/>
        <w:keepNext w:val="0"/>
        <w:keepLines w:val="0"/>
        <w:widowControl w:val="0"/>
        <w:shd w:val="clear" w:color="auto" w:fill="auto"/>
        <w:bidi w:val="0"/>
        <w:spacing w:before="0" w:after="0" w:line="240" w:lineRule="auto"/>
        <w:ind w:left="1123" w:right="0" w:firstLine="0"/>
        <w:jc w:val="left"/>
      </w:pPr>
      <w:r>
        <w:rPr>
          <w:color w:val="000000"/>
          <w:spacing w:val="0"/>
          <w:w w:val="100"/>
          <w:position w:val="0"/>
          <w:sz w:val="24"/>
          <w:szCs w:val="24"/>
        </w:rPr>
        <w:t>计数据的情况。</w:t>
      </w:r>
    </w:p>
    <w:tbl>
      <w:tblPr>
        <w:tblOverlap w:val="never"/>
        <w:jc w:val="center"/>
        <w:tblLayout w:type="fixed"/>
      </w:tblPr>
      <w:tblGrid>
        <w:gridCol w:w="3758"/>
        <w:gridCol w:w="1651"/>
        <w:gridCol w:w="1666"/>
        <w:gridCol w:w="2112"/>
        <w:gridCol w:w="1526"/>
      </w:tblGrid>
      <w:tr>
        <w:trPr>
          <w:trHeight w:val="30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本年比上年增减（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8,166,726,777.21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5,340,340,367.78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5,961,719,961.9</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580,985,445.92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550,629,090.92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5.51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245,155,062.01</w:t>
            </w:r>
          </w:p>
        </w:tc>
      </w:tr>
      <w:tr>
        <w:trPr>
          <w:trHeight w:val="586"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归属于上市公司股东的扣除非经常性损 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-166,802,008.12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192,269,456.47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-186.75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180,762,315.97</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-400,700,474.29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414,190,515.12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-196.74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440,095,667.05</w:t>
            </w:r>
          </w:p>
        </w:tc>
      </w:tr>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12.99</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年末</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本年末比上年末增减</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年末</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17,018,951,216.72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14,482,328,373.92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17.52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5,991,663,736.4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11,126,638,291.59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10,872,988,648.15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2.33</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2,468,461,835.7</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bl>
    <w:p>
      <w:pPr>
        <w:widowControl w:val="0"/>
        <w:spacing w:after="139" w:line="1" w:lineRule="exact"/>
      </w:pPr>
    </w:p>
    <w:p>
      <w:pPr>
        <w:pStyle w:val="Style30"/>
        <w:keepNext w:val="0"/>
        <w:keepLines w:val="0"/>
        <w:widowControl w:val="0"/>
        <w:shd w:val="clear" w:color="auto" w:fill="auto"/>
        <w:bidi w:val="0"/>
        <w:spacing w:before="0" w:after="0" w:line="240" w:lineRule="auto"/>
        <w:ind w:left="1598" w:right="0" w:firstLine="0"/>
        <w:jc w:val="left"/>
      </w:pPr>
      <w:r>
        <w:rPr>
          <w:color w:val="000000"/>
          <w:spacing w:val="0"/>
          <w:w w:val="100"/>
          <w:position w:val="0"/>
          <w:sz w:val="24"/>
          <w:szCs w:val="24"/>
        </w:rPr>
        <w:t>截止披露前一交易日的公司总股本:</w:t>
      </w:r>
    </w:p>
    <w:tbl>
      <w:tblPr>
        <w:tblOverlap w:val="never"/>
        <w:jc w:val="left"/>
        <w:tblLayout w:type="fixed"/>
      </w:tblPr>
      <w:tblGrid>
        <w:gridCol w:w="4589"/>
        <w:gridCol w:w="4915"/>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截止披露前一交易日的公司总股本（股）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3,257,814,678</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用最新股本计算的全面摊薄每股收益（元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0.18</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620" w:right="0" w:firstLine="0"/>
        <w:jc w:val="left"/>
      </w:pPr>
      <w:r>
        <w:rPr>
          <w:color w:val="000000"/>
          <w:spacing w:val="0"/>
          <w:w w:val="100"/>
          <w:position w:val="0"/>
          <w:sz w:val="24"/>
          <w:szCs w:val="24"/>
        </w:rPr>
        <w:t>公司存在公司债的情形，不存在最近两年连续亏损的情形。</w:t>
      </w:r>
    </w:p>
    <w:p>
      <w:pPr>
        <w:pStyle w:val="Style14"/>
        <w:keepNext w:val="0"/>
        <w:keepLines w:val="0"/>
        <w:widowControl w:val="0"/>
        <w:shd w:val="clear" w:color="auto" w:fill="auto"/>
        <w:bidi w:val="0"/>
        <w:spacing w:before="0" w:after="280" w:line="240" w:lineRule="auto"/>
        <w:ind w:left="1620" w:right="0" w:firstLine="0"/>
        <w:jc w:val="left"/>
      </w:pPr>
      <w:bookmarkStart w:id="9" w:name="bookmark9"/>
      <w:r>
        <w:rPr>
          <w:b/>
          <w:bCs/>
          <w:color w:val="000000"/>
          <w:spacing w:val="0"/>
          <w:w w:val="100"/>
          <w:position w:val="0"/>
          <w:sz w:val="24"/>
          <w:szCs w:val="24"/>
        </w:rPr>
        <w:t>七</w:t>
      </w:r>
      <w:bookmarkEnd w:id="9"/>
      <w:r>
        <w:rPr>
          <w:b/>
          <w:bCs/>
          <w:color w:val="000000"/>
          <w:spacing w:val="0"/>
          <w:w w:val="100"/>
          <w:position w:val="0"/>
          <w:sz w:val="24"/>
          <w:szCs w:val="24"/>
        </w:rPr>
        <w:t>、境内外会计准则下会计数据差异</w:t>
      </w:r>
    </w:p>
    <w:p>
      <w:pPr>
        <w:pStyle w:val="Style14"/>
        <w:keepNext w:val="0"/>
        <w:keepLines w:val="0"/>
        <w:widowControl w:val="0"/>
        <w:shd w:val="clear" w:color="auto" w:fill="auto"/>
        <w:bidi w:val="0"/>
        <w:spacing w:before="0" w:after="280" w:line="240" w:lineRule="auto"/>
        <w:ind w:left="1620" w:right="0" w:firstLine="0"/>
        <w:jc w:val="left"/>
      </w:pPr>
      <w:bookmarkStart w:id="10" w:name="bookmark10"/>
      <w:r>
        <w:rPr>
          <w:rFonts w:ascii="Times New Roman" w:eastAsia="Times New Roman" w:hAnsi="Times New Roman" w:cs="Times New Roman"/>
          <w:color w:val="000000"/>
          <w:spacing w:val="0"/>
          <w:w w:val="100"/>
          <w:position w:val="0"/>
          <w:sz w:val="24"/>
          <w:szCs w:val="24"/>
        </w:rPr>
        <w:t>1</w:t>
      </w:r>
      <w:bookmarkEnd w:id="10"/>
      <w:r>
        <w:rPr>
          <w:color w:val="000000"/>
          <w:spacing w:val="0"/>
          <w:w w:val="100"/>
          <w:position w:val="0"/>
          <w:sz w:val="24"/>
          <w:szCs w:val="24"/>
        </w:rPr>
        <w:t>、公司报告期不存在按照国际会计准则与按照中国会计准则披露的财务报</w:t>
      </w:r>
    </w:p>
    <w:p>
      <w:pPr>
        <w:pStyle w:val="Style14"/>
        <w:keepNext w:val="0"/>
        <w:keepLines w:val="0"/>
        <w:widowControl w:val="0"/>
        <w:shd w:val="clear" w:color="auto" w:fill="auto"/>
        <w:bidi w:val="0"/>
        <w:spacing w:before="0" w:after="280" w:line="240" w:lineRule="auto"/>
        <w:ind w:left="1140" w:right="0" w:firstLine="0"/>
        <w:jc w:val="left"/>
      </w:pPr>
      <w:r>
        <w:rPr>
          <w:color w:val="000000"/>
          <w:spacing w:val="0"/>
          <w:w w:val="100"/>
          <w:position w:val="0"/>
          <w:sz w:val="24"/>
          <w:szCs w:val="24"/>
        </w:rPr>
        <w:t>告中净利润和净资产差异情况。</w:t>
      </w:r>
    </w:p>
    <w:p>
      <w:pPr>
        <w:pStyle w:val="Style14"/>
        <w:keepNext w:val="0"/>
        <w:keepLines w:val="0"/>
        <w:widowControl w:val="0"/>
        <w:shd w:val="clear" w:color="auto" w:fill="auto"/>
        <w:tabs>
          <w:tab w:pos="2022" w:val="left"/>
        </w:tabs>
        <w:bidi w:val="0"/>
        <w:spacing w:before="0" w:after="280" w:line="240" w:lineRule="auto"/>
        <w:ind w:left="1620" w:right="0" w:firstLine="0"/>
        <w:jc w:val="left"/>
      </w:pPr>
      <w:bookmarkStart w:id="11" w:name="bookmark11"/>
      <w:r>
        <w:rPr>
          <w:rFonts w:ascii="Times New Roman" w:eastAsia="Times New Roman" w:hAnsi="Times New Roman" w:cs="Times New Roman"/>
          <w:color w:val="000000"/>
          <w:spacing w:val="0"/>
          <w:w w:val="100"/>
          <w:position w:val="0"/>
          <w:sz w:val="24"/>
          <w:szCs w:val="24"/>
        </w:rPr>
        <w:t>2</w:t>
      </w:r>
      <w:bookmarkEnd w:id="11"/>
      <w:r>
        <w:rPr>
          <w:color w:val="000000"/>
          <w:spacing w:val="0"/>
          <w:w w:val="100"/>
          <w:position w:val="0"/>
          <w:sz w:val="24"/>
          <w:szCs w:val="24"/>
        </w:rPr>
        <w:t>、</w:t>
        <w:tab/>
        <w:t>公司报告期不存在按照境外会计准则与按照中国会计准则披露的财务报</w:t>
      </w:r>
    </w:p>
    <w:p>
      <w:pPr>
        <w:pStyle w:val="Style14"/>
        <w:keepNext w:val="0"/>
        <w:keepLines w:val="0"/>
        <w:widowControl w:val="0"/>
        <w:shd w:val="clear" w:color="auto" w:fill="auto"/>
        <w:bidi w:val="0"/>
        <w:spacing w:before="0" w:after="280" w:line="240" w:lineRule="auto"/>
        <w:ind w:left="1140" w:right="0" w:firstLine="0"/>
        <w:jc w:val="left"/>
      </w:pPr>
      <w:r>
        <w:rPr>
          <w:color w:val="000000"/>
          <w:spacing w:val="0"/>
          <w:w w:val="100"/>
          <w:position w:val="0"/>
          <w:sz w:val="24"/>
          <w:szCs w:val="24"/>
        </w:rPr>
        <w:t>告中净利润和净资产差异情况。</w:t>
      </w:r>
    </w:p>
    <w:p>
      <w:pPr>
        <w:pStyle w:val="Style14"/>
        <w:keepNext w:val="0"/>
        <w:keepLines w:val="0"/>
        <w:widowControl w:val="0"/>
        <w:shd w:val="clear" w:color="auto" w:fill="auto"/>
        <w:tabs>
          <w:tab w:pos="2022" w:val="left"/>
        </w:tabs>
        <w:bidi w:val="0"/>
        <w:spacing w:before="0" w:after="280" w:line="240" w:lineRule="auto"/>
        <w:ind w:left="1620" w:right="0" w:firstLine="0"/>
        <w:jc w:val="left"/>
      </w:pPr>
      <w:bookmarkStart w:id="12" w:name="bookmark12"/>
      <w:r>
        <w:rPr>
          <w:rFonts w:ascii="Times New Roman" w:eastAsia="Times New Roman" w:hAnsi="Times New Roman" w:cs="Times New Roman"/>
          <w:color w:val="000000"/>
          <w:spacing w:val="0"/>
          <w:w w:val="100"/>
          <w:position w:val="0"/>
          <w:sz w:val="24"/>
          <w:szCs w:val="24"/>
        </w:rPr>
        <w:t>3</w:t>
      </w:r>
      <w:bookmarkEnd w:id="12"/>
      <w:r>
        <w:rPr>
          <w:color w:val="000000"/>
          <w:spacing w:val="0"/>
          <w:w w:val="100"/>
          <w:position w:val="0"/>
          <w:sz w:val="24"/>
          <w:szCs w:val="24"/>
        </w:rPr>
        <w:t>、</w:t>
        <w:tab/>
        <w:t>报告期内，公司不存在境内外会计准则下会计数据差异情况。</w:t>
      </w:r>
      <w:r>
        <w:br w:type="page"/>
      </w:r>
    </w:p>
    <w:p>
      <w:pPr>
        <w:pStyle w:val="Style14"/>
        <w:keepNext w:val="0"/>
        <w:keepLines w:val="0"/>
        <w:widowControl w:val="0"/>
        <w:shd w:val="clear" w:color="auto" w:fill="auto"/>
        <w:bidi w:val="0"/>
        <w:spacing w:before="0" w:after="160" w:line="240" w:lineRule="auto"/>
        <w:ind w:left="1620" w:right="0" w:firstLine="0"/>
        <w:jc w:val="left"/>
      </w:pPr>
      <w:bookmarkStart w:id="13" w:name="bookmark13"/>
      <w:r>
        <w:rPr>
          <w:b/>
          <w:bCs/>
          <w:color w:val="000000"/>
          <w:spacing w:val="0"/>
          <w:w w:val="100"/>
          <w:position w:val="0"/>
          <w:sz w:val="24"/>
          <w:szCs w:val="24"/>
        </w:rPr>
        <w:t>八</w:t>
      </w:r>
      <w:bookmarkEnd w:id="13"/>
      <w:r>
        <w:rPr>
          <w:b/>
          <w:bCs/>
          <w:color w:val="000000"/>
          <w:spacing w:val="0"/>
          <w:w w:val="100"/>
          <w:position w:val="0"/>
          <w:sz w:val="24"/>
          <w:szCs w:val="24"/>
        </w:rPr>
        <w:t>、分季度主要财务指标</w:t>
      </w:r>
    </w:p>
    <w:p>
      <w:pPr>
        <w:pStyle w:val="Style30"/>
        <w:keepNext w:val="0"/>
        <w:keepLines w:val="0"/>
        <w:widowControl w:val="0"/>
        <w:shd w:val="clear" w:color="auto" w:fill="auto"/>
        <w:bidi w:val="0"/>
        <w:spacing w:before="0" w:after="0" w:line="240" w:lineRule="auto"/>
        <w:ind w:left="7747"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2909"/>
        <w:gridCol w:w="1742"/>
        <w:gridCol w:w="1738"/>
        <w:gridCol w:w="1742"/>
        <w:gridCol w:w="1733"/>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第四季度</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979,969,830.33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1,401,182,582.42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1,629,227,885.10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4,156,346,479.36</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72,667,629.42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369,279,671.46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130,288,087.17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8,750,057.87</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-71,487,332.42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124,015,200.82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-14,330,055.96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-204,999,820.56</w:t>
            </w: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-214,809,260.44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380,357,750.37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-141,195,314.52</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-425,053,649.70</w:t>
            </w:r>
          </w:p>
        </w:tc>
      </w:tr>
    </w:tbl>
    <w:p>
      <w:pPr>
        <w:widowControl w:val="0"/>
        <w:spacing w:after="159" w:line="1" w:lineRule="exact"/>
      </w:pPr>
    </w:p>
    <w:p>
      <w:pPr>
        <w:pStyle w:val="Style14"/>
        <w:keepNext w:val="0"/>
        <w:keepLines w:val="0"/>
        <w:widowControl w:val="0"/>
        <w:shd w:val="clear" w:color="auto" w:fill="auto"/>
        <w:bidi w:val="0"/>
        <w:spacing w:before="0" w:after="300" w:line="240" w:lineRule="auto"/>
        <w:ind w:left="1620" w:right="0" w:firstLine="0"/>
        <w:jc w:val="left"/>
      </w:pPr>
      <w:r>
        <w:rPr>
          <w:color w:val="000000"/>
          <w:spacing w:val="0"/>
          <w:w w:val="100"/>
          <w:position w:val="0"/>
          <w:sz w:val="24"/>
          <w:szCs w:val="24"/>
        </w:rPr>
        <w:t>上述财务指标或其加总数与公司已披露季度报告、半年度报告相关财务指标</w:t>
      </w:r>
    </w:p>
    <w:p>
      <w:pPr>
        <w:pStyle w:val="Style14"/>
        <w:keepNext w:val="0"/>
        <w:keepLines w:val="0"/>
        <w:widowControl w:val="0"/>
        <w:shd w:val="clear" w:color="auto" w:fill="auto"/>
        <w:bidi w:val="0"/>
        <w:spacing w:before="0" w:after="580" w:line="240" w:lineRule="auto"/>
        <w:ind w:left="1120" w:right="0" w:firstLine="0"/>
        <w:jc w:val="left"/>
      </w:pPr>
      <w:r>
        <w:rPr>
          <w:color w:val="000000"/>
          <w:spacing w:val="0"/>
          <w:w w:val="100"/>
          <w:position w:val="0"/>
          <w:sz w:val="24"/>
          <w:szCs w:val="24"/>
        </w:rPr>
        <w:t>不存在重大差异。</w:t>
      </w:r>
    </w:p>
    <w:p>
      <w:pPr>
        <w:pStyle w:val="Style14"/>
        <w:keepNext w:val="0"/>
        <w:keepLines w:val="0"/>
        <w:widowControl w:val="0"/>
        <w:shd w:val="clear" w:color="auto" w:fill="auto"/>
        <w:bidi w:val="0"/>
        <w:spacing w:before="0" w:after="160" w:line="240" w:lineRule="auto"/>
        <w:ind w:left="1620" w:right="0" w:firstLine="0"/>
        <w:jc w:val="left"/>
      </w:pPr>
      <w:bookmarkStart w:id="14" w:name="bookmark14"/>
      <w:r>
        <w:rPr>
          <w:b/>
          <w:bCs/>
          <w:color w:val="000000"/>
          <w:spacing w:val="0"/>
          <w:w w:val="100"/>
          <w:position w:val="0"/>
          <w:sz w:val="24"/>
          <w:szCs w:val="24"/>
        </w:rPr>
        <w:t>九</w:t>
      </w:r>
      <w:bookmarkEnd w:id="14"/>
      <w:r>
        <w:rPr>
          <w:b/>
          <w:bCs/>
          <w:color w:val="000000"/>
          <w:spacing w:val="0"/>
          <w:w w:val="100"/>
          <w:position w:val="0"/>
          <w:sz w:val="24"/>
          <w:szCs w:val="24"/>
        </w:rPr>
        <w:t>、非经常性损益项目及金额</w:t>
      </w:r>
    </w:p>
    <w:p>
      <w:pPr>
        <w:pStyle w:val="Style30"/>
        <w:keepNext w:val="0"/>
        <w:keepLines w:val="0"/>
        <w:widowControl w:val="0"/>
        <w:shd w:val="clear" w:color="auto" w:fill="auto"/>
        <w:bidi w:val="0"/>
        <w:spacing w:before="0" w:after="0" w:line="240" w:lineRule="auto"/>
        <w:ind w:left="7464"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3302"/>
        <w:gridCol w:w="1618"/>
        <w:gridCol w:w="1421"/>
        <w:gridCol w:w="1522"/>
        <w:gridCol w:w="1718"/>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年金额</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年金额</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年金额</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非流动资产处置损益（包括已计提</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5,347,679.39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150,782,828.46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12,319,786.87</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越权审批或无正式批准文件的税收 返还、减免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5,539,050.50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3,690,863.81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3,213,130.31</w:t>
            </w: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983,407,964.64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245,300,374.03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70,166,011.11</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1,419,444.50</w:t>
            </w: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-594,151.17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18,164,415.06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11,899,881.15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2,473,625.58</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25,644,577.01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3,299,973.96</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-8,755,000.00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除同公司正常经营业务相关的有效 套期保值业务外，持有交易性金融 资产、交易性金融负债产生的公允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47,838.62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3,957,595.49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3302"/>
        <w:gridCol w:w="1618"/>
        <w:gridCol w:w="1421"/>
        <w:gridCol w:w="1522"/>
        <w:gridCol w:w="1718"/>
      </w:tblGrid>
      <w:tr>
        <w:trPr>
          <w:trHeight w:val="883"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0" w:lineRule="exact"/>
              <w:ind w:left="0" w:right="0" w:firstLine="0"/>
              <w:jc w:val="left"/>
              <w:rPr>
                <w:sz w:val="20"/>
                <w:szCs w:val="20"/>
              </w:rPr>
            </w:pPr>
            <w:bookmarkStart w:id="15" w:name="bookmark15"/>
            <w:r>
              <w:rPr>
                <w:color w:val="000000"/>
                <w:spacing w:val="0"/>
                <w:w w:val="100"/>
                <w:position w:val="0"/>
                <w:sz w:val="20"/>
                <w:szCs w:val="20"/>
              </w:rPr>
              <w:t>价值变动损益，以及处置交易性金 融资产、交易性金融负债和可供出 售金融资产取得的投资收益</w:t>
            </w:r>
            <w:bookmarkEnd w:id="15"/>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单独进行减值测试的应收款项减值 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-117,585.80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906,149.00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551,219.90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600,876.27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660,434.13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-7,361,567.00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-1,589,132.20</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其他符合非经常性损益定义的损益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53,289,845.74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249,935,695.49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63,655,832.53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19,030,412.23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69,217,369.02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12,321,900.49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-324,098.24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747,787,454.04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358,359,634.45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64,392,746.04</w:t>
            </w:r>
          </w:p>
        </w:tc>
        <w:tc>
          <w:tcPr>
            <w:tcBorders>
              <w:top w:val="single" w:sz="4"/>
              <w:left w:val="single" w:sz="4"/>
              <w:bottom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FF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619" w:right="0" w:firstLine="0"/>
        <w:jc w:val="left"/>
        <w:rPr>
          <w:sz w:val="20"/>
          <w:szCs w:val="20"/>
        </w:rPr>
      </w:pPr>
      <w:r>
        <w:rPr>
          <w:color w:val="000000"/>
          <w:spacing w:val="0"/>
          <w:w w:val="100"/>
          <w:position w:val="0"/>
          <w:sz w:val="20"/>
          <w:szCs w:val="20"/>
        </w:rPr>
        <w:t>公司报告期内不存在将根据《公开发行证券的公司信息披露解释性公告第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w:t>
      </w:r>
    </w:p>
    <w:p>
      <w:pPr>
        <w:pStyle w:val="Style6"/>
        <w:keepNext w:val="0"/>
        <w:keepLines w:val="0"/>
        <w:widowControl w:val="0"/>
        <w:shd w:val="clear" w:color="auto" w:fill="auto"/>
        <w:bidi w:val="0"/>
        <w:spacing w:before="0" w:after="420" w:line="240" w:lineRule="auto"/>
        <w:ind w:left="1120" w:right="0" w:firstLine="0"/>
        <w:jc w:val="left"/>
        <w:rPr>
          <w:sz w:val="20"/>
          <w:szCs w:val="20"/>
        </w:rPr>
      </w:pPr>
      <w:r>
        <w:rPr>
          <w:color w:val="000000"/>
          <w:spacing w:val="0"/>
          <w:w w:val="100"/>
          <w:position w:val="0"/>
          <w:sz w:val="20"/>
          <w:szCs w:val="20"/>
        </w:rPr>
        <w:t>常性损益》定义、列举的非经常性损益项目定义为经常性损益的项目的情形。</w:t>
      </w:r>
    </w:p>
    <w:p>
      <w:pPr>
        <w:pStyle w:val="Style26"/>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r>
        <w:rPr>
          <w:color w:val="000000"/>
          <w:spacing w:val="0"/>
          <w:w w:val="100"/>
          <w:position w:val="0"/>
        </w:rPr>
        <w:t>第三节公司业务概要</w:t>
      </w:r>
      <w:bookmarkEnd w:id="16"/>
      <w:bookmarkEnd w:id="17"/>
      <w:bookmarkEnd w:id="18"/>
    </w:p>
    <w:p>
      <w:pPr>
        <w:pStyle w:val="Style14"/>
        <w:keepNext w:val="0"/>
        <w:keepLines w:val="0"/>
        <w:widowControl w:val="0"/>
        <w:shd w:val="clear" w:color="auto" w:fill="auto"/>
        <w:bidi w:val="0"/>
        <w:spacing w:before="0" w:after="280" w:line="581" w:lineRule="exact"/>
        <w:ind w:left="1620" w:right="0" w:firstLine="0"/>
        <w:jc w:val="left"/>
      </w:pPr>
      <w:bookmarkStart w:id="19" w:name="bookmark19"/>
      <w:r>
        <w:rPr>
          <w:b/>
          <w:bCs/>
          <w:color w:val="000000"/>
          <w:spacing w:val="0"/>
          <w:w w:val="100"/>
          <w:position w:val="0"/>
          <w:sz w:val="24"/>
          <w:szCs w:val="24"/>
        </w:rPr>
        <w:t>一</w:t>
      </w:r>
      <w:bookmarkEnd w:id="19"/>
      <w:r>
        <w:rPr>
          <w:b/>
          <w:bCs/>
          <w:color w:val="000000"/>
          <w:spacing w:val="0"/>
          <w:w w:val="100"/>
          <w:position w:val="0"/>
          <w:sz w:val="24"/>
          <w:szCs w:val="24"/>
        </w:rPr>
        <w:t>、报告期内公司从事的主要业务</w:t>
      </w:r>
    </w:p>
    <w:p>
      <w:pPr>
        <w:pStyle w:val="Style14"/>
        <w:keepNext w:val="0"/>
        <w:keepLines w:val="0"/>
        <w:widowControl w:val="0"/>
        <w:shd w:val="clear" w:color="auto" w:fill="auto"/>
        <w:bidi w:val="0"/>
        <w:spacing w:before="0" w:after="0" w:line="506" w:lineRule="auto"/>
        <w:ind w:left="1620" w:right="0" w:firstLine="0"/>
        <w:jc w:val="left"/>
      </w:pPr>
      <w:bookmarkStart w:id="20" w:name="bookmark20"/>
      <w:r>
        <w:rPr>
          <w:rFonts w:ascii="Times New Roman" w:eastAsia="Times New Roman" w:hAnsi="Times New Roman" w:cs="Times New Roman"/>
          <w:b/>
          <w:bCs/>
          <w:color w:val="000000"/>
          <w:spacing w:val="0"/>
          <w:w w:val="100"/>
          <w:position w:val="0"/>
          <w:sz w:val="24"/>
          <w:szCs w:val="24"/>
        </w:rPr>
        <w:t>1</w:t>
      </w:r>
      <w:bookmarkEnd w:id="20"/>
      <w:r>
        <w:rPr>
          <w:b/>
          <w:bCs/>
          <w:color w:val="000000"/>
          <w:spacing w:val="0"/>
          <w:w w:val="100"/>
          <w:position w:val="0"/>
          <w:sz w:val="24"/>
          <w:szCs w:val="24"/>
        </w:rPr>
        <w:t>、公司从事的主要业务内容</w:t>
      </w:r>
    </w:p>
    <w:p>
      <w:pPr>
        <w:pStyle w:val="Style14"/>
        <w:keepNext w:val="0"/>
        <w:keepLines w:val="0"/>
        <w:widowControl w:val="0"/>
        <w:shd w:val="clear" w:color="auto" w:fill="auto"/>
        <w:bidi w:val="0"/>
        <w:spacing w:before="0" w:after="280" w:line="581" w:lineRule="exact"/>
        <w:ind w:left="0" w:right="0" w:firstLine="0"/>
        <w:jc w:val="center"/>
      </w:pPr>
      <w:r>
        <w:rPr>
          <w:color w:val="000000"/>
          <w:spacing w:val="0"/>
          <w:w w:val="100"/>
          <w:position w:val="0"/>
          <w:sz w:val="24"/>
          <w:szCs w:val="24"/>
        </w:rPr>
        <w:t>2016</w:t>
      </w:r>
      <w:r>
        <w:rPr>
          <w:color w:val="000000"/>
          <w:spacing w:val="0"/>
          <w:w w:val="100"/>
          <w:position w:val="0"/>
          <w:sz w:val="24"/>
          <w:szCs w:val="24"/>
        </w:rPr>
        <w:t>年是传化智联完成资产重组后的第一年，这一年公司把握机遇，加快</w:t>
        <w:br/>
        <w:t>推进全面的战略布局。一方面加快传化网智能物流的全国化布局，以打造传化网</w:t>
        <w:br/>
        <w:t>供应链服务平台为核心，依托十六年公路港经营的先发优势，继续加快公路港城</w:t>
        <w:br/>
        <w:t>市物流中心的发展与布局，将线上的陆鲸平台、易货嘀平台，与整体传化网战略</w:t>
        <w:br/>
        <w:t>相协同，由此形成传化网智能物流生态，生态内不断衍生出大量围绕制造业、物</w:t>
        <w:br/>
        <w:t>流企业、卡车司机的服务场景、业务场景以及金融场景。另一方面资产重组后，</w:t>
        <w:br/>
        <w:t>公司推进组织重组，首先将“传化股份”更名为“传化智联”，公司以打造传化</w:t>
        <w:br/>
        <w:t>网智能物流作为传化智联的首要发展目标，与此同时传化化工业务作为传化智联</w:t>
      </w:r>
      <w:r>
        <w:br w:type="page"/>
      </w:r>
    </w:p>
    <w:p>
      <w:pPr>
        <w:pStyle w:val="Style14"/>
        <w:keepNext w:val="0"/>
        <w:keepLines w:val="0"/>
        <w:widowControl w:val="0"/>
        <w:shd w:val="clear" w:color="auto" w:fill="auto"/>
        <w:bidi w:val="0"/>
        <w:spacing w:before="0" w:after="300" w:line="240" w:lineRule="auto"/>
        <w:ind w:left="1140" w:right="0" w:firstLine="0"/>
        <w:jc w:val="left"/>
      </w:pPr>
      <w:r>
        <w:rPr>
          <w:color w:val="000000"/>
          <w:spacing w:val="0"/>
          <w:w w:val="100"/>
          <w:position w:val="0"/>
          <w:sz w:val="24"/>
          <w:szCs w:val="24"/>
        </w:rPr>
        <w:t>持续发展的业务板块，持续聚焦“成为功能化学品领域的全球顶尖专家”的战略</w:t>
      </w:r>
    </w:p>
    <w:p>
      <w:pPr>
        <w:pStyle w:val="Style14"/>
        <w:keepNext w:val="0"/>
        <w:keepLines w:val="0"/>
        <w:widowControl w:val="0"/>
        <w:shd w:val="clear" w:color="auto" w:fill="auto"/>
        <w:bidi w:val="0"/>
        <w:spacing w:before="0" w:after="0" w:line="240" w:lineRule="auto"/>
        <w:ind w:left="1140" w:right="0" w:firstLine="0"/>
        <w:jc w:val="left"/>
        <w:sectPr>
          <w:footnotePr>
            <w:pos w:val="pageBottom"/>
            <w:numFmt w:val="decimal"/>
            <w:numRestart w:val="continuous"/>
          </w:footnotePr>
          <w:pgSz w:w="11900" w:h="16840"/>
          <w:pgMar w:top="1441" w:right="534" w:bottom="1446" w:left="653" w:header="0" w:footer="3" w:gutter="0"/>
          <w:cols w:space="720"/>
          <w:noEndnote/>
          <w:rtlGutter w:val="0"/>
          <w:docGrid w:linePitch="360"/>
        </w:sectPr>
      </w:pPr>
      <w:r>
        <w:rPr>
          <w:color w:val="000000"/>
          <w:spacing w:val="0"/>
          <w:w w:val="100"/>
          <w:position w:val="0"/>
          <w:sz w:val="24"/>
          <w:szCs w:val="24"/>
        </w:rPr>
        <w:t xml:space="preserve">目标，由此，形成传化网智能物流与化工业务协同发展的格局。配合以上战略行 </w:t>
      </w:r>
      <w:r>
        <w:rPr>
          <w:color w:val="000000"/>
          <w:spacing w:val="0"/>
          <w:w w:val="100"/>
          <w:position w:val="0"/>
          <w:sz w:val="24"/>
          <w:szCs w:val="24"/>
        </w:rPr>
        <w:t>动与业务举措，公司形成了新的组织架构:</w:t>
      </w: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960" w:left="0" w:header="0" w:footer="3" w:gutter="0"/>
          <w:cols w:space="720"/>
          <w:noEndnote/>
          <w:rtlGutter w:val="0"/>
          <w:docGrid w:linePitch="360"/>
        </w:sectPr>
      </w:pPr>
    </w:p>
    <w:p>
      <w:pPr>
        <w:pStyle w:val="Style38"/>
        <w:keepNext w:val="0"/>
        <w:keepLines w:val="0"/>
        <w:framePr w:w="168" w:h="158" w:wrap="none" w:vAnchor="text" w:hAnchor="page" w:x="5857" w:y="1701"/>
        <w:widowControl w:val="0"/>
        <w:shd w:val="clear" w:color="auto" w:fill="auto"/>
        <w:bidi w:val="0"/>
        <w:spacing w:before="0" w:after="0"/>
        <w:ind w:left="0" w:right="0" w:firstLine="0"/>
        <w:jc w:val="left"/>
      </w:pPr>
      <w:r>
        <w:rPr>
          <w:spacing w:val="0"/>
          <w:w w:val="100"/>
          <w:position w:val="0"/>
        </w:rPr>
        <w:t>投</w:t>
      </w:r>
    </w:p>
    <w:p>
      <w:pPr>
        <w:pStyle w:val="Style40"/>
        <w:keepNext w:val="0"/>
        <w:keepLines w:val="0"/>
        <w:framePr w:w="168" w:h="715" w:hRule="exact" w:wrap="none" w:vAnchor="text" w:hAnchor="page" w:x="9390" w:y="1777"/>
        <w:widowControl w:val="0"/>
        <w:shd w:val="clear" w:color="auto" w:fill="auto"/>
        <w:bidi w:val="0"/>
        <w:spacing w:before="0" w:after="0" w:line="240" w:lineRule="auto"/>
        <w:ind w:left="0" w:right="0" w:firstLine="0"/>
        <w:jc w:val="left"/>
        <w:textDirection w:val="tbRlV"/>
      </w:pPr>
      <w:r>
        <w:rPr>
          <w:spacing w:val="0"/>
          <w:w w:val="100"/>
          <w:position w:val="0"/>
        </w:rPr>
        <w:t>窜计签塞都</w:t>
      </w:r>
    </w:p>
    <w:p>
      <w:pPr>
        <w:pStyle w:val="Style42"/>
        <w:keepNext w:val="0"/>
        <w:keepLines w:val="0"/>
        <w:framePr w:w="226" w:h="715" w:hRule="exact" w:wrap="none" w:vAnchor="text" w:hAnchor="page" w:x="7359" w:y="1777"/>
        <w:widowControl w:val="0"/>
        <w:shd w:val="clear" w:color="auto" w:fill="auto"/>
        <w:bidi w:val="0"/>
        <w:spacing w:before="0" w:after="0" w:line="240" w:lineRule="auto"/>
        <w:ind w:left="0" w:right="0" w:firstLine="0"/>
        <w:jc w:val="left"/>
        <w:textDirection w:val="tbRlV"/>
      </w:pPr>
      <w:r>
        <w:rPr>
          <w:spacing w:val="0"/>
          <w:w w:val="100"/>
          <w:position w:val="0"/>
        </w:rPr>
        <w:t>公共</w:t>
      </w:r>
      <w:r>
        <w:rPr>
          <w:rFonts w:ascii="Arial" w:eastAsia="Arial" w:hAnsi="Arial" w:cs="Arial"/>
          <w:spacing w:val="0"/>
          <w:w w:val="100"/>
          <w:position w:val="0"/>
          <w:sz w:val="10"/>
          <w:szCs w:val="10"/>
          <w:eastAsianLayout w:id="0" w:vert="on"/>
        </w:rPr>
        <w:t>♦</w:t>
      </w:r>
      <w:r>
        <w:rPr>
          <w:spacing w:val="0"/>
          <w:w w:val="100"/>
          <w:position w:val="0"/>
        </w:rPr>
        <w:t>务部</w:t>
      </w:r>
    </w:p>
    <w:p>
      <w:pPr>
        <w:widowControl w:val="0"/>
        <w:spacing w:line="360" w:lineRule="exact"/>
      </w:pPr>
      <w:r>
        <w:drawing>
          <wp:anchor distT="0" distB="311150" distL="0" distR="0" simplePos="0" relativeHeight="62914697" behindDoc="1" locked="0" layoutInCell="1" allowOverlap="1">
            <wp:simplePos x="0" y="0"/>
            <wp:positionH relativeFrom="page">
              <wp:posOffset>2148840</wp:posOffset>
            </wp:positionH>
            <wp:positionV relativeFrom="paragraph">
              <wp:posOffset>12700</wp:posOffset>
            </wp:positionV>
            <wp:extent cx="3877310" cy="85979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3877310" cy="859790"/>
                    </a:xfrm>
                    <a:prstGeom prst="rect"/>
                  </pic:spPr>
                </pic:pic>
              </a:graphicData>
            </a:graphic>
          </wp:anchor>
        </w:drawing>
      </w:r>
      <w:r>
        <w:drawing>
          <wp:anchor distT="0" distB="0" distL="0" distR="250190" simplePos="0" relativeHeight="62914698" behindDoc="1" locked="0" layoutInCell="1" allowOverlap="1">
            <wp:simplePos x="0" y="0"/>
            <wp:positionH relativeFrom="page">
              <wp:posOffset>4294505</wp:posOffset>
            </wp:positionH>
            <wp:positionV relativeFrom="paragraph">
              <wp:posOffset>1033145</wp:posOffset>
            </wp:positionV>
            <wp:extent cx="274320" cy="64008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2"/>
                    <a:stretch/>
                  </pic:blipFill>
                  <pic:spPr>
                    <a:xfrm>
                      <a:ext cx="274320" cy="640080"/>
                    </a:xfrm>
                    <a:prstGeom prst="rect"/>
                  </pic:spPr>
                </pic:pic>
              </a:graphicData>
            </a:graphic>
          </wp:anchor>
        </w:drawing>
      </w:r>
      <w:r>
        <w:drawing>
          <wp:anchor distT="0" distB="0" distL="0" distR="0" simplePos="0" relativeHeight="62914699" behindDoc="1" locked="0" layoutInCell="1" allowOverlap="1">
            <wp:simplePos x="0" y="0"/>
            <wp:positionH relativeFrom="page">
              <wp:posOffset>4355465</wp:posOffset>
            </wp:positionH>
            <wp:positionV relativeFrom="paragraph">
              <wp:posOffset>1746250</wp:posOffset>
            </wp:positionV>
            <wp:extent cx="1920240" cy="59753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4"/>
                    <a:stretch/>
                  </pic:blipFill>
                  <pic:spPr>
                    <a:xfrm>
                      <a:ext cx="1920240" cy="597535"/>
                    </a:xfrm>
                    <a:prstGeom prst="rect"/>
                  </pic:spPr>
                </pic:pic>
              </a:graphicData>
            </a:graphic>
          </wp:anchor>
        </w:drawing>
      </w:r>
      <w:r>
        <w:drawing>
          <wp:anchor distT="0" distB="0" distL="0" distR="0" simplePos="0" relativeHeight="62914700" behindDoc="1" locked="0" layoutInCell="1" allowOverlap="1">
            <wp:simplePos x="0" y="0"/>
            <wp:positionH relativeFrom="page">
              <wp:posOffset>1261745</wp:posOffset>
            </wp:positionH>
            <wp:positionV relativeFrom="paragraph">
              <wp:posOffset>880745</wp:posOffset>
            </wp:positionV>
            <wp:extent cx="2249170" cy="148717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6"/>
                    <a:stretch/>
                  </pic:blipFill>
                  <pic:spPr>
                    <a:xfrm>
                      <a:ext cx="2249170" cy="14871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152" w:right="534" w:bottom="960" w:left="653" w:header="0" w:footer="3" w:gutter="0"/>
          <w:cols w:space="720"/>
          <w:noEndnote/>
          <w:rtlGutter w:val="0"/>
          <w:docGrid w:linePitch="360"/>
        </w:sectPr>
      </w:pP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2" w:right="0" w:bottom="1446" w:left="0" w:header="0" w:footer="3" w:gutter="0"/>
          <w:cols w:space="720"/>
          <w:noEndnote/>
          <w:rtlGutter w:val="0"/>
          <w:docGrid w:linePitch="360"/>
        </w:sectPr>
      </w:pPr>
    </w:p>
    <w:p>
      <w:pPr>
        <w:pStyle w:val="Style14"/>
        <w:keepNext w:val="0"/>
        <w:keepLines w:val="0"/>
        <w:widowControl w:val="0"/>
        <w:shd w:val="clear" w:color="auto" w:fill="auto"/>
        <w:bidi w:val="0"/>
        <w:spacing w:before="0" w:after="0" w:line="580" w:lineRule="exact"/>
        <w:ind w:left="0" w:right="0" w:firstLine="480"/>
        <w:jc w:val="both"/>
      </w:pPr>
      <w:r>
        <w:rPr>
          <w:color w:val="000000"/>
          <w:spacing w:val="0"/>
          <w:w w:val="100"/>
          <w:position w:val="0"/>
          <w:sz w:val="24"/>
          <w:szCs w:val="24"/>
        </w:rPr>
        <w:t>报告期内，传化网智能物流业务（以下简称“传化网”）和化工业务发展情 况如下：</w:t>
      </w:r>
    </w:p>
    <w:p>
      <w:pPr>
        <w:pStyle w:val="Style14"/>
        <w:keepNext w:val="0"/>
        <w:keepLines w:val="0"/>
        <w:widowControl w:val="0"/>
        <w:shd w:val="clear" w:color="auto" w:fill="auto"/>
        <w:bidi w:val="0"/>
        <w:spacing w:before="0" w:after="0" w:line="580" w:lineRule="exact"/>
        <w:ind w:left="0" w:right="0" w:firstLine="48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80" w:lineRule="exact"/>
        <w:ind w:left="0" w:right="0" w:firstLine="480"/>
        <w:jc w:val="both"/>
      </w:pPr>
      <w:r>
        <w:rPr>
          <w:b/>
          <w:bCs/>
          <w:color w:val="000000"/>
          <w:spacing w:val="0"/>
          <w:w w:val="100"/>
          <w:position w:val="0"/>
          <w:sz w:val="24"/>
          <w:szCs w:val="24"/>
        </w:rPr>
        <w:t>传化网致力于打造供应链服务平台，服务“长尾”市场，提升供应链效率。 区别于服务消费端短链的电商平台，传化网是服务于生产端、贯穿整个供应链长 链的基础服务平台。</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年是传化网智能物流业务重组上市后的第一年，基于 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、一带一路等国家战略，公司积极响应国家大交通、大物流的发 展要求，从过去公路港模式中全面超越和升级，进行全国化的系统布局和谋划， 快速推进战略升级，全面部署和推进传化网智能物流战略行动。</w:t>
      </w:r>
    </w:p>
    <w:p>
      <w:pPr>
        <w:pStyle w:val="Style14"/>
        <w:keepNext w:val="0"/>
        <w:keepLines w:val="0"/>
        <w:widowControl w:val="0"/>
        <w:shd w:val="clear" w:color="auto" w:fill="auto"/>
        <w:bidi w:val="0"/>
        <w:spacing w:before="0" w:after="0" w:line="580" w:lineRule="exact"/>
        <w:ind w:left="0" w:right="0" w:firstLine="480"/>
        <w:jc w:val="both"/>
      </w:pPr>
      <w:r>
        <w:rPr>
          <w:color w:val="000000"/>
          <w:spacing w:val="0"/>
          <w:w w:val="100"/>
          <w:position w:val="0"/>
          <w:sz w:val="24"/>
          <w:szCs w:val="24"/>
        </w:rPr>
        <w:t xml:space="preserve">传化网内涵：以智能信息系统与支付系统为核心，依托公路港城市物流中心, 融合互联网物流业务与金融业务,为城市、城市群以及行业提供供应链平台服务, 打通供应链各环节，实现供应链端到端一单到底的业务场景，形成供应链闭环生 </w:t>
      </w:r>
      <w:r>
        <w:rPr>
          <w:color w:val="000000"/>
          <w:spacing w:val="0"/>
          <w:w w:val="100"/>
          <w:position w:val="0"/>
          <w:sz w:val="24"/>
          <w:szCs w:val="24"/>
        </w:rPr>
        <w:t>态圈。传化网基于人工智能深度学习和大数据计算的能力，通过物联网、车联网 以及各类智能硬件载体，围绕物流应用场景，为供应链上的各主体、为城市、为 行业提供智能物流服务。同时在传化网生态内，将不断衍生出大量围绕制造业、 物流企业、卡车司机的服务场景、业务场景以及金融场景，势必吸引各类资源要 素，包括：金融要素、资源要素、科技信息要素、人才要素等汇聚到生产端，这 些要素资源在传化网内形成了系统的生产服务体系。由此，传化网的智能物流服 务以及生态内形成的系统性生产服务体系，将共同服务于企业的智能制造，帮助 企业提升竞争力，进而助力中国制造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战略。</w:t>
      </w:r>
    </w:p>
    <w:p>
      <w:pPr>
        <w:pStyle w:val="Style14"/>
        <w:keepNext w:val="0"/>
        <w:keepLines w:val="0"/>
        <w:widowControl w:val="0"/>
        <w:shd w:val="clear" w:color="auto" w:fill="auto"/>
        <w:bidi w:val="0"/>
        <w:spacing w:before="0" w:after="0" w:line="579" w:lineRule="exact"/>
        <w:ind w:left="0" w:right="0" w:firstLine="500"/>
        <w:jc w:val="both"/>
      </w:pPr>
      <w:r>
        <w:rPr>
          <w:color w:val="000000"/>
          <w:spacing w:val="0"/>
          <w:w w:val="100"/>
          <w:position w:val="0"/>
          <w:sz w:val="24"/>
          <w:szCs w:val="24"/>
        </w:rPr>
        <w:t>在“传化网”战略下，依托公司十六年的经营积累及优势，对现有业务策略 进行全面调整。一是全面布局以智能信息系统和支付系统为依托的传化网智能系 统，实现了从</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的突破；二是升级公路港城市物流中心业务，全面转向流量 运营；三是在传化网大战略下，进一步将陆鲸、易货嘀两大互联网业务与公路港 城市物流中心业务融合，其中重新定位陆鲸业务，从原先单一的车货匹配平台调 整为服务于传化网城际干线运力的线上调度指挥平台，易货嘀业务发挥自身的优 势，借助公路港平台，快速扩张城市配送业务。由此，公司从“</w:t>
      </w:r>
      <w:r>
        <w:rPr>
          <w:rFonts w:ascii="Times New Roman" w:eastAsia="Times New Roman" w:hAnsi="Times New Roman" w:cs="Times New Roman"/>
          <w:color w:val="000000"/>
          <w:spacing w:val="0"/>
          <w:w w:val="100"/>
          <w:position w:val="0"/>
          <w:sz w:val="24"/>
          <w:szCs w:val="24"/>
        </w:rPr>
        <w:t>323</w:t>
      </w:r>
      <w:r>
        <w:rPr>
          <w:color w:val="000000"/>
          <w:spacing w:val="0"/>
          <w:w w:val="100"/>
          <w:position w:val="0"/>
          <w:sz w:val="24"/>
          <w:szCs w:val="24"/>
        </w:rPr>
        <w:t>”业务架构 下的单一产品发展策略，升级为传化网战略下的多产品融合发展策略，公路港城 市物流中心与互联网物流，以及智能信息系统之间形成了相互促进、相互发展的 关系。报告期内，具体业务内容如下：</w:t>
      </w:r>
    </w:p>
    <w:p>
      <w:pPr>
        <w:pStyle w:val="Style14"/>
        <w:keepNext w:val="0"/>
        <w:keepLines w:val="0"/>
        <w:widowControl w:val="0"/>
        <w:shd w:val="clear" w:color="auto" w:fill="auto"/>
        <w:bidi w:val="0"/>
        <w:spacing w:before="0" w:after="0" w:line="579" w:lineRule="exact"/>
        <w:ind w:left="0" w:right="0" w:firstLine="500"/>
        <w:jc w:val="both"/>
      </w:pPr>
      <w:r>
        <w:rPr>
          <w:b/>
          <w:bCs/>
          <w:color w:val="000000"/>
          <w:spacing w:val="0"/>
          <w:w w:val="100"/>
          <w:position w:val="0"/>
          <w:sz w:val="24"/>
          <w:szCs w:val="24"/>
        </w:rPr>
        <w:t>智能信息系统与支付系统，这是传化网的核心。</w:t>
      </w:r>
      <w:r>
        <w:rPr>
          <w:color w:val="000000"/>
          <w:spacing w:val="0"/>
          <w:w w:val="100"/>
          <w:position w:val="0"/>
          <w:sz w:val="24"/>
          <w:szCs w:val="24"/>
        </w:rPr>
        <w:t>通过建设基于互联网</w:t>
      </w:r>
      <w:r>
        <w:rPr>
          <w:rFonts w:ascii="Times New Roman" w:eastAsia="Times New Roman" w:hAnsi="Times New Roman" w:cs="Times New Roman"/>
          <w:color w:val="000000"/>
          <w:spacing w:val="0"/>
          <w:w w:val="100"/>
          <w:position w:val="0"/>
          <w:sz w:val="24"/>
          <w:szCs w:val="24"/>
        </w:rPr>
        <w:t xml:space="preserve">SaaS </w:t>
      </w:r>
      <w:r>
        <w:rPr>
          <w:color w:val="000000"/>
          <w:spacing w:val="0"/>
          <w:w w:val="100"/>
          <w:position w:val="0"/>
          <w:sz w:val="24"/>
          <w:szCs w:val="24"/>
        </w:rPr>
        <w:t>架构的智能信息系统，并利用互联网开放平台，连接供应链上下游，形成社会供 应链端到端一单到底的业务协同平台。同时与支付系统打通，形成交易闭环，实 现行业供应链、区域供应链数据的沉淀。</w:t>
      </w:r>
    </w:p>
    <w:p>
      <w:pPr>
        <w:pStyle w:val="Style14"/>
        <w:keepNext w:val="0"/>
        <w:keepLines w:val="0"/>
        <w:widowControl w:val="0"/>
        <w:shd w:val="clear" w:color="auto" w:fill="auto"/>
        <w:bidi w:val="0"/>
        <w:spacing w:before="0" w:after="0" w:line="579" w:lineRule="exact"/>
        <w:ind w:left="0" w:right="0" w:firstLine="500"/>
        <w:jc w:val="both"/>
      </w:pPr>
      <w:r>
        <w:rPr>
          <w:b/>
          <w:bCs/>
          <w:color w:val="000000"/>
          <w:spacing w:val="0"/>
          <w:w w:val="100"/>
          <w:position w:val="0"/>
          <w:sz w:val="24"/>
          <w:szCs w:val="24"/>
        </w:rPr>
        <w:t>互联网物流业务，</w:t>
      </w:r>
      <w:r>
        <w:rPr>
          <w:color w:val="000000"/>
          <w:spacing w:val="0"/>
          <w:w w:val="100"/>
          <w:position w:val="0"/>
          <w:sz w:val="24"/>
          <w:szCs w:val="24"/>
        </w:rPr>
        <w:t xml:space="preserve">陆鲸平台调整后成为服务于传化网城际快运的线上调度平 台，通过对城际干线卡车的调度形成港与港、城与城的全国互联互通的城际快线， </w:t>
      </w:r>
      <w:r>
        <w:rPr>
          <w:color w:val="000000"/>
          <w:spacing w:val="0"/>
          <w:w w:val="100"/>
          <w:position w:val="0"/>
          <w:sz w:val="24"/>
          <w:szCs w:val="24"/>
        </w:rPr>
        <w:t>通过陆鲸系统进行线上线下一体化指挥。易货嘀是依托于传化公路港，服务全城 市的同城货运线上调度平台。在传化网智能信息系统的整体构架连接下，城际干 线</w:t>
      </w:r>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平台陆鲸与城配</w:t>
      </w:r>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平台易货嘀，实现与公路港城市物流中心的串联衔 接，共同打造传化网下一单到底供应链服务，实现线上线下资源的端口引流与聚 合。</w:t>
      </w:r>
    </w:p>
    <w:p>
      <w:pPr>
        <w:pStyle w:val="Style14"/>
        <w:keepNext w:val="0"/>
        <w:keepLines w:val="0"/>
        <w:widowControl w:val="0"/>
        <w:shd w:val="clear" w:color="auto" w:fill="auto"/>
        <w:bidi w:val="0"/>
        <w:spacing w:before="0" w:after="0" w:line="582" w:lineRule="exact"/>
        <w:ind w:left="0" w:right="0" w:firstLine="500"/>
        <w:jc w:val="both"/>
      </w:pPr>
      <w:r>
        <w:rPr>
          <w:b/>
          <w:bCs/>
          <w:color w:val="000000"/>
          <w:spacing w:val="0"/>
          <w:w w:val="100"/>
          <w:position w:val="0"/>
          <w:sz w:val="24"/>
          <w:szCs w:val="24"/>
        </w:rPr>
        <w:t>公路港城市物流中心业务，</w:t>
      </w:r>
      <w:r>
        <w:rPr>
          <w:color w:val="000000"/>
          <w:spacing w:val="0"/>
          <w:w w:val="100"/>
          <w:position w:val="0"/>
          <w:sz w:val="24"/>
          <w:szCs w:val="24"/>
        </w:rPr>
        <w:t>一方面依托公路港城市物流中心，结合所在城市 的经济结构特点及产业布局情况，打造基于供应链服务，集“物流、信息、金融” 一体化发展的行业与区域供应链服务体系，为工商制造企业提供一体化供应链服 务，为互联网物流及传化网智能信息系统提供在每个城市的线下端口和互联网业 务融合的载体。另一方面在全国，尤其是沿海以及重要经济发展区域，采取“自 建、合作、加盟”等多种形式，加快推进传化网基础设施底座建设，并通过供应 链服务实现业务网络的互联互通。</w:t>
      </w:r>
    </w:p>
    <w:p>
      <w:pPr>
        <w:pStyle w:val="Style14"/>
        <w:keepNext w:val="0"/>
        <w:keepLines w:val="0"/>
        <w:widowControl w:val="0"/>
        <w:shd w:val="clear" w:color="auto" w:fill="auto"/>
        <w:bidi w:val="0"/>
        <w:spacing w:before="0" w:after="0" w:line="582" w:lineRule="exact"/>
        <w:ind w:left="0" w:right="0" w:firstLine="500"/>
        <w:jc w:val="both"/>
      </w:pPr>
      <w:r>
        <w:rPr>
          <w:b/>
          <w:bCs/>
          <w:color w:val="000000"/>
          <w:spacing w:val="0"/>
          <w:w w:val="100"/>
          <w:position w:val="0"/>
          <w:sz w:val="24"/>
          <w:szCs w:val="24"/>
        </w:rPr>
        <w:t>金融及创新增值服务，</w:t>
      </w:r>
      <w:r>
        <w:rPr>
          <w:color w:val="000000"/>
          <w:spacing w:val="0"/>
          <w:w w:val="100"/>
          <w:position w:val="0"/>
          <w:sz w:val="24"/>
          <w:szCs w:val="24"/>
        </w:rPr>
        <w:t>一方面作为平台粘合剂，为供应链中各主体提供金融 服务，增强传化网黏性；另一方面基于传化网实现的一单到底业务场景与大数据， 挖掘、衍生出更多的金融及增值服务场景，进而带来更多的业务创新，丰富生态 圈，提升传化网的综合价值。</w:t>
      </w:r>
    </w:p>
    <w:p>
      <w:pPr>
        <w:pStyle w:val="Style14"/>
        <w:keepNext w:val="0"/>
        <w:keepLines w:val="0"/>
        <w:widowControl w:val="0"/>
        <w:shd w:val="clear" w:color="auto" w:fill="auto"/>
        <w:bidi w:val="0"/>
        <w:spacing w:before="0" w:after="0" w:line="582" w:lineRule="exact"/>
        <w:ind w:left="0" w:right="0" w:firstLine="50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bidi w:val="0"/>
        <w:spacing w:before="0" w:after="0" w:line="582" w:lineRule="exact"/>
        <w:ind w:left="0" w:right="0" w:firstLine="500"/>
        <w:jc w:val="both"/>
      </w:pPr>
      <w:r>
        <w:rPr>
          <w:color w:val="000000"/>
          <w:spacing w:val="0"/>
          <w:w w:val="100"/>
          <w:position w:val="0"/>
          <w:sz w:val="24"/>
          <w:szCs w:val="24"/>
        </w:rPr>
        <w:t>公司化工业务旗下主要有纺织印染助剂、化纤油剂、聚酯树脂、涂料、合成 橡胶等产品系列，上述产品主要产品及用途如下：</w:t>
      </w:r>
    </w:p>
    <w:p>
      <w:pPr>
        <w:pStyle w:val="Style14"/>
        <w:keepNext w:val="0"/>
        <w:keepLines w:val="0"/>
        <w:widowControl w:val="0"/>
        <w:shd w:val="clear" w:color="auto" w:fill="auto"/>
        <w:bidi w:val="0"/>
        <w:spacing w:before="0" w:after="0" w:line="582" w:lineRule="exact"/>
        <w:ind w:left="0" w:right="0" w:firstLine="500"/>
        <w:jc w:val="both"/>
      </w:pPr>
      <w:r>
        <w:rPr>
          <w:color w:val="000000"/>
          <w:spacing w:val="0"/>
          <w:w w:val="100"/>
          <w:position w:val="0"/>
          <w:sz w:val="24"/>
          <w:szCs w:val="24"/>
        </w:rPr>
        <w:t>纺织印染助剂属精细化学工业，产品主要用于纺织印染厂，作为纺织印染的 专用助剂，可改善纺织印染品质，提高纺织品附加值，有纺织工业的味精之称。 目前，公司纺织印染助剂产品将近几百种覆盖下游企业前处理、染色、后整理三 大工序。</w:t>
      </w:r>
    </w:p>
    <w:p>
      <w:pPr>
        <w:pStyle w:val="Style14"/>
        <w:keepNext w:val="0"/>
        <w:keepLines w:val="0"/>
        <w:widowControl w:val="0"/>
        <w:shd w:val="clear" w:color="auto" w:fill="auto"/>
        <w:bidi w:val="0"/>
        <w:spacing w:before="0" w:after="0" w:line="582" w:lineRule="exact"/>
        <w:ind w:left="0" w:right="0" w:firstLine="500"/>
        <w:jc w:val="both"/>
      </w:pPr>
      <w:r>
        <w:rPr>
          <w:color w:val="000000"/>
          <w:spacing w:val="0"/>
          <w:w w:val="100"/>
          <w:position w:val="0"/>
          <w:sz w:val="24"/>
          <w:szCs w:val="24"/>
        </w:rPr>
        <w:t xml:space="preserve">化纤油剂用于化纤生产加工中调节纤维的摩擦特性，防止或消除静电积累， </w:t>
      </w:r>
      <w:r>
        <w:rPr>
          <w:color w:val="000000"/>
          <w:spacing w:val="0"/>
          <w:w w:val="100"/>
          <w:position w:val="0"/>
          <w:sz w:val="24"/>
          <w:szCs w:val="24"/>
        </w:rPr>
        <w:t>赋予纤维平滑、柔软等特性，提高纤维抱合力、保护纤维强度、减少断头率使化 纤顺利通过纺丝、拉伸、纺纱、织造等工序。公司目前所生产的化纤油剂为</w:t>
      </w:r>
      <w:r>
        <w:rPr>
          <w:rFonts w:ascii="Times New Roman" w:eastAsia="Times New Roman" w:hAnsi="Times New Roman" w:cs="Times New Roman"/>
          <w:color w:val="000000"/>
          <w:spacing w:val="0"/>
          <w:w w:val="100"/>
          <w:position w:val="0"/>
          <w:sz w:val="24"/>
          <w:szCs w:val="24"/>
        </w:rPr>
        <w:t xml:space="preserve">DTY </w:t>
      </w:r>
      <w:r>
        <w:rPr>
          <w:color w:val="000000"/>
          <w:spacing w:val="0"/>
          <w:w w:val="100"/>
          <w:position w:val="0"/>
          <w:sz w:val="24"/>
          <w:szCs w:val="24"/>
        </w:rPr>
        <w:t>后纺油剂、</w:t>
      </w:r>
      <w:r>
        <w:rPr>
          <w:rFonts w:ascii="Times New Roman" w:eastAsia="Times New Roman" w:hAnsi="Times New Roman" w:cs="Times New Roman"/>
          <w:color w:val="000000"/>
          <w:spacing w:val="0"/>
          <w:w w:val="100"/>
          <w:position w:val="0"/>
          <w:sz w:val="24"/>
          <w:szCs w:val="24"/>
        </w:rPr>
        <w:t>FDY</w:t>
      </w:r>
      <w:r>
        <w:rPr>
          <w:color w:val="000000"/>
          <w:spacing w:val="0"/>
          <w:w w:val="100"/>
          <w:position w:val="0"/>
          <w:sz w:val="24"/>
          <w:szCs w:val="24"/>
        </w:rPr>
        <w:t>前纺油剂及短纤油剂。</w:t>
      </w:r>
    </w:p>
    <w:p>
      <w:pPr>
        <w:pStyle w:val="Style14"/>
        <w:keepNext w:val="0"/>
        <w:keepLines w:val="0"/>
        <w:widowControl w:val="0"/>
        <w:shd w:val="clear" w:color="auto" w:fill="auto"/>
        <w:bidi w:val="0"/>
        <w:spacing w:before="0" w:after="0" w:line="580" w:lineRule="exact"/>
        <w:ind w:left="0" w:right="0" w:firstLine="500"/>
        <w:jc w:val="left"/>
      </w:pPr>
      <w:r>
        <w:rPr>
          <w:color w:val="000000"/>
          <w:spacing w:val="0"/>
          <w:w w:val="100"/>
          <w:position w:val="0"/>
          <w:sz w:val="24"/>
          <w:szCs w:val="24"/>
        </w:rPr>
        <w:t>公司聚酯树脂业务旗下主要有聚酯环氧系列、纯聚酯系列、特殊型聚酯品种、 卷材系列树脂，聚酯树脂作为粉末涂料用的主要关键原材料，随着涂装技术的进 步，粉末涂料在家电、建材、户外设施、管道工业方面的应用日益成熟、同时， 汽车、热敏材料、金属家具、仪器仪表等行业的发展，也增加了粉末聚酯树脂的 需求。</w:t>
      </w:r>
    </w:p>
    <w:p>
      <w:pPr>
        <w:pStyle w:val="Style14"/>
        <w:keepNext w:val="0"/>
        <w:keepLines w:val="0"/>
        <w:widowControl w:val="0"/>
        <w:shd w:val="clear" w:color="auto" w:fill="auto"/>
        <w:bidi w:val="0"/>
        <w:spacing w:before="0" w:after="0" w:line="580" w:lineRule="exact"/>
        <w:ind w:left="0" w:right="0" w:firstLine="500"/>
        <w:jc w:val="left"/>
      </w:pPr>
      <w:r>
        <w:rPr>
          <w:color w:val="000000"/>
          <w:spacing w:val="0"/>
          <w:w w:val="100"/>
          <w:position w:val="0"/>
          <w:sz w:val="24"/>
          <w:szCs w:val="24"/>
        </w:rPr>
        <w:t>公司旗下的涂料产品用于涂装物体，使物体表面而能形成涂膜，从而起到保 护、装饰、标志及其他特殊作用（如电绝缘、防污、减阻、隔热、耐辐射、导电、 导磁等）。目前公司形成建筑外墙漆、内墙乳胶漆、木器漆、工业防腐漆、卷材 涂料等系列产品。</w:t>
      </w:r>
    </w:p>
    <w:p>
      <w:pPr>
        <w:pStyle w:val="Style14"/>
        <w:keepNext w:val="0"/>
        <w:keepLines w:val="0"/>
        <w:widowControl w:val="0"/>
        <w:shd w:val="clear" w:color="auto" w:fill="auto"/>
        <w:bidi w:val="0"/>
        <w:spacing w:before="0" w:after="0" w:line="580" w:lineRule="exact"/>
        <w:ind w:left="0" w:right="0" w:firstLine="500"/>
        <w:jc w:val="left"/>
      </w:pPr>
      <w:r>
        <w:rPr>
          <w:color w:val="000000"/>
          <w:spacing w:val="0"/>
          <w:w w:val="100"/>
          <w:position w:val="0"/>
          <w:sz w:val="24"/>
          <w:szCs w:val="24"/>
        </w:rPr>
        <w:t>公司目前生产合成橡胶中的顺丁橡胶产品，该产品主要用于轮胎行业，用以 制造胎面、胎侧，还可以制造其它耐磨制品，如力车胎、浇灌、胶板、运输带、 鞋类。</w:t>
      </w:r>
    </w:p>
    <w:p>
      <w:pPr>
        <w:pStyle w:val="Style14"/>
        <w:keepNext w:val="0"/>
        <w:keepLines w:val="0"/>
        <w:widowControl w:val="0"/>
        <w:shd w:val="clear" w:color="auto" w:fill="auto"/>
        <w:bidi w:val="0"/>
        <w:spacing w:before="0" w:after="280" w:line="580" w:lineRule="exact"/>
        <w:ind w:left="0" w:right="0" w:firstLine="500"/>
        <w:jc w:val="left"/>
      </w:pPr>
      <w:r>
        <w:rPr>
          <w:color w:val="000000"/>
          <w:spacing w:val="0"/>
          <w:w w:val="100"/>
          <w:position w:val="0"/>
          <w:sz w:val="24"/>
          <w:szCs w:val="24"/>
        </w:rPr>
        <w:t>目前，公司化工业务采取以销定产，产品直销的经营模式，通过与客户的零 距离接触能够更好的了解掌握市场动态，减少中间交易环节，增强客户粘合度， 提高公司毛利率，从而进一步增强公司化工产品的竞争力。</w:t>
      </w:r>
    </w:p>
    <w:p>
      <w:pPr>
        <w:pStyle w:val="Style14"/>
        <w:keepNext w:val="0"/>
        <w:keepLines w:val="0"/>
        <w:widowControl w:val="0"/>
        <w:shd w:val="clear" w:color="auto" w:fill="auto"/>
        <w:bidi w:val="0"/>
        <w:spacing w:before="0" w:after="0" w:line="504" w:lineRule="auto"/>
        <w:ind w:left="0" w:right="0" w:firstLine="500"/>
        <w:jc w:val="left"/>
      </w:pPr>
      <w:bookmarkStart w:id="21" w:name="bookmark21"/>
      <w:r>
        <w:rPr>
          <w:rFonts w:ascii="Times New Roman" w:eastAsia="Times New Roman" w:hAnsi="Times New Roman" w:cs="Times New Roman"/>
          <w:b/>
          <w:bCs/>
          <w:color w:val="000000"/>
          <w:spacing w:val="0"/>
          <w:w w:val="100"/>
          <w:position w:val="0"/>
          <w:sz w:val="24"/>
          <w:szCs w:val="24"/>
        </w:rPr>
        <w:t>2</w:t>
      </w:r>
      <w:bookmarkEnd w:id="21"/>
      <w:r>
        <w:rPr>
          <w:b/>
          <w:bCs/>
          <w:color w:val="000000"/>
          <w:spacing w:val="0"/>
          <w:w w:val="100"/>
          <w:position w:val="0"/>
          <w:sz w:val="24"/>
          <w:szCs w:val="24"/>
        </w:rPr>
        <w:t>、公司所属行业的发展阶段、周期性特点以及公司所处的行业地位</w:t>
      </w:r>
    </w:p>
    <w:p>
      <w:pPr>
        <w:pStyle w:val="Style14"/>
        <w:keepNext w:val="0"/>
        <w:keepLines w:val="0"/>
        <w:widowControl w:val="0"/>
        <w:shd w:val="clear" w:color="auto" w:fill="auto"/>
        <w:bidi w:val="0"/>
        <w:spacing w:before="0" w:after="0" w:line="580" w:lineRule="exact"/>
        <w:ind w:left="0" w:right="0" w:firstLine="50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80" w:lineRule="exact"/>
        <w:ind w:left="0" w:right="0" w:firstLine="500"/>
        <w:jc w:val="both"/>
      </w:pPr>
      <w:bookmarkStart w:id="22" w:name="bookmark22"/>
      <w:r>
        <w:rPr>
          <w:color w:val="000000"/>
          <w:spacing w:val="0"/>
          <w:w w:val="100"/>
          <w:position w:val="0"/>
          <w:sz w:val="24"/>
          <w:szCs w:val="24"/>
        </w:rPr>
        <w:t>（</w:t>
      </w:r>
      <w:bookmarkEnd w:id="2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）行业的发展阶段与周期性特点</w:t>
      </w:r>
    </w:p>
    <w:p>
      <w:pPr>
        <w:pStyle w:val="Style14"/>
        <w:keepNext w:val="0"/>
        <w:keepLines w:val="0"/>
        <w:widowControl w:val="0"/>
        <w:shd w:val="clear" w:color="auto" w:fill="auto"/>
        <w:bidi w:val="0"/>
        <w:spacing w:before="0" w:after="140" w:line="580" w:lineRule="exact"/>
        <w:ind w:left="0" w:right="0" w:firstLine="500"/>
        <w:jc w:val="left"/>
        <w:sectPr>
          <w:footnotePr>
            <w:pos w:val="pageBottom"/>
            <w:numFmt w:val="decimal"/>
            <w:numRestart w:val="continuous"/>
          </w:footnotePr>
          <w:type w:val="continuous"/>
          <w:pgSz w:w="11900" w:h="16840"/>
          <w:pgMar w:top="1292" w:right="1654" w:bottom="1446" w:left="1774" w:header="0" w:footer="3" w:gutter="0"/>
          <w:cols w:space="720"/>
          <w:noEndnote/>
          <w:rtlGutter w:val="0"/>
          <w:docGrid w:linePitch="360"/>
        </w:sectPr>
      </w:pPr>
      <w:r>
        <w:rPr>
          <w:color w:val="000000"/>
          <w:spacing w:val="0"/>
          <w:w w:val="100"/>
          <w:position w:val="0"/>
          <w:sz w:val="24"/>
          <w:szCs w:val="24"/>
        </w:rPr>
        <w:t>物流作为生产性服务业的重要组成部分，连接生产与消费，是国家重点支持 的战略性产业，行业正处于规模化、集约化发展阶段。</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年，社会物流总费 用</w:t>
      </w:r>
      <w:r>
        <w:rPr>
          <w:rFonts w:ascii="Times New Roman" w:eastAsia="Times New Roman" w:hAnsi="Times New Roman" w:cs="Times New Roman"/>
          <w:color w:val="000000"/>
          <w:spacing w:val="0"/>
          <w:w w:val="100"/>
          <w:position w:val="0"/>
          <w:sz w:val="24"/>
          <w:szCs w:val="24"/>
        </w:rPr>
        <w:t>11.1</w:t>
      </w:r>
      <w:r>
        <w:rPr>
          <w:color w:val="000000"/>
          <w:spacing w:val="0"/>
          <w:w w:val="100"/>
          <w:position w:val="0"/>
          <w:sz w:val="24"/>
          <w:szCs w:val="24"/>
        </w:rPr>
        <w:t>万亿元，比上年增长</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,增速虽比上年提高</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个百分点，但明显低</w:t>
      </w:r>
    </w:p>
    <w:p>
      <w:pPr>
        <w:pStyle w:val="Style14"/>
        <w:keepNext w:val="0"/>
        <w:keepLines w:val="0"/>
        <w:widowControl w:val="0"/>
        <w:shd w:val="clear" w:color="auto" w:fill="auto"/>
        <w:bidi w:val="0"/>
        <w:spacing w:before="0" w:after="0" w:line="581" w:lineRule="exact"/>
        <w:ind w:left="0" w:right="0" w:firstLine="0"/>
        <w:jc w:val="left"/>
      </w:pPr>
      <w:r>
        <w:rPr>
          <w:color w:val="000000"/>
          <w:spacing w:val="0"/>
          <w:w w:val="100"/>
          <w:position w:val="0"/>
          <w:sz w:val="24"/>
          <w:szCs w:val="24"/>
        </w:rPr>
        <w:t>于社会物流总额、</w:t>
      </w:r>
      <w:r>
        <w:rPr>
          <w:rFonts w:ascii="Times New Roman" w:eastAsia="Times New Roman" w:hAnsi="Times New Roman" w:cs="Times New Roman"/>
          <w:color w:val="000000"/>
          <w:spacing w:val="0"/>
          <w:w w:val="100"/>
          <w:position w:val="0"/>
          <w:sz w:val="24"/>
          <w:szCs w:val="24"/>
        </w:rPr>
        <w:t>GDP</w:t>
      </w:r>
      <w:r>
        <w:rPr>
          <w:color w:val="000000"/>
          <w:spacing w:val="0"/>
          <w:w w:val="100"/>
          <w:position w:val="0"/>
          <w:sz w:val="24"/>
          <w:szCs w:val="24"/>
        </w:rPr>
        <w:t>增速，预计</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年物流行业还将保持低速增长。</w:t>
      </w:r>
    </w:p>
    <w:p>
      <w:pPr>
        <w:pStyle w:val="Style14"/>
        <w:keepNext w:val="0"/>
        <w:keepLines w:val="0"/>
        <w:widowControl w:val="0"/>
        <w:shd w:val="clear" w:color="auto" w:fill="auto"/>
        <w:bidi w:val="0"/>
        <w:spacing w:before="0" w:after="0" w:line="569" w:lineRule="exact"/>
        <w:ind w:left="0" w:right="0" w:firstLine="500"/>
        <w:jc w:val="both"/>
      </w:pPr>
      <w:r>
        <w:rPr>
          <w:color w:val="000000"/>
          <w:spacing w:val="0"/>
          <w:w w:val="100"/>
          <w:position w:val="0"/>
          <w:sz w:val="24"/>
          <w:szCs w:val="24"/>
        </w:rPr>
        <w:t>物流行业的周期性特征一般与宏观经济、企业生产安排周期相关。物流行业 为国民经济的基础产业，物流行业景气度与宏观经济发展状况相关，一定程度上 会受国内外宏观经济的周期性波动影响；同时，物流行业属于服务业，且服务对 象以第二产业为主，由于企业生产安排具有一定的季节性，其对物流服务的需求 也具有一定的季节性特征。</w:t>
      </w:r>
    </w:p>
    <w:p>
      <w:pPr>
        <w:pStyle w:val="Style14"/>
        <w:keepNext w:val="0"/>
        <w:keepLines w:val="0"/>
        <w:widowControl w:val="0"/>
        <w:shd w:val="clear" w:color="auto" w:fill="auto"/>
        <w:bidi w:val="0"/>
        <w:spacing w:before="0" w:after="0" w:line="581" w:lineRule="exact"/>
        <w:ind w:left="0" w:right="0" w:firstLine="500"/>
        <w:jc w:val="both"/>
      </w:pPr>
      <w:bookmarkStart w:id="23" w:name="bookmark23"/>
      <w:r>
        <w:rPr>
          <w:color w:val="000000"/>
          <w:spacing w:val="0"/>
          <w:w w:val="100"/>
          <w:position w:val="0"/>
          <w:sz w:val="24"/>
          <w:szCs w:val="24"/>
        </w:rPr>
        <w:t>（</w:t>
      </w:r>
      <w:bookmarkEnd w:id="2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）公司所处的行业地位</w:t>
      </w:r>
    </w:p>
    <w:p>
      <w:pPr>
        <w:pStyle w:val="Style14"/>
        <w:keepNext w:val="0"/>
        <w:keepLines w:val="0"/>
        <w:widowControl w:val="0"/>
        <w:shd w:val="clear" w:color="auto" w:fill="auto"/>
        <w:bidi w:val="0"/>
        <w:spacing w:before="0" w:after="0" w:line="581" w:lineRule="exact"/>
        <w:ind w:left="0" w:right="0" w:firstLine="500"/>
        <w:jc w:val="both"/>
      </w:pP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年，针对国内公路物流现状和症结，公司首创“公路港”物流模式，</w:t>
      </w:r>
    </w:p>
    <w:p>
      <w:pPr>
        <w:pStyle w:val="Style14"/>
        <w:keepNext w:val="0"/>
        <w:keepLines w:val="0"/>
        <w:widowControl w:val="0"/>
        <w:shd w:val="clear" w:color="auto" w:fill="auto"/>
        <w:bidi w:val="0"/>
        <w:spacing w:before="0" w:after="0" w:line="581" w:lineRule="exact"/>
        <w:ind w:left="0" w:right="0" w:firstLine="0"/>
        <w:jc w:val="both"/>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年建成杭州公路港平台，</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年起在成都、苏州等地进行模式复制，</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年起开启全国化拓展的步伐。经过十六年的发展，公司已形成以智能信息系统为 核心，为城市、城市群以及行业提供一单到底业务场景的系统性服务平台。公司 所取得的经济效应和社会效益得到了社会各界的高度认可。</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月，国家 发改委、工信部、国土资源部、住建部、交通运输部五部委肯定了 “公路港”利 用实体和信息平台，衔接匹配车货信息的物流运作模式及其取得的良好经济效益 和社会效益，要求推广传化“公路港”物流经验。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月，传化公路港模 式入国务院文件，发改委点名布局公路港。</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年，“公路港”被国家发改委 列为物流信息平台工程的重点工程。公司曾荣获“中国十佳物流企业奖”，“第 十六届国家级企业现代化创新成果一等奖”，“中国物流创新奖”，“中国物流 企业社会责任贡献奖”等荣誉。公司先后被中国物流与采购联合会评为</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AAAAA </w:t>
      </w:r>
      <w:r>
        <w:rPr>
          <w:color w:val="000000"/>
          <w:spacing w:val="0"/>
          <w:w w:val="100"/>
          <w:position w:val="0"/>
          <w:sz w:val="24"/>
          <w:szCs w:val="24"/>
        </w:rPr>
        <w:t>级物流企业”、“浙江省重点流通企业”、“中国物流示范基地”等。公司亦参 与了《物流园区分类与基本要求》、《社会物流统计指标体系》等国家标准的制 定，被交通部授予全国道路货物运输价格与成本监测数据采集定点单位。</w:t>
      </w:r>
    </w:p>
    <w:p>
      <w:pPr>
        <w:pStyle w:val="Style14"/>
        <w:keepNext w:val="0"/>
        <w:keepLines w:val="0"/>
        <w:widowControl w:val="0"/>
        <w:shd w:val="clear" w:color="auto" w:fill="auto"/>
        <w:bidi w:val="0"/>
        <w:spacing w:before="0" w:after="0" w:line="581" w:lineRule="exact"/>
        <w:ind w:left="0" w:right="0" w:firstLine="500"/>
        <w:jc w:val="both"/>
      </w:pPr>
      <w:r>
        <w:rPr>
          <w:b/>
          <w:bCs/>
          <w:color w:val="000000"/>
          <w:spacing w:val="0"/>
          <w:w w:val="100"/>
          <w:position w:val="0"/>
          <w:sz w:val="24"/>
          <w:szCs w:val="24"/>
        </w:rPr>
        <w:t>传化智联-化工业务：</w:t>
      </w:r>
    </w:p>
    <w:p>
      <w:pPr>
        <w:pStyle w:val="Style14"/>
        <w:keepNext w:val="0"/>
        <w:keepLines w:val="0"/>
        <w:widowControl w:val="0"/>
        <w:shd w:val="clear" w:color="auto" w:fill="auto"/>
        <w:bidi w:val="0"/>
        <w:spacing w:before="0" w:after="280" w:line="581" w:lineRule="exact"/>
        <w:ind w:left="0" w:right="0" w:firstLine="500"/>
        <w:jc w:val="both"/>
      </w:pPr>
      <w:r>
        <w:rPr>
          <w:color w:val="000000"/>
          <w:spacing w:val="0"/>
          <w:w w:val="100"/>
          <w:position w:val="0"/>
          <w:sz w:val="24"/>
          <w:szCs w:val="24"/>
        </w:rPr>
        <w:t xml:space="preserve">公司主要生产的功能化学品产品处于石油大化工生产链的末端，相关产品所 </w:t>
      </w:r>
      <w:r>
        <w:rPr>
          <w:color w:val="000000"/>
          <w:spacing w:val="0"/>
          <w:w w:val="100"/>
          <w:position w:val="0"/>
          <w:sz w:val="24"/>
          <w:szCs w:val="24"/>
        </w:rPr>
        <w:t>在行业属于成熟行业。相对于总量千万吨级的大宗化学品生产规模，功能化学品 精细生产规模普遍较小，且有各自的应用领域，这使得行业受经济周期波动影响 相对较小。除此之外，功能化学品的研发和应用服务难度使企业有更大的差异化 竞争机会，对客户来说转换壁垒更高，从而维持价格和毛利率的相对稳定。</w:t>
      </w:r>
    </w:p>
    <w:p>
      <w:pPr>
        <w:pStyle w:val="Style14"/>
        <w:keepNext w:val="0"/>
        <w:keepLines w:val="0"/>
        <w:widowControl w:val="0"/>
        <w:shd w:val="clear" w:color="auto" w:fill="auto"/>
        <w:bidi w:val="0"/>
        <w:spacing w:before="0" w:after="280" w:line="240" w:lineRule="auto"/>
        <w:ind w:left="0" w:right="0" w:firstLine="440"/>
        <w:jc w:val="left"/>
      </w:pPr>
      <w:bookmarkStart w:id="24" w:name="bookmark24"/>
      <w:r>
        <w:rPr>
          <w:b/>
          <w:bCs/>
          <w:color w:val="000000"/>
          <w:spacing w:val="0"/>
          <w:w w:val="100"/>
          <w:position w:val="0"/>
          <w:sz w:val="24"/>
          <w:szCs w:val="24"/>
        </w:rPr>
        <w:t>二</w:t>
      </w:r>
      <w:bookmarkEnd w:id="24"/>
      <w:r>
        <w:rPr>
          <w:b/>
          <w:bCs/>
          <w:color w:val="000000"/>
          <w:spacing w:val="0"/>
          <w:w w:val="100"/>
          <w:position w:val="0"/>
          <w:sz w:val="24"/>
          <w:szCs w:val="24"/>
        </w:rPr>
        <w:t>、主要资产重大变化情况</w:t>
      </w:r>
    </w:p>
    <w:p>
      <w:pPr>
        <w:pStyle w:val="Style14"/>
        <w:keepNext w:val="0"/>
        <w:keepLines w:val="0"/>
        <w:widowControl w:val="0"/>
        <w:shd w:val="clear" w:color="auto" w:fill="auto"/>
        <w:bidi w:val="0"/>
        <w:spacing w:before="0" w:after="120" w:line="240" w:lineRule="auto"/>
        <w:ind w:left="0" w:right="0" w:firstLine="440"/>
        <w:jc w:val="left"/>
      </w:pPr>
      <w:bookmarkStart w:id="25" w:name="bookmark25"/>
      <w:r>
        <w:rPr>
          <w:rFonts w:ascii="Times New Roman" w:eastAsia="Times New Roman" w:hAnsi="Times New Roman" w:cs="Times New Roman"/>
          <w:color w:val="000000"/>
          <w:spacing w:val="0"/>
          <w:w w:val="100"/>
          <w:position w:val="0"/>
          <w:sz w:val="24"/>
          <w:szCs w:val="24"/>
        </w:rPr>
        <w:t>1</w:t>
      </w:r>
      <w:bookmarkEnd w:id="25"/>
      <w:r>
        <w:rPr>
          <w:color w:val="000000"/>
          <w:spacing w:val="0"/>
          <w:w w:val="100"/>
          <w:position w:val="0"/>
          <w:sz w:val="24"/>
          <w:szCs w:val="24"/>
        </w:rPr>
        <w:t>、主要资产重大变化情况</w:t>
      </w:r>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30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主要原因是公司核心业务投入的加大导致传化物流期末固定资产较期 初增加所致。</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主要原因是核心业务的项目建设过程中土地使用权增加所致。</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主要原因是公司下属部分公路港公司的建筑工程投入增加所致。</w:t>
            </w:r>
          </w:p>
        </w:tc>
      </w:tr>
      <w:tr>
        <w:trPr>
          <w:trHeight w:val="59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主要原因是传化物流下属部分公路港已投入运营或试运营，相关资产对 外经营出租所致。</w:t>
            </w:r>
          </w:p>
        </w:tc>
      </w:tr>
    </w:tbl>
    <w:p>
      <w:pPr>
        <w:widowControl w:val="0"/>
        <w:spacing w:after="119" w:line="1" w:lineRule="exact"/>
      </w:pPr>
    </w:p>
    <w:p>
      <w:pPr>
        <w:pStyle w:val="Style14"/>
        <w:keepNext w:val="0"/>
        <w:keepLines w:val="0"/>
        <w:widowControl w:val="0"/>
        <w:shd w:val="clear" w:color="auto" w:fill="auto"/>
        <w:bidi w:val="0"/>
        <w:spacing w:before="0" w:after="280" w:line="240" w:lineRule="auto"/>
        <w:ind w:left="0" w:right="0" w:firstLine="440"/>
        <w:jc w:val="left"/>
      </w:pPr>
      <w:bookmarkStart w:id="26" w:name="bookmark26"/>
      <w:r>
        <w:rPr>
          <w:rFonts w:ascii="Times New Roman" w:eastAsia="Times New Roman" w:hAnsi="Times New Roman" w:cs="Times New Roman"/>
          <w:color w:val="000000"/>
          <w:spacing w:val="0"/>
          <w:w w:val="100"/>
          <w:position w:val="0"/>
          <w:sz w:val="24"/>
          <w:szCs w:val="24"/>
        </w:rPr>
        <w:t>2</w:t>
      </w:r>
      <w:bookmarkEnd w:id="26"/>
      <w:r>
        <w:rPr>
          <w:color w:val="000000"/>
          <w:spacing w:val="0"/>
          <w:w w:val="100"/>
          <w:position w:val="0"/>
          <w:sz w:val="24"/>
          <w:szCs w:val="24"/>
        </w:rPr>
        <w:t>、公司不存在主要境外资产情况。</w:t>
      </w:r>
    </w:p>
    <w:p>
      <w:pPr>
        <w:pStyle w:val="Style14"/>
        <w:keepNext w:val="0"/>
        <w:keepLines w:val="0"/>
        <w:widowControl w:val="0"/>
        <w:shd w:val="clear" w:color="auto" w:fill="auto"/>
        <w:bidi w:val="0"/>
        <w:spacing w:before="0" w:after="280" w:line="240" w:lineRule="auto"/>
        <w:ind w:left="0" w:right="0" w:firstLine="440"/>
        <w:jc w:val="left"/>
      </w:pPr>
      <w:bookmarkStart w:id="27" w:name="bookmark27"/>
      <w:r>
        <w:rPr>
          <w:b/>
          <w:bCs/>
          <w:color w:val="000000"/>
          <w:spacing w:val="0"/>
          <w:w w:val="100"/>
          <w:position w:val="0"/>
          <w:sz w:val="24"/>
          <w:szCs w:val="24"/>
        </w:rPr>
        <w:t>三</w:t>
      </w:r>
      <w:bookmarkEnd w:id="27"/>
      <w:r>
        <w:rPr>
          <w:b/>
          <w:bCs/>
          <w:color w:val="000000"/>
          <w:spacing w:val="0"/>
          <w:w w:val="100"/>
          <w:position w:val="0"/>
          <w:sz w:val="24"/>
          <w:szCs w:val="24"/>
        </w:rPr>
        <w:t>、核心竞争力分析</w:t>
      </w:r>
    </w:p>
    <w:p>
      <w:pPr>
        <w:pStyle w:val="Style1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79" w:lineRule="exact"/>
        <w:ind w:left="0" w:right="0" w:firstLine="480"/>
        <w:jc w:val="both"/>
      </w:pPr>
      <w:r>
        <w:rPr>
          <w:color w:val="000000"/>
          <w:spacing w:val="0"/>
          <w:w w:val="100"/>
          <w:position w:val="0"/>
          <w:sz w:val="24"/>
          <w:szCs w:val="24"/>
        </w:rPr>
        <w:t>整个中国的航空系统是国家打造的，铁路系统也是国家打造的，传化作为“公 路港”模式的首创者，在构建传化网的过程中，已在行业内形成了独一无二的系 统性竞争优势，并建立起较高的行业竞争门槛。传化网系统构建的战略行动在中 国是独一无二的，在公路货运行业也是唯一的，这也是传化推动行业整合和进步 的战略行动。鉴于此，公司的行动也得到了国家相关部委、各大城市的支持，这 也让公司不但具备在单个城市、城市群和主要经济区域，甚至在全国建立起这样 的线上和线下网络具备良好的政府支持与政策优势。</w:t>
      </w:r>
    </w:p>
    <w:p>
      <w:pPr>
        <w:pStyle w:val="Style14"/>
        <w:keepNext w:val="0"/>
        <w:keepLines w:val="0"/>
        <w:widowControl w:val="0"/>
        <w:shd w:val="clear" w:color="auto" w:fill="auto"/>
        <w:bidi w:val="0"/>
        <w:spacing w:before="0" w:after="0" w:line="579" w:lineRule="exact"/>
        <w:ind w:left="0" w:right="0" w:firstLine="440"/>
        <w:jc w:val="left"/>
      </w:pPr>
      <w:r>
        <w:rPr>
          <w:b/>
          <w:bCs/>
          <w:color w:val="000000"/>
          <w:spacing w:val="0"/>
          <w:w w:val="100"/>
          <w:position w:val="0"/>
          <w:sz w:val="24"/>
          <w:szCs w:val="24"/>
        </w:rPr>
        <w:t>第一，公司打造的传化网系统具有独一无二的、立体的系统性优势。</w:t>
      </w:r>
    </w:p>
    <w:p>
      <w:pPr>
        <w:pStyle w:val="Style14"/>
        <w:keepNext w:val="0"/>
        <w:keepLines w:val="0"/>
        <w:widowControl w:val="0"/>
        <w:numPr>
          <w:ilvl w:val="0"/>
          <w:numId w:val="1"/>
        </w:numPr>
        <w:shd w:val="clear" w:color="auto" w:fill="auto"/>
        <w:bidi w:val="0"/>
        <w:spacing w:before="0" w:after="0" w:line="579" w:lineRule="exact"/>
        <w:ind w:left="0" w:right="0" w:firstLine="480"/>
        <w:jc w:val="both"/>
      </w:pPr>
      <w:bookmarkStart w:id="28" w:name="bookmark28"/>
      <w:bookmarkEnd w:id="28"/>
      <w:r>
        <w:rPr>
          <w:b/>
          <w:bCs/>
          <w:color w:val="000000"/>
          <w:spacing w:val="0"/>
          <w:w w:val="100"/>
          <w:position w:val="0"/>
          <w:sz w:val="24"/>
          <w:szCs w:val="24"/>
        </w:rPr>
        <w:t>构建了连接铁路、水路、航空的智能信息系统，为国家实现大交通、大物 流的互联互通战略奠定了基础。</w:t>
      </w:r>
      <w:r>
        <w:rPr>
          <w:color w:val="000000"/>
          <w:spacing w:val="0"/>
          <w:w w:val="100"/>
          <w:position w:val="0"/>
          <w:sz w:val="24"/>
          <w:szCs w:val="24"/>
        </w:rPr>
        <w:t xml:space="preserve">相对于航空系统、铁路系统，公路物流尽管在“硬 </w:t>
      </w:r>
      <w:r>
        <w:rPr>
          <w:color w:val="000000"/>
          <w:spacing w:val="0"/>
          <w:w w:val="100"/>
          <w:position w:val="0"/>
          <w:sz w:val="24"/>
          <w:szCs w:val="24"/>
        </w:rPr>
        <w:t xml:space="preserve">件”设施方面已经拥有了 </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万公里的公路网，近</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个物流园区以及几千个 物流场站，但缺少配套的综合“软件”管理系统，相当于铁路系统只铺设了轨道、 航空系统只规划了航线，公路物流整体仍处于无序运营状态。公司自</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年首 创公路港平台模式开始，已经构建了智能信息系统，以公路物流为切入点，连接 铁路、航空、水路等多种运输方式，形成服务于城际和同城的两大互联网产品， 并为大交通、大物流的互联互通奠定基础与条件。</w:t>
      </w:r>
    </w:p>
    <w:p>
      <w:pPr>
        <w:pStyle w:val="Style14"/>
        <w:keepNext w:val="0"/>
        <w:keepLines w:val="0"/>
        <w:widowControl w:val="0"/>
        <w:numPr>
          <w:ilvl w:val="0"/>
          <w:numId w:val="1"/>
        </w:numPr>
        <w:shd w:val="clear" w:color="auto" w:fill="auto"/>
        <w:tabs>
          <w:tab w:pos="846" w:val="left"/>
        </w:tabs>
        <w:bidi w:val="0"/>
        <w:spacing w:before="0" w:after="0" w:line="580" w:lineRule="exact"/>
        <w:ind w:left="0" w:right="0" w:firstLine="500"/>
        <w:jc w:val="both"/>
      </w:pPr>
      <w:bookmarkStart w:id="29" w:name="bookmark29"/>
      <w:bookmarkEnd w:id="29"/>
      <w:r>
        <w:rPr>
          <w:b/>
          <w:bCs/>
          <w:color w:val="000000"/>
          <w:spacing w:val="0"/>
          <w:w w:val="100"/>
          <w:position w:val="0"/>
          <w:sz w:val="24"/>
          <w:szCs w:val="24"/>
        </w:rPr>
        <w:t>依托公路港城市物流中心，以智能信息系统为核心，构建服务于区域供应 链、行业供应链的一单到底业务场景。</w:t>
      </w:r>
      <w:r>
        <w:rPr>
          <w:color w:val="000000"/>
          <w:spacing w:val="0"/>
          <w:w w:val="100"/>
          <w:position w:val="0"/>
          <w:sz w:val="24"/>
          <w:szCs w:val="24"/>
        </w:rPr>
        <w:t>公司依托公路港城市物流中心，以智能信 息系统为核心，打通两大互联网产品，其中陆鲸产品负责传化网城际干线运力的 线上调度指挥，易货嘀负责同城运力的线上调度指挥。公司于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年规划并逐 步推进了一单到底供应链服务，服务于区域供应链与行业供应链。</w:t>
      </w:r>
    </w:p>
    <w:p>
      <w:pPr>
        <w:pStyle w:val="Style14"/>
        <w:keepNext w:val="0"/>
        <w:keepLines w:val="0"/>
        <w:widowControl w:val="0"/>
        <w:numPr>
          <w:ilvl w:val="0"/>
          <w:numId w:val="1"/>
        </w:numPr>
        <w:shd w:val="clear" w:color="auto" w:fill="auto"/>
        <w:tabs>
          <w:tab w:pos="846" w:val="left"/>
        </w:tabs>
        <w:bidi w:val="0"/>
        <w:spacing w:before="0" w:after="0" w:line="580" w:lineRule="exact"/>
        <w:ind w:left="0" w:right="0" w:firstLine="500"/>
        <w:jc w:val="both"/>
      </w:pPr>
      <w:bookmarkStart w:id="30" w:name="bookmark30"/>
      <w:bookmarkEnd w:id="30"/>
      <w:r>
        <w:rPr>
          <w:b/>
          <w:bCs/>
          <w:color w:val="000000"/>
          <w:spacing w:val="0"/>
          <w:w w:val="100"/>
          <w:position w:val="0"/>
          <w:sz w:val="24"/>
          <w:szCs w:val="24"/>
        </w:rPr>
        <w:t>建设基于一单到底业务场景与大数据，衍生出更多的金融及增值服务场 景，进而带来更多的业务创新，丰富生态圈。</w:t>
      </w:r>
      <w:r>
        <w:rPr>
          <w:color w:val="000000"/>
          <w:spacing w:val="0"/>
          <w:w w:val="100"/>
          <w:position w:val="0"/>
          <w:sz w:val="24"/>
          <w:szCs w:val="24"/>
        </w:rPr>
        <w:t>建设一单到底形成的生产资料与生 活资料大数据，将带来更多围绕制造业、物流企业、卡车司机的服务场景、业务 场景以及金融场景，势必吸引大量金融要素、资源要素、科技信息要素、人才要 素等汇聚到生态内，服务于制造企业、物流企业、卡车司机，改变生产性服务企 业规模偏小、技术水平低、服务单一、同质化、服务成本高等问题，将各类生产 服务形成系统化的协作，进而与生产制造形成紧密联动，助力生产制造发展。</w:t>
      </w:r>
    </w:p>
    <w:p>
      <w:pPr>
        <w:pStyle w:val="Style14"/>
        <w:keepNext w:val="0"/>
        <w:keepLines w:val="0"/>
        <w:widowControl w:val="0"/>
        <w:shd w:val="clear" w:color="auto" w:fill="auto"/>
        <w:bidi w:val="0"/>
        <w:spacing w:before="0" w:after="0" w:line="580" w:lineRule="exact"/>
        <w:ind w:left="0" w:right="0" w:firstLine="500"/>
        <w:jc w:val="left"/>
      </w:pPr>
      <w:r>
        <w:rPr>
          <w:b/>
          <w:bCs/>
          <w:color w:val="000000"/>
          <w:spacing w:val="0"/>
          <w:w w:val="100"/>
          <w:position w:val="0"/>
          <w:sz w:val="24"/>
          <w:szCs w:val="24"/>
        </w:rPr>
        <w:t>第二，公司在网络布局与资源积淀上已是行业龙头。</w:t>
      </w:r>
    </w:p>
    <w:p>
      <w:pPr>
        <w:pStyle w:val="Style14"/>
        <w:keepNext w:val="0"/>
        <w:keepLines w:val="0"/>
        <w:widowControl w:val="0"/>
        <w:numPr>
          <w:ilvl w:val="0"/>
          <w:numId w:val="3"/>
        </w:numPr>
        <w:shd w:val="clear" w:color="auto" w:fill="auto"/>
        <w:bidi w:val="0"/>
        <w:spacing w:before="0" w:after="0" w:line="580" w:lineRule="exact"/>
        <w:ind w:left="0" w:right="0" w:firstLine="500"/>
        <w:jc w:val="both"/>
      </w:pPr>
      <w:bookmarkStart w:id="31" w:name="bookmark31"/>
      <w:bookmarkEnd w:id="31"/>
      <w:r>
        <w:rPr>
          <w:b/>
          <w:bCs/>
          <w:color w:val="000000"/>
          <w:spacing w:val="0"/>
          <w:w w:val="100"/>
          <w:position w:val="0"/>
          <w:sz w:val="24"/>
          <w:szCs w:val="24"/>
        </w:rPr>
        <w:t>在公路港全国化网络布局方面，已形成强大的竞争壁垒。</w:t>
      </w:r>
      <w:r>
        <w:rPr>
          <w:color w:val="000000"/>
          <w:spacing w:val="0"/>
          <w:w w:val="100"/>
          <w:position w:val="0"/>
          <w:sz w:val="24"/>
          <w:szCs w:val="24"/>
        </w:rPr>
        <w:t>截至报告期，公 司在全国累计布局</w:t>
      </w:r>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个项目，覆盖</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个省市自治区。其中，在</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个城市完成 网络布点，在上海、重庆、杭州、武汉、天津、合肥、济南、成都、沈阳、贵阳、 昆明、长沙、郑州等省会城市卡位；累计实现运营公路港</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个，较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年底增 长超</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，形成强大的竞争壁垒。同时，公司为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年网络拓展储备了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 xml:space="preserve">余 </w:t>
      </w:r>
      <w:r>
        <w:rPr>
          <w:color w:val="000000"/>
          <w:spacing w:val="0"/>
          <w:w w:val="100"/>
          <w:position w:val="0"/>
          <w:sz w:val="24"/>
          <w:szCs w:val="24"/>
        </w:rPr>
        <w:t>个项目，全国化的公路物流基础设施网络已经显现。</w:t>
      </w:r>
    </w:p>
    <w:p>
      <w:pPr>
        <w:pStyle w:val="Style14"/>
        <w:keepNext w:val="0"/>
        <w:keepLines w:val="0"/>
        <w:widowControl w:val="0"/>
        <w:numPr>
          <w:ilvl w:val="0"/>
          <w:numId w:val="3"/>
        </w:numPr>
        <w:shd w:val="clear" w:color="auto" w:fill="auto"/>
        <w:tabs>
          <w:tab w:pos="846" w:val="left"/>
        </w:tabs>
        <w:bidi w:val="0"/>
        <w:spacing w:before="0" w:after="0" w:line="582" w:lineRule="exact"/>
        <w:ind w:left="0" w:right="0" w:firstLine="500"/>
        <w:jc w:val="both"/>
      </w:pPr>
      <w:bookmarkStart w:id="32" w:name="bookmark32"/>
      <w:bookmarkEnd w:id="32"/>
      <w:r>
        <w:rPr>
          <w:b/>
          <w:bCs/>
          <w:color w:val="000000"/>
          <w:spacing w:val="0"/>
          <w:w w:val="100"/>
          <w:position w:val="0"/>
          <w:sz w:val="24"/>
          <w:szCs w:val="24"/>
        </w:rPr>
        <w:t>三十年的经营积淀，公司在制造企业、物流企业、卡车司机方面已形成庞 大的资源池，为价值创造和流量经营奠定了基础。</w:t>
      </w:r>
      <w:r>
        <w:rPr>
          <w:color w:val="000000"/>
          <w:spacing w:val="0"/>
          <w:w w:val="100"/>
          <w:position w:val="0"/>
          <w:sz w:val="24"/>
          <w:szCs w:val="24"/>
        </w:rPr>
        <w:t>公司三十年的经营沉淀，在化 工产业集聚了一大批优秀的制造企业，在物流产业集聚了百万级会员（包括物流 企业、卡车司机），这些货源与运力资源为公司打造传化网供应链服务平台，提 供了有力的支撑。</w:t>
      </w:r>
    </w:p>
    <w:p>
      <w:pPr>
        <w:pStyle w:val="Style14"/>
        <w:keepNext w:val="0"/>
        <w:keepLines w:val="0"/>
        <w:widowControl w:val="0"/>
        <w:numPr>
          <w:ilvl w:val="0"/>
          <w:numId w:val="3"/>
        </w:numPr>
        <w:shd w:val="clear" w:color="auto" w:fill="auto"/>
        <w:tabs>
          <w:tab w:pos="850" w:val="left"/>
        </w:tabs>
        <w:bidi w:val="0"/>
        <w:spacing w:before="0" w:after="0" w:line="582" w:lineRule="exact"/>
        <w:ind w:left="0" w:right="0" w:firstLine="500"/>
        <w:jc w:val="both"/>
      </w:pPr>
      <w:bookmarkStart w:id="33" w:name="bookmark33"/>
      <w:bookmarkEnd w:id="33"/>
      <w:r>
        <w:rPr>
          <w:b/>
          <w:bCs/>
          <w:color w:val="000000"/>
          <w:spacing w:val="0"/>
          <w:w w:val="100"/>
          <w:position w:val="0"/>
          <w:sz w:val="24"/>
          <w:szCs w:val="24"/>
        </w:rPr>
        <w:t>公司的战略行动得到了国家部委和各级政府的高度认可，与国家物流发展 大战略方向一致。</w:t>
      </w:r>
      <w:r>
        <w:rPr>
          <w:color w:val="000000"/>
          <w:spacing w:val="0"/>
          <w:w w:val="100"/>
          <w:position w:val="0"/>
          <w:sz w:val="24"/>
          <w:szCs w:val="24"/>
        </w:rPr>
        <w:t xml:space="preserve">多年来，公司得到了国家各部委、各级政府的大力支持。如，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月，国家发改委、工信部、国土资源部、住建部、交通运输部五部委 联合发文推广传化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公路港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物流经验。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月，公路港模式列入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国务院</w:t>
      </w:r>
      <w:r>
        <w:rPr>
          <w:rFonts w:ascii="Times New Roman" w:eastAsia="Times New Roman" w:hAnsi="Times New Roman" w:cs="Times New Roman"/>
          <w:color w:val="000000"/>
          <w:spacing w:val="0"/>
          <w:w w:val="100"/>
          <w:position w:val="0"/>
          <w:sz w:val="24"/>
          <w:szCs w:val="24"/>
        </w:rPr>
        <w:t>”</w:t>
      </w:r>
    </w:p>
    <w:p>
      <w:pPr>
        <w:pStyle w:val="Style14"/>
        <w:keepNext w:val="0"/>
        <w:keepLines w:val="0"/>
        <w:widowControl w:val="0"/>
        <w:shd w:val="clear" w:color="auto" w:fill="auto"/>
        <w:bidi w:val="0"/>
        <w:spacing w:before="0" w:after="0" w:line="582" w:lineRule="exact"/>
        <w:ind w:left="0" w:right="0" w:firstLine="0"/>
        <w:jc w:val="both"/>
      </w:pPr>
      <w:r>
        <w:rPr>
          <w:color w:val="000000"/>
          <w:spacing w:val="0"/>
          <w:w w:val="100"/>
          <w:position w:val="0"/>
          <w:sz w:val="24"/>
          <w:szCs w:val="24"/>
        </w:rPr>
        <w:t>（国办</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号）文件，成为国家级项目。在国办发〔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号文件《国务院办 公厅关于转发国家发展改革委营造良好市场环境推动交通物流融合发展实施方 案的通知》中，明确指出：构建线上线下联动公路港网络。完善公路港建设布局。 加大政府支持力度，加快全国公路港建设，加强与其他交通基础设施衔接，重点 构建一批综合型、基地型和驿站型公路港。鼓励龙头企业牵头组建全国公路港联 盟，推动行业内资源共享和跨区域运输组织。强化公路港功能。推进公路港等物 流园区之间运输、集散、分拨、调配、信息传输等协同作业，鼓励公路港连锁经 营。整合货源、车辆（舱位）、代理、金融等信息，为物流企业提供运营支撑、 系统支持。鼓励推广生产生活综合配套、线上线下协同联动的新模式，促进多业 态融合发展。发展往返式公路接驳运输。</w:t>
      </w:r>
    </w:p>
    <w:p>
      <w:pPr>
        <w:pStyle w:val="Style14"/>
        <w:keepNext w:val="0"/>
        <w:keepLines w:val="0"/>
        <w:widowControl w:val="0"/>
        <w:shd w:val="clear" w:color="auto" w:fill="auto"/>
        <w:bidi w:val="0"/>
        <w:spacing w:before="0" w:after="0" w:line="582" w:lineRule="exact"/>
        <w:ind w:left="0" w:right="0" w:firstLine="500"/>
        <w:jc w:val="both"/>
      </w:pPr>
      <w:r>
        <w:rPr>
          <w:b/>
          <w:bCs/>
          <w:color w:val="000000"/>
          <w:spacing w:val="0"/>
          <w:w w:val="100"/>
          <w:position w:val="0"/>
          <w:sz w:val="24"/>
          <w:szCs w:val="24"/>
        </w:rPr>
        <w:t>第三，公司在创新机制、人才队伍以及品牌文化等软实力上，具有不可复制 的优势。</w:t>
      </w:r>
    </w:p>
    <w:p>
      <w:pPr>
        <w:pStyle w:val="Style14"/>
        <w:keepNext w:val="0"/>
        <w:keepLines w:val="0"/>
        <w:widowControl w:val="0"/>
        <w:shd w:val="clear" w:color="auto" w:fill="auto"/>
        <w:bidi w:val="0"/>
        <w:spacing w:before="0" w:after="0" w:line="582" w:lineRule="exact"/>
        <w:ind w:left="0" w:right="0" w:firstLine="500"/>
        <w:jc w:val="both"/>
      </w:pPr>
      <w:r>
        <w:rPr>
          <w:b/>
          <w:bCs/>
          <w:color w:val="000000"/>
          <w:spacing w:val="0"/>
          <w:w w:val="100"/>
          <w:position w:val="0"/>
          <w:sz w:val="24"/>
          <w:szCs w:val="24"/>
        </w:rPr>
        <w:t>①从业务创新、技术创新、服务创新、机制创新等方面，全方位为企业经营 和持续发展提供动力。</w:t>
      </w:r>
      <w:r>
        <w:rPr>
          <w:color w:val="000000"/>
          <w:spacing w:val="0"/>
          <w:w w:val="100"/>
          <w:position w:val="0"/>
          <w:sz w:val="24"/>
          <w:szCs w:val="24"/>
        </w:rPr>
        <w:t>公司从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年在全国首创“公路港”物流模式，到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物流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模式的落地和完善，不断创新业务模式。在内部倡导用户思维， 一切以满足平台客户的需求为目的，通过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运营创新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服务创新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，已经孵化出 了 </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余家物流企业，更进一步增强了客户与公司的黏度。另外，公司还加强 对技术性人才的引进与培养力度，加大研发投入，通过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技术创新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提升企业竞争 力。在企业内部，通过建立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创客机制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股权期权激励机制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机制创新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激发 出企业持续经营和创新发展的活力。</w:t>
      </w:r>
    </w:p>
    <w:p>
      <w:pPr>
        <w:pStyle w:val="Style14"/>
        <w:keepNext w:val="0"/>
        <w:keepLines w:val="0"/>
        <w:widowControl w:val="0"/>
        <w:shd w:val="clear" w:color="auto" w:fill="auto"/>
        <w:bidi w:val="0"/>
        <w:spacing w:before="0" w:after="0" w:line="580" w:lineRule="exact"/>
        <w:ind w:left="0" w:right="0" w:firstLine="500"/>
        <w:jc w:val="both"/>
      </w:pPr>
      <w:r>
        <w:rPr>
          <w:b/>
          <w:bCs/>
          <w:color w:val="000000"/>
          <w:spacing w:val="0"/>
          <w:w w:val="100"/>
          <w:position w:val="0"/>
          <w:sz w:val="24"/>
          <w:szCs w:val="24"/>
        </w:rPr>
        <w:t>②三十年经营积淀形成的专业人才队伍、传化品牌以及传化文化软实力。</w:t>
      </w:r>
      <w:r>
        <w:rPr>
          <w:color w:val="000000"/>
          <w:spacing w:val="0"/>
          <w:w w:val="100"/>
          <w:position w:val="0"/>
          <w:sz w:val="24"/>
          <w:szCs w:val="24"/>
        </w:rPr>
        <w:t>公 司通过引进物流专家，互联网、金融和供应链领域的专业人才，搭建起了一只精 通技术、市场、业务、运营和管理的复合型团队，并与德国、美国、加拿大、日 本等国家的物流专家、专业机构结成了长期合作关系。同时，公司上下秉承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效 率、成果、公平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的价值导向，传承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责任、感恩、智慧、意志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的企业精神，调 动一线员工、一线部门、一线经营单元的积极性和创造性，形成上下同心，共谋 发展，干事创业的强大合力。经过三十年的培育发展，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传化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品牌在化工、物流 行业以及社会公众中，树立了良好的品牌形象。</w:t>
      </w:r>
    </w:p>
    <w:p>
      <w:pPr>
        <w:pStyle w:val="Style14"/>
        <w:keepNext w:val="0"/>
        <w:keepLines w:val="0"/>
        <w:widowControl w:val="0"/>
        <w:shd w:val="clear" w:color="auto" w:fill="auto"/>
        <w:bidi w:val="0"/>
        <w:spacing w:before="0" w:after="0" w:line="580" w:lineRule="exact"/>
        <w:ind w:left="0" w:right="0" w:firstLine="50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bidi w:val="0"/>
        <w:spacing w:before="0" w:after="0" w:line="580" w:lineRule="exact"/>
        <w:ind w:left="0" w:right="0" w:firstLine="500"/>
        <w:jc w:val="both"/>
      </w:pPr>
      <w:r>
        <w:rPr>
          <w:color w:val="000000"/>
          <w:spacing w:val="0"/>
          <w:w w:val="100"/>
          <w:position w:val="0"/>
          <w:sz w:val="24"/>
          <w:szCs w:val="24"/>
        </w:rPr>
        <w:t>化工业务一直以客户服务为中心，构建核心竞争力。公司建立以客户为中心 的扁平化、立体交互的营销服务模式，围绕客户构建包括生产、研发、销售、技 术服务、供应链、金融在内的交互界面，并以区域为单位，通过工业服务站的形 式实现新模式的落地。工业服务站以“快速、掌握、跟踪、合作”为原则，建立 在市场最前沿，为一线客户提供系统化服务，在于客户零距离接触的过程中，解 决客户经营效率、仓储、融资等问题、提升客户黏性。</w:t>
      </w:r>
    </w:p>
    <w:p>
      <w:pPr>
        <w:pStyle w:val="Style14"/>
        <w:keepNext w:val="0"/>
        <w:keepLines w:val="0"/>
        <w:widowControl w:val="0"/>
        <w:shd w:val="clear" w:color="auto" w:fill="auto"/>
        <w:bidi w:val="0"/>
        <w:spacing w:before="0" w:after="0" w:line="580" w:lineRule="exact"/>
        <w:ind w:left="0" w:right="0" w:firstLine="500"/>
        <w:jc w:val="both"/>
      </w:pPr>
      <w:r>
        <w:rPr>
          <w:color w:val="000000"/>
          <w:spacing w:val="0"/>
          <w:w w:val="100"/>
          <w:position w:val="0"/>
          <w:sz w:val="24"/>
          <w:szCs w:val="24"/>
        </w:rPr>
        <w:t xml:space="preserve">通过供应链的系统优化提升供给质量。公司聚焦于核心业务的供应链变革， 以纺化供应链变革为重点，启动产业的供应链变革管理，优化企业运营管理的各 个环节。同时公司打造绩效管理和知识管理两大保障体系，确保供应链变革能够 </w:t>
      </w:r>
      <w:bookmarkStart w:id="34" w:name="bookmark34"/>
      <w:r>
        <w:rPr>
          <w:color w:val="000000"/>
          <w:spacing w:val="0"/>
          <w:w w:val="100"/>
          <w:position w:val="0"/>
          <w:sz w:val="24"/>
          <w:szCs w:val="24"/>
        </w:rPr>
        <w:t>实现效率提升与总成本改善的目标。</w:t>
      </w:r>
      <w:bookmarkEnd w:id="34"/>
    </w:p>
    <w:p>
      <w:pPr>
        <w:pStyle w:val="Style14"/>
        <w:keepNext w:val="0"/>
        <w:keepLines w:val="0"/>
        <w:widowControl w:val="0"/>
        <w:shd w:val="clear" w:color="auto" w:fill="auto"/>
        <w:bidi w:val="0"/>
        <w:spacing w:before="0" w:after="0" w:line="576" w:lineRule="exact"/>
        <w:ind w:left="0" w:right="0" w:firstLine="500"/>
        <w:jc w:val="both"/>
      </w:pPr>
      <w:r>
        <w:rPr>
          <w:color w:val="000000"/>
          <w:spacing w:val="0"/>
          <w:w w:val="100"/>
          <w:position w:val="0"/>
          <w:sz w:val="24"/>
          <w:szCs w:val="24"/>
        </w:rPr>
        <w:t>以核心技术和共性技术构建竞争壁垒。公司一方面聚焦各类基底界面的核心 技术，夯实研发基础，同时重点突破各类应用、界面的共性技术，实现化工产业 内各业务研发资源共享、成果共享。</w:t>
      </w:r>
    </w:p>
    <w:p>
      <w:pPr>
        <w:pStyle w:val="Style14"/>
        <w:keepNext w:val="0"/>
        <w:keepLines w:val="0"/>
        <w:widowControl w:val="0"/>
        <w:shd w:val="clear" w:color="auto" w:fill="auto"/>
        <w:bidi w:val="0"/>
        <w:spacing w:before="0" w:after="0" w:line="576" w:lineRule="exact"/>
        <w:ind w:left="0" w:right="0" w:firstLine="500"/>
        <w:jc w:val="both"/>
      </w:pPr>
      <w:r>
        <w:rPr>
          <w:color w:val="000000"/>
          <w:spacing w:val="0"/>
          <w:w w:val="100"/>
          <w:position w:val="0"/>
          <w:sz w:val="24"/>
          <w:szCs w:val="24"/>
        </w:rPr>
        <w:t>相关多元的资源共享优势。化工已经形成相关多元的业务结构，市场、研发、 采购、供应链等各类资源实现共享，不但提升资源利用效率，而且对风险的抵御 能力也大大提高，这是单一产品公司不具备的竞争优势。</w:t>
      </w:r>
    </w:p>
    <w:p>
      <w:pPr>
        <w:pStyle w:val="Style14"/>
        <w:keepNext w:val="0"/>
        <w:keepLines w:val="0"/>
        <w:widowControl w:val="0"/>
        <w:shd w:val="clear" w:color="auto" w:fill="auto"/>
        <w:bidi w:val="0"/>
        <w:spacing w:before="0" w:after="600" w:line="576" w:lineRule="exact"/>
        <w:ind w:left="0" w:right="0" w:firstLine="500"/>
        <w:jc w:val="both"/>
      </w:pPr>
      <w:r>
        <w:rPr>
          <w:color w:val="000000"/>
          <w:spacing w:val="0"/>
          <w:w w:val="100"/>
          <w:position w:val="0"/>
          <w:sz w:val="24"/>
          <w:szCs w:val="24"/>
        </w:rPr>
        <w:t>开展国际并购，提升国际化水平。公司在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年成功收购拓纳化学，在进 一步提升行业地位的基础上，一方面借助拓纳实现国际化布局，业务版图扩张迅 速，另一方面在市场、研发、生产、供应链、管理文化等等方面深度融合，提升 经营效率和管理水平。</w:t>
      </w:r>
    </w:p>
    <w:p>
      <w:pPr>
        <w:pStyle w:val="Style26"/>
        <w:keepNext/>
        <w:keepLines/>
        <w:widowControl w:val="0"/>
        <w:shd w:val="clear" w:color="auto" w:fill="auto"/>
        <w:bidi w:val="0"/>
        <w:spacing w:before="0" w:after="260" w:line="240" w:lineRule="auto"/>
        <w:ind w:left="2560" w:right="0" w:firstLine="0"/>
        <w:jc w:val="left"/>
      </w:pPr>
      <w:bookmarkStart w:id="35" w:name="bookmark35"/>
      <w:bookmarkStart w:id="36" w:name="bookmark36"/>
      <w:bookmarkStart w:id="37" w:name="bookmark37"/>
      <w:r>
        <w:rPr>
          <w:color w:val="000000"/>
          <w:spacing w:val="0"/>
          <w:w w:val="100"/>
          <w:position w:val="0"/>
        </w:rPr>
        <w:t>第四节经营情况讨论与分析</w:t>
      </w:r>
      <w:bookmarkEnd w:id="35"/>
      <w:bookmarkEnd w:id="36"/>
      <w:bookmarkEnd w:id="37"/>
    </w:p>
    <w:p>
      <w:pPr>
        <w:pStyle w:val="Style14"/>
        <w:keepNext w:val="0"/>
        <w:keepLines w:val="0"/>
        <w:widowControl w:val="0"/>
        <w:shd w:val="clear" w:color="auto" w:fill="auto"/>
        <w:bidi w:val="0"/>
        <w:spacing w:before="0" w:after="0" w:line="579" w:lineRule="exact"/>
        <w:ind w:left="0" w:right="0" w:firstLine="980"/>
        <w:jc w:val="left"/>
      </w:pPr>
      <w:bookmarkStart w:id="38" w:name="bookmark38"/>
      <w:r>
        <w:rPr>
          <w:b/>
          <w:bCs/>
          <w:color w:val="000000"/>
          <w:spacing w:val="0"/>
          <w:w w:val="100"/>
          <w:position w:val="0"/>
          <w:sz w:val="24"/>
          <w:szCs w:val="24"/>
        </w:rPr>
        <w:t>概述</w:t>
      </w:r>
      <w:bookmarkEnd w:id="38"/>
    </w:p>
    <w:p>
      <w:pPr>
        <w:pStyle w:val="Style14"/>
        <w:keepNext w:val="0"/>
        <w:keepLines w:val="0"/>
        <w:widowControl w:val="0"/>
        <w:shd w:val="clear" w:color="auto" w:fill="auto"/>
        <w:bidi w:val="0"/>
        <w:spacing w:before="0" w:after="0" w:line="579" w:lineRule="exact"/>
        <w:ind w:left="0" w:right="0" w:firstLine="500"/>
        <w:jc w:val="left"/>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79" w:lineRule="exact"/>
        <w:ind w:left="0" w:right="0" w:firstLine="500"/>
        <w:jc w:val="both"/>
      </w:pPr>
      <w:r>
        <w:rPr>
          <w:color w:val="000000"/>
          <w:spacing w:val="0"/>
          <w:w w:val="100"/>
          <w:position w:val="0"/>
          <w:sz w:val="24"/>
          <w:szCs w:val="24"/>
        </w:rPr>
        <w:t>报告期内，公司持续深化模式内涵，从战略、业务、组织等方面，开展了一 系列全局性工作，深化推进传化网战略，并以效率与结果为导向，推动各类业务 高速发展，全年经营业绩、综合实力迈上新台阶。截止报告期，传化各类业务已 经覆盖超过</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个省市自治区，</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多个城市，累计为</w:t>
      </w:r>
      <w:r>
        <w:rPr>
          <w:rFonts w:ascii="Times New Roman" w:eastAsia="Times New Roman" w:hAnsi="Times New Roman" w:cs="Times New Roman"/>
          <w:color w:val="000000"/>
          <w:spacing w:val="0"/>
          <w:w w:val="100"/>
          <w:position w:val="0"/>
          <w:sz w:val="24"/>
          <w:szCs w:val="24"/>
        </w:rPr>
        <w:t>273</w:t>
      </w:r>
      <w:r>
        <w:rPr>
          <w:color w:val="000000"/>
          <w:spacing w:val="0"/>
          <w:w w:val="100"/>
          <w:position w:val="0"/>
          <w:sz w:val="24"/>
          <w:szCs w:val="24"/>
        </w:rPr>
        <w:t>万个司机及车辆、</w:t>
      </w:r>
      <w:r>
        <w:rPr>
          <w:rFonts w:ascii="Times New Roman" w:eastAsia="Times New Roman" w:hAnsi="Times New Roman" w:cs="Times New Roman"/>
          <w:color w:val="000000"/>
          <w:spacing w:val="0"/>
          <w:w w:val="100"/>
          <w:position w:val="0"/>
          <w:sz w:val="24"/>
          <w:szCs w:val="24"/>
        </w:rPr>
        <w:t xml:space="preserve">14.5 </w:t>
      </w:r>
      <w:r>
        <w:rPr>
          <w:color w:val="000000"/>
          <w:spacing w:val="0"/>
          <w:w w:val="100"/>
          <w:position w:val="0"/>
          <w:sz w:val="24"/>
          <w:szCs w:val="24"/>
        </w:rPr>
        <w:t>万物流商提供了服务。</w:t>
      </w:r>
    </w:p>
    <w:p>
      <w:pPr>
        <w:pStyle w:val="Style14"/>
        <w:keepNext w:val="0"/>
        <w:keepLines w:val="0"/>
        <w:widowControl w:val="0"/>
        <w:shd w:val="clear" w:color="auto" w:fill="auto"/>
        <w:bidi w:val="0"/>
        <w:spacing w:before="0" w:after="0" w:line="579" w:lineRule="exact"/>
        <w:ind w:left="0" w:right="0" w:firstLine="500"/>
        <w:jc w:val="both"/>
      </w:pPr>
      <w:bookmarkStart w:id="39" w:name="bookmark39"/>
      <w:r>
        <w:rPr>
          <w:b/>
          <w:bCs/>
          <w:color w:val="000000"/>
          <w:spacing w:val="0"/>
          <w:w w:val="100"/>
          <w:position w:val="0"/>
          <w:sz w:val="24"/>
          <w:szCs w:val="24"/>
        </w:rPr>
        <w:t>（</w:t>
      </w:r>
      <w:bookmarkEnd w:id="39"/>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 xml:space="preserve">）夯实传化网前中后台信息系统建设，支撑业务发展，沉淀业务数据。 </w:t>
      </w:r>
      <w:r>
        <w:rPr>
          <w:color w:val="000000"/>
          <w:spacing w:val="0"/>
          <w:w w:val="100"/>
          <w:position w:val="0"/>
          <w:sz w:val="24"/>
          <w:szCs w:val="24"/>
        </w:rPr>
        <w:t xml:space="preserve">报告期内，公司加大信息系统研发投入，依托公路港城市物流中心的区域供应链 服务，传化网智能信息系统形成了一单到底业务场景，并实现物流大数据的沉淀。 迭代开发了 </w:t>
      </w:r>
      <w:r>
        <w:rPr>
          <w:rFonts w:ascii="Times New Roman" w:eastAsia="Times New Roman" w:hAnsi="Times New Roman" w:cs="Times New Roman"/>
          <w:color w:val="000000"/>
          <w:spacing w:val="0"/>
          <w:w w:val="100"/>
          <w:position w:val="0"/>
          <w:sz w:val="24"/>
          <w:szCs w:val="24"/>
        </w:rPr>
        <w:t>TMS</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WMS</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PMS</w:t>
      </w:r>
      <w:r>
        <w:rPr>
          <w:color w:val="000000"/>
          <w:spacing w:val="0"/>
          <w:w w:val="100"/>
          <w:position w:val="0"/>
          <w:sz w:val="24"/>
          <w:szCs w:val="24"/>
        </w:rPr>
        <w:t xml:space="preserve">等业务系统，并从数据平台、会员系统、支付系 </w:t>
      </w:r>
      <w:r>
        <w:rPr>
          <w:color w:val="000000"/>
          <w:spacing w:val="0"/>
          <w:w w:val="100"/>
          <w:position w:val="0"/>
          <w:sz w:val="24"/>
          <w:szCs w:val="24"/>
        </w:rPr>
        <w:t>统、风控系统等系统入手打通后台系统，实现了会员的统一、风控的统一以及数 据的统一。其中，</w:t>
      </w:r>
      <w:r>
        <w:rPr>
          <w:rFonts w:ascii="Times New Roman" w:eastAsia="Times New Roman" w:hAnsi="Times New Roman" w:cs="Times New Roman"/>
          <w:color w:val="000000"/>
          <w:spacing w:val="0"/>
          <w:w w:val="100"/>
          <w:position w:val="0"/>
          <w:sz w:val="24"/>
          <w:szCs w:val="24"/>
        </w:rPr>
        <w:t>TMS</w:t>
      </w:r>
      <w:r>
        <w:rPr>
          <w:color w:val="000000"/>
          <w:spacing w:val="0"/>
          <w:w w:val="100"/>
          <w:position w:val="0"/>
          <w:sz w:val="24"/>
          <w:szCs w:val="24"/>
        </w:rPr>
        <w:t>系统是公司基于物流行业的集、分、运、配实际业务场 景研发的一站式协同物流平台；</w:t>
      </w:r>
      <w:r>
        <w:rPr>
          <w:rFonts w:ascii="Times New Roman" w:eastAsia="Times New Roman" w:hAnsi="Times New Roman" w:cs="Times New Roman"/>
          <w:color w:val="000000"/>
          <w:spacing w:val="0"/>
          <w:w w:val="100"/>
          <w:position w:val="0"/>
          <w:sz w:val="24"/>
          <w:szCs w:val="24"/>
        </w:rPr>
        <w:t>WMS</w:t>
      </w:r>
      <w:r>
        <w:rPr>
          <w:color w:val="000000"/>
          <w:spacing w:val="0"/>
          <w:w w:val="100"/>
          <w:position w:val="0"/>
          <w:sz w:val="24"/>
          <w:szCs w:val="24"/>
        </w:rPr>
        <w:t>云仓系统是一款基于云端部署的专业</w:t>
      </w:r>
      <w:r>
        <w:rPr>
          <w:rFonts w:ascii="Times New Roman" w:eastAsia="Times New Roman" w:hAnsi="Times New Roman" w:cs="Times New Roman"/>
          <w:color w:val="000000"/>
          <w:spacing w:val="0"/>
          <w:w w:val="100"/>
          <w:position w:val="0"/>
          <w:sz w:val="24"/>
          <w:szCs w:val="24"/>
        </w:rPr>
        <w:t xml:space="preserve">SaaS </w:t>
      </w:r>
      <w:r>
        <w:rPr>
          <w:color w:val="000000"/>
          <w:spacing w:val="0"/>
          <w:w w:val="100"/>
          <w:position w:val="0"/>
          <w:sz w:val="24"/>
          <w:szCs w:val="24"/>
        </w:rPr>
        <w:t>平台，以“订单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数据”驱动的方式，实现了仓内精细管理和多区域的仓储协同； </w:t>
      </w:r>
      <w:r>
        <w:rPr>
          <w:rFonts w:ascii="Times New Roman" w:eastAsia="Times New Roman" w:hAnsi="Times New Roman" w:cs="Times New Roman"/>
          <w:color w:val="000000"/>
          <w:spacing w:val="0"/>
          <w:w w:val="100"/>
          <w:position w:val="0"/>
          <w:sz w:val="24"/>
          <w:szCs w:val="24"/>
        </w:rPr>
        <w:t>PMS</w:t>
      </w:r>
      <w:r>
        <w:rPr>
          <w:color w:val="000000"/>
          <w:spacing w:val="0"/>
          <w:w w:val="100"/>
          <w:position w:val="0"/>
          <w:sz w:val="24"/>
          <w:szCs w:val="24"/>
        </w:rPr>
        <w:t>智慧园区系统是生态园区</w:t>
      </w:r>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运营管理平台，为物流园区提供面向企业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个 人全方位服务，包括停车管理、租赁管理、资产管理、商户管理等。</w:t>
      </w:r>
    </w:p>
    <w:p>
      <w:pPr>
        <w:pStyle w:val="Style14"/>
        <w:keepNext w:val="0"/>
        <w:keepLines w:val="0"/>
        <w:widowControl w:val="0"/>
        <w:numPr>
          <w:ilvl w:val="0"/>
          <w:numId w:val="5"/>
        </w:numPr>
        <w:shd w:val="clear" w:color="auto" w:fill="auto"/>
        <w:tabs>
          <w:tab w:pos="980" w:val="left"/>
        </w:tabs>
        <w:bidi w:val="0"/>
        <w:spacing w:before="0" w:after="0" w:line="580" w:lineRule="exact"/>
        <w:ind w:left="0" w:right="0" w:firstLine="500"/>
        <w:jc w:val="both"/>
      </w:pPr>
      <w:bookmarkStart w:id="40" w:name="bookmark40"/>
      <w:bookmarkEnd w:id="40"/>
      <w:r>
        <w:rPr>
          <w:b/>
          <w:bCs/>
          <w:color w:val="000000"/>
          <w:spacing w:val="0"/>
          <w:w w:val="100"/>
          <w:position w:val="0"/>
          <w:sz w:val="24"/>
          <w:szCs w:val="24"/>
        </w:rPr>
        <w:t>陆鲸依托公路港资源深耕市场，线下流量转化效果明显。</w:t>
      </w:r>
      <w:r>
        <w:rPr>
          <w:color w:val="000000"/>
          <w:spacing w:val="0"/>
          <w:w w:val="100"/>
          <w:position w:val="0"/>
          <w:sz w:val="24"/>
          <w:szCs w:val="24"/>
        </w:rPr>
        <w:t>报告期内，</w:t>
      </w:r>
    </w:p>
    <w:p>
      <w:pPr>
        <w:pStyle w:val="Style14"/>
        <w:keepNext w:val="0"/>
        <w:keepLines w:val="0"/>
        <w:widowControl w:val="0"/>
        <w:shd w:val="clear" w:color="auto" w:fill="auto"/>
        <w:bidi w:val="0"/>
        <w:spacing w:before="0" w:after="0" w:line="580" w:lineRule="exact"/>
        <w:ind w:left="0" w:right="0" w:firstLine="0"/>
        <w:jc w:val="both"/>
      </w:pPr>
      <w:r>
        <w:rPr>
          <w:color w:val="000000"/>
          <w:spacing w:val="0"/>
          <w:w w:val="100"/>
          <w:position w:val="0"/>
          <w:sz w:val="24"/>
          <w:szCs w:val="24"/>
        </w:rPr>
        <w:t>在传化网大系统下，陆鲸调整业务定位，通过对接公路港城市物流中心，实现港 与港、城与城的城际干线互通网络。从原先单一的车货匹配平台，调整为传化网 城际干线运力的线上调度指挥平台，并聚焦“智能调度”、“车后服务”、“车 队管理”三大业务。尽管战略调整对陆鲸业务有所影响，但陆鲸依托公路港资源, 实施鲸港联动，有效实现了线上线下资源的深度融合。截至报告期，陆鲸平台上 司机用户</w:t>
      </w:r>
      <w:r>
        <w:rPr>
          <w:rFonts w:ascii="Times New Roman" w:eastAsia="Times New Roman" w:hAnsi="Times New Roman" w:cs="Times New Roman"/>
          <w:color w:val="000000"/>
          <w:spacing w:val="0"/>
          <w:w w:val="100"/>
          <w:position w:val="0"/>
          <w:sz w:val="24"/>
          <w:szCs w:val="24"/>
        </w:rPr>
        <w:t>111</w:t>
      </w:r>
      <w:r>
        <w:rPr>
          <w:color w:val="000000"/>
          <w:spacing w:val="0"/>
          <w:w w:val="100"/>
          <w:position w:val="0"/>
          <w:sz w:val="24"/>
          <w:szCs w:val="24"/>
        </w:rPr>
        <w:t>万，货代用户</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万，日活司机</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万，日发货</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万条。尽管陆鲸 全年基于传化网进行战略调整，深度融合公路港，但依然实现较快的发展速度。 在市场拓展方面，通过江西、中原、京津冀等一系列会战，快速覆盖市场空白区 域，目前已覆盖全国</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个省份和直辖市，累计覆盖</w:t>
      </w:r>
      <w:r>
        <w:rPr>
          <w:rFonts w:ascii="Times New Roman" w:eastAsia="Times New Roman" w:hAnsi="Times New Roman" w:cs="Times New Roman"/>
          <w:color w:val="000000"/>
          <w:spacing w:val="0"/>
          <w:w w:val="100"/>
          <w:position w:val="0"/>
          <w:sz w:val="24"/>
          <w:szCs w:val="24"/>
        </w:rPr>
        <w:t>227</w:t>
      </w:r>
      <w:r>
        <w:rPr>
          <w:color w:val="000000"/>
          <w:spacing w:val="0"/>
          <w:w w:val="100"/>
          <w:position w:val="0"/>
          <w:sz w:val="24"/>
          <w:szCs w:val="24"/>
        </w:rPr>
        <w:t>座城市；在模式深化方 面，通过推进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VIP</w:t>
      </w:r>
      <w:r>
        <w:rPr>
          <w:color w:val="000000"/>
          <w:spacing w:val="0"/>
          <w:w w:val="100"/>
          <w:position w:val="0"/>
          <w:sz w:val="24"/>
          <w:szCs w:val="24"/>
        </w:rPr>
        <w:t>配货”、“线路运营”、“车后”及“担保支付”等产品， 深度服务用户，以车后业务为例，走通</w:t>
      </w:r>
      <w:r>
        <w:rPr>
          <w:rFonts w:ascii="Times New Roman" w:eastAsia="Times New Roman" w:hAnsi="Times New Roman" w:cs="Times New Roman"/>
          <w:color w:val="000000"/>
          <w:spacing w:val="0"/>
          <w:w w:val="100"/>
          <w:position w:val="0"/>
          <w:sz w:val="24"/>
          <w:szCs w:val="24"/>
        </w:rPr>
        <w:t>B2B2C</w:t>
      </w:r>
      <w:r>
        <w:rPr>
          <w:color w:val="000000"/>
          <w:spacing w:val="0"/>
          <w:w w:val="100"/>
          <w:position w:val="0"/>
          <w:sz w:val="24"/>
          <w:szCs w:val="24"/>
        </w:rPr>
        <w:t>模式。</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月，陆鲸亮相 于第三届世界互联网大会，获评“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中国物流创新奖”和“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年最具无车 承运人气质企业奖”。</w:t>
      </w:r>
    </w:p>
    <w:p>
      <w:pPr>
        <w:pStyle w:val="Style14"/>
        <w:keepNext w:val="0"/>
        <w:keepLines w:val="0"/>
        <w:widowControl w:val="0"/>
        <w:numPr>
          <w:ilvl w:val="0"/>
          <w:numId w:val="5"/>
        </w:numPr>
        <w:shd w:val="clear" w:color="auto" w:fill="auto"/>
        <w:tabs>
          <w:tab w:pos="1076" w:val="left"/>
        </w:tabs>
        <w:bidi w:val="0"/>
        <w:spacing w:before="0" w:after="0" w:line="580" w:lineRule="exact"/>
        <w:ind w:left="0" w:right="0" w:firstLine="500"/>
        <w:jc w:val="both"/>
      </w:pPr>
      <w:bookmarkStart w:id="41" w:name="bookmark41"/>
      <w:bookmarkEnd w:id="41"/>
      <w:r>
        <w:rPr>
          <w:b/>
          <w:bCs/>
          <w:color w:val="000000"/>
          <w:spacing w:val="0"/>
          <w:w w:val="100"/>
          <w:position w:val="0"/>
          <w:sz w:val="24"/>
          <w:szCs w:val="24"/>
        </w:rPr>
        <w:t>易货嘀通过开拓企业级客户市场和打造城配整体解决方案等业务创新, 实现平台规模化增长。</w:t>
      </w:r>
      <w:r>
        <w:rPr>
          <w:color w:val="000000"/>
          <w:spacing w:val="0"/>
          <w:w w:val="100"/>
          <w:position w:val="0"/>
          <w:sz w:val="24"/>
          <w:szCs w:val="24"/>
        </w:rPr>
        <w:t>报告期内，易货嘀业务发挥自身的优势，借助公路港平台， 快速扩张城市配送业务。通过</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KA-SDS</w:t>
      </w:r>
      <w:r>
        <w:rPr>
          <w:color w:val="000000"/>
          <w:spacing w:val="0"/>
          <w:w w:val="100"/>
          <w:position w:val="0"/>
          <w:sz w:val="24"/>
          <w:szCs w:val="24"/>
        </w:rPr>
        <w:t>企业级客户定制化供应链解决方案”、</w:t>
      </w:r>
    </w:p>
    <w:p>
      <w:pPr>
        <w:pStyle w:val="Style14"/>
        <w:keepNext w:val="0"/>
        <w:keepLines w:val="0"/>
        <w:widowControl w:val="0"/>
        <w:shd w:val="clear" w:color="auto" w:fill="auto"/>
        <w:bidi w:val="0"/>
        <w:spacing w:before="0" w:after="0" w:line="580" w:lineRule="exact"/>
        <w:ind w:left="0" w:right="0" w:firstLine="0"/>
        <w:jc w:val="both"/>
      </w:pPr>
      <w:r>
        <w:rPr>
          <w:color w:val="000000"/>
          <w:spacing w:val="0"/>
          <w:w w:val="100"/>
          <w:position w:val="0"/>
          <w:sz w:val="24"/>
          <w:szCs w:val="24"/>
        </w:rPr>
        <w:t>“小豹货栈仓配一体服务”、“</w:t>
      </w:r>
      <w:r>
        <w:rPr>
          <w:rFonts w:ascii="Times New Roman" w:eastAsia="Times New Roman" w:hAnsi="Times New Roman" w:cs="Times New Roman"/>
          <w:color w:val="000000"/>
          <w:spacing w:val="0"/>
          <w:w w:val="100"/>
          <w:position w:val="0"/>
          <w:sz w:val="24"/>
          <w:szCs w:val="24"/>
        </w:rPr>
        <w:t>31131</w:t>
      </w:r>
      <w:r>
        <w:rPr>
          <w:color w:val="000000"/>
          <w:spacing w:val="0"/>
          <w:w w:val="100"/>
          <w:position w:val="0"/>
          <w:sz w:val="24"/>
          <w:szCs w:val="24"/>
        </w:rPr>
        <w:t xml:space="preserve">标准化整车服务”三大业务，为不同类型 </w:t>
      </w:r>
      <w:r>
        <w:rPr>
          <w:color w:val="000000"/>
          <w:spacing w:val="0"/>
          <w:w w:val="100"/>
          <w:position w:val="0"/>
          <w:sz w:val="24"/>
          <w:szCs w:val="24"/>
        </w:rPr>
        <w:t>客户提供城市配送一站式解决方案，打造全国化的城市末端配送网络，并对接公 路港城市物流中心与陆鲸打造的城际干线网络。易货嘀业务已覆盖杭州、济南、 成都、天津、重庆、郑州、上海、合肥、北京、青岛、武汉等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个国内枢纽级 主要城市。服务十余万小微客户（小型物流企业、零担专线等）和</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多家大型 企业级客户，包括德邦、百世等</w:t>
      </w:r>
      <w:r>
        <w:rPr>
          <w:rFonts w:ascii="Times New Roman" w:eastAsia="Times New Roman" w:hAnsi="Times New Roman" w:cs="Times New Roman"/>
          <w:color w:val="000000"/>
          <w:spacing w:val="0"/>
          <w:w w:val="100"/>
          <w:position w:val="0"/>
          <w:sz w:val="24"/>
          <w:szCs w:val="24"/>
        </w:rPr>
        <w:t>3PL</w:t>
      </w:r>
      <w:r>
        <w:rPr>
          <w:color w:val="000000"/>
          <w:spacing w:val="0"/>
          <w:w w:val="100"/>
          <w:position w:val="0"/>
          <w:sz w:val="24"/>
          <w:szCs w:val="24"/>
        </w:rPr>
        <w:t>企业，美的、壳牌等制造企业，苏宁、京 东等电商企业。平台上城配司机用户规模达到</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万余名，其中金牌司机</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万 余名，日均成交量峰值近万笔。</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年易货嘀也得到了社会各界、政府、企业 的高度认可，</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月，易货嘀获得杭州市道路运输管理局授予的《道路运输经营许 可证》，成为行业内首家获得合法身份的城市网约货车平台；</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 xml:space="preserve">月，易货嘀成为 </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4"/>
          <w:szCs w:val="24"/>
        </w:rPr>
        <w:t>杭州峰会指定城市配送服务商，为</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4"/>
          <w:szCs w:val="24"/>
        </w:rPr>
        <w:t>杭州峰会提供会议用品和会议礼品 的仓配一体服务；</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月，成为中国首批无车承运物流试点企业（浙江省第一名）; 同年，易货嘀还获得中国物流与采购联合会等机构颁发的“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年中国物流十 佳成长型企业”、“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年全国本地生活物流服务创新的企业”、“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年城 市物流</w:t>
      </w:r>
      <w:r>
        <w:rPr>
          <w:rFonts w:ascii="Times New Roman" w:eastAsia="Times New Roman" w:hAnsi="Times New Roman" w:cs="Times New Roman"/>
          <w:color w:val="000000"/>
          <w:spacing w:val="0"/>
          <w:w w:val="100"/>
          <w:position w:val="0"/>
          <w:sz w:val="24"/>
          <w:szCs w:val="24"/>
        </w:rPr>
        <w:t>APP</w:t>
      </w:r>
      <w:r>
        <w:rPr>
          <w:color w:val="000000"/>
          <w:spacing w:val="0"/>
          <w:w w:val="100"/>
          <w:position w:val="0"/>
          <w:sz w:val="24"/>
          <w:szCs w:val="24"/>
        </w:rPr>
        <w:t>最佳解决方案平台”等殊荣。</w:t>
      </w:r>
    </w:p>
    <w:p>
      <w:pPr>
        <w:pStyle w:val="Style14"/>
        <w:keepNext w:val="0"/>
        <w:keepLines w:val="0"/>
        <w:widowControl w:val="0"/>
        <w:shd w:val="clear" w:color="auto" w:fill="auto"/>
        <w:bidi w:val="0"/>
        <w:spacing w:before="0" w:after="0" w:line="579" w:lineRule="exact"/>
        <w:ind w:left="0" w:right="0" w:firstLine="500"/>
        <w:jc w:val="both"/>
      </w:pPr>
      <w:bookmarkStart w:id="42" w:name="bookmark42"/>
      <w:r>
        <w:rPr>
          <w:b/>
          <w:bCs/>
          <w:color w:val="000000"/>
          <w:spacing w:val="0"/>
          <w:w w:val="100"/>
          <w:position w:val="0"/>
          <w:sz w:val="24"/>
          <w:szCs w:val="24"/>
        </w:rPr>
        <w:t>（</w:t>
      </w:r>
      <w:bookmarkEnd w:id="42"/>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）以公路港为依托，推进城市供应链服务，加速公路港基础网络建设， 实现主营收入大幅度增长。</w:t>
      </w:r>
      <w:r>
        <w:rPr>
          <w:color w:val="000000"/>
          <w:spacing w:val="0"/>
          <w:w w:val="100"/>
          <w:position w:val="0"/>
          <w:sz w:val="24"/>
          <w:szCs w:val="24"/>
        </w:rPr>
        <w:t xml:space="preserve">在公路港经营方面，通过线上线下融合、招商经营前 置等策略，加快公路港资源集聚与经营隆市，实现运营公路港整体出租率 </w:t>
      </w:r>
      <w:r>
        <w:rPr>
          <w:rFonts w:ascii="Times New Roman" w:eastAsia="Times New Roman" w:hAnsi="Times New Roman" w:cs="Times New Roman"/>
          <w:color w:val="000000"/>
          <w:spacing w:val="0"/>
          <w:w w:val="100"/>
          <w:position w:val="0"/>
          <w:sz w:val="24"/>
          <w:szCs w:val="24"/>
        </w:rPr>
        <w:t>77.42%</w:t>
      </w:r>
      <w:r>
        <w:rPr>
          <w:color w:val="000000"/>
          <w:spacing w:val="0"/>
          <w:w w:val="100"/>
          <w:position w:val="0"/>
          <w:sz w:val="24"/>
          <w:szCs w:val="24"/>
        </w:rPr>
        <w:t>，港内物流企业</w:t>
      </w:r>
      <w:r>
        <w:rPr>
          <w:rFonts w:ascii="Times New Roman" w:eastAsia="Times New Roman" w:hAnsi="Times New Roman" w:cs="Times New Roman"/>
          <w:color w:val="000000"/>
          <w:spacing w:val="0"/>
          <w:w w:val="100"/>
          <w:position w:val="0"/>
          <w:sz w:val="24"/>
          <w:szCs w:val="24"/>
        </w:rPr>
        <w:t>3,376</w:t>
      </w:r>
      <w:r>
        <w:rPr>
          <w:color w:val="000000"/>
          <w:spacing w:val="0"/>
          <w:w w:val="100"/>
          <w:position w:val="0"/>
          <w:sz w:val="24"/>
          <w:szCs w:val="24"/>
        </w:rPr>
        <w:t>家，日均吞吐量</w:t>
      </w:r>
      <w:r>
        <w:rPr>
          <w:rFonts w:ascii="Times New Roman" w:eastAsia="Times New Roman" w:hAnsi="Times New Roman" w:cs="Times New Roman"/>
          <w:color w:val="000000"/>
          <w:spacing w:val="0"/>
          <w:w w:val="100"/>
          <w:position w:val="0"/>
          <w:sz w:val="24"/>
          <w:szCs w:val="24"/>
        </w:rPr>
        <w:t>61.53</w:t>
      </w:r>
      <w:r>
        <w:rPr>
          <w:color w:val="000000"/>
          <w:spacing w:val="0"/>
          <w:w w:val="100"/>
          <w:position w:val="0"/>
          <w:sz w:val="24"/>
          <w:szCs w:val="24"/>
        </w:rPr>
        <w:t>万吨，日均货物价值</w:t>
      </w:r>
      <w:r>
        <w:rPr>
          <w:rFonts w:ascii="Times New Roman" w:eastAsia="Times New Roman" w:hAnsi="Times New Roman" w:cs="Times New Roman"/>
          <w:color w:val="000000"/>
          <w:spacing w:val="0"/>
          <w:w w:val="100"/>
          <w:position w:val="0"/>
          <w:sz w:val="24"/>
          <w:szCs w:val="24"/>
        </w:rPr>
        <w:t>123</w:t>
      </w:r>
      <w:r>
        <w:rPr>
          <w:color w:val="000000"/>
          <w:spacing w:val="0"/>
          <w:w w:val="100"/>
          <w:position w:val="0"/>
          <w:sz w:val="24"/>
          <w:szCs w:val="24"/>
        </w:rPr>
        <w:t>亿 元。在以公路港为依托，推进城市供应链服务方面，各公路港根据城市产业特征, 在大宗商品、车后等领域试点城市供应链服务，并于第三、四季度实现大幅增长。 在增值业务探索方面，通过开展分拨中心业务、金融大车队、车后团购等增值业 务，推动公路港业务升级。</w:t>
      </w:r>
    </w:p>
    <w:p>
      <w:pPr>
        <w:pStyle w:val="Style14"/>
        <w:keepNext w:val="0"/>
        <w:keepLines w:val="0"/>
        <w:widowControl w:val="0"/>
        <w:shd w:val="clear" w:color="auto" w:fill="auto"/>
        <w:bidi w:val="0"/>
        <w:spacing w:before="0" w:after="0" w:line="579" w:lineRule="exact"/>
        <w:ind w:left="0" w:right="0" w:firstLine="500"/>
        <w:jc w:val="both"/>
      </w:pPr>
      <w:r>
        <w:rPr>
          <w:color w:val="000000"/>
          <w:spacing w:val="0"/>
          <w:w w:val="100"/>
          <w:position w:val="0"/>
          <w:sz w:val="24"/>
          <w:szCs w:val="24"/>
        </w:rPr>
        <w:t>截至报告期，传化物流已（试）运营公路港</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个，较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年增长超</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 累计全国化布局</w:t>
      </w:r>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个项目，覆盖全国</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 xml:space="preserve">个省市自治区，在建公路港及已运营公 </w:t>
      </w:r>
      <w:r>
        <w:rPr>
          <w:color w:val="000000"/>
          <w:spacing w:val="0"/>
          <w:w w:val="100"/>
          <w:position w:val="0"/>
          <w:sz w:val="24"/>
          <w:szCs w:val="24"/>
        </w:rPr>
        <w:t>路港土地面积</w:t>
      </w:r>
      <w:r>
        <w:rPr>
          <w:rFonts w:ascii="Times New Roman" w:eastAsia="Times New Roman" w:hAnsi="Times New Roman" w:cs="Times New Roman"/>
          <w:color w:val="000000"/>
          <w:spacing w:val="0"/>
          <w:w w:val="100"/>
          <w:position w:val="0"/>
          <w:sz w:val="24"/>
          <w:szCs w:val="24"/>
        </w:rPr>
        <w:t>14,435,433</w:t>
      </w:r>
      <w:r>
        <w:rPr>
          <w:color w:val="000000"/>
          <w:spacing w:val="0"/>
          <w:w w:val="100"/>
          <w:position w:val="0"/>
          <w:sz w:val="24"/>
          <w:szCs w:val="24"/>
        </w:rPr>
        <w:t>平方，建筑面积达</w:t>
      </w:r>
      <w:r>
        <w:rPr>
          <w:rFonts w:ascii="Times New Roman" w:eastAsia="Times New Roman" w:hAnsi="Times New Roman" w:cs="Times New Roman"/>
          <w:color w:val="000000"/>
          <w:spacing w:val="0"/>
          <w:w w:val="100"/>
          <w:position w:val="0"/>
          <w:sz w:val="24"/>
          <w:szCs w:val="24"/>
        </w:rPr>
        <w:t>3,108,791</w:t>
      </w:r>
      <w:r>
        <w:rPr>
          <w:color w:val="000000"/>
          <w:spacing w:val="0"/>
          <w:w w:val="100"/>
          <w:position w:val="0"/>
          <w:sz w:val="24"/>
          <w:szCs w:val="24"/>
        </w:rPr>
        <w:t>平方。签订协议项目土地 面积</w:t>
      </w:r>
      <w:r>
        <w:rPr>
          <w:rFonts w:ascii="Times New Roman" w:eastAsia="Times New Roman" w:hAnsi="Times New Roman" w:cs="Times New Roman"/>
          <w:color w:val="000000"/>
          <w:spacing w:val="0"/>
          <w:w w:val="100"/>
          <w:position w:val="0"/>
          <w:sz w:val="24"/>
          <w:szCs w:val="24"/>
        </w:rPr>
        <w:t>5,127,000</w:t>
      </w:r>
      <w:r>
        <w:rPr>
          <w:color w:val="000000"/>
          <w:spacing w:val="0"/>
          <w:w w:val="100"/>
          <w:position w:val="0"/>
          <w:sz w:val="24"/>
          <w:szCs w:val="24"/>
        </w:rPr>
        <w:t>平方。公司通过投资并购及轻资产合作的方式，在上海、宁波、 武汉、天津、沈阳、淄博、宝鸡、临沂等地布局卡位，极大的缩短了公路港项目 前期经营隆市的周期。同时在天津，公司与天津港集团联手成立天津港传化公路 港有限公司，共同打造公海联运项目。</w:t>
      </w:r>
    </w:p>
    <w:p>
      <w:pPr>
        <w:pStyle w:val="Style14"/>
        <w:keepNext w:val="0"/>
        <w:keepLines w:val="0"/>
        <w:widowControl w:val="0"/>
        <w:shd w:val="clear" w:color="auto" w:fill="auto"/>
        <w:tabs>
          <w:tab w:pos="1085" w:val="left"/>
        </w:tabs>
        <w:bidi w:val="0"/>
        <w:spacing w:before="0" w:after="0" w:line="581" w:lineRule="exact"/>
        <w:ind w:left="0" w:right="0" w:firstLine="500"/>
        <w:jc w:val="both"/>
      </w:pPr>
      <w:bookmarkStart w:id="43" w:name="bookmark43"/>
      <w:r>
        <w:rPr>
          <w:b/>
          <w:bCs/>
          <w:color w:val="000000"/>
          <w:spacing w:val="0"/>
          <w:w w:val="100"/>
          <w:position w:val="0"/>
          <w:sz w:val="24"/>
          <w:szCs w:val="24"/>
        </w:rPr>
        <w:t>（</w:t>
      </w:r>
      <w:bookmarkEnd w:id="43"/>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w:t>
        <w:tab/>
        <w:t>成立传化支付公司，获取保理、融资租赁、互联网金融、保险经纪业 务资质，多管齐下培育生态圈。</w:t>
      </w:r>
    </w:p>
    <w:p>
      <w:pPr>
        <w:pStyle w:val="Style14"/>
        <w:keepNext w:val="0"/>
        <w:keepLines w:val="0"/>
        <w:widowControl w:val="0"/>
        <w:shd w:val="clear" w:color="auto" w:fill="auto"/>
        <w:bidi w:val="0"/>
        <w:spacing w:before="0" w:after="0" w:line="581" w:lineRule="exact"/>
        <w:ind w:left="0" w:right="0" w:firstLine="500"/>
        <w:jc w:val="both"/>
      </w:pPr>
      <w:r>
        <w:rPr>
          <w:color w:val="000000"/>
          <w:spacing w:val="0"/>
          <w:w w:val="100"/>
          <w:position w:val="0"/>
          <w:sz w:val="24"/>
          <w:szCs w:val="24"/>
        </w:rPr>
        <w:t>报告期内，公司先后成立了传化支付公司，并获取了商业保理资质、融资租 赁资质、互联网金融业务资质和保险经纪牌照，为平台内客户全面提供定制化的 金融服务，增强平台黏性，并围绕业务场景，开发税易保、货嘀保、招商保等</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款保理产品，汽车租赁、设备租赁、物业租赁等融资租赁产品，以及车辆险、货 物险等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余个保险产品。截至报告期，金融业务覆盖</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个省市自治区，服务用 户</w:t>
      </w:r>
      <w:r>
        <w:rPr>
          <w:rFonts w:ascii="Times New Roman" w:eastAsia="Times New Roman" w:hAnsi="Times New Roman" w:cs="Times New Roman"/>
          <w:color w:val="000000"/>
          <w:spacing w:val="0"/>
          <w:w w:val="100"/>
          <w:position w:val="0"/>
          <w:sz w:val="24"/>
          <w:szCs w:val="24"/>
        </w:rPr>
        <w:t>81</w:t>
      </w:r>
      <w:r>
        <w:rPr>
          <w:color w:val="000000"/>
          <w:spacing w:val="0"/>
          <w:w w:val="100"/>
          <w:position w:val="0"/>
          <w:sz w:val="24"/>
          <w:szCs w:val="24"/>
        </w:rPr>
        <w:t>万个，年交易笔数</w:t>
      </w:r>
      <w:r>
        <w:rPr>
          <w:rFonts w:ascii="Times New Roman" w:eastAsia="Times New Roman" w:hAnsi="Times New Roman" w:cs="Times New Roman"/>
          <w:color w:val="000000"/>
          <w:spacing w:val="0"/>
          <w:w w:val="100"/>
          <w:position w:val="0"/>
          <w:sz w:val="24"/>
          <w:szCs w:val="24"/>
        </w:rPr>
        <w:t>481.5</w:t>
      </w:r>
      <w:r>
        <w:rPr>
          <w:color w:val="000000"/>
          <w:spacing w:val="0"/>
          <w:w w:val="100"/>
          <w:position w:val="0"/>
          <w:sz w:val="24"/>
          <w:szCs w:val="24"/>
        </w:rPr>
        <w:t>万笔，年交易流量</w:t>
      </w:r>
      <w:r>
        <w:rPr>
          <w:rFonts w:ascii="Times New Roman" w:eastAsia="Times New Roman" w:hAnsi="Times New Roman" w:cs="Times New Roman"/>
          <w:color w:val="000000"/>
          <w:spacing w:val="0"/>
          <w:w w:val="100"/>
          <w:position w:val="0"/>
          <w:sz w:val="24"/>
          <w:szCs w:val="24"/>
        </w:rPr>
        <w:t>27.59</w:t>
      </w:r>
      <w:r>
        <w:rPr>
          <w:color w:val="000000"/>
          <w:spacing w:val="0"/>
          <w:w w:val="100"/>
          <w:position w:val="0"/>
          <w:sz w:val="24"/>
          <w:szCs w:val="24"/>
        </w:rPr>
        <w:t>亿元。</w:t>
      </w:r>
    </w:p>
    <w:p>
      <w:pPr>
        <w:pStyle w:val="Style14"/>
        <w:keepNext w:val="0"/>
        <w:keepLines w:val="0"/>
        <w:widowControl w:val="0"/>
        <w:shd w:val="clear" w:color="auto" w:fill="auto"/>
        <w:tabs>
          <w:tab w:pos="1085" w:val="left"/>
        </w:tabs>
        <w:bidi w:val="0"/>
        <w:spacing w:before="0" w:after="0" w:line="581" w:lineRule="exact"/>
        <w:ind w:left="0" w:right="0" w:firstLine="500"/>
        <w:jc w:val="both"/>
      </w:pPr>
      <w:bookmarkStart w:id="44" w:name="bookmark44"/>
      <w:r>
        <w:rPr>
          <w:b/>
          <w:bCs/>
          <w:color w:val="000000"/>
          <w:spacing w:val="0"/>
          <w:w w:val="100"/>
          <w:position w:val="0"/>
          <w:sz w:val="24"/>
          <w:szCs w:val="24"/>
        </w:rPr>
        <w:t>（</w:t>
      </w:r>
      <w:bookmarkEnd w:id="44"/>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4"/>
          <w:szCs w:val="24"/>
        </w:rPr>
        <w:t>）</w:t>
        <w:tab/>
        <w:t>公司的战略行动得到社会各界高度认可，公司的行业综合实力进一步 提升。</w:t>
      </w:r>
      <w:r>
        <w:rPr>
          <w:color w:val="000000"/>
          <w:spacing w:val="0"/>
          <w:w w:val="100"/>
          <w:position w:val="0"/>
          <w:sz w:val="24"/>
          <w:szCs w:val="24"/>
        </w:rPr>
        <w:t>报告期内，公司得到了国家各部委、各级政府的大力支持。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 公路港网络工程列入“国务院”（国办</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号）文件；</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月，公路港项目成功入 选国家发改委交通物流融合发展第一批重点项目，同时列入国家发改委物流业转 型升级重大专项；一系列重点项目纳入交通运输部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规划；成功入选国家 商务部全国第一批智慧物流配送示范企业；杭州传化公路港成为国家发改委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 国首批国家级物流示范园区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；易货嘀、济南公路港、泉州公路港、哈尔滨公路 港、重庆公路港、成都公路港、沈阳公路港</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家传化企业成功入选国家交通运输 部全国首批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无车承运人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试点企业</w:t>
      </w:r>
      <w:r>
        <w:rPr>
          <w:color w:val="000000"/>
          <w:spacing w:val="0"/>
          <w:w w:val="100"/>
          <w:position w:val="0"/>
          <w:sz w:val="24"/>
          <w:szCs w:val="24"/>
        </w:rPr>
        <w:t>；</w:t>
      </w:r>
      <w:r>
        <w:rPr>
          <w:color w:val="000000"/>
          <w:spacing w:val="0"/>
          <w:w w:val="100"/>
          <w:position w:val="0"/>
          <w:sz w:val="24"/>
          <w:szCs w:val="24"/>
        </w:rPr>
        <w:t>金华公路港、泉州公路港入选国家流通设施 重点建设项目；富阳公路港荣获中国物流与采购联合会颁发的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年度全国优 秀物流园区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4"/>
        <w:keepNext w:val="0"/>
        <w:keepLines w:val="0"/>
        <w:widowControl w:val="0"/>
        <w:numPr>
          <w:ilvl w:val="0"/>
          <w:numId w:val="7"/>
        </w:numPr>
        <w:shd w:val="clear" w:color="auto" w:fill="auto"/>
        <w:tabs>
          <w:tab w:pos="1011" w:val="left"/>
        </w:tabs>
        <w:bidi w:val="0"/>
        <w:spacing w:before="0" w:after="0" w:line="581" w:lineRule="exact"/>
        <w:ind w:left="0" w:right="0" w:firstLine="500"/>
        <w:jc w:val="left"/>
      </w:pPr>
      <w:bookmarkStart w:id="45" w:name="bookmark45"/>
      <w:bookmarkEnd w:id="45"/>
      <w:r>
        <w:rPr>
          <w:rFonts w:ascii="Times New Roman" w:eastAsia="Times New Roman" w:hAnsi="Times New Roman" w:cs="Times New Roman"/>
          <w:b/>
          <w:bCs/>
          <w:color w:val="000000"/>
          <w:spacing w:val="0"/>
          <w:w w:val="100"/>
          <w:position w:val="0"/>
          <w:sz w:val="24"/>
          <w:szCs w:val="24"/>
        </w:rPr>
        <w:t>2017</w:t>
      </w:r>
      <w:r>
        <w:rPr>
          <w:b/>
          <w:bCs/>
          <w:color w:val="000000"/>
          <w:spacing w:val="0"/>
          <w:w w:val="100"/>
          <w:position w:val="0"/>
          <w:sz w:val="24"/>
          <w:szCs w:val="24"/>
        </w:rPr>
        <w:t>年一季度业绩</w:t>
      </w:r>
    </w:p>
    <w:p>
      <w:pPr>
        <w:pStyle w:val="Style14"/>
        <w:keepNext w:val="0"/>
        <w:keepLines w:val="0"/>
        <w:widowControl w:val="0"/>
        <w:shd w:val="clear" w:color="auto" w:fill="auto"/>
        <w:bidi w:val="0"/>
        <w:spacing w:before="0" w:after="0" w:line="581" w:lineRule="exact"/>
        <w:ind w:left="0" w:right="0" w:firstLine="50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年的战略布局，为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年业务发展打下了坚实的基础，为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年业 务发展打下了坚实的基础。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年第一季度，虽然受到春节因素的影响，但各 业务仍然实现了加速发展。</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其中，传化网织网业务，以智能信息系统为核心，以公路港为依托的区域织 网业务，实现</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个分拨中心，承运商</w:t>
      </w:r>
      <w:r>
        <w:rPr>
          <w:rFonts w:ascii="Times New Roman" w:eastAsia="Times New Roman" w:hAnsi="Times New Roman" w:cs="Times New Roman"/>
          <w:color w:val="000000"/>
          <w:spacing w:val="0"/>
          <w:w w:val="100"/>
          <w:position w:val="0"/>
          <w:sz w:val="24"/>
          <w:szCs w:val="24"/>
        </w:rPr>
        <w:t>506</w:t>
      </w:r>
      <w:r>
        <w:rPr>
          <w:color w:val="000000"/>
          <w:spacing w:val="0"/>
          <w:w w:val="100"/>
          <w:position w:val="0"/>
          <w:sz w:val="24"/>
          <w:szCs w:val="24"/>
        </w:rPr>
        <w:t>家，网点</w:t>
      </w:r>
      <w:r>
        <w:rPr>
          <w:rFonts w:ascii="Times New Roman" w:eastAsia="Times New Roman" w:hAnsi="Times New Roman" w:cs="Times New Roman"/>
          <w:color w:val="000000"/>
          <w:spacing w:val="0"/>
          <w:w w:val="100"/>
          <w:position w:val="0"/>
          <w:sz w:val="24"/>
          <w:szCs w:val="24"/>
        </w:rPr>
        <w:t>719</w:t>
      </w:r>
      <w:r>
        <w:rPr>
          <w:color w:val="000000"/>
          <w:spacing w:val="0"/>
          <w:w w:val="100"/>
          <w:position w:val="0"/>
          <w:sz w:val="24"/>
          <w:szCs w:val="24"/>
        </w:rPr>
        <w:t>个；互联网物流业务， 陆鲸和易货嘀经过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年的调整，</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年第一季度也实现了快速的发展。</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在以上经营举措的支撑下，预计</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年第一季度，公司物流业务实现营收 </w:t>
      </w:r>
      <w:r>
        <w:rPr>
          <w:rFonts w:ascii="Times New Roman" w:eastAsia="Times New Roman" w:hAnsi="Times New Roman" w:cs="Times New Roman"/>
          <w:color w:val="000000"/>
          <w:spacing w:val="0"/>
          <w:w w:val="100"/>
          <w:position w:val="0"/>
          <w:sz w:val="24"/>
          <w:szCs w:val="24"/>
        </w:rPr>
        <w:t>12.21</w:t>
      </w:r>
      <w:r>
        <w:rPr>
          <w:color w:val="000000"/>
          <w:spacing w:val="0"/>
          <w:w w:val="100"/>
          <w:position w:val="0"/>
          <w:sz w:val="24"/>
          <w:szCs w:val="24"/>
        </w:rPr>
        <w:t>亿，同比增长</w:t>
      </w:r>
      <w:r>
        <w:rPr>
          <w:rFonts w:ascii="Times New Roman" w:eastAsia="Times New Roman" w:hAnsi="Times New Roman" w:cs="Times New Roman"/>
          <w:color w:val="000000"/>
          <w:spacing w:val="0"/>
          <w:w w:val="100"/>
          <w:position w:val="0"/>
          <w:sz w:val="24"/>
          <w:szCs w:val="24"/>
        </w:rPr>
        <w:t>511%</w:t>
      </w:r>
      <w:r>
        <w:rPr>
          <w:color w:val="000000"/>
          <w:spacing w:val="0"/>
          <w:w w:val="100"/>
          <w:position w:val="0"/>
          <w:sz w:val="24"/>
          <w:szCs w:val="24"/>
        </w:rPr>
        <w:t>，利润总额</w:t>
      </w:r>
      <w:r>
        <w:rPr>
          <w:rFonts w:ascii="Times New Roman" w:eastAsia="Times New Roman" w:hAnsi="Times New Roman" w:cs="Times New Roman"/>
          <w:color w:val="000000"/>
          <w:spacing w:val="0"/>
          <w:w w:val="100"/>
          <w:position w:val="0"/>
          <w:sz w:val="24"/>
          <w:szCs w:val="24"/>
        </w:rPr>
        <w:t>1.62</w:t>
      </w:r>
      <w:r>
        <w:rPr>
          <w:color w:val="000000"/>
          <w:spacing w:val="0"/>
          <w:w w:val="100"/>
          <w:position w:val="0"/>
          <w:sz w:val="24"/>
          <w:szCs w:val="24"/>
        </w:rPr>
        <w:t>亿，同比增长</w:t>
      </w:r>
      <w:r>
        <w:rPr>
          <w:rFonts w:ascii="Times New Roman" w:eastAsia="Times New Roman" w:hAnsi="Times New Roman" w:cs="Times New Roman"/>
          <w:color w:val="000000"/>
          <w:spacing w:val="0"/>
          <w:w w:val="100"/>
          <w:position w:val="0"/>
          <w:sz w:val="24"/>
          <w:szCs w:val="24"/>
        </w:rPr>
        <w:t>174%</w:t>
      </w:r>
      <w:r>
        <w:rPr>
          <w:color w:val="000000"/>
          <w:spacing w:val="0"/>
          <w:w w:val="100"/>
          <w:position w:val="0"/>
          <w:sz w:val="24"/>
          <w:szCs w:val="24"/>
        </w:rPr>
        <w:t>，归母净利润</w:t>
      </w:r>
      <w:r>
        <w:rPr>
          <w:rFonts w:ascii="Times New Roman" w:eastAsia="Times New Roman" w:hAnsi="Times New Roman" w:cs="Times New Roman"/>
          <w:color w:val="000000"/>
          <w:spacing w:val="0"/>
          <w:w w:val="100"/>
          <w:position w:val="0"/>
          <w:sz w:val="24"/>
          <w:szCs w:val="24"/>
        </w:rPr>
        <w:t xml:space="preserve">0.49 </w:t>
      </w:r>
      <w:r>
        <w:rPr>
          <w:color w:val="000000"/>
          <w:spacing w:val="0"/>
          <w:w w:val="100"/>
          <w:position w:val="0"/>
          <w:sz w:val="24"/>
          <w:szCs w:val="24"/>
        </w:rPr>
        <w:t>亿，同比增长</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w:t>
      </w:r>
    </w:p>
    <w:p>
      <w:pPr>
        <w:pStyle w:val="Style14"/>
        <w:keepNext w:val="0"/>
        <w:keepLines w:val="0"/>
        <w:widowControl w:val="0"/>
        <w:shd w:val="clear" w:color="auto" w:fill="auto"/>
        <w:bidi w:val="0"/>
        <w:spacing w:before="0" w:after="0" w:line="581" w:lineRule="exact"/>
        <w:ind w:left="0" w:right="0" w:firstLine="500"/>
        <w:jc w:val="left"/>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报告期内，公司化工业务单元在战略深化、国际拓展、技术研发、信息化管 理和供应链等方面继续升级、优化，推动各业务单元业绩高速增长和管理水平的 持续提升，全年经营业绩、综合实力迈上新台阶。</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战略持续深化与落地。在公司战略的指导下，各</w:t>
      </w:r>
      <w:r>
        <w:rPr>
          <w:rFonts w:ascii="Times New Roman" w:eastAsia="Times New Roman" w:hAnsi="Times New Roman" w:cs="Times New Roman"/>
          <w:color w:val="000000"/>
          <w:spacing w:val="0"/>
          <w:w w:val="100"/>
          <w:position w:val="0"/>
          <w:sz w:val="24"/>
          <w:szCs w:val="24"/>
        </w:rPr>
        <w:t>SBU</w:t>
      </w:r>
      <w:r>
        <w:rPr>
          <w:color w:val="000000"/>
          <w:spacing w:val="0"/>
          <w:w w:val="100"/>
          <w:position w:val="0"/>
          <w:sz w:val="24"/>
          <w:szCs w:val="24"/>
        </w:rPr>
        <w:t>根据自身实际情况， 制定符合自身特点和行业趋势的发展战略。规划以数据和事实为准绳，设计数据 采集与分析模型，并与多位行业专家研讨、论证。规划过程中营造全员参与的氛 围，组织各类研讨会、头脑风暴会</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余场，累计参加超过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人次。</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国际化水平大幅提升。公司在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年成功收购拓纳化学，借助拓纳实现国 际化布局，业务版图扩张迅速，目前国际市场覆盖超过</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个国家和地区，公司 面向国际的产品研发、应用服务、生产制造以及供应链管理等能力得到大幅提升。</w:t>
      </w:r>
    </w:p>
    <w:p>
      <w:pPr>
        <w:pStyle w:val="Style14"/>
        <w:keepNext w:val="0"/>
        <w:keepLines w:val="0"/>
        <w:widowControl w:val="0"/>
        <w:shd w:val="clear" w:color="auto" w:fill="auto"/>
        <w:bidi w:val="0"/>
        <w:spacing w:before="0" w:after="0" w:line="581" w:lineRule="exact"/>
        <w:ind w:left="0" w:right="0" w:firstLine="500"/>
        <w:jc w:val="left"/>
      </w:pPr>
      <w:r>
        <w:rPr>
          <w:color w:val="000000"/>
          <w:spacing w:val="0"/>
          <w:w w:val="100"/>
          <w:position w:val="0"/>
          <w:sz w:val="24"/>
          <w:szCs w:val="24"/>
        </w:rPr>
        <w:t>技术与工艺不断突破。公司坚持“绿色环保”、“性能卓越”和“差异化” 的研发导向，对内加强队伍建设，提升研发硬件配置，对外与多家机构进行研发 合作与交流。在持续做实基础研究的同时，在技术开发和工程工艺层面取得多项</w:t>
      </w:r>
    </w:p>
    <w:p>
      <w:pPr>
        <w:pStyle w:val="Style14"/>
        <w:keepNext w:val="0"/>
        <w:keepLines w:val="0"/>
        <w:widowControl w:val="0"/>
        <w:shd w:val="clear" w:color="auto" w:fill="auto"/>
        <w:bidi w:val="0"/>
        <w:spacing w:before="0" w:after="0" w:line="586" w:lineRule="exact"/>
        <w:ind w:left="0" w:right="0" w:firstLine="560"/>
        <w:jc w:val="left"/>
      </w:pPr>
      <w:r>
        <w:rPr>
          <w:color w:val="000000"/>
          <w:spacing w:val="0"/>
          <w:w w:val="100"/>
          <w:position w:val="0"/>
          <w:sz w:val="24"/>
          <w:szCs w:val="24"/>
        </w:rPr>
        <w:t>成绩。多项核心技术和共性技术取得突破，产品性能和生产自动化水平不断提升。</w:t>
      </w:r>
    </w:p>
    <w:p>
      <w:pPr>
        <w:pStyle w:val="Style14"/>
        <w:keepNext w:val="0"/>
        <w:keepLines w:val="0"/>
        <w:widowControl w:val="0"/>
        <w:shd w:val="clear" w:color="auto" w:fill="auto"/>
        <w:bidi w:val="0"/>
        <w:spacing w:before="0" w:after="0" w:line="586" w:lineRule="exact"/>
        <w:ind w:left="560" w:right="0" w:firstLine="600"/>
        <w:jc w:val="left"/>
      </w:pP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与供应链管理水平持续提高。</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项目按照既定计划稳步推进，并一次 上线成功。业务流程、业务数据得到进一步梳理和优化。以此为基础供应链管理 水平不断提升，产供销协同流程更为清晰、明确，销售预测准确率不断提升。</w:t>
      </w:r>
    </w:p>
    <w:p>
      <w:pPr>
        <w:pStyle w:val="Style14"/>
        <w:keepNext w:val="0"/>
        <w:keepLines w:val="0"/>
        <w:widowControl w:val="0"/>
        <w:shd w:val="clear" w:color="auto" w:fill="auto"/>
        <w:bidi w:val="0"/>
        <w:spacing w:before="0" w:after="280" w:line="586" w:lineRule="exact"/>
        <w:ind w:left="1040" w:right="0" w:firstLine="0"/>
        <w:jc w:val="left"/>
      </w:pPr>
      <w:bookmarkStart w:id="46" w:name="bookmark46"/>
      <w:r>
        <w:rPr>
          <w:b/>
          <w:bCs/>
          <w:color w:val="000000"/>
          <w:spacing w:val="0"/>
          <w:w w:val="100"/>
          <w:position w:val="0"/>
          <w:sz w:val="24"/>
          <w:szCs w:val="24"/>
        </w:rPr>
        <w:t>二</w:t>
      </w:r>
      <w:bookmarkEnd w:id="46"/>
      <w:r>
        <w:rPr>
          <w:b/>
          <w:bCs/>
          <w:color w:val="000000"/>
          <w:spacing w:val="0"/>
          <w:w w:val="100"/>
          <w:position w:val="0"/>
          <w:sz w:val="24"/>
          <w:szCs w:val="24"/>
        </w:rPr>
        <w:t>、主营业务分析</w:t>
      </w:r>
    </w:p>
    <w:p>
      <w:pPr>
        <w:pStyle w:val="Style14"/>
        <w:keepNext w:val="0"/>
        <w:keepLines w:val="0"/>
        <w:widowControl w:val="0"/>
        <w:shd w:val="clear" w:color="auto" w:fill="auto"/>
        <w:tabs>
          <w:tab w:pos="1418" w:val="left"/>
        </w:tabs>
        <w:bidi w:val="0"/>
        <w:spacing w:before="0" w:after="0" w:line="509" w:lineRule="auto"/>
        <w:ind w:left="1040" w:right="0" w:firstLine="0"/>
        <w:jc w:val="left"/>
      </w:pPr>
      <w:bookmarkStart w:id="47" w:name="bookmark47"/>
      <w:r>
        <w:rPr>
          <w:rFonts w:ascii="Times New Roman" w:eastAsia="Times New Roman" w:hAnsi="Times New Roman" w:cs="Times New Roman"/>
          <w:color w:val="000000"/>
          <w:spacing w:val="0"/>
          <w:w w:val="100"/>
          <w:position w:val="0"/>
          <w:sz w:val="24"/>
          <w:szCs w:val="24"/>
        </w:rPr>
        <w:t>1</w:t>
      </w:r>
      <w:bookmarkEnd w:id="47"/>
      <w:r>
        <w:rPr>
          <w:color w:val="000000"/>
          <w:spacing w:val="0"/>
          <w:w w:val="100"/>
          <w:position w:val="0"/>
          <w:sz w:val="24"/>
          <w:szCs w:val="24"/>
        </w:rPr>
        <w:t>、</w:t>
        <w:tab/>
        <w:t>概述</w:t>
      </w:r>
    </w:p>
    <w:p>
      <w:pPr>
        <w:pStyle w:val="Style14"/>
        <w:keepNext w:val="0"/>
        <w:keepLines w:val="0"/>
        <w:widowControl w:val="0"/>
        <w:shd w:val="clear" w:color="auto" w:fill="auto"/>
        <w:bidi w:val="0"/>
        <w:spacing w:before="0" w:after="280" w:line="586" w:lineRule="exact"/>
        <w:ind w:left="1040" w:right="0" w:firstLine="0"/>
        <w:jc w:val="left"/>
      </w:pPr>
      <w:r>
        <w:rPr>
          <w:color w:val="000000"/>
          <w:spacing w:val="0"/>
          <w:w w:val="100"/>
          <w:position w:val="0"/>
          <w:sz w:val="24"/>
          <w:szCs w:val="24"/>
        </w:rPr>
        <w:t>参见“经营情况讨论与分析”中的“一、概述”相关内容。</w:t>
      </w:r>
    </w:p>
    <w:p>
      <w:pPr>
        <w:pStyle w:val="Style14"/>
        <w:keepNext w:val="0"/>
        <w:keepLines w:val="0"/>
        <w:widowControl w:val="0"/>
        <w:shd w:val="clear" w:color="auto" w:fill="auto"/>
        <w:tabs>
          <w:tab w:pos="1442" w:val="left"/>
        </w:tabs>
        <w:bidi w:val="0"/>
        <w:spacing w:before="0" w:after="0" w:line="509" w:lineRule="auto"/>
        <w:ind w:left="1040" w:right="0" w:firstLine="0"/>
        <w:jc w:val="left"/>
      </w:pPr>
      <w:bookmarkStart w:id="48" w:name="bookmark48"/>
      <w:r>
        <w:rPr>
          <w:rFonts w:ascii="Times New Roman" w:eastAsia="Times New Roman" w:hAnsi="Times New Roman" w:cs="Times New Roman"/>
          <w:color w:val="000000"/>
          <w:spacing w:val="0"/>
          <w:w w:val="100"/>
          <w:position w:val="0"/>
          <w:sz w:val="24"/>
          <w:szCs w:val="24"/>
        </w:rPr>
        <w:t>2</w:t>
      </w:r>
      <w:bookmarkEnd w:id="48"/>
      <w:r>
        <w:rPr>
          <w:color w:val="000000"/>
          <w:spacing w:val="0"/>
          <w:w w:val="100"/>
          <w:position w:val="0"/>
          <w:sz w:val="24"/>
          <w:szCs w:val="24"/>
        </w:rPr>
        <w:t>、</w:t>
        <w:tab/>
        <w:t>收入与成本</w:t>
      </w:r>
    </w:p>
    <w:p>
      <w:pPr>
        <w:pStyle w:val="Style14"/>
        <w:keepNext w:val="0"/>
        <w:keepLines w:val="0"/>
        <w:widowControl w:val="0"/>
        <w:shd w:val="clear" w:color="auto" w:fill="auto"/>
        <w:bidi w:val="0"/>
        <w:spacing w:before="0" w:after="160" w:line="586" w:lineRule="exact"/>
        <w:ind w:left="1040" w:right="0" w:firstLine="0"/>
        <w:jc w:val="left"/>
      </w:pPr>
      <w:bookmarkStart w:id="49" w:name="bookmark49"/>
      <w:r>
        <w:rPr>
          <w:color w:val="000000"/>
          <w:spacing w:val="0"/>
          <w:w w:val="100"/>
          <w:position w:val="0"/>
          <w:sz w:val="24"/>
          <w:szCs w:val="24"/>
        </w:rPr>
        <w:t>（</w:t>
      </w:r>
      <w:bookmarkEnd w:id="4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）营业务收入构成</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1603"/>
        <w:gridCol w:w="1594"/>
        <w:gridCol w:w="1594"/>
        <w:gridCol w:w="1594"/>
        <w:gridCol w:w="1594"/>
        <w:gridCol w:w="1598"/>
      </w:tblGrid>
      <w:tr>
        <w:trPr>
          <w:trHeight w:val="451"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87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占营业务收入比</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占营业务收入比</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8,166,726,777.21</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5,340,340,367.78</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52.93</w:t>
            </w:r>
          </w:p>
        </w:tc>
      </w:tr>
      <w:tr>
        <w:trPr>
          <w:trHeight w:val="442"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c>
          <w:tcPr>
            <w:gridSpan w:val="3"/>
            <w:tcBorders>
              <w:top w:val="single" w:sz="4"/>
              <w:left w:val="single" w:sz="4"/>
              <w:right w:val="single" w:sz="4"/>
            </w:tcBorders>
            <w:shd w:val="clear" w:color="auto" w:fill="D4D4D4"/>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4,274,875,786.77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4,160,550,590.47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3,891,850,990.44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1,179,789,777.31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229.88</w:t>
            </w:r>
          </w:p>
        </w:tc>
      </w:tr>
      <w:tr>
        <w:trPr>
          <w:trHeight w:val="442" w:hRule="exact"/>
        </w:trPr>
        <w:tc>
          <w:tcPr>
            <w:gridSpan w:val="6"/>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印染助剂及染料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2,060,380,499.46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2,448,946,917.10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-15.87</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皮革化纤油剂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730,013,650.73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827,849,764.33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-11.82</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涂料及建筑化学</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489,431,895.90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475,842,117.48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顺丁橡胶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696,189,821.45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407,911,791.56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70.67</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运输总包业务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574,245,311.66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276,762,193.62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107.49</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燃油及轮胎贸易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650,130,337.95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465,816,490.58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39.57</w:t>
            </w:r>
          </w:p>
        </w:tc>
      </w:tr>
      <w:tr>
        <w:trPr>
          <w:trHeight w:val="8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仓储、物流、旅</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馆出租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303,757,505.67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284,057,260.27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105,495,093.26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85,761,974.37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23.01</w:t>
            </w:r>
          </w:p>
        </w:tc>
      </w:tr>
      <w:tr>
        <w:trPr>
          <w:trHeight w:val="4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公路港合作开发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100,193,322.98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67,391,858.47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48.67</w:t>
            </w:r>
          </w:p>
        </w:tc>
      </w:tr>
    </w:tbl>
    <w:p>
      <w:pPr>
        <w:spacing w:lineRule="exact" w:line="1"/>
        <w:rPr>
          <w:sz w:val="2"/>
          <w:szCs w:val="2"/>
        </w:rPr>
      </w:pPr>
      <w:r>
        <w:br w:type="page"/>
      </w:r>
    </w:p>
    <w:tbl>
      <w:tblPr>
        <w:tblOverlap w:val="never"/>
        <w:jc w:val="right"/>
        <w:tblLayout w:type="fixed"/>
      </w:tblPr>
      <w:tblGrid>
        <w:gridCol w:w="1603"/>
        <w:gridCol w:w="1594"/>
        <w:gridCol w:w="1594"/>
        <w:gridCol w:w="1594"/>
        <w:gridCol w:w="1594"/>
        <w:gridCol w:w="1598"/>
      </w:tblGrid>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系列服务收入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32" w:lineRule="exact"/>
              <w:ind w:left="0" w:right="0" w:firstLine="0"/>
              <w:jc w:val="left"/>
              <w:rPr>
                <w:sz w:val="20"/>
                <w:szCs w:val="20"/>
              </w:rPr>
            </w:pPr>
            <w:r>
              <w:rPr>
                <w:color w:val="000000"/>
                <w:spacing w:val="0"/>
                <w:w w:val="100"/>
                <w:position w:val="0"/>
                <w:sz w:val="20"/>
                <w:szCs w:val="20"/>
              </w:rPr>
              <w:t>保理、经纪、融 资租赁业务收入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8,059,532.83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供应链收入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2,448,829,805.32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2" w:hRule="exact"/>
        </w:trPr>
        <w:tc>
          <w:tcPr>
            <w:gridSpan w:val="6"/>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451,988,818.89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497,751,287.17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5,834,563,491.87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3,384,530,511.58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72.39</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450,300,722.95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289,773,982.31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55.40</w:t>
            </w:r>
          </w:p>
        </w:tc>
      </w:tr>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1,429,873,743.50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1,168,284,586.72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22.39</w:t>
            </w:r>
          </w:p>
        </w:tc>
      </w:tr>
    </w:tbl>
    <w:p>
      <w:pPr>
        <w:pStyle w:val="Style30"/>
        <w:keepNext w:val="0"/>
        <w:keepLines w:val="0"/>
        <w:widowControl w:val="0"/>
        <w:shd w:val="clear" w:color="auto" w:fill="auto"/>
        <w:bidi w:val="0"/>
        <w:spacing w:before="0" w:after="0" w:line="240" w:lineRule="auto"/>
        <w:ind w:left="595"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）占公司营业务收入或营业利润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以上的行业、产品或地区情况</w:t>
      </w:r>
    </w:p>
    <w:p>
      <w:pPr>
        <w:widowControl w:val="0"/>
        <w:spacing w:after="119" w:line="1" w:lineRule="exact"/>
      </w:pPr>
    </w:p>
    <w:p>
      <w:pPr>
        <w:pStyle w:val="Style30"/>
        <w:keepNext w:val="0"/>
        <w:keepLines w:val="0"/>
        <w:widowControl w:val="0"/>
        <w:shd w:val="clear" w:color="auto" w:fill="auto"/>
        <w:bidi w:val="0"/>
        <w:spacing w:before="0" w:after="0" w:line="240" w:lineRule="auto"/>
        <w:ind w:left="8030"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1709"/>
        <w:gridCol w:w="1598"/>
        <w:gridCol w:w="1661"/>
        <w:gridCol w:w="850"/>
        <w:gridCol w:w="1589"/>
        <w:gridCol w:w="1368"/>
        <w:gridCol w:w="1373"/>
      </w:tblGrid>
      <w:tr>
        <w:trPr>
          <w:trHeight w:val="13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毛利率</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营业收入比上年</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同期增减（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437" w:lineRule="exact"/>
              <w:ind w:left="0" w:right="0" w:firstLine="0"/>
              <w:jc w:val="center"/>
              <w:rPr>
                <w:sz w:val="20"/>
                <w:szCs w:val="20"/>
              </w:rPr>
            </w:pPr>
            <w:r>
              <w:rPr>
                <w:color w:val="000000"/>
                <w:spacing w:val="0"/>
                <w:w w:val="100"/>
                <w:position w:val="0"/>
                <w:sz w:val="20"/>
                <w:szCs w:val="20"/>
              </w:rPr>
              <w:t>营业成本比上 年同期增减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毛利率比上年</w:t>
            </w:r>
          </w:p>
          <w:p>
            <w:pPr>
              <w:pStyle w:val="Style6"/>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同期增减</w:t>
            </w:r>
          </w:p>
        </w:tc>
      </w:tr>
      <w:tr>
        <w:trPr>
          <w:trHeight w:val="442"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分行业</w:t>
            </w:r>
          </w:p>
        </w:tc>
      </w:tr>
      <w:tr>
        <w:trPr>
          <w:trHeight w:val="8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4,274,875,786.77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3,221,418,582.61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个百</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3,891,850,990.44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3,712,348,758.63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12.32</w:t>
            </w:r>
            <w:r>
              <w:rPr>
                <w:color w:val="000000"/>
                <w:spacing w:val="0"/>
                <w:w w:val="100"/>
                <w:position w:val="0"/>
                <w:sz w:val="20"/>
                <w:szCs w:val="20"/>
              </w:rPr>
              <w:t>个</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百分点</w:t>
            </w:r>
          </w:p>
        </w:tc>
      </w:tr>
      <w:tr>
        <w:trPr>
          <w:trHeight w:val="446"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分产品</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印染助剂及染料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2,060,380,499.46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1,235,194,639.55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增长</w:t>
            </w:r>
            <w:r>
              <w:rPr>
                <w:rFonts w:ascii="Times New Roman" w:eastAsia="Times New Roman" w:hAnsi="Times New Roman" w:cs="Times New Roman"/>
                <w:color w:val="000000"/>
                <w:spacing w:val="0"/>
                <w:w w:val="100"/>
                <w:position w:val="0"/>
                <w:sz w:val="20"/>
                <w:szCs w:val="20"/>
              </w:rPr>
              <w:t>5.40</w:t>
            </w:r>
            <w:r>
              <w:rPr>
                <w:color w:val="000000"/>
                <w:spacing w:val="0"/>
                <w:w w:val="100"/>
                <w:position w:val="0"/>
                <w:sz w:val="20"/>
                <w:szCs w:val="20"/>
              </w:rPr>
              <w:t>个百</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供应链收入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2,448,829,805.32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2,446,602,396.49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2"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分地区</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5,834,563,491.87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4,915,436,966.01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w:t>
            </w:r>
          </w:p>
        </w:tc>
      </w:tr>
      <w:tr>
        <w:trPr>
          <w:trHeight w:val="4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1,429,873,743.50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1,249,405,135.98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-13.19</w:t>
            </w:r>
          </w:p>
        </w:tc>
      </w:tr>
    </w:tbl>
    <w:p>
      <w:pPr>
        <w:widowControl w:val="0"/>
        <w:spacing w:after="119" w:line="1" w:lineRule="exact"/>
      </w:pPr>
    </w:p>
    <w:p>
      <w:pPr>
        <w:pStyle w:val="Style14"/>
        <w:keepNext w:val="0"/>
        <w:keepLines w:val="0"/>
        <w:widowControl w:val="0"/>
        <w:shd w:val="clear" w:color="auto" w:fill="auto"/>
        <w:bidi w:val="0"/>
        <w:spacing w:before="0" w:after="280" w:line="240" w:lineRule="auto"/>
        <w:ind w:left="1900" w:right="0" w:firstLine="0"/>
        <w:jc w:val="left"/>
      </w:pPr>
      <w:r>
        <w:rPr>
          <w:color w:val="000000"/>
          <w:spacing w:val="0"/>
          <w:w w:val="100"/>
          <w:position w:val="0"/>
          <w:sz w:val="24"/>
          <w:szCs w:val="24"/>
        </w:rPr>
        <w:t>公司主营业务数据统计口径在报告期未发生调整。</w:t>
      </w:r>
    </w:p>
    <w:p>
      <w:pPr>
        <w:pStyle w:val="Style14"/>
        <w:keepNext w:val="0"/>
        <w:keepLines w:val="0"/>
        <w:widowControl w:val="0"/>
        <w:shd w:val="clear" w:color="auto" w:fill="auto"/>
        <w:tabs>
          <w:tab w:pos="2426" w:val="left"/>
        </w:tabs>
        <w:bidi w:val="0"/>
        <w:spacing w:before="0" w:after="280" w:line="240" w:lineRule="auto"/>
        <w:ind w:left="1900" w:right="0" w:firstLine="0"/>
        <w:jc w:val="left"/>
      </w:pPr>
      <w:bookmarkStart w:id="50" w:name="bookmark50"/>
      <w:r>
        <w:rPr>
          <w:color w:val="000000"/>
          <w:spacing w:val="0"/>
          <w:w w:val="100"/>
          <w:position w:val="0"/>
          <w:sz w:val="24"/>
          <w:szCs w:val="24"/>
        </w:rPr>
        <w:t>（</w:t>
      </w:r>
      <w:bookmarkEnd w:id="5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报告期内，公司实物销售收入大于劳务收入。</w:t>
      </w:r>
    </w:p>
    <w:p>
      <w:pPr>
        <w:pStyle w:val="Style14"/>
        <w:keepNext w:val="0"/>
        <w:keepLines w:val="0"/>
        <w:widowControl w:val="0"/>
        <w:shd w:val="clear" w:color="auto" w:fill="auto"/>
        <w:tabs>
          <w:tab w:pos="2426" w:val="left"/>
        </w:tabs>
        <w:bidi w:val="0"/>
        <w:spacing w:before="0" w:after="280" w:line="240" w:lineRule="auto"/>
        <w:ind w:left="1900" w:right="0" w:firstLine="0"/>
        <w:jc w:val="left"/>
      </w:pPr>
      <w:bookmarkStart w:id="51" w:name="bookmark51"/>
      <w:r>
        <w:rPr>
          <w:color w:val="000000"/>
          <w:spacing w:val="0"/>
          <w:w w:val="100"/>
          <w:position w:val="0"/>
          <w:sz w:val="24"/>
          <w:szCs w:val="24"/>
        </w:rPr>
        <w:t>（</w:t>
      </w:r>
      <w:bookmarkEnd w:id="5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报告期内，公司不存在重大的在手订单情况。</w:t>
      </w:r>
    </w:p>
    <w:p>
      <w:pPr>
        <w:pStyle w:val="Style14"/>
        <w:keepNext w:val="0"/>
        <w:keepLines w:val="0"/>
        <w:widowControl w:val="0"/>
        <w:shd w:val="clear" w:color="auto" w:fill="auto"/>
        <w:tabs>
          <w:tab w:pos="2426" w:val="left"/>
        </w:tabs>
        <w:bidi w:val="0"/>
        <w:spacing w:before="0" w:after="280" w:line="240" w:lineRule="auto"/>
        <w:ind w:left="1900" w:right="0" w:firstLine="0"/>
        <w:jc w:val="both"/>
      </w:pPr>
      <w:bookmarkStart w:id="52" w:name="bookmark52"/>
      <w:r>
        <w:rPr>
          <w:color w:val="000000"/>
          <w:spacing w:val="0"/>
          <w:w w:val="100"/>
          <w:position w:val="0"/>
          <w:sz w:val="24"/>
          <w:szCs w:val="24"/>
        </w:rPr>
        <w:t>（</w:t>
      </w:r>
      <w:bookmarkEnd w:id="5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营业成本构成</w:t>
      </w:r>
      <w:r>
        <w:br w:type="page"/>
      </w:r>
    </w:p>
    <w:p>
      <w:pPr>
        <w:pStyle w:val="Style14"/>
        <w:keepNext w:val="0"/>
        <w:keepLines w:val="0"/>
        <w:widowControl w:val="0"/>
        <w:shd w:val="clear" w:color="auto" w:fill="auto"/>
        <w:bidi w:val="0"/>
        <w:spacing w:before="0" w:after="140" w:line="240" w:lineRule="auto"/>
        <w:ind w:left="1900" w:right="0" w:firstLine="0"/>
        <w:jc w:val="left"/>
      </w:pPr>
      <w:r>
        <w:rPr>
          <w:color w:val="000000"/>
          <w:spacing w:val="0"/>
          <w:w w:val="100"/>
          <w:position w:val="0"/>
          <w:sz w:val="24"/>
          <w:szCs w:val="24"/>
        </w:rPr>
        <w:t>行业和产品分类</w:t>
      </w:r>
    </w:p>
    <w:p>
      <w:pPr>
        <w:pStyle w:val="Style30"/>
        <w:keepNext w:val="0"/>
        <w:keepLines w:val="0"/>
        <w:widowControl w:val="0"/>
        <w:shd w:val="clear" w:color="auto" w:fill="auto"/>
        <w:bidi w:val="0"/>
        <w:spacing w:before="0" w:after="0" w:line="240" w:lineRule="auto"/>
        <w:ind w:left="88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082"/>
        <w:gridCol w:w="1075"/>
        <w:gridCol w:w="1646"/>
        <w:gridCol w:w="1147"/>
        <w:gridCol w:w="1570"/>
        <w:gridCol w:w="1109"/>
        <w:gridCol w:w="1368"/>
      </w:tblGrid>
      <w:tr>
        <w:trPr>
          <w:trHeight w:val="307"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p>
        </w:tc>
      </w:tr>
      <w:tr>
        <w:trPr>
          <w:trHeight w:val="5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3,221,418,582.61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3,058,819,320.64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w:t>
            </w:r>
          </w:p>
        </w:tc>
      </w:tr>
      <w:tr>
        <w:trPr>
          <w:trHeight w:val="307"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3,712,348,758.63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980,048,055.51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24.27</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278.79</w:t>
            </w:r>
          </w:p>
        </w:tc>
      </w:tr>
    </w:tbl>
    <w:p>
      <w:pPr>
        <w:widowControl w:val="0"/>
        <w:spacing w:after="279" w:line="1" w:lineRule="exact"/>
      </w:pPr>
    </w:p>
    <w:tbl>
      <w:tblPr>
        <w:tblOverlap w:val="never"/>
        <w:jc w:val="center"/>
        <w:tblLayout w:type="fixed"/>
      </w:tblPr>
      <w:tblGrid>
        <w:gridCol w:w="3096"/>
        <w:gridCol w:w="1061"/>
        <w:gridCol w:w="1646"/>
        <w:gridCol w:w="1147"/>
        <w:gridCol w:w="1570"/>
        <w:gridCol w:w="1109"/>
        <w:gridCol w:w="1368"/>
      </w:tblGrid>
      <w:tr>
        <w:trPr>
          <w:trHeight w:val="307"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产品分类</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p>
        </w:tc>
      </w:tr>
      <w:tr>
        <w:trPr>
          <w:trHeight w:val="5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印染助剂及染料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1,235,194,639.55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1,600,414,895.55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-22.82</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皮革化纤油剂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611,454,760.87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684,377,080.38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-10.66</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涂料及建筑化学品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395,606,027.30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351,328,270.42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顺丁橡胶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683,440,498.84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422,699,074.29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61.68</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运输总包业务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570,596,948.25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272,380,608.32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109.49</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燃油及轮胎贸易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601,324,820.15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424,342,562.26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41.71</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仓储、物流、旅馆出租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305,549,357.03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232,411,583.32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31.47</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47,337,732.44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50,913,301.61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-7.02</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公路港合作开发系列服务收入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32,308,638.42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保理、经纪、融资租赁业务收入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4,351,521.90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供应链收入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2,446,602,396.49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900" w:right="0" w:firstLine="0"/>
        <w:jc w:val="left"/>
      </w:pPr>
      <w:bookmarkStart w:id="53" w:name="bookmark53"/>
      <w:r>
        <w:rPr>
          <w:color w:val="000000"/>
          <w:spacing w:val="0"/>
          <w:w w:val="100"/>
          <w:position w:val="0"/>
          <w:sz w:val="24"/>
          <w:szCs w:val="24"/>
        </w:rPr>
        <w:t>（</w:t>
      </w:r>
      <w:bookmarkEnd w:id="53"/>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）报告期内合并范围发生变动情况</w:t>
      </w:r>
    </w:p>
    <w:p>
      <w:pPr>
        <w:pStyle w:val="Style14"/>
        <w:keepNext w:val="0"/>
        <w:keepLines w:val="0"/>
        <w:widowControl w:val="0"/>
        <w:shd w:val="clear" w:color="auto" w:fill="auto"/>
        <w:bidi w:val="0"/>
        <w:spacing w:before="0" w:after="280" w:line="240" w:lineRule="auto"/>
        <w:ind w:left="1900" w:right="0" w:firstLine="0"/>
        <w:jc w:val="left"/>
      </w:pPr>
      <w:r>
        <w:rPr>
          <w:color w:val="000000"/>
          <w:spacing w:val="0"/>
          <w:w w:val="100"/>
          <w:position w:val="0"/>
          <w:sz w:val="24"/>
          <w:szCs w:val="24"/>
        </w:rPr>
        <w:t>具体详见本报告第五节、第八点所述。</w:t>
      </w:r>
    </w:p>
    <w:p>
      <w:pPr>
        <w:pStyle w:val="Style14"/>
        <w:keepNext w:val="0"/>
        <w:keepLines w:val="0"/>
        <w:widowControl w:val="0"/>
        <w:shd w:val="clear" w:color="auto" w:fill="auto"/>
        <w:bidi w:val="0"/>
        <w:spacing w:before="0" w:after="280" w:line="240" w:lineRule="auto"/>
        <w:ind w:left="0" w:right="0" w:firstLine="0"/>
        <w:jc w:val="center"/>
      </w:pPr>
      <w:bookmarkStart w:id="54" w:name="bookmark54"/>
      <w:r>
        <w:rPr>
          <w:rFonts w:ascii="Times New Roman" w:eastAsia="Times New Roman" w:hAnsi="Times New Roman" w:cs="Times New Roman"/>
          <w:color w:val="000000"/>
          <w:spacing w:val="0"/>
          <w:w w:val="100"/>
          <w:position w:val="0"/>
          <w:sz w:val="24"/>
          <w:szCs w:val="24"/>
        </w:rPr>
        <w:t>（</w:t>
      </w:r>
      <w:bookmarkEnd w:id="5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）公司报告期内业务、产品或服务发生未重大变化或调整等情况。</w:t>
      </w:r>
    </w:p>
    <w:p>
      <w:pPr>
        <w:pStyle w:val="Style14"/>
        <w:keepNext w:val="0"/>
        <w:keepLines w:val="0"/>
        <w:widowControl w:val="0"/>
        <w:shd w:val="clear" w:color="auto" w:fill="auto"/>
        <w:bidi w:val="0"/>
        <w:spacing w:before="0" w:after="280" w:line="240" w:lineRule="auto"/>
        <w:ind w:left="1900" w:right="0" w:firstLine="0"/>
        <w:jc w:val="left"/>
      </w:pPr>
      <w:bookmarkStart w:id="55" w:name="bookmark55"/>
      <w:r>
        <w:rPr>
          <w:color w:val="000000"/>
          <w:spacing w:val="0"/>
          <w:w w:val="100"/>
          <w:position w:val="0"/>
          <w:sz w:val="24"/>
          <w:szCs w:val="24"/>
        </w:rPr>
        <w:t>（</w:t>
      </w:r>
      <w:bookmarkEnd w:id="5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）主要销售客户和主要供应商情况</w:t>
      </w:r>
    </w:p>
    <w:p>
      <w:pPr>
        <w:pStyle w:val="Style14"/>
        <w:keepNext w:val="0"/>
        <w:keepLines w:val="0"/>
        <w:widowControl w:val="0"/>
        <w:shd w:val="clear" w:color="auto" w:fill="auto"/>
        <w:bidi w:val="0"/>
        <w:spacing w:before="0" w:after="140" w:line="240" w:lineRule="auto"/>
        <w:ind w:left="1900" w:right="0" w:firstLine="0"/>
        <w:jc w:val="left"/>
      </w:pPr>
      <w:r>
        <w:rPr>
          <w:color w:val="000000"/>
          <w:spacing w:val="0"/>
          <w:w w:val="100"/>
          <w:position w:val="0"/>
          <w:sz w:val="24"/>
          <w:szCs w:val="24"/>
        </w:rPr>
        <w:t>公司主要销售客户情况：</w:t>
      </w:r>
    </w:p>
    <w:tbl>
      <w:tblPr>
        <w:tblOverlap w:val="never"/>
        <w:jc w:val="right"/>
        <w:tblLayout w:type="fixed"/>
      </w:tblPr>
      <w:tblGrid>
        <w:gridCol w:w="5928"/>
        <w:gridCol w:w="3686"/>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1,011,986,791.11</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w:t>
            </w: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399" w:line="1" w:lineRule="exact"/>
      </w:pPr>
    </w:p>
    <w:p>
      <w:pPr>
        <w:pStyle w:val="Style30"/>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p>
    <w:tbl>
      <w:tblPr>
        <w:tblOverlap w:val="never"/>
        <w:jc w:val="right"/>
        <w:tblLayout w:type="fixed"/>
      </w:tblPr>
      <w:tblGrid>
        <w:gridCol w:w="806"/>
        <w:gridCol w:w="3302"/>
        <w:gridCol w:w="2323"/>
        <w:gridCol w:w="3149"/>
      </w:tblGrid>
      <w:tr>
        <w:trPr>
          <w:trHeight w:val="307"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序号</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46"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335,941,880.87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w:t>
            </w:r>
          </w:p>
        </w:tc>
      </w:tr>
    </w:tbl>
    <w:p>
      <w:pPr>
        <w:spacing w:lineRule="exact" w:line="1"/>
        <w:rPr>
          <w:sz w:val="2"/>
          <w:szCs w:val="2"/>
        </w:rPr>
      </w:pPr>
      <w:r>
        <w:br w:type="page"/>
      </w:r>
    </w:p>
    <w:tbl>
      <w:tblPr>
        <w:tblOverlap w:val="never"/>
        <w:jc w:val="right"/>
        <w:tblLayout w:type="fixed"/>
      </w:tblPr>
      <w:tblGrid>
        <w:gridCol w:w="806"/>
        <w:gridCol w:w="3302"/>
        <w:gridCol w:w="2323"/>
        <w:gridCol w:w="3149"/>
      </w:tblGrid>
      <w:tr>
        <w:trPr>
          <w:trHeight w:val="45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197,211,536.41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w:t>
            </w:r>
          </w:p>
        </w:tc>
      </w:tr>
      <w:tr>
        <w:trPr>
          <w:trHeight w:val="44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183,466,142.56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171,404,977.96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123,962,253.31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w:t>
            </w:r>
          </w:p>
        </w:tc>
      </w:tr>
      <w:tr>
        <w:trPr>
          <w:trHeight w:val="451"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1,011,986,791.11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公司主要供应商情况:</w:t>
      </w:r>
    </w:p>
    <w:p>
      <w:pPr>
        <w:widowControl w:val="0"/>
        <w:spacing w:after="119" w:line="1" w:lineRule="exact"/>
      </w:pPr>
    </w:p>
    <w:tbl>
      <w:tblPr>
        <w:tblOverlap w:val="never"/>
        <w:jc w:val="right"/>
        <w:tblLayout w:type="fixed"/>
      </w:tblPr>
      <w:tblGrid>
        <w:gridCol w:w="6096"/>
        <w:gridCol w:w="3490"/>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1,366,649,909.00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20.41</w:t>
            </w:r>
          </w:p>
        </w:tc>
      </w:tr>
      <w:tr>
        <w:trPr>
          <w:trHeight w:val="38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p>
    <w:p>
      <w:pPr>
        <w:widowControl w:val="0"/>
        <w:spacing w:after="119" w:line="1" w:lineRule="exact"/>
      </w:pPr>
    </w:p>
    <w:tbl>
      <w:tblPr>
        <w:tblOverlap w:val="never"/>
        <w:jc w:val="right"/>
        <w:tblLayout w:type="fixed"/>
      </w:tblPr>
      <w:tblGrid>
        <w:gridCol w:w="941"/>
        <w:gridCol w:w="3168"/>
        <w:gridCol w:w="2323"/>
        <w:gridCol w:w="3149"/>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序号</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445,528,034.05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w:t>
            </w:r>
          </w:p>
        </w:tc>
      </w:tr>
      <w:tr>
        <w:trPr>
          <w:trHeight w:val="44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383,642,794.70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288,499,777.38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128,620,135.83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120,359,167.04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w:t>
            </w:r>
          </w:p>
        </w:tc>
      </w:tr>
      <w:tr>
        <w:trPr>
          <w:trHeight w:val="446"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1,366,649,909.00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20.41</w:t>
            </w:r>
          </w:p>
        </w:tc>
      </w:tr>
    </w:tbl>
    <w:p>
      <w:pPr>
        <w:pStyle w:val="Style30"/>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、费用</w:t>
      </w:r>
    </w:p>
    <w:p>
      <w:pPr>
        <w:widowControl w:val="0"/>
        <w:spacing w:after="119" w:line="1" w:lineRule="exact"/>
      </w:pPr>
    </w:p>
    <w:p>
      <w:pPr>
        <w:pStyle w:val="Style30"/>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25"/>
        <w:gridCol w:w="1637"/>
        <w:gridCol w:w="1637"/>
        <w:gridCol w:w="1459"/>
        <w:gridCol w:w="2923"/>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117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587,847,703.85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347,267,047.87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主要原因系公司为拓展业务、促 销人员增加导致职工薪酬及业 务费、广告及业务宣传费增加等 因素所致。</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910,472,956.69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700,212,896.34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主要原因系公司战略核心业务 的拓展、人员增加等因素所致。</w:t>
            </w:r>
          </w:p>
        </w:tc>
      </w:tr>
      <w:tr>
        <w:trPr>
          <w:trHeight w:val="59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-119,575,335.41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52,419,940.31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-328.11</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主要原因系公司募集资金利息 收入同比增加所致。</w:t>
            </w:r>
          </w:p>
        </w:tc>
      </w:tr>
    </w:tbl>
    <w:p>
      <w:pPr>
        <w:widowControl w:val="0"/>
        <w:spacing w:after="119" w:line="1" w:lineRule="exact"/>
      </w:pPr>
    </w:p>
    <w:p>
      <w:pPr>
        <w:pStyle w:val="Style14"/>
        <w:keepNext w:val="0"/>
        <w:keepLines w:val="0"/>
        <w:widowControl w:val="0"/>
        <w:shd w:val="clear" w:color="auto" w:fill="auto"/>
        <w:bidi w:val="0"/>
        <w:spacing w:before="0" w:after="280" w:line="240" w:lineRule="auto"/>
        <w:ind w:left="1900" w:right="0" w:firstLine="0"/>
        <w:jc w:val="left"/>
      </w:pPr>
      <w:bookmarkStart w:id="56" w:name="bookmark56"/>
      <w:r>
        <w:rPr>
          <w:rFonts w:ascii="Times New Roman" w:eastAsia="Times New Roman" w:hAnsi="Times New Roman" w:cs="Times New Roman"/>
          <w:color w:val="000000"/>
          <w:spacing w:val="0"/>
          <w:w w:val="100"/>
          <w:position w:val="0"/>
          <w:sz w:val="24"/>
          <w:szCs w:val="24"/>
        </w:rPr>
        <w:t>4</w:t>
      </w:r>
      <w:bookmarkEnd w:id="56"/>
      <w:r>
        <w:rPr>
          <w:color w:val="000000"/>
          <w:spacing w:val="0"/>
          <w:w w:val="100"/>
          <w:position w:val="0"/>
          <w:sz w:val="24"/>
          <w:szCs w:val="24"/>
        </w:rPr>
        <w:t>、研发投入</w:t>
      </w:r>
    </w:p>
    <w:p>
      <w:pPr>
        <w:pStyle w:val="Style14"/>
        <w:keepNext w:val="0"/>
        <w:keepLines w:val="0"/>
        <w:widowControl w:val="0"/>
        <w:shd w:val="clear" w:color="auto" w:fill="auto"/>
        <w:bidi w:val="0"/>
        <w:spacing w:before="0" w:after="280" w:line="240" w:lineRule="auto"/>
        <w:ind w:left="1900" w:right="0" w:firstLine="0"/>
        <w:jc w:val="left"/>
      </w:pPr>
      <w:r>
        <w:rPr>
          <w:color w:val="000000"/>
          <w:spacing w:val="0"/>
          <w:w w:val="100"/>
          <w:position w:val="0"/>
          <w:sz w:val="24"/>
          <w:szCs w:val="24"/>
        </w:rPr>
        <w:t>本年度研发投入</w:t>
      </w:r>
      <w:r>
        <w:rPr>
          <w:rFonts w:ascii="Times New Roman" w:eastAsia="Times New Roman" w:hAnsi="Times New Roman" w:cs="Times New Roman"/>
          <w:color w:val="000000"/>
          <w:spacing w:val="0"/>
          <w:w w:val="100"/>
          <w:position w:val="0"/>
          <w:sz w:val="24"/>
          <w:szCs w:val="24"/>
        </w:rPr>
        <w:t>151,732,486.00</w:t>
      </w:r>
      <w:r>
        <w:rPr>
          <w:color w:val="000000"/>
          <w:spacing w:val="0"/>
          <w:w w:val="100"/>
          <w:position w:val="0"/>
          <w:sz w:val="24"/>
          <w:szCs w:val="24"/>
        </w:rPr>
        <w:t>元，较上年增长</w:t>
      </w:r>
      <w:r>
        <w:rPr>
          <w:rFonts w:ascii="Times New Roman" w:eastAsia="Times New Roman" w:hAnsi="Times New Roman" w:cs="Times New Roman"/>
          <w:color w:val="000000"/>
          <w:spacing w:val="0"/>
          <w:w w:val="100"/>
          <w:position w:val="0"/>
          <w:sz w:val="24"/>
          <w:szCs w:val="24"/>
        </w:rPr>
        <w:t>5.06%</w:t>
      </w:r>
      <w:r>
        <w:rPr>
          <w:color w:val="000000"/>
          <w:spacing w:val="0"/>
          <w:w w:val="100"/>
          <w:position w:val="0"/>
          <w:sz w:val="24"/>
          <w:szCs w:val="24"/>
        </w:rPr>
        <w:t>,公司保持持续性的</w:t>
      </w:r>
    </w:p>
    <w:p>
      <w:pPr>
        <w:pStyle w:val="Style14"/>
        <w:keepNext w:val="0"/>
        <w:keepLines w:val="0"/>
        <w:widowControl w:val="0"/>
        <w:shd w:val="clear" w:color="auto" w:fill="auto"/>
        <w:bidi w:val="0"/>
        <w:spacing w:before="0" w:after="280" w:line="240" w:lineRule="auto"/>
        <w:ind w:left="1400" w:right="0" w:firstLine="0"/>
        <w:jc w:val="left"/>
      </w:pPr>
      <w:r>
        <w:rPr>
          <w:color w:val="000000"/>
          <w:spacing w:val="0"/>
          <w:w w:val="100"/>
          <w:position w:val="0"/>
          <w:sz w:val="24"/>
          <w:szCs w:val="24"/>
        </w:rPr>
        <w:t>的研发投入，以推进公司业务发展。</w:t>
      </w:r>
    </w:p>
    <w:p>
      <w:pPr>
        <w:pStyle w:val="Style14"/>
        <w:keepNext w:val="0"/>
        <w:keepLines w:val="0"/>
        <w:widowControl w:val="0"/>
        <w:shd w:val="clear" w:color="auto" w:fill="auto"/>
        <w:bidi w:val="0"/>
        <w:spacing w:before="0" w:after="160" w:line="240" w:lineRule="auto"/>
        <w:ind w:left="1900" w:right="0" w:firstLine="0"/>
        <w:jc w:val="left"/>
      </w:pPr>
      <w:r>
        <w:rPr>
          <w:color w:val="000000"/>
          <w:spacing w:val="0"/>
          <w:w w:val="100"/>
          <w:position w:val="0"/>
          <w:sz w:val="24"/>
          <w:szCs w:val="24"/>
        </w:rPr>
        <w:t>公司研发投入情况:</w:t>
      </w:r>
    </w:p>
    <w:tbl>
      <w:tblPr>
        <w:tblOverlap w:val="never"/>
        <w:jc w:val="center"/>
        <w:tblLayout w:type="fixed"/>
      </w:tblPr>
      <w:tblGrid>
        <w:gridCol w:w="3821"/>
        <w:gridCol w:w="2390"/>
        <w:gridCol w:w="2390"/>
        <w:gridCol w:w="2400"/>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1,123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34.49</w:t>
            </w:r>
          </w:p>
        </w:tc>
      </w:tr>
    </w:tbl>
    <w:tbl>
      <w:tblPr>
        <w:tblOverlap w:val="never"/>
        <w:jc w:val="center"/>
        <w:tblLayout w:type="fixed"/>
      </w:tblPr>
      <w:tblGrid>
        <w:gridCol w:w="3816"/>
        <w:gridCol w:w="2390"/>
        <w:gridCol w:w="2390"/>
        <w:gridCol w:w="2400"/>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个百分点</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151,732,486.00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144,424,483.44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个百分点</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研发投入资本化的金额（元）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资本化研发投入占研发投入的比例（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0"/>
        <w:keepNext w:val="0"/>
        <w:keepLines w:val="0"/>
        <w:widowControl w:val="0"/>
        <w:shd w:val="clear" w:color="auto" w:fill="auto"/>
        <w:bidi w:val="0"/>
        <w:spacing w:before="0" w:after="0" w:line="240" w:lineRule="auto"/>
        <w:ind w:left="1882" w:right="0" w:firstLine="0"/>
        <w:jc w:val="left"/>
      </w:pPr>
      <w:r>
        <w:rPr>
          <w:color w:val="000000"/>
          <w:spacing w:val="0"/>
          <w:w w:val="100"/>
          <w:position w:val="0"/>
          <w:sz w:val="24"/>
          <w:szCs w:val="24"/>
        </w:rPr>
        <w:t>报告期内，公司研发投入总额占营业收入的比重较上年未发生显著变化；研</w:t>
      </w:r>
    </w:p>
    <w:p>
      <w:pPr>
        <w:widowControl w:val="0"/>
        <w:spacing w:after="279" w:line="1" w:lineRule="exact"/>
      </w:pPr>
    </w:p>
    <w:p>
      <w:pPr>
        <w:pStyle w:val="Style14"/>
        <w:keepNext w:val="0"/>
        <w:keepLines w:val="0"/>
        <w:widowControl w:val="0"/>
        <w:shd w:val="clear" w:color="auto" w:fill="auto"/>
        <w:bidi w:val="0"/>
        <w:spacing w:before="0" w:after="280" w:line="240" w:lineRule="auto"/>
        <w:ind w:left="1420" w:right="0" w:firstLine="0"/>
        <w:jc w:val="left"/>
      </w:pPr>
      <w:r>
        <w:rPr>
          <w:color w:val="000000"/>
          <w:spacing w:val="0"/>
          <w:w w:val="100"/>
          <w:position w:val="0"/>
          <w:sz w:val="24"/>
          <w:szCs w:val="24"/>
        </w:rPr>
        <w:t>发投入资本化率未大幅变动。</w:t>
      </w:r>
    </w:p>
    <w:p>
      <w:pPr>
        <w:pStyle w:val="Style14"/>
        <w:keepNext w:val="0"/>
        <w:keepLines w:val="0"/>
        <w:widowControl w:val="0"/>
        <w:shd w:val="clear" w:color="auto" w:fill="auto"/>
        <w:bidi w:val="0"/>
        <w:spacing w:before="0" w:after="160" w:line="240" w:lineRule="auto"/>
        <w:ind w:left="1900" w:right="0" w:firstLine="0"/>
        <w:jc w:val="both"/>
      </w:pPr>
      <w:bookmarkStart w:id="57" w:name="bookmark57"/>
      <w:r>
        <w:rPr>
          <w:rFonts w:ascii="Times New Roman" w:eastAsia="Times New Roman" w:hAnsi="Times New Roman" w:cs="Times New Roman"/>
          <w:color w:val="000000"/>
          <w:spacing w:val="0"/>
          <w:w w:val="100"/>
          <w:position w:val="0"/>
          <w:sz w:val="24"/>
          <w:szCs w:val="24"/>
        </w:rPr>
        <w:t>5</w:t>
      </w:r>
      <w:bookmarkEnd w:id="57"/>
      <w:r>
        <w:rPr>
          <w:color w:val="000000"/>
          <w:spacing w:val="0"/>
          <w:w w:val="100"/>
          <w:position w:val="0"/>
          <w:sz w:val="24"/>
          <w:szCs w:val="24"/>
        </w:rPr>
        <w:t>、现金流</w:t>
      </w:r>
    </w:p>
    <w:p>
      <w:pPr>
        <w:pStyle w:val="Style30"/>
        <w:keepNext w:val="0"/>
        <w:keepLines w:val="0"/>
        <w:widowControl w:val="0"/>
        <w:shd w:val="clear" w:color="auto" w:fill="auto"/>
        <w:bidi w:val="0"/>
        <w:spacing w:before="0" w:after="0" w:line="240" w:lineRule="auto"/>
        <w:ind w:left="8030"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2966"/>
        <w:gridCol w:w="2390"/>
        <w:gridCol w:w="2390"/>
        <w:gridCol w:w="2400"/>
      </w:tblGrid>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9,287,726,278.91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4,909,963,326.23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89.16</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9,688,426,753.20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4,495,772,811.11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115.50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-400,700,474.29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414,190,515.12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-196.74</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1,905,498,692.08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673,110,593.46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183.09</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3,660,571,865.84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2,788,337,138.31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31.28</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-1,755,073,173.76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-2,115,226,544.85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1,587,915,603.97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8,948,563,884.58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-82.26</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679,059,339.39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1,411,128,355.68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-51.88</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908,856,264.58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7,537,435,528.90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-87.94</w:t>
            </w: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-1,241,460,357.34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5,837,187,002.27</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-121.27</w:t>
            </w:r>
          </w:p>
        </w:tc>
      </w:tr>
    </w:tbl>
    <w:p>
      <w:pPr>
        <w:pStyle w:val="Style30"/>
        <w:keepNext w:val="0"/>
        <w:keepLines w:val="0"/>
        <w:widowControl w:val="0"/>
        <w:shd w:val="clear" w:color="auto" w:fill="auto"/>
        <w:bidi w:val="0"/>
        <w:spacing w:before="0" w:after="0" w:line="240" w:lineRule="auto"/>
        <w:ind w:left="1032" w:right="0" w:firstLine="0"/>
        <w:jc w:val="left"/>
      </w:pPr>
      <w:r>
        <w:rPr>
          <w:color w:val="000000"/>
          <w:spacing w:val="0"/>
          <w:w w:val="100"/>
          <w:position w:val="0"/>
          <w:sz w:val="24"/>
          <w:szCs w:val="24"/>
        </w:rPr>
        <w:t>报告期内，经营活动产生的现金流量净额同比减少</w:t>
      </w:r>
      <w:r>
        <w:rPr>
          <w:rFonts w:ascii="Times New Roman" w:eastAsia="Times New Roman" w:hAnsi="Times New Roman" w:cs="Times New Roman"/>
          <w:color w:val="000000"/>
          <w:spacing w:val="0"/>
          <w:w w:val="100"/>
          <w:position w:val="0"/>
          <w:sz w:val="24"/>
          <w:szCs w:val="24"/>
        </w:rPr>
        <w:t>196.74</w:t>
      </w:r>
      <w:r>
        <w:rPr>
          <w:color w:val="000000"/>
          <w:spacing w:val="0"/>
          <w:w w:val="100"/>
          <w:position w:val="0"/>
          <w:sz w:val="24"/>
          <w:szCs w:val="24"/>
        </w:rPr>
        <w:t>%,主要原因是一</w:t>
      </w:r>
    </w:p>
    <w:p>
      <w:pPr>
        <w:pStyle w:val="Style14"/>
        <w:keepNext w:val="0"/>
        <w:keepLines w:val="0"/>
        <w:widowControl w:val="0"/>
        <w:shd w:val="clear" w:color="auto" w:fill="auto"/>
        <w:bidi w:val="0"/>
        <w:spacing w:before="0" w:after="0" w:line="586" w:lineRule="exact"/>
        <w:ind w:left="1420" w:right="0" w:firstLine="0"/>
        <w:jc w:val="left"/>
      </w:pPr>
      <w:r>
        <w:rPr>
          <w:color w:val="000000"/>
          <w:spacing w:val="0"/>
          <w:w w:val="100"/>
          <w:position w:val="0"/>
          <w:sz w:val="24"/>
          <w:szCs w:val="24"/>
        </w:rPr>
        <w:t>方面传化商业保理有限公司业务开展保理业务导致经营活动现金流出有所增加； 另外，公司为加强战略核心业务拓展、人员引进、信息化投入等导致经营活动支 出的增加所致。</w:t>
      </w:r>
    </w:p>
    <w:p>
      <w:pPr>
        <w:pStyle w:val="Style14"/>
        <w:keepNext w:val="0"/>
        <w:keepLines w:val="0"/>
        <w:widowControl w:val="0"/>
        <w:shd w:val="clear" w:color="auto" w:fill="auto"/>
        <w:bidi w:val="0"/>
        <w:spacing w:before="0" w:after="0" w:line="586" w:lineRule="exact"/>
        <w:ind w:left="1420" w:right="0" w:firstLine="480"/>
        <w:jc w:val="left"/>
      </w:pPr>
      <w:r>
        <w:rPr>
          <w:color w:val="000000"/>
          <w:spacing w:val="0"/>
          <w:w w:val="100"/>
          <w:position w:val="0"/>
          <w:sz w:val="24"/>
          <w:szCs w:val="24"/>
        </w:rPr>
        <w:t>报告期内，筹资活动产生的现金流量净额同比减少</w:t>
      </w:r>
      <w:r>
        <w:rPr>
          <w:rFonts w:ascii="Times New Roman" w:eastAsia="Times New Roman" w:hAnsi="Times New Roman" w:cs="Times New Roman"/>
          <w:color w:val="000000"/>
          <w:spacing w:val="0"/>
          <w:w w:val="100"/>
          <w:position w:val="0"/>
          <w:sz w:val="24"/>
          <w:szCs w:val="24"/>
        </w:rPr>
        <w:t>87.94</w:t>
      </w:r>
      <w:r>
        <w:rPr>
          <w:color w:val="000000"/>
          <w:spacing w:val="0"/>
          <w:w w:val="100"/>
          <w:position w:val="0"/>
          <w:sz w:val="24"/>
          <w:szCs w:val="24"/>
        </w:rPr>
        <w:t>%,主要原因是公 司上年度资产重组及募集资金增发所致现金的增加。</w:t>
      </w:r>
    </w:p>
    <w:p>
      <w:pPr>
        <w:pStyle w:val="Style14"/>
        <w:keepNext w:val="0"/>
        <w:keepLines w:val="0"/>
        <w:widowControl w:val="0"/>
        <w:shd w:val="clear" w:color="auto" w:fill="auto"/>
        <w:bidi w:val="0"/>
        <w:spacing w:before="0" w:after="0" w:line="588" w:lineRule="exact"/>
        <w:ind w:left="1420" w:right="0" w:firstLine="480"/>
        <w:jc w:val="left"/>
      </w:pPr>
      <w:r>
        <w:rPr>
          <w:color w:val="000000"/>
          <w:spacing w:val="0"/>
          <w:w w:val="100"/>
          <w:position w:val="0"/>
          <w:sz w:val="24"/>
          <w:szCs w:val="24"/>
        </w:rPr>
        <w:t>报告期内，现金及现金等价物净增加额同比减少</w:t>
      </w:r>
      <w:r>
        <w:rPr>
          <w:rFonts w:ascii="Times New Roman" w:eastAsia="Times New Roman" w:hAnsi="Times New Roman" w:cs="Times New Roman"/>
          <w:color w:val="000000"/>
          <w:spacing w:val="0"/>
          <w:w w:val="100"/>
          <w:position w:val="0"/>
          <w:sz w:val="24"/>
          <w:szCs w:val="24"/>
        </w:rPr>
        <w:t>121.27</w:t>
      </w:r>
      <w:r>
        <w:rPr>
          <w:color w:val="000000"/>
          <w:spacing w:val="0"/>
          <w:w w:val="100"/>
          <w:position w:val="0"/>
          <w:sz w:val="24"/>
          <w:szCs w:val="24"/>
        </w:rPr>
        <w:t>%，主要原因是公司 筹资活动产生的现金流量净额减少所致。</w:t>
      </w:r>
    </w:p>
    <w:p>
      <w:pPr>
        <w:pStyle w:val="Style14"/>
        <w:keepNext w:val="0"/>
        <w:keepLines w:val="0"/>
        <w:widowControl w:val="0"/>
        <w:shd w:val="clear" w:color="auto" w:fill="auto"/>
        <w:bidi w:val="0"/>
        <w:spacing w:before="0" w:after="0" w:line="588" w:lineRule="exact"/>
        <w:ind w:left="1420" w:right="0" w:firstLine="480"/>
        <w:jc w:val="left"/>
      </w:pPr>
      <w:r>
        <w:rPr>
          <w:color w:val="000000"/>
          <w:spacing w:val="0"/>
          <w:w w:val="100"/>
          <w:position w:val="0"/>
          <w:sz w:val="24"/>
          <w:szCs w:val="24"/>
        </w:rPr>
        <w:t>报告期内，公司经营活动的现金流量与本年度净利润不存在重大差异的情 况。</w:t>
      </w:r>
    </w:p>
    <w:p>
      <w:pPr>
        <w:pStyle w:val="Style14"/>
        <w:keepNext w:val="0"/>
        <w:keepLines w:val="0"/>
        <w:widowControl w:val="0"/>
        <w:shd w:val="clear" w:color="auto" w:fill="auto"/>
        <w:bidi w:val="0"/>
        <w:spacing w:before="0" w:after="0" w:line="588" w:lineRule="exact"/>
        <w:ind w:left="1900" w:right="0" w:firstLine="0"/>
        <w:jc w:val="left"/>
      </w:pPr>
      <w:bookmarkStart w:id="58" w:name="bookmark58"/>
      <w:r>
        <w:rPr>
          <w:b/>
          <w:bCs/>
          <w:color w:val="000000"/>
          <w:spacing w:val="0"/>
          <w:w w:val="100"/>
          <w:position w:val="0"/>
          <w:sz w:val="24"/>
          <w:szCs w:val="24"/>
        </w:rPr>
        <w:t>三</w:t>
      </w:r>
      <w:bookmarkEnd w:id="58"/>
      <w:r>
        <w:rPr>
          <w:b/>
          <w:bCs/>
          <w:color w:val="000000"/>
          <w:spacing w:val="0"/>
          <w:w w:val="100"/>
          <w:position w:val="0"/>
          <w:sz w:val="24"/>
          <w:szCs w:val="24"/>
        </w:rPr>
        <w:t>、非主营业务分析</w:t>
      </w:r>
    </w:p>
    <w:p>
      <w:pPr>
        <w:pStyle w:val="Style14"/>
        <w:keepNext w:val="0"/>
        <w:keepLines w:val="0"/>
        <w:widowControl w:val="0"/>
        <w:shd w:val="clear" w:color="auto" w:fill="auto"/>
        <w:bidi w:val="0"/>
        <w:spacing w:before="0" w:after="280" w:line="588" w:lineRule="exact"/>
        <w:ind w:left="1900" w:right="0" w:firstLine="0"/>
        <w:jc w:val="left"/>
      </w:pPr>
      <w:r>
        <w:rPr>
          <w:color w:val="000000"/>
          <w:spacing w:val="0"/>
          <w:w w:val="100"/>
          <w:position w:val="0"/>
          <w:sz w:val="24"/>
          <w:szCs w:val="24"/>
        </w:rPr>
        <w:t>报告期内，公司不存在公司利润构成或利润来源的重大变化源自非主要经营</w:t>
      </w:r>
      <w:r>
        <w:br w:type="page"/>
      </w:r>
    </w:p>
    <w:p>
      <w:pPr>
        <w:pStyle w:val="Style14"/>
        <w:keepNext w:val="0"/>
        <w:keepLines w:val="0"/>
        <w:widowControl w:val="0"/>
        <w:shd w:val="clear" w:color="auto" w:fill="auto"/>
        <w:bidi w:val="0"/>
        <w:spacing w:before="0" w:after="280" w:line="240" w:lineRule="auto"/>
        <w:ind w:left="1260" w:right="0" w:firstLine="0"/>
        <w:jc w:val="left"/>
      </w:pPr>
      <w:r>
        <w:rPr>
          <w:color w:val="000000"/>
          <w:spacing w:val="0"/>
          <w:w w:val="100"/>
          <w:position w:val="0"/>
          <w:sz w:val="24"/>
          <w:szCs w:val="24"/>
        </w:rPr>
        <w:t>业务的情形。</w:t>
      </w:r>
    </w:p>
    <w:p>
      <w:pPr>
        <w:pStyle w:val="Style14"/>
        <w:keepNext w:val="0"/>
        <w:keepLines w:val="0"/>
        <w:widowControl w:val="0"/>
        <w:shd w:val="clear" w:color="auto" w:fill="auto"/>
        <w:bidi w:val="0"/>
        <w:spacing w:before="0" w:after="280" w:line="240" w:lineRule="auto"/>
        <w:ind w:left="1760" w:right="0" w:firstLine="0"/>
        <w:jc w:val="both"/>
      </w:pPr>
      <w:bookmarkStart w:id="59" w:name="bookmark59"/>
      <w:r>
        <w:rPr>
          <w:b/>
          <w:bCs/>
          <w:color w:val="000000"/>
          <w:spacing w:val="0"/>
          <w:w w:val="100"/>
          <w:position w:val="0"/>
          <w:sz w:val="24"/>
          <w:szCs w:val="24"/>
        </w:rPr>
        <w:t>四</w:t>
      </w:r>
      <w:bookmarkEnd w:id="59"/>
      <w:r>
        <w:rPr>
          <w:b/>
          <w:bCs/>
          <w:color w:val="000000"/>
          <w:spacing w:val="0"/>
          <w:w w:val="100"/>
          <w:position w:val="0"/>
          <w:sz w:val="24"/>
          <w:szCs w:val="24"/>
        </w:rPr>
        <w:t>、资产及负债状况分析</w:t>
      </w:r>
    </w:p>
    <w:p>
      <w:pPr>
        <w:pStyle w:val="Style14"/>
        <w:keepNext w:val="0"/>
        <w:keepLines w:val="0"/>
        <w:widowControl w:val="0"/>
        <w:shd w:val="clear" w:color="auto" w:fill="auto"/>
        <w:bidi w:val="0"/>
        <w:spacing w:before="0" w:after="140" w:line="240" w:lineRule="auto"/>
        <w:ind w:left="1760" w:right="0" w:firstLine="0"/>
        <w:jc w:val="both"/>
      </w:pPr>
      <w:bookmarkStart w:id="60" w:name="bookmark60"/>
      <w:r>
        <w:rPr>
          <w:rFonts w:ascii="Times New Roman" w:eastAsia="Times New Roman" w:hAnsi="Times New Roman" w:cs="Times New Roman"/>
          <w:color w:val="000000"/>
          <w:spacing w:val="0"/>
          <w:w w:val="100"/>
          <w:position w:val="0"/>
          <w:sz w:val="24"/>
          <w:szCs w:val="24"/>
        </w:rPr>
        <w:t>1</w:t>
      </w:r>
      <w:bookmarkEnd w:id="60"/>
      <w:r>
        <w:rPr>
          <w:color w:val="000000"/>
          <w:spacing w:val="0"/>
          <w:w w:val="100"/>
          <w:position w:val="0"/>
          <w:sz w:val="24"/>
          <w:szCs w:val="24"/>
        </w:rPr>
        <w:t>、资产构成重大变动情况</w:t>
      </w:r>
    </w:p>
    <w:p>
      <w:pPr>
        <w:pStyle w:val="Style30"/>
        <w:keepNext w:val="0"/>
        <w:keepLines w:val="0"/>
        <w:widowControl w:val="0"/>
        <w:shd w:val="clear" w:color="auto" w:fill="auto"/>
        <w:bidi w:val="0"/>
        <w:spacing w:before="0" w:after="0" w:line="240" w:lineRule="auto"/>
        <w:ind w:left="874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570"/>
        <w:gridCol w:w="1814"/>
        <w:gridCol w:w="1066"/>
        <w:gridCol w:w="1589"/>
        <w:gridCol w:w="1099"/>
        <w:gridCol w:w="2083"/>
        <w:gridCol w:w="1637"/>
      </w:tblGrid>
      <w:tr>
        <w:trPr>
          <w:trHeight w:val="307"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年末</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比重增减</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59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占总资产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占总资产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5,293,066,115.46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6,516,763,371.41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13.90</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773,235,237.61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475,069,314.93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831,640,545.17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525,852,331.21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1,238,891,722.32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428,814,845.75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4.23</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698,961,314.95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646,266,747.27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0.35</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1,410,427,147.81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896,860,660.47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2.10</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774,001,486.47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237,770,916.03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2.91</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652,702,230.80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46,853,065.38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606,796,885.40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120,491,759.20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2.74</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1738"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、以公允价值计量的资产和负债</w:t>
      </w:r>
    </w:p>
    <w:p>
      <w:pPr>
        <w:widowControl w:val="0"/>
        <w:spacing w:after="99" w:line="1" w:lineRule="exact"/>
      </w:pPr>
    </w:p>
    <w:tbl>
      <w:tblPr>
        <w:tblOverlap w:val="never"/>
        <w:jc w:val="center"/>
        <w:tblLayout w:type="fixed"/>
      </w:tblPr>
      <w:tblGrid>
        <w:gridCol w:w="2501"/>
        <w:gridCol w:w="1214"/>
        <w:gridCol w:w="1214"/>
        <w:gridCol w:w="1210"/>
        <w:gridCol w:w="1214"/>
        <w:gridCol w:w="1214"/>
        <w:gridCol w:w="936"/>
        <w:gridCol w:w="1570"/>
      </w:tblGrid>
      <w:tr>
        <w:trPr>
          <w:trHeight w:val="88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本期公允价 值变动损益</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计入权益的 累计公允价 值变动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本期计提的 减值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本期购买金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本期出售 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期末数</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 动计入当期损益的金融资 产（不含衍生金融资产）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921,899.32</w:t>
            </w:r>
          </w:p>
        </w:tc>
      </w:tr>
    </w:tbl>
    <w:p>
      <w:pPr>
        <w:pStyle w:val="Style30"/>
        <w:keepNext w:val="0"/>
        <w:keepLines w:val="0"/>
        <w:widowControl w:val="0"/>
        <w:shd w:val="clear" w:color="auto" w:fill="auto"/>
        <w:bidi w:val="0"/>
        <w:spacing w:before="0" w:after="0" w:line="240" w:lineRule="auto"/>
        <w:ind w:left="1742"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、截至报告期末的资产权利受限情况</w:t>
      </w:r>
    </w:p>
    <w:p>
      <w:pPr>
        <w:pStyle w:val="Style14"/>
        <w:keepNext w:val="0"/>
        <w:keepLines w:val="0"/>
        <w:widowControl w:val="0"/>
        <w:shd w:val="clear" w:color="auto" w:fill="auto"/>
        <w:bidi w:val="0"/>
        <w:spacing w:before="0" w:after="0" w:line="581" w:lineRule="exact"/>
        <w:ind w:left="1260" w:right="0" w:firstLine="500"/>
        <w:jc w:val="both"/>
      </w:pPr>
      <w:r>
        <w:rPr>
          <w:color w:val="000000"/>
          <w:spacing w:val="0"/>
          <w:w w:val="100"/>
          <w:position w:val="0"/>
          <w:sz w:val="24"/>
          <w:szCs w:val="24"/>
        </w:rPr>
        <w:t>请详见十一节财务报告的“五、合并财务报表项目附注之（五）所有权或使 用权受到限制的资产”部分。</w:t>
      </w:r>
    </w:p>
    <w:p>
      <w:pPr>
        <w:pStyle w:val="Style14"/>
        <w:keepNext w:val="0"/>
        <w:keepLines w:val="0"/>
        <w:widowControl w:val="0"/>
        <w:shd w:val="clear" w:color="auto" w:fill="auto"/>
        <w:bidi w:val="0"/>
        <w:spacing w:before="0" w:after="280" w:line="581" w:lineRule="exact"/>
        <w:ind w:left="1760" w:right="0" w:firstLine="0"/>
        <w:jc w:val="left"/>
      </w:pPr>
      <w:bookmarkStart w:id="61" w:name="bookmark61"/>
      <w:r>
        <w:rPr>
          <w:b/>
          <w:bCs/>
          <w:color w:val="000000"/>
          <w:spacing w:val="0"/>
          <w:w w:val="100"/>
          <w:position w:val="0"/>
          <w:sz w:val="24"/>
          <w:szCs w:val="24"/>
        </w:rPr>
        <w:t>五</w:t>
      </w:r>
      <w:bookmarkEnd w:id="61"/>
      <w:r>
        <w:rPr>
          <w:b/>
          <w:bCs/>
          <w:color w:val="000000"/>
          <w:spacing w:val="0"/>
          <w:w w:val="100"/>
          <w:position w:val="0"/>
          <w:sz w:val="24"/>
          <w:szCs w:val="24"/>
        </w:rPr>
        <w:t>、投资状况分析</w:t>
      </w:r>
    </w:p>
    <w:p>
      <w:pPr>
        <w:pStyle w:val="Style14"/>
        <w:keepNext w:val="0"/>
        <w:keepLines w:val="0"/>
        <w:widowControl w:val="0"/>
        <w:shd w:val="clear" w:color="auto" w:fill="auto"/>
        <w:bidi w:val="0"/>
        <w:spacing w:before="0" w:after="0" w:line="506" w:lineRule="auto"/>
        <w:ind w:left="1760" w:right="0" w:firstLine="0"/>
        <w:jc w:val="left"/>
      </w:pPr>
      <w:bookmarkStart w:id="62" w:name="bookmark62"/>
      <w:r>
        <w:rPr>
          <w:rFonts w:ascii="Times New Roman" w:eastAsia="Times New Roman" w:hAnsi="Times New Roman" w:cs="Times New Roman"/>
          <w:color w:val="000000"/>
          <w:spacing w:val="0"/>
          <w:w w:val="100"/>
          <w:position w:val="0"/>
          <w:sz w:val="24"/>
          <w:szCs w:val="24"/>
        </w:rPr>
        <w:t>1</w:t>
      </w:r>
      <w:bookmarkEnd w:id="62"/>
      <w:r>
        <w:rPr>
          <w:color w:val="000000"/>
          <w:spacing w:val="0"/>
          <w:w w:val="100"/>
          <w:position w:val="0"/>
          <w:sz w:val="24"/>
          <w:szCs w:val="24"/>
        </w:rPr>
        <w:t>、总体情况</w:t>
      </w:r>
    </w:p>
    <w:tbl>
      <w:tblPr>
        <w:tblOverlap w:val="never"/>
        <w:jc w:val="right"/>
        <w:tblLayout w:type="fixed"/>
      </w:tblPr>
      <w:tblGrid>
        <w:gridCol w:w="3197"/>
        <w:gridCol w:w="3187"/>
        <w:gridCol w:w="3197"/>
      </w:tblGrid>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bottom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bl>
    <w:p>
      <w:pPr>
        <w:spacing w:lineRule="exact" w:line="1"/>
        <w:rPr>
          <w:sz w:val="2"/>
          <w:szCs w:val="2"/>
        </w:rPr>
      </w:pPr>
      <w:r>
        <w:br w:type="page"/>
      </w:r>
    </w:p>
    <w:tbl>
      <w:tblPr>
        <w:tblOverlap w:val="never"/>
        <w:jc w:val="right"/>
        <w:tblLayout w:type="fixed"/>
      </w:tblPr>
      <w:tblGrid>
        <w:gridCol w:w="3197"/>
        <w:gridCol w:w="3187"/>
        <w:gridCol w:w="3197"/>
      </w:tblGrid>
      <w:tr>
        <w:trPr>
          <w:trHeight w:val="312"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3,645,191,545.84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2,712,787,138.31</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34.37</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760" w:right="0" w:firstLine="0"/>
        <w:jc w:val="left"/>
      </w:pPr>
      <w:bookmarkStart w:id="63" w:name="bookmark63"/>
      <w:r>
        <w:rPr>
          <w:rFonts w:ascii="Times New Roman" w:eastAsia="Times New Roman" w:hAnsi="Times New Roman" w:cs="Times New Roman"/>
          <w:color w:val="000000"/>
          <w:spacing w:val="0"/>
          <w:w w:val="100"/>
          <w:position w:val="0"/>
          <w:sz w:val="24"/>
          <w:szCs w:val="24"/>
        </w:rPr>
        <w:t>2</w:t>
      </w:r>
      <w:bookmarkEnd w:id="63"/>
      <w:r>
        <w:rPr>
          <w:color w:val="000000"/>
          <w:spacing w:val="0"/>
          <w:w w:val="100"/>
          <w:position w:val="0"/>
          <w:sz w:val="24"/>
          <w:szCs w:val="24"/>
        </w:rPr>
        <w:t>、报告期内获取的重大的股权投资情况</w:t>
      </w:r>
    </w:p>
    <w:p>
      <w:pPr>
        <w:pStyle w:val="Style30"/>
        <w:keepNext w:val="0"/>
        <w:keepLines w:val="0"/>
        <w:widowControl w:val="0"/>
        <w:shd w:val="clear" w:color="auto" w:fill="auto"/>
        <w:bidi w:val="0"/>
        <w:spacing w:before="0" w:after="0" w:line="240" w:lineRule="auto"/>
        <w:ind w:left="874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715"/>
        <w:gridCol w:w="994"/>
        <w:gridCol w:w="427"/>
        <w:gridCol w:w="566"/>
        <w:gridCol w:w="710"/>
        <w:gridCol w:w="566"/>
        <w:gridCol w:w="1718"/>
        <w:gridCol w:w="614"/>
        <w:gridCol w:w="619"/>
        <w:gridCol w:w="590"/>
        <w:gridCol w:w="590"/>
        <w:gridCol w:w="696"/>
        <w:gridCol w:w="413"/>
        <w:gridCol w:w="710"/>
        <w:gridCol w:w="931"/>
      </w:tblGrid>
      <w:tr>
        <w:trPr>
          <w:trHeight w:val="205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被投资 公司名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主要业务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1" w:lineRule="exact"/>
              <w:ind w:left="0" w:right="0" w:firstLine="0"/>
              <w:jc w:val="left"/>
              <w:rPr>
                <w:sz w:val="20"/>
                <w:szCs w:val="20"/>
              </w:rPr>
            </w:pPr>
            <w:r>
              <w:rPr>
                <w:color w:val="000000"/>
                <w:spacing w:val="0"/>
                <w:w w:val="100"/>
                <w:position w:val="0"/>
                <w:sz w:val="20"/>
                <w:szCs w:val="20"/>
              </w:rPr>
              <w:t>投 资 方 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投资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持股比 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资金 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合作方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投资 期限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产品 类型</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截至 资产 负债 表日 的进 展情 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预计 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本期投 资盈亏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是 否 涉 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披露日 期（如</w:t>
            </w:r>
          </w:p>
          <w:p>
            <w:pPr>
              <w:pStyle w:val="Style6"/>
              <w:keepNext w:val="0"/>
              <w:keepLines w:val="0"/>
              <w:widowControl w:val="0"/>
              <w:shd w:val="clear" w:color="auto" w:fill="auto"/>
              <w:bidi w:val="0"/>
              <w:spacing w:before="0" w:after="0" w:line="283" w:lineRule="exact"/>
              <w:ind w:left="0" w:right="140" w:firstLine="0"/>
              <w:jc w:val="right"/>
              <w:rPr>
                <w:sz w:val="20"/>
                <w:szCs w:val="20"/>
              </w:rPr>
            </w:pPr>
            <w:r>
              <w:rPr>
                <w:color w:val="000000"/>
                <w:spacing w:val="0"/>
                <w:w w:val="100"/>
                <w:position w:val="0"/>
                <w:sz w:val="20"/>
                <w:szCs w:val="20"/>
              </w:rPr>
              <w:t>有）</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披露索引</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（如有）</w:t>
            </w:r>
          </w:p>
        </w:tc>
      </w:tr>
      <w:tr>
        <w:trPr>
          <w:trHeight w:val="407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TPC Holdin gB.V </w:t>
            </w:r>
            <w:r>
              <w:rPr>
                <w:color w:val="000000"/>
                <w:spacing w:val="0"/>
                <w:w w:val="100"/>
                <w:position w:val="0"/>
                <w:sz w:val="20"/>
                <w:szCs w:val="2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纺印染助</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剂业务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收 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761</w:t>
            </w:r>
            <w:r>
              <w:rPr>
                <w:color w:val="000000"/>
                <w:spacing w:val="0"/>
                <w:w w:val="100"/>
                <w:position w:val="0"/>
                <w:sz w:val="22"/>
                <w:szCs w:val="22"/>
              </w:rPr>
              <w:t>,</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440</w:t>
            </w:r>
            <w:r>
              <w:rPr>
                <w:color w:val="000000"/>
                <w:spacing w:val="0"/>
                <w:w w:val="100"/>
                <w:position w:val="0"/>
                <w:sz w:val="22"/>
                <w:szCs w:val="22"/>
              </w:rPr>
              <w:t>,</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313</w:t>
            </w:r>
            <w:r>
              <w:rPr>
                <w:color w:val="000000"/>
                <w:spacing w:val="0"/>
                <w:w w:val="100"/>
                <w:position w:val="0"/>
                <w:sz w:val="22"/>
                <w:szCs w:val="22"/>
              </w:rPr>
              <w:t>.</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自筹 资金</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9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Wega Invest B.V. </w:t>
            </w:r>
            <w:r>
              <w:rPr>
                <w:color w:val="000000"/>
                <w:spacing w:val="0"/>
                <w:w w:val="100"/>
                <w:position w:val="0"/>
                <w:sz w:val="20"/>
                <w:szCs w:val="20"/>
              </w:rPr>
              <w:t>公司、</w:t>
            </w:r>
          </w:p>
          <w:p>
            <w:pPr>
              <w:pStyle w:val="Style6"/>
              <w:keepNext w:val="0"/>
              <w:keepLines w:val="0"/>
              <w:widowControl w:val="0"/>
              <w:shd w:val="clear" w:color="auto" w:fill="auto"/>
              <w:bidi w:val="0"/>
              <w:spacing w:before="0" w:after="0" w:line="30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StichtingAdministr atiekantoorTanatex Chemicals </w:t>
            </w:r>
            <w:r>
              <w:rPr>
                <w:color w:val="000000"/>
                <w:spacing w:val="0"/>
                <w:w w:val="100"/>
                <w:position w:val="0"/>
                <w:sz w:val="20"/>
                <w:szCs w:val="20"/>
              </w:rPr>
              <w:t xml:space="preserve">公司、 </w:t>
            </w:r>
            <w:r>
              <w:rPr>
                <w:rFonts w:ascii="Times New Roman" w:eastAsia="Times New Roman" w:hAnsi="Times New Roman" w:cs="Times New Roman"/>
                <w:color w:val="000000"/>
                <w:spacing w:val="0"/>
                <w:w w:val="100"/>
                <w:position w:val="0"/>
                <w:sz w:val="20"/>
                <w:szCs w:val="20"/>
              </w:rPr>
              <w:t>StichtingAdministr atie- kantoorTanatex</w:t>
            </w:r>
          </w:p>
          <w:p>
            <w:pPr>
              <w:pStyle w:val="Style6"/>
              <w:keepNext w:val="0"/>
              <w:keepLines w:val="0"/>
              <w:widowControl w:val="0"/>
              <w:shd w:val="clear" w:color="auto" w:fill="auto"/>
              <w:bidi w:val="0"/>
              <w:spacing w:before="0" w:after="0" w:line="29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Chemicals II </w:t>
            </w:r>
            <w:r>
              <w:rPr>
                <w:color w:val="000000"/>
                <w:spacing w:val="0"/>
                <w:w w:val="100"/>
                <w:position w:val="0"/>
                <w:sz w:val="20"/>
                <w:szCs w:val="20"/>
              </w:rPr>
              <w:t>公司、 自然人</w:t>
            </w:r>
            <w:r>
              <w:rPr>
                <w:rFonts w:ascii="Times New Roman" w:eastAsia="Times New Roman" w:hAnsi="Times New Roman" w:cs="Times New Roman"/>
                <w:color w:val="000000"/>
                <w:spacing w:val="0"/>
                <w:w w:val="100"/>
                <w:position w:val="0"/>
                <w:sz w:val="20"/>
                <w:szCs w:val="20"/>
              </w:rPr>
              <w:t>Joseph H.M. Rijper</w:t>
            </w:r>
            <w:r>
              <w:rPr>
                <w:color w:val="000000"/>
                <w:spacing w:val="0"/>
                <w:w w:val="100"/>
                <w:position w:val="0"/>
                <w:sz w:val="20"/>
                <w:szCs w:val="20"/>
              </w:rPr>
              <w:t>、</w:t>
            </w:r>
            <w:r>
              <w:rPr>
                <w:color w:val="000000"/>
                <w:spacing w:val="0"/>
                <w:w w:val="100"/>
                <w:position w:val="0"/>
                <w:sz w:val="20"/>
                <w:szCs w:val="20"/>
              </w:rPr>
              <w:t xml:space="preserve">自然 人 </w:t>
            </w:r>
            <w:r>
              <w:rPr>
                <w:rFonts w:ascii="Times New Roman" w:eastAsia="Times New Roman" w:hAnsi="Times New Roman" w:cs="Times New Roman"/>
                <w:color w:val="000000"/>
                <w:spacing w:val="0"/>
                <w:w w:val="100"/>
                <w:position w:val="0"/>
                <w:sz w:val="20"/>
                <w:szCs w:val="20"/>
              </w:rPr>
              <w:t>Koen S. Rijper</w:t>
            </w:r>
            <w:r>
              <w:rPr>
                <w:color w:val="000000"/>
                <w:spacing w:val="0"/>
                <w:w w:val="100"/>
                <w:position w:val="0"/>
                <w:sz w:val="20"/>
                <w:szCs w:val="20"/>
              </w:rPr>
              <w:t xml:space="preserve">、 </w:t>
            </w:r>
            <w:r>
              <w:rPr>
                <w:color w:val="000000"/>
                <w:spacing w:val="0"/>
                <w:w w:val="100"/>
                <w:position w:val="0"/>
                <w:sz w:val="20"/>
                <w:szCs w:val="20"/>
              </w:rPr>
              <w:t>自然人</w:t>
            </w:r>
            <w:r>
              <w:rPr>
                <w:rFonts w:ascii="Times New Roman" w:eastAsia="Times New Roman" w:hAnsi="Times New Roman" w:cs="Times New Roman"/>
                <w:color w:val="000000"/>
                <w:spacing w:val="0"/>
                <w:w w:val="100"/>
                <w:position w:val="0"/>
                <w:sz w:val="20"/>
                <w:szCs w:val="20"/>
              </w:rPr>
              <w:t>Lune M. Rijper</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纺织 印染 助剂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股权 转让 完成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10,84</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9,702.</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10,849,</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刊登于巨 潮资讯网 的《关于 收购荷兰</w:t>
            </w:r>
          </w:p>
          <w:p>
            <w:pPr>
              <w:pStyle w:val="Style6"/>
              <w:keepNext w:val="0"/>
              <w:keepLines w:val="0"/>
              <w:widowControl w:val="0"/>
              <w:shd w:val="clear" w:color="auto" w:fill="auto"/>
              <w:bidi w:val="0"/>
              <w:spacing w:before="0" w:after="0" w:line="307"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TPC</w:t>
            </w:r>
          </w:p>
          <w:p>
            <w:pPr>
              <w:pStyle w:val="Style6"/>
              <w:keepNext w:val="0"/>
              <w:keepLines w:val="0"/>
              <w:widowControl w:val="0"/>
              <w:shd w:val="clear" w:color="auto" w:fill="auto"/>
              <w:bidi w:val="0"/>
              <w:spacing w:before="0" w:after="0" w:line="29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Holding B.V.</w:t>
            </w:r>
            <w:r>
              <w:rPr>
                <w:color w:val="000000"/>
                <w:spacing w:val="0"/>
                <w:w w:val="100"/>
                <w:position w:val="0"/>
                <w:sz w:val="20"/>
                <w:szCs w:val="20"/>
              </w:rPr>
              <w:t>股权 的公告》</w:t>
            </w:r>
          </w:p>
        </w:tc>
      </w:tr>
    </w:tbl>
    <w:p>
      <w:pPr>
        <w:widowControl w:val="0"/>
        <w:spacing w:after="139" w:line="1" w:lineRule="exact"/>
      </w:pPr>
    </w:p>
    <w:p>
      <w:pPr>
        <w:pStyle w:val="Style14"/>
        <w:keepNext w:val="0"/>
        <w:keepLines w:val="0"/>
        <w:widowControl w:val="0"/>
        <w:shd w:val="clear" w:color="auto" w:fill="auto"/>
        <w:bidi w:val="0"/>
        <w:spacing w:before="0" w:after="260" w:line="240" w:lineRule="auto"/>
        <w:ind w:left="1760" w:right="0" w:firstLine="0"/>
        <w:jc w:val="left"/>
      </w:pPr>
      <w:bookmarkStart w:id="64" w:name="bookmark64"/>
      <w:r>
        <w:rPr>
          <w:rFonts w:ascii="Times New Roman" w:eastAsia="Times New Roman" w:hAnsi="Times New Roman" w:cs="Times New Roman"/>
          <w:color w:val="000000"/>
          <w:spacing w:val="0"/>
          <w:w w:val="100"/>
          <w:position w:val="0"/>
          <w:sz w:val="24"/>
          <w:szCs w:val="24"/>
        </w:rPr>
        <w:t>3</w:t>
      </w:r>
      <w:bookmarkEnd w:id="64"/>
      <w:r>
        <w:rPr>
          <w:color w:val="000000"/>
          <w:spacing w:val="0"/>
          <w:w w:val="100"/>
          <w:position w:val="0"/>
          <w:sz w:val="24"/>
          <w:szCs w:val="24"/>
        </w:rPr>
        <w:t>、报告期内，公司不存在正在进行的重大的非股权投资情况。</w:t>
      </w:r>
    </w:p>
    <w:p>
      <w:pPr>
        <w:pStyle w:val="Style14"/>
        <w:keepNext w:val="0"/>
        <w:keepLines w:val="0"/>
        <w:widowControl w:val="0"/>
        <w:shd w:val="clear" w:color="auto" w:fill="auto"/>
        <w:tabs>
          <w:tab w:pos="2162" w:val="left"/>
        </w:tabs>
        <w:bidi w:val="0"/>
        <w:spacing w:before="0" w:after="260" w:line="240" w:lineRule="auto"/>
        <w:ind w:left="1760" w:right="0" w:firstLine="0"/>
        <w:jc w:val="left"/>
      </w:pPr>
      <w:bookmarkStart w:id="65" w:name="bookmark65"/>
      <w:r>
        <w:rPr>
          <w:rFonts w:ascii="Times New Roman" w:eastAsia="Times New Roman" w:hAnsi="Times New Roman" w:cs="Times New Roman"/>
          <w:color w:val="000000"/>
          <w:spacing w:val="0"/>
          <w:w w:val="100"/>
          <w:position w:val="0"/>
          <w:sz w:val="24"/>
          <w:szCs w:val="24"/>
        </w:rPr>
        <w:t>4</w:t>
      </w:r>
      <w:bookmarkEnd w:id="65"/>
      <w:r>
        <w:rPr>
          <w:color w:val="000000"/>
          <w:spacing w:val="0"/>
          <w:w w:val="100"/>
          <w:position w:val="0"/>
          <w:sz w:val="24"/>
          <w:szCs w:val="24"/>
        </w:rPr>
        <w:t>、</w:t>
        <w:tab/>
        <w:t>报告期内，公司不存在公允价值计量的金融资产。</w:t>
      </w:r>
    </w:p>
    <w:p>
      <w:pPr>
        <w:pStyle w:val="Style14"/>
        <w:keepNext w:val="0"/>
        <w:keepLines w:val="0"/>
        <w:widowControl w:val="0"/>
        <w:shd w:val="clear" w:color="auto" w:fill="auto"/>
        <w:tabs>
          <w:tab w:pos="2162" w:val="left"/>
        </w:tabs>
        <w:bidi w:val="0"/>
        <w:spacing w:before="0" w:after="260" w:line="240" w:lineRule="auto"/>
        <w:ind w:left="1760" w:right="0" w:firstLine="0"/>
        <w:jc w:val="left"/>
      </w:pPr>
      <w:bookmarkStart w:id="66" w:name="bookmark66"/>
      <w:r>
        <w:rPr>
          <w:rFonts w:ascii="Times New Roman" w:eastAsia="Times New Roman" w:hAnsi="Times New Roman" w:cs="Times New Roman"/>
          <w:color w:val="000000"/>
          <w:spacing w:val="0"/>
          <w:w w:val="100"/>
          <w:position w:val="0"/>
          <w:sz w:val="24"/>
          <w:szCs w:val="24"/>
        </w:rPr>
        <w:t>5</w:t>
      </w:r>
      <w:bookmarkEnd w:id="66"/>
      <w:r>
        <w:rPr>
          <w:color w:val="000000"/>
          <w:spacing w:val="0"/>
          <w:w w:val="100"/>
          <w:position w:val="0"/>
          <w:sz w:val="24"/>
          <w:szCs w:val="24"/>
        </w:rPr>
        <w:t>、</w:t>
        <w:tab/>
        <w:t>募集资金使用情况</w:t>
      </w:r>
    </w:p>
    <w:p>
      <w:pPr>
        <w:pStyle w:val="Style14"/>
        <w:keepNext w:val="0"/>
        <w:keepLines w:val="0"/>
        <w:widowControl w:val="0"/>
        <w:shd w:val="clear" w:color="auto" w:fill="auto"/>
        <w:bidi w:val="0"/>
        <w:spacing w:before="0" w:after="140" w:line="240" w:lineRule="auto"/>
        <w:ind w:left="1900" w:right="0" w:firstLine="0"/>
        <w:jc w:val="left"/>
      </w:pPr>
      <w:bookmarkStart w:id="67" w:name="bookmark67"/>
      <w:r>
        <w:rPr>
          <w:color w:val="000000"/>
          <w:spacing w:val="0"/>
          <w:w w:val="100"/>
          <w:position w:val="0"/>
          <w:sz w:val="24"/>
          <w:szCs w:val="24"/>
        </w:rPr>
        <w:t>（</w:t>
      </w:r>
      <w:bookmarkEnd w:id="6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）募集资金总体使用情况</w:t>
      </w:r>
    </w:p>
    <w:p>
      <w:pPr>
        <w:pStyle w:val="Style30"/>
        <w:keepNext w:val="0"/>
        <w:keepLines w:val="0"/>
        <w:widowControl w:val="0"/>
        <w:shd w:val="clear" w:color="auto" w:fill="auto"/>
        <w:bidi w:val="0"/>
        <w:spacing w:before="0" w:after="0" w:line="240" w:lineRule="auto"/>
        <w:ind w:left="7253" w:right="0" w:firstLine="0"/>
        <w:jc w:val="left"/>
        <w:rPr>
          <w:sz w:val="20"/>
          <w:szCs w:val="20"/>
        </w:rPr>
      </w:pPr>
      <w:r>
        <w:rPr>
          <w:color w:val="000000"/>
          <w:spacing w:val="0"/>
          <w:w w:val="100"/>
          <w:position w:val="0"/>
          <w:sz w:val="20"/>
          <w:szCs w:val="20"/>
        </w:rPr>
        <w:t>单位：万元</w:t>
      </w:r>
    </w:p>
    <w:tbl>
      <w:tblPr>
        <w:tblOverlap w:val="never"/>
        <w:jc w:val="right"/>
        <w:tblLayout w:type="fixed"/>
      </w:tblPr>
      <w:tblGrid>
        <w:gridCol w:w="874"/>
        <w:gridCol w:w="864"/>
        <w:gridCol w:w="874"/>
        <w:gridCol w:w="874"/>
        <w:gridCol w:w="869"/>
        <w:gridCol w:w="883"/>
        <w:gridCol w:w="854"/>
        <w:gridCol w:w="869"/>
        <w:gridCol w:w="874"/>
        <w:gridCol w:w="869"/>
        <w:gridCol w:w="874"/>
      </w:tblGrid>
      <w:tr>
        <w:trPr>
          <w:trHeight w:val="146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募集年 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募集方 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募集资 金总额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本期已 使用募 集资金 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5" w:lineRule="exact"/>
              <w:ind w:left="0" w:right="0" w:firstLine="0"/>
              <w:jc w:val="center"/>
              <w:rPr>
                <w:sz w:val="20"/>
                <w:szCs w:val="20"/>
              </w:rPr>
            </w:pPr>
            <w:r>
              <w:rPr>
                <w:color w:val="000000"/>
                <w:spacing w:val="0"/>
                <w:w w:val="100"/>
                <w:position w:val="0"/>
                <w:sz w:val="20"/>
                <w:szCs w:val="20"/>
              </w:rPr>
              <w:t>已累计 使用募 集资金 总额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9" w:lineRule="exact"/>
              <w:ind w:left="0" w:right="0" w:firstLine="0"/>
              <w:jc w:val="center"/>
              <w:rPr>
                <w:sz w:val="20"/>
                <w:szCs w:val="20"/>
              </w:rPr>
            </w:pPr>
            <w:r>
              <w:rPr>
                <w:color w:val="000000"/>
                <w:spacing w:val="0"/>
                <w:w w:val="100"/>
                <w:position w:val="0"/>
                <w:sz w:val="20"/>
                <w:szCs w:val="20"/>
              </w:rPr>
              <w:t>报告期 内变更 用途的 募集资 金总额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累计变 更用途 的募集 资金总 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9" w:lineRule="exact"/>
              <w:ind w:left="0" w:right="0" w:firstLine="0"/>
              <w:jc w:val="center"/>
              <w:rPr>
                <w:sz w:val="20"/>
                <w:szCs w:val="20"/>
              </w:rPr>
            </w:pPr>
            <w:r>
              <w:rPr>
                <w:color w:val="000000"/>
                <w:spacing w:val="0"/>
                <w:w w:val="100"/>
                <w:position w:val="0"/>
                <w:sz w:val="20"/>
                <w:szCs w:val="20"/>
              </w:rPr>
              <w:t>累计变 更用途 的募集 资金总 额比例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尚未使 用募集 资金总 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尚未使 用募集 资金用 途及去 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85" w:lineRule="exact"/>
              <w:ind w:left="0" w:right="0" w:firstLine="0"/>
              <w:jc w:val="center"/>
              <w:rPr>
                <w:sz w:val="20"/>
                <w:szCs w:val="20"/>
              </w:rPr>
            </w:pPr>
            <w:r>
              <w:rPr>
                <w:color w:val="000000"/>
                <w:spacing w:val="0"/>
                <w:w w:val="100"/>
                <w:position w:val="0"/>
                <w:sz w:val="20"/>
                <w:szCs w:val="20"/>
              </w:rPr>
              <w:t>闲置两 年以上 募集资 金金额</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非公开</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432,794.</w:t>
            </w:r>
          </w:p>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168,383.</w:t>
            </w:r>
          </w:p>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168,383.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275,252.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存放于 募集资 金专户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432,794.</w:t>
            </w:r>
          </w:p>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168,383.</w:t>
            </w:r>
          </w:p>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168,383.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275,252.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6"/>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募集资金总体使用</w:t>
            </w:r>
          </w:p>
        </w:tc>
        <w:tc>
          <w:tcPr>
            <w:gridSpan w:val="5"/>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r>
      <w:tr>
        <w:trPr>
          <w:trHeight w:val="605" w:hRule="exact"/>
        </w:trPr>
        <w:tc>
          <w:tcPr>
            <w:gridSpan w:val="11"/>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报告期内，公司严格按照《募集资金管理办法》的规定和要求，对募集资金的存放和使用进行有效 的监督和管理，以确保用于募集资金投资项目的建设。在使用募集资金时，严格履行相应的申请和审批</w:t>
            </w:r>
          </w:p>
        </w:tc>
      </w:tr>
    </w:tbl>
    <w:p>
      <w:pPr>
        <w:spacing w:lineRule="exact" w:line="1"/>
        <w:rPr>
          <w:sz w:val="2"/>
          <w:szCs w:val="2"/>
        </w:rPr>
      </w:pPr>
      <w:r>
        <w:br w:type="page"/>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1260" w:right="0" w:firstLine="0"/>
        <w:jc w:val="left"/>
        <w:rPr>
          <w:sz w:val="20"/>
          <w:szCs w:val="20"/>
        </w:rPr>
      </w:pPr>
      <w:r>
        <w:rPr>
          <w:color w:val="000000"/>
          <w:spacing w:val="0"/>
          <w:w w:val="100"/>
          <w:position w:val="0"/>
          <w:sz w:val="20"/>
          <w:szCs w:val="20"/>
        </w:rPr>
        <w:t>手续，同时接受财务顾问的监督。</w:t>
      </w:r>
    </w:p>
    <w:p>
      <w:pPr>
        <w:pStyle w:val="Style14"/>
        <w:keepNext w:val="0"/>
        <w:keepLines w:val="0"/>
        <w:widowControl w:val="0"/>
        <w:numPr>
          <w:ilvl w:val="0"/>
          <w:numId w:val="9"/>
        </w:numPr>
        <w:shd w:val="clear" w:color="auto" w:fill="auto"/>
        <w:bidi w:val="0"/>
        <w:spacing w:before="0" w:after="160" w:line="240" w:lineRule="auto"/>
        <w:ind w:left="1760" w:right="0" w:firstLine="0"/>
        <w:jc w:val="left"/>
      </w:pPr>
      <w:bookmarkStart w:id="68" w:name="bookmark68"/>
      <w:bookmarkEnd w:id="68"/>
      <w:r>
        <w:rPr>
          <w:color w:val="000000"/>
          <w:spacing w:val="0"/>
          <w:w w:val="100"/>
          <w:position w:val="0"/>
          <w:sz w:val="24"/>
          <w:szCs w:val="24"/>
        </w:rPr>
        <w:t>募集资金承诺项目情况</w:t>
      </w:r>
    </w:p>
    <w:p>
      <w:pPr>
        <w:pStyle w:val="Style30"/>
        <w:keepNext w:val="0"/>
        <w:keepLines w:val="0"/>
        <w:widowControl w:val="0"/>
        <w:shd w:val="clear" w:color="auto" w:fill="auto"/>
        <w:bidi w:val="0"/>
        <w:spacing w:before="0" w:after="0" w:line="240" w:lineRule="auto"/>
        <w:ind w:left="7253" w:right="0" w:firstLine="0"/>
        <w:jc w:val="left"/>
        <w:rPr>
          <w:sz w:val="20"/>
          <w:szCs w:val="20"/>
        </w:rPr>
      </w:pPr>
      <w:r>
        <w:rPr>
          <w:color w:val="000000"/>
          <w:spacing w:val="0"/>
          <w:w w:val="100"/>
          <w:position w:val="0"/>
          <w:sz w:val="20"/>
          <w:szCs w:val="20"/>
        </w:rPr>
        <w:t>单位：万元</w:t>
      </w:r>
    </w:p>
    <w:tbl>
      <w:tblPr>
        <w:tblOverlap w:val="never"/>
        <w:jc w:val="right"/>
        <w:tblLayout w:type="fixed"/>
      </w:tblPr>
      <w:tblGrid>
        <w:gridCol w:w="1776"/>
        <w:gridCol w:w="778"/>
        <w:gridCol w:w="782"/>
        <w:gridCol w:w="778"/>
        <w:gridCol w:w="782"/>
        <w:gridCol w:w="778"/>
        <w:gridCol w:w="782"/>
        <w:gridCol w:w="778"/>
        <w:gridCol w:w="782"/>
        <w:gridCol w:w="778"/>
        <w:gridCol w:w="787"/>
      </w:tblGrid>
      <w:tr>
        <w:trPr>
          <w:trHeight w:val="1469"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承诺投资项目和超 募资金投向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是否已 变更项 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含部 分变更</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募集资 金承诺 投资总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调整后 投资总 额</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本报告 期投入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截至期 末累计 投入金</w:t>
            </w:r>
          </w:p>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额</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320" w:line="290" w:lineRule="exact"/>
              <w:ind w:left="0" w:right="0" w:firstLine="0"/>
              <w:jc w:val="left"/>
              <w:rPr>
                <w:sz w:val="20"/>
                <w:szCs w:val="20"/>
              </w:rPr>
            </w:pPr>
            <w:r>
              <w:rPr>
                <w:color w:val="000000"/>
                <w:spacing w:val="0"/>
                <w:w w:val="100"/>
                <w:position w:val="0"/>
                <w:sz w:val="20"/>
                <w:szCs w:val="20"/>
              </w:rPr>
              <w:t>截至期 末投资 进度</w:t>
            </w:r>
            <w:r>
              <w:rPr>
                <w:rFonts w:ascii="Times New Roman" w:eastAsia="Times New Roman" w:hAnsi="Times New Roman" w:cs="Times New Roman"/>
                <w:color w:val="000000"/>
                <w:spacing w:val="0"/>
                <w:w w:val="100"/>
                <w:position w:val="0"/>
                <w:sz w:val="20"/>
                <w:szCs w:val="20"/>
              </w:rPr>
              <w:t>(3)</w:t>
            </w:r>
          </w:p>
          <w:p>
            <w:pPr>
              <w:pStyle w:val="Style6"/>
              <w:keepNext w:val="0"/>
              <w:keepLines w:val="0"/>
              <w:widowControl w:val="0"/>
              <w:shd w:val="clear" w:color="auto" w:fill="auto"/>
              <w:bidi w:val="0"/>
              <w:spacing w:before="0" w:after="0" w:line="30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项目达 到预定 可使用 状态日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本报告 期实现 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是否达 到预计 效益</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项目可 行性是 否发生 重大变 化</w:t>
            </w:r>
          </w:p>
        </w:tc>
      </w:tr>
      <w:tr>
        <w:trPr>
          <w:trHeight w:val="302" w:hRule="exact"/>
        </w:trPr>
        <w:tc>
          <w:tcPr>
            <w:gridSpan w:val="11"/>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r>
      <w:tr>
        <w:trPr>
          <w:trHeight w:val="3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28,046.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28,046.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19,456.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19,456.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-571.13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1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泉州传化公路港项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14,993.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14,993.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14,993.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14,993.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-876.79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1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21,522.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21,522.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1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南充传化公路港项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28,642.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28,642.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28,642.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28,642.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-1,354.2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2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重庆沙坪坝传化公</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9,273.0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9,273.0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9,086.2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underscore" w:pos="408"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underscore" w:pos="403" w:val="left"/>
              </w:tabs>
              <w:bidi w:val="0"/>
              <w:spacing w:before="0" w:after="0" w:line="240" w:lineRule="auto"/>
              <w:ind w:left="0" w:right="0" w:firstLine="0"/>
              <w:jc w:val="right"/>
              <w:rPr>
                <w:sz w:val="20"/>
                <w:szCs w:val="20"/>
              </w:rPr>
            </w:pPr>
            <w:r>
              <w:rPr>
                <w:color w:val="000000"/>
                <w:spacing w:val="0"/>
                <w:w w:val="100"/>
                <w:position w:val="0"/>
                <w:sz w:val="20"/>
                <w:szCs w:val="20"/>
              </w:rPr>
              <w:tab/>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路港项目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长沙传化公路港项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39,466.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2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淮安传化公路港项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6,038.4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2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青岛传化公路港项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3,156.0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1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O2O</w:t>
            </w:r>
            <w:r>
              <w:rPr>
                <w:color w:val="000000"/>
                <w:spacing w:val="0"/>
                <w:w w:val="100"/>
                <w:position w:val="0"/>
                <w:sz w:val="20"/>
                <w:szCs w:val="20"/>
              </w:rPr>
              <w:t>物流网络平</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227,902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227,902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30,737.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34"/>
                <w:szCs w:val="34"/>
              </w:rPr>
            </w:pPr>
            <w:r>
              <w:rPr>
                <w:color w:val="000000"/>
                <w:spacing w:val="0"/>
                <w:w w:val="100"/>
                <w:position w:val="0"/>
                <w:sz w:val="34"/>
                <w:szCs w:val="34"/>
                <w:vertAlign w:val="subscript"/>
              </w:rPr>
              <w:t>否</w:t>
            </w:r>
          </w:p>
        </w:tc>
      </w:tr>
      <w:tr>
        <w:trPr>
          <w:trHeight w:val="22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台升级项目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9"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承诺项目小计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168,383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168,383</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-4,087.0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11"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298" w:hRule="exact"/>
        </w:trPr>
        <w:tc>
          <w:tcPr>
            <w:gridSpan w:val="11"/>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归还银行贷款(如 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586"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补充流动资金(如 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超募资金投向小计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70"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168,383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168,383</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-4,087.0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21"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项目可行性发生重 大变化的情况说明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888"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超募资金的金额、 用途及使用进展情 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right"/>
        <w:tblLayout w:type="fixed"/>
      </w:tblPr>
      <w:tblGrid>
        <w:gridCol w:w="1786"/>
        <w:gridCol w:w="7795"/>
      </w:tblGrid>
      <w:tr>
        <w:trPr>
          <w:trHeight w:val="90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募集资金投资项目 实施地点变更情况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8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募集资金投资项目 实施方式调整情况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35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募集资金投资项目 先期投入及置换情 况</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tabs>
                <w:tab w:pos="346" w:val="left"/>
              </w:tabs>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募集资金投资项目先期投入情况</w:t>
            </w:r>
          </w:p>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上述募集资金投资项目已由传化物流集团公司及其子公司以自有资金先期投入，截至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日，公司以自筹资金预先投入募集资金投资项目的实际投资金额为 </w:t>
            </w:r>
            <w:r>
              <w:rPr>
                <w:rFonts w:ascii="Times New Roman" w:eastAsia="Times New Roman" w:hAnsi="Times New Roman" w:cs="Times New Roman"/>
                <w:color w:val="000000"/>
                <w:spacing w:val="0"/>
                <w:w w:val="100"/>
                <w:position w:val="0"/>
                <w:sz w:val="20"/>
                <w:szCs w:val="20"/>
              </w:rPr>
              <w:t xml:space="preserve">134,162.57 </w:t>
            </w:r>
            <w:r>
              <w:rPr>
                <w:color w:val="000000"/>
                <w:spacing w:val="0"/>
                <w:w w:val="100"/>
                <w:position w:val="0"/>
                <w:sz w:val="20"/>
                <w:szCs w:val="20"/>
              </w:rPr>
              <w:t>万元。</w:t>
            </w:r>
          </w:p>
          <w:p>
            <w:pPr>
              <w:pStyle w:val="Style6"/>
              <w:keepNext w:val="0"/>
              <w:keepLines w:val="0"/>
              <w:widowControl w:val="0"/>
              <w:shd w:val="clear" w:color="auto" w:fill="auto"/>
              <w:tabs>
                <w:tab w:pos="346" w:val="left"/>
              </w:tabs>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募集资金投资项目置换情况及履行的决策程序</w:t>
            </w:r>
          </w:p>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经天健会计师事务所（特殊普通合伙）鉴证，截至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日，公司自筹资金 预先投入募集资金投资项目实际投资额累计为</w:t>
            </w:r>
            <w:r>
              <w:rPr>
                <w:rFonts w:ascii="Times New Roman" w:eastAsia="Times New Roman" w:hAnsi="Times New Roman" w:cs="Times New Roman"/>
                <w:color w:val="000000"/>
                <w:spacing w:val="0"/>
                <w:w w:val="100"/>
                <w:position w:val="0"/>
                <w:sz w:val="20"/>
                <w:szCs w:val="20"/>
              </w:rPr>
              <w:t>134,162.57</w:t>
            </w:r>
            <w:r>
              <w:rPr>
                <w:color w:val="000000"/>
                <w:spacing w:val="0"/>
                <w:w w:val="100"/>
                <w:position w:val="0"/>
                <w:sz w:val="20"/>
                <w:szCs w:val="20"/>
              </w:rPr>
              <w:t>万元。天健会计师事务所（特 殊普通合伙）于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日出具了《关于浙江传化股份有限公司以自筹资金预 先投入募投项目的鉴证报告》（天健审〔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6226</w:t>
            </w:r>
            <w:r>
              <w:rPr>
                <w:color w:val="000000"/>
                <w:spacing w:val="0"/>
                <w:w w:val="100"/>
                <w:position w:val="0"/>
                <w:sz w:val="20"/>
                <w:szCs w:val="20"/>
              </w:rPr>
              <w:t>号）。公司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 第五届董事会第二十八次（临时）会议和第五届监事会第二十次（临时）会议、独立 董事在审议相关材料后出具独立意见，同意公司以募集资金置换预先已投入募集资金 投资项目的自筹资金</w:t>
            </w:r>
            <w:r>
              <w:rPr>
                <w:rFonts w:ascii="Times New Roman" w:eastAsia="Times New Roman" w:hAnsi="Times New Roman" w:cs="Times New Roman"/>
                <w:color w:val="000000"/>
                <w:spacing w:val="0"/>
                <w:w w:val="100"/>
                <w:position w:val="0"/>
                <w:sz w:val="20"/>
                <w:szCs w:val="20"/>
              </w:rPr>
              <w:t>134,162.57</w:t>
            </w:r>
            <w:r>
              <w:rPr>
                <w:color w:val="000000"/>
                <w:spacing w:val="0"/>
                <w:w w:val="100"/>
                <w:position w:val="0"/>
                <w:sz w:val="20"/>
                <w:szCs w:val="20"/>
              </w:rPr>
              <w:t>万元；公司独立财务顾问国泰君安证券股份有限公司 经核查后出具了《国泰君安证券股份有限公司关于浙江传化股份有限公司以募集资金 置换预先投入募投项目自筹资金的核查意见》，同意公司以募集资金置换预先已投入 募集资金投资项目的自筹资金事项。截止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日已置换</w:t>
            </w:r>
            <w:r>
              <w:rPr>
                <w:rFonts w:ascii="Times New Roman" w:eastAsia="Times New Roman" w:hAnsi="Times New Roman" w:cs="Times New Roman"/>
                <w:color w:val="000000"/>
                <w:spacing w:val="0"/>
                <w:w w:val="100"/>
                <w:position w:val="0"/>
                <w:sz w:val="20"/>
                <w:szCs w:val="20"/>
              </w:rPr>
              <w:t>134,162.57</w:t>
            </w:r>
            <w:r>
              <w:rPr>
                <w:color w:val="000000"/>
                <w:spacing w:val="0"/>
                <w:w w:val="100"/>
                <w:position w:val="0"/>
                <w:sz w:val="20"/>
                <w:szCs w:val="20"/>
              </w:rPr>
              <w:t>万元。</w:t>
            </w:r>
          </w:p>
        </w:tc>
      </w:tr>
      <w:tr>
        <w:trPr>
          <w:trHeight w:val="883"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用闲置募集资金暂 时补充流动资金情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项目实施出现募集 资金结余的金额及 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尚未使用的募集资 金用途及去向</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公司暂未使用的募集资金存放于指定的募集资金专户中，并将继续按照约定的用途使 用，如有变更，将按规定履行必要的审批和披露手续。</w:t>
            </w:r>
          </w:p>
        </w:tc>
      </w:tr>
      <w:tr>
        <w:trPr>
          <w:trHeight w:val="87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募集资金使用及披 露中存在的问题或 其他情况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本年度本公司募集资金使用及披露不存在重大问题。</w:t>
            </w:r>
          </w:p>
        </w:tc>
      </w:tr>
      <w:tr>
        <w:trPr>
          <w:trHeight w:val="27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注：杭州传化公路港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宝项目、泉州传化公路港项目、衢州传化公路港项目和南充传化公路港项</w:t>
            </w:r>
          </w:p>
        </w:tc>
      </w:tr>
    </w:tbl>
    <w:p>
      <w:pPr>
        <w:pStyle w:val="Style30"/>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目尚处营运初期，暂未实现盈利。</w:t>
      </w:r>
    </w:p>
    <w:p>
      <w:pPr>
        <w:widowControl w:val="0"/>
        <w:spacing w:after="159" w:line="1" w:lineRule="exact"/>
      </w:pPr>
    </w:p>
    <w:p>
      <w:pPr>
        <w:pStyle w:val="Style14"/>
        <w:keepNext w:val="0"/>
        <w:keepLines w:val="0"/>
        <w:widowControl w:val="0"/>
        <w:shd w:val="clear" w:color="auto" w:fill="auto"/>
        <w:bidi w:val="0"/>
        <w:spacing w:before="0" w:after="280" w:line="240" w:lineRule="auto"/>
        <w:ind w:left="1760" w:right="0" w:firstLine="0"/>
        <w:jc w:val="left"/>
      </w:pPr>
      <w:bookmarkStart w:id="69" w:name="bookmark69"/>
      <w:r>
        <w:rPr>
          <w:color w:val="000000"/>
          <w:spacing w:val="0"/>
          <w:w w:val="100"/>
          <w:position w:val="0"/>
          <w:sz w:val="24"/>
          <w:szCs w:val="24"/>
        </w:rPr>
        <w:t>（</w:t>
      </w:r>
      <w:bookmarkEnd w:id="6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）公司报告期不存在募集资金变更项目情况。</w:t>
      </w:r>
    </w:p>
    <w:p>
      <w:pPr>
        <w:pStyle w:val="Style14"/>
        <w:keepNext w:val="0"/>
        <w:keepLines w:val="0"/>
        <w:widowControl w:val="0"/>
        <w:shd w:val="clear" w:color="auto" w:fill="auto"/>
        <w:tabs>
          <w:tab w:pos="2277" w:val="left"/>
        </w:tabs>
        <w:bidi w:val="0"/>
        <w:spacing w:before="0" w:after="280" w:line="240" w:lineRule="auto"/>
        <w:ind w:left="1760" w:right="0" w:firstLine="0"/>
        <w:jc w:val="left"/>
      </w:pPr>
      <w:bookmarkStart w:id="70" w:name="bookmark70"/>
      <w:r>
        <w:rPr>
          <w:b/>
          <w:bCs/>
          <w:color w:val="000000"/>
          <w:spacing w:val="0"/>
          <w:w w:val="100"/>
          <w:position w:val="0"/>
          <w:sz w:val="24"/>
          <w:szCs w:val="24"/>
        </w:rPr>
        <w:t>六</w:t>
      </w:r>
      <w:bookmarkEnd w:id="70"/>
      <w:r>
        <w:rPr>
          <w:b/>
          <w:bCs/>
          <w:color w:val="000000"/>
          <w:spacing w:val="0"/>
          <w:w w:val="100"/>
          <w:position w:val="0"/>
          <w:sz w:val="24"/>
          <w:szCs w:val="24"/>
        </w:rPr>
        <w:t>、</w:t>
        <w:tab/>
        <w:t>重大资产和股权出售</w:t>
      </w:r>
    </w:p>
    <w:p>
      <w:pPr>
        <w:pStyle w:val="Style14"/>
        <w:keepNext w:val="0"/>
        <w:keepLines w:val="0"/>
        <w:widowControl w:val="0"/>
        <w:shd w:val="clear" w:color="auto" w:fill="auto"/>
        <w:tabs>
          <w:tab w:pos="2185" w:val="left"/>
        </w:tabs>
        <w:bidi w:val="0"/>
        <w:spacing w:before="0" w:after="280" w:line="240" w:lineRule="auto"/>
        <w:ind w:left="1760" w:right="0" w:firstLine="0"/>
        <w:jc w:val="left"/>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sz w:val="24"/>
          <w:szCs w:val="24"/>
        </w:rPr>
        <w:t>、</w:t>
        <w:tab/>
        <w:t>报告期未出售重大资产。</w:t>
      </w:r>
    </w:p>
    <w:p>
      <w:pPr>
        <w:pStyle w:val="Style14"/>
        <w:keepNext w:val="0"/>
        <w:keepLines w:val="0"/>
        <w:widowControl w:val="0"/>
        <w:shd w:val="clear" w:color="auto" w:fill="auto"/>
        <w:tabs>
          <w:tab w:pos="2185" w:val="left"/>
        </w:tabs>
        <w:bidi w:val="0"/>
        <w:spacing w:before="0" w:after="280" w:line="240" w:lineRule="auto"/>
        <w:ind w:left="1760" w:right="0" w:firstLine="0"/>
        <w:jc w:val="left"/>
      </w:pPr>
      <w:bookmarkStart w:id="72" w:name="bookmark72"/>
      <w:r>
        <w:rPr>
          <w:rFonts w:ascii="Times New Roman" w:eastAsia="Times New Roman" w:hAnsi="Times New Roman" w:cs="Times New Roman"/>
          <w:color w:val="000000"/>
          <w:spacing w:val="0"/>
          <w:w w:val="100"/>
          <w:position w:val="0"/>
          <w:sz w:val="24"/>
          <w:szCs w:val="24"/>
        </w:rPr>
        <w:t>2</w:t>
      </w:r>
      <w:bookmarkEnd w:id="72"/>
      <w:r>
        <w:rPr>
          <w:color w:val="000000"/>
          <w:spacing w:val="0"/>
          <w:w w:val="100"/>
          <w:position w:val="0"/>
          <w:sz w:val="24"/>
          <w:szCs w:val="24"/>
        </w:rPr>
        <w:t>、</w:t>
        <w:tab/>
        <w:t>报告期未出售重大股权。</w:t>
      </w:r>
    </w:p>
    <w:p>
      <w:pPr>
        <w:pStyle w:val="Style14"/>
        <w:keepNext w:val="0"/>
        <w:keepLines w:val="0"/>
        <w:widowControl w:val="0"/>
        <w:shd w:val="clear" w:color="auto" w:fill="auto"/>
        <w:tabs>
          <w:tab w:pos="2282" w:val="left"/>
        </w:tabs>
        <w:bidi w:val="0"/>
        <w:spacing w:before="0" w:after="280" w:line="240" w:lineRule="auto"/>
        <w:ind w:left="1760" w:right="0" w:firstLine="0"/>
        <w:jc w:val="left"/>
      </w:pPr>
      <w:bookmarkStart w:id="73" w:name="bookmark73"/>
      <w:r>
        <w:rPr>
          <w:b/>
          <w:bCs/>
          <w:color w:val="000000"/>
          <w:spacing w:val="0"/>
          <w:w w:val="100"/>
          <w:position w:val="0"/>
          <w:sz w:val="24"/>
          <w:szCs w:val="24"/>
        </w:rPr>
        <w:t>七</w:t>
      </w:r>
      <w:bookmarkEnd w:id="73"/>
      <w:r>
        <w:rPr>
          <w:b/>
          <w:bCs/>
          <w:color w:val="000000"/>
          <w:spacing w:val="0"/>
          <w:w w:val="100"/>
          <w:position w:val="0"/>
          <w:sz w:val="24"/>
          <w:szCs w:val="24"/>
        </w:rPr>
        <w:t>、</w:t>
        <w:tab/>
        <w:t>主要控股参股公司分析</w:t>
      </w:r>
    </w:p>
    <w:p>
      <w:pPr>
        <w:pStyle w:val="Style14"/>
        <w:keepNext w:val="0"/>
        <w:keepLines w:val="0"/>
        <w:widowControl w:val="0"/>
        <w:shd w:val="clear" w:color="auto" w:fill="auto"/>
        <w:bidi w:val="0"/>
        <w:spacing w:before="0" w:after="160" w:line="240" w:lineRule="auto"/>
        <w:ind w:left="1760" w:right="0" w:firstLine="0"/>
        <w:jc w:val="left"/>
      </w:pPr>
      <w:r>
        <w:rPr>
          <w:color w:val="000000"/>
          <w:spacing w:val="0"/>
          <w:w w:val="100"/>
          <w:position w:val="0"/>
          <w:sz w:val="24"/>
          <w:szCs w:val="24"/>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以上的参股公司情况</w:t>
      </w:r>
    </w:p>
    <w:p>
      <w:pPr>
        <w:pStyle w:val="Style6"/>
        <w:keepNext w:val="0"/>
        <w:keepLines w:val="0"/>
        <w:widowControl w:val="0"/>
        <w:shd w:val="clear" w:color="auto" w:fill="auto"/>
        <w:bidi w:val="0"/>
        <w:spacing w:before="0" w:after="280" w:line="240" w:lineRule="auto"/>
        <w:ind w:left="0" w:right="126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554"/>
        <w:gridCol w:w="974"/>
        <w:gridCol w:w="1046"/>
        <w:gridCol w:w="1046"/>
        <w:gridCol w:w="1042"/>
        <w:gridCol w:w="1046"/>
        <w:gridCol w:w="1046"/>
        <w:gridCol w:w="1046"/>
        <w:gridCol w:w="1051"/>
      </w:tblGrid>
      <w:tr>
        <w:trPr>
          <w:trHeight w:val="307"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公司类型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主要业务</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总资产</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净利润</w:t>
            </w:r>
          </w:p>
        </w:tc>
      </w:tr>
      <w:tr>
        <w:trPr>
          <w:trHeight w:val="59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杭州传化化学品有限公司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经营化纤 油剂的生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24,827 </w:t>
            </w:r>
            <w:r>
              <w:rPr>
                <w:color w:val="000000"/>
                <w:spacing w:val="0"/>
                <w:w w:val="100"/>
                <w:position w:val="0"/>
                <w:sz w:val="20"/>
                <w:szCs w:val="20"/>
              </w:rPr>
              <w:t>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573,052,03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429,391,30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732,174,75</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43,829,394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32,862,095</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产及销售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杭州传化精细化工有限公</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经营印染 助剂的生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20,600 </w:t>
            </w:r>
            <w:r>
              <w:rPr>
                <w:color w:val="000000"/>
                <w:spacing w:val="0"/>
                <w:w w:val="100"/>
                <w:position w:val="0"/>
                <w:sz w:val="20"/>
                <w:szCs w:val="2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578,939,88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429,797,42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65,171,987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61,917,678</w:t>
            </w:r>
          </w:p>
        </w:tc>
      </w:tr>
      <w:tr>
        <w:trPr>
          <w:trHeight w:val="14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兀</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934.90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w:t>
            </w:r>
          </w:p>
        </w:tc>
      </w:tr>
      <w:tr>
        <w:trPr>
          <w:trHeight w:val="21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产及销售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2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佛山市传化富联精细化工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经营印染 助剂的生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153,650,95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96,831,928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231,923,66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25,363,552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22,802,391</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产及销售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浙江传化合成材料有限公</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经营合成 橡胶的生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40,800 </w:t>
            </w:r>
            <w:r>
              <w:rPr>
                <w:color w:val="000000"/>
                <w:spacing w:val="0"/>
                <w:w w:val="100"/>
                <w:position w:val="0"/>
                <w:sz w:val="20"/>
                <w:szCs w:val="2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686,707,86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162,794,30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-12,970,77</w:t>
            </w:r>
          </w:p>
        </w:tc>
      </w:tr>
      <w:tr>
        <w:trPr>
          <w:trHeight w:val="14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w:t>
            </w:r>
          </w:p>
        </w:tc>
      </w:tr>
      <w:tr>
        <w:trPr>
          <w:trHeight w:val="21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产及销售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经营专用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浙江天松新材料股份有限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60"/>
              <w:jc w:val="left"/>
              <w:rPr>
                <w:sz w:val="20"/>
                <w:szCs w:val="20"/>
              </w:rPr>
            </w:pPr>
            <w:r>
              <w:rPr>
                <w:color w:val="000000"/>
                <w:spacing w:val="0"/>
                <w:w w:val="100"/>
                <w:position w:val="0"/>
                <w:sz w:val="20"/>
                <w:szCs w:val="20"/>
              </w:rPr>
              <w:t>子公司</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聚酯树脂 的生产及 销售</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6,500</w:t>
            </w:r>
            <w:r>
              <w:rPr>
                <w:color w:val="000000"/>
                <w:spacing w:val="0"/>
                <w:w w:val="100"/>
                <w:position w:val="0"/>
                <w:sz w:val="20"/>
                <w:szCs w:val="20"/>
              </w:rPr>
              <w:t>万元</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374,052,36</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101,520,05</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311,438,78</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3,109,442.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4,899,706.</w:t>
            </w:r>
          </w:p>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98</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经营工业 涂料、建筑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left w:val="single" w:sz="4"/>
            </w:tcBorders>
            <w:shd w:val="clear" w:color="auto" w:fill="FFFFFF"/>
            <w:vAlign w:val="top"/>
          </w:tcPr>
          <w:p>
            <w:pPr>
              <w:pStyle w:val="Style6"/>
              <w:keepNext w:val="0"/>
              <w:keepLines w:val="0"/>
              <w:widowControl w:val="0"/>
              <w:shd w:val="clear" w:color="auto" w:fill="auto"/>
              <w:bidi w:val="0"/>
              <w:spacing w:before="240" w:after="0" w:line="240" w:lineRule="auto"/>
              <w:ind w:left="0" w:right="0" w:firstLine="0"/>
              <w:jc w:val="left"/>
              <w:rPr>
                <w:sz w:val="20"/>
                <w:szCs w:val="20"/>
              </w:rPr>
            </w:pPr>
            <w:r>
              <w:rPr>
                <w:color w:val="000000"/>
                <w:spacing w:val="0"/>
                <w:w w:val="100"/>
                <w:position w:val="0"/>
                <w:sz w:val="20"/>
                <w:szCs w:val="20"/>
              </w:rPr>
              <w:t>浙江传化涂料有限公司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160"/>
              <w:jc w:val="left"/>
              <w:rPr>
                <w:sz w:val="20"/>
                <w:szCs w:val="20"/>
              </w:rPr>
            </w:pPr>
            <w:r>
              <w:rPr>
                <w:color w:val="000000"/>
                <w:spacing w:val="0"/>
                <w:w w:val="100"/>
                <w:position w:val="0"/>
                <w:sz w:val="20"/>
                <w:szCs w:val="20"/>
              </w:rPr>
              <w:t>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涂料、防水 剂、外墙保 温材料的 生产及销 售</w:t>
            </w:r>
          </w:p>
        </w:tc>
        <w:tc>
          <w:tcPr>
            <w:tcBorders>
              <w:left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104,799,51</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64,493,434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164,407,33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9,042,653.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8,929,458.</w:t>
            </w:r>
          </w:p>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传化荷兰有限公司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经营印染 助剂的生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78,244 </w:t>
            </w:r>
            <w:r>
              <w:rPr>
                <w:color w:val="000000"/>
                <w:spacing w:val="0"/>
                <w:w w:val="100"/>
                <w:position w:val="0"/>
                <w:sz w:val="20"/>
                <w:szCs w:val="20"/>
              </w:rPr>
              <w:t>万</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991,574,33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772,868,66</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176,067,13</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7,869,311.</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7,432,884.</w:t>
            </w:r>
          </w:p>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53</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产及销售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物流信息 服务，物流 信息软件 开发与销 售，公路港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55,002 </w:t>
            </w:r>
            <w:r>
              <w:rPr>
                <w:color w:val="000000"/>
                <w:spacing w:val="0"/>
                <w:w w:val="100"/>
                <w:position w:val="0"/>
                <w:sz w:val="20"/>
                <w:szCs w:val="20"/>
              </w:rPr>
              <w:t>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9,425,356,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7,375,117,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3,958,320,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-356,106,1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462,366,13</w:t>
            </w:r>
          </w:p>
        </w:tc>
      </w:tr>
      <w:tr>
        <w:trPr>
          <w:trHeight w:val="26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物流基地 及其配套 设施投资、 建设、开发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817.28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078.00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939.92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w:t>
            </w:r>
          </w:p>
        </w:tc>
      </w:tr>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240" w:lineRule="auto"/>
        <w:ind w:left="1738" w:right="0" w:firstLine="0"/>
        <w:jc w:val="left"/>
      </w:pPr>
      <w:r>
        <w:rPr>
          <w:color w:val="000000"/>
          <w:spacing w:val="0"/>
          <w:w w:val="100"/>
          <w:position w:val="0"/>
          <w:sz w:val="24"/>
          <w:szCs w:val="24"/>
        </w:rPr>
        <w:t>报告期内取得和处置子公司的情况</w:t>
      </w:r>
    </w:p>
    <w:p>
      <w:pPr>
        <w:widowControl w:val="0"/>
        <w:spacing w:after="119" w:line="1" w:lineRule="exact"/>
      </w:pPr>
    </w:p>
    <w:tbl>
      <w:tblPr>
        <w:tblOverlap w:val="never"/>
        <w:jc w:val="right"/>
        <w:tblLayout w:type="fixed"/>
      </w:tblPr>
      <w:tblGrid>
        <w:gridCol w:w="3197"/>
        <w:gridCol w:w="3187"/>
        <w:gridCol w:w="3197"/>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对整体生产经营和业绩的影响</w:t>
            </w:r>
          </w:p>
        </w:tc>
      </w:tr>
      <w:tr>
        <w:trPr>
          <w:trHeight w:val="30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传化荷兰有限公司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新设</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对公司业绩不产生重大影响。</w:t>
            </w:r>
          </w:p>
        </w:tc>
      </w:tr>
    </w:tbl>
    <w:p>
      <w:pPr>
        <w:pStyle w:val="Style30"/>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sz w:val="24"/>
          <w:szCs w:val="24"/>
        </w:rPr>
        <w:t>八、报告期内，公司不存在控制的结构化主体情况。</w:t>
      </w:r>
    </w:p>
    <w:p>
      <w:pPr>
        <w:widowControl w:val="0"/>
        <w:spacing w:after="279" w:line="1" w:lineRule="exact"/>
      </w:pPr>
    </w:p>
    <w:p>
      <w:pPr>
        <w:pStyle w:val="Style14"/>
        <w:keepNext w:val="0"/>
        <w:keepLines w:val="0"/>
        <w:widowControl w:val="0"/>
        <w:shd w:val="clear" w:color="auto" w:fill="auto"/>
        <w:bidi w:val="0"/>
        <w:spacing w:before="0" w:after="280" w:line="240" w:lineRule="auto"/>
        <w:ind w:left="1760" w:right="0" w:firstLine="0"/>
        <w:jc w:val="left"/>
      </w:pPr>
      <w:r>
        <w:rPr>
          <w:b/>
          <w:bCs/>
          <w:color w:val="000000"/>
          <w:spacing w:val="0"/>
          <w:w w:val="100"/>
          <w:position w:val="0"/>
          <w:sz w:val="24"/>
          <w:szCs w:val="24"/>
        </w:rPr>
        <w:t>九、公司未来发展的展望</w:t>
      </w:r>
    </w:p>
    <w:p>
      <w:pPr>
        <w:pStyle w:val="Style14"/>
        <w:keepNext w:val="0"/>
        <w:keepLines w:val="0"/>
        <w:widowControl w:val="0"/>
        <w:shd w:val="clear" w:color="auto" w:fill="auto"/>
        <w:bidi w:val="0"/>
        <w:spacing w:before="0" w:after="280" w:line="240" w:lineRule="auto"/>
        <w:ind w:left="1760" w:right="0" w:firstLine="0"/>
        <w:jc w:val="left"/>
      </w:pPr>
      <w:bookmarkStart w:id="74" w:name="bookmark74"/>
      <w:r>
        <w:rPr>
          <w:rFonts w:ascii="Times New Roman" w:eastAsia="Times New Roman" w:hAnsi="Times New Roman" w:cs="Times New Roman"/>
          <w:b/>
          <w:bCs/>
          <w:color w:val="000000"/>
          <w:spacing w:val="0"/>
          <w:w w:val="100"/>
          <w:position w:val="0"/>
          <w:sz w:val="24"/>
          <w:szCs w:val="24"/>
        </w:rPr>
        <w:t>1</w:t>
      </w:r>
      <w:bookmarkEnd w:id="74"/>
      <w:r>
        <w:rPr>
          <w:b/>
          <w:bCs/>
          <w:color w:val="000000"/>
          <w:spacing w:val="0"/>
          <w:w w:val="100"/>
          <w:position w:val="0"/>
          <w:sz w:val="24"/>
          <w:szCs w:val="24"/>
        </w:rPr>
        <w:t>、公司从事行业的格局和趋势</w:t>
      </w:r>
    </w:p>
    <w:p>
      <w:pPr>
        <w:pStyle w:val="Style14"/>
        <w:keepNext w:val="0"/>
        <w:keepLines w:val="0"/>
        <w:widowControl w:val="0"/>
        <w:shd w:val="clear" w:color="auto" w:fill="auto"/>
        <w:bidi w:val="0"/>
        <w:spacing w:before="0" w:after="280" w:line="240" w:lineRule="auto"/>
        <w:ind w:left="1760" w:right="0" w:firstLine="0"/>
        <w:jc w:val="left"/>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82" w:lineRule="exact"/>
        <w:ind w:left="128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年是国家实施“十三五”规划的重要一年，也是供给侧结构性改革的 深化之年。</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年中央经济工作会议提出，振兴实体经济，做强中国制造，提 升企业核心竞争力，传递了制造业是中国经济脊梁的核心信息。物流行业作为生 产性服务业的重要内容，智能物流必将受到国家更多的重视与关注。智能物流是 德国工业</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的核心组成部分，在工业</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智能工厂框架内，智能物流是连接制 造端和客户端的重要环节，是构建未来智能供应链体系的基石。越来越多的城市 认识到，经济中心地位的确定，与产业链、价值链和供应链之间的紧密关系。城 市要有竞争力，必须由产业集群，而产业集群的竞争力需要高效的供应链体系支 撑。因此京津冀、长三角、珠三角、长江中游、成渝、长株潭等城市群，都对城 市一体化供应链系统解决方案提出了要求。由此，传化网打造的供应链服务平台 具有广阔的市场空间。</w:t>
      </w:r>
    </w:p>
    <w:p>
      <w:pPr>
        <w:pStyle w:val="Style14"/>
        <w:keepNext w:val="0"/>
        <w:keepLines w:val="0"/>
        <w:widowControl w:val="0"/>
        <w:shd w:val="clear" w:color="auto" w:fill="auto"/>
        <w:bidi w:val="0"/>
        <w:spacing w:before="0" w:after="0" w:line="582" w:lineRule="exact"/>
        <w:ind w:left="1760" w:right="0" w:firstLine="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bidi w:val="0"/>
        <w:spacing w:before="0" w:after="0" w:line="582" w:lineRule="exact"/>
        <w:ind w:left="1280" w:right="0" w:firstLine="480"/>
        <w:jc w:val="both"/>
      </w:pPr>
      <w:r>
        <w:rPr>
          <w:color w:val="000000"/>
          <w:spacing w:val="0"/>
          <w:w w:val="100"/>
          <w:position w:val="0"/>
          <w:sz w:val="24"/>
          <w:szCs w:val="24"/>
        </w:rPr>
        <w:t>在供给侧改革、环保监管等大环境下，大量缺乏产品差异化优势和环保能力 的中小化工被淘汰，环保化、差异化成为功能化学品的主流趋势，功能化学品符 合供给侧改革提出的提升有效、中高端供给能力的要求，高端化学品、化工新材 料等市场热点产品供不应求。比如围绕纺织、建筑、汽车、油墨、皮革、个人护 理、电子等领域的功能化工产品都有很大的市场空间。</w:t>
      </w:r>
    </w:p>
    <w:p>
      <w:pPr>
        <w:pStyle w:val="Style14"/>
        <w:keepNext w:val="0"/>
        <w:keepLines w:val="0"/>
        <w:widowControl w:val="0"/>
        <w:shd w:val="clear" w:color="auto" w:fill="auto"/>
        <w:bidi w:val="0"/>
        <w:spacing w:before="0" w:after="0" w:line="582" w:lineRule="exact"/>
        <w:ind w:left="1280" w:right="0" w:firstLine="480"/>
        <w:jc w:val="both"/>
      </w:pPr>
      <w:r>
        <w:rPr>
          <w:color w:val="000000"/>
          <w:spacing w:val="0"/>
          <w:w w:val="100"/>
          <w:position w:val="0"/>
          <w:sz w:val="24"/>
          <w:szCs w:val="24"/>
        </w:rPr>
        <w:t>功能化学品具有小批量、多批次、个性化、技术附加值高等特点，与大宗化 工产品相比，客户转换壁垒较高，有着更大的差异化竞争机会，同时功能化学品 受经济周期波动影响较小，具有极强的耐风险性。</w:t>
      </w:r>
    </w:p>
    <w:p>
      <w:pPr>
        <w:pStyle w:val="Style14"/>
        <w:keepNext w:val="0"/>
        <w:keepLines w:val="0"/>
        <w:widowControl w:val="0"/>
        <w:shd w:val="clear" w:color="auto" w:fill="auto"/>
        <w:bidi w:val="0"/>
        <w:spacing w:before="0" w:after="0" w:line="582" w:lineRule="exact"/>
        <w:ind w:left="1280" w:right="0" w:firstLine="480"/>
        <w:jc w:val="both"/>
      </w:pPr>
      <w:r>
        <w:rPr>
          <w:color w:val="000000"/>
          <w:spacing w:val="0"/>
          <w:w w:val="100"/>
          <w:position w:val="0"/>
          <w:sz w:val="24"/>
          <w:szCs w:val="24"/>
        </w:rPr>
        <w:t>与欧美等国家相比，我国功能化学品行业主要面临行业集中度低、核心竞争 力不强、技术研发水平落后等问题，而在经济增速放缓、环保技能要求不断提升 的大环境下，行业进入块状整合阶段，集中度将会不断提高，行业整合迹象日益 显露，行业内企业纵向或横向并购以完善产业链布局的步伐加快。</w:t>
      </w:r>
    </w:p>
    <w:p>
      <w:pPr>
        <w:pStyle w:val="Style14"/>
        <w:keepNext w:val="0"/>
        <w:keepLines w:val="0"/>
        <w:widowControl w:val="0"/>
        <w:shd w:val="clear" w:color="auto" w:fill="auto"/>
        <w:bidi w:val="0"/>
        <w:spacing w:before="0" w:after="0" w:line="580" w:lineRule="exact"/>
        <w:ind w:left="1760" w:right="0" w:firstLine="0"/>
        <w:jc w:val="both"/>
      </w:pPr>
      <w:bookmarkStart w:id="75" w:name="bookmark75"/>
      <w:r>
        <w:rPr>
          <w:rFonts w:ascii="Times New Roman" w:eastAsia="Times New Roman" w:hAnsi="Times New Roman" w:cs="Times New Roman"/>
          <w:b/>
          <w:bCs/>
          <w:color w:val="000000"/>
          <w:spacing w:val="0"/>
          <w:w w:val="100"/>
          <w:position w:val="0"/>
          <w:sz w:val="24"/>
          <w:szCs w:val="24"/>
        </w:rPr>
        <w:t>2</w:t>
      </w:r>
      <w:bookmarkEnd w:id="75"/>
      <w:r>
        <w:rPr>
          <w:b/>
          <w:bCs/>
          <w:color w:val="000000"/>
          <w:spacing w:val="0"/>
          <w:w w:val="100"/>
          <w:position w:val="0"/>
          <w:sz w:val="24"/>
          <w:szCs w:val="24"/>
        </w:rPr>
        <w:t>、公司未来发展战略以及</w:t>
      </w:r>
      <w:r>
        <w:rPr>
          <w:rFonts w:ascii="Times New Roman" w:eastAsia="Times New Roman" w:hAnsi="Times New Roman" w:cs="Times New Roman"/>
          <w:b/>
          <w:bCs/>
          <w:color w:val="000000"/>
          <w:spacing w:val="0"/>
          <w:w w:val="100"/>
          <w:position w:val="0"/>
          <w:sz w:val="24"/>
          <w:szCs w:val="24"/>
        </w:rPr>
        <w:t>2017</w:t>
      </w:r>
      <w:r>
        <w:rPr>
          <w:b/>
          <w:bCs/>
          <w:color w:val="000000"/>
          <w:spacing w:val="0"/>
          <w:w w:val="100"/>
          <w:position w:val="0"/>
          <w:sz w:val="24"/>
          <w:szCs w:val="24"/>
        </w:rPr>
        <w:t>年经营规划</w:t>
      </w:r>
    </w:p>
    <w:p>
      <w:pPr>
        <w:pStyle w:val="Style14"/>
        <w:keepNext w:val="0"/>
        <w:keepLines w:val="0"/>
        <w:widowControl w:val="0"/>
        <w:shd w:val="clear" w:color="auto" w:fill="auto"/>
        <w:bidi w:val="0"/>
        <w:spacing w:before="0" w:after="0" w:line="580" w:lineRule="exact"/>
        <w:ind w:left="1760" w:right="0" w:firstLine="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80" w:lineRule="exact"/>
        <w:ind w:left="1280" w:right="0" w:firstLine="480"/>
        <w:jc w:val="both"/>
      </w:pPr>
      <w:r>
        <w:rPr>
          <w:color w:val="000000"/>
          <w:spacing w:val="0"/>
          <w:w w:val="100"/>
          <w:position w:val="0"/>
          <w:sz w:val="24"/>
          <w:szCs w:val="24"/>
        </w:rPr>
        <w:t>传化网致力于打造供应链服务平台，服务“长尾”市场，提升供应链效率。 其核心是基于智能信息系统与支付系统，依托公路港城市物流中心，融合互联网 物流业务与金融业务，为城市、城市群以及行业提供供应链平台服务，打通供应 链各环节，实现供应链端到端一单到底的业务场景，并基于人工智能深度学习和 大数据计算的能力，通过物联网、车联网以及各类智能硬件载体，围绕物流应用 场景，为供应链上的各主体、为城市、为行业提供智能物流服务。</w:t>
      </w:r>
    </w:p>
    <w:p>
      <w:pPr>
        <w:pStyle w:val="Style14"/>
        <w:keepNext w:val="0"/>
        <w:keepLines w:val="0"/>
        <w:widowControl w:val="0"/>
        <w:shd w:val="clear" w:color="auto" w:fill="auto"/>
        <w:bidi w:val="0"/>
        <w:spacing w:before="0" w:after="0" w:line="580" w:lineRule="exact"/>
        <w:ind w:left="1280" w:right="0" w:firstLine="480"/>
        <w:jc w:val="both"/>
      </w:pPr>
      <w:r>
        <w:rPr>
          <w:color w:val="000000"/>
          <w:spacing w:val="0"/>
          <w:w w:val="100"/>
          <w:position w:val="0"/>
          <w:sz w:val="24"/>
          <w:szCs w:val="24"/>
        </w:rPr>
        <w:t>未来，传化网将重点打造智能物流解决方案能力，把握智能物流价值链中的 核心环节，占据智能产业生态链中的竞争优势，构建智能物流体系，使得传化网 信息系统能够应用人工智能，实现物流智能化、信息化、数字化，助力传化网从 传统物流向智能物流的蜕变，进而将传化网智能信息系统融入智能制造工艺流 程，实现智能制造与智能物流的系统集成。公司将凭借自身的物流行业影响力， 引领智能物流的风向标，通过智能供应链的打造，推进采购、生产制造、销售、 物流配送等工业全生命周期过程的升级变革，深度融合衔接企业的智能制造，从 而带来创造价值的新方式与新商业模式，助力中国制造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战略。</w:t>
      </w:r>
    </w:p>
    <w:p>
      <w:pPr>
        <w:pStyle w:val="Style14"/>
        <w:keepNext w:val="0"/>
        <w:keepLines w:val="0"/>
        <w:widowControl w:val="0"/>
        <w:shd w:val="clear" w:color="auto" w:fill="auto"/>
        <w:bidi w:val="0"/>
        <w:spacing w:before="0" w:after="0" w:line="580" w:lineRule="exact"/>
        <w:ind w:left="128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年公司继续以打造传化网为核心目标，全力推进传化网供应链服务平 台的打造，基于一单到底的业务场景，全面发展金融服务，凝聚线上线下资源， 推动流量向线上转化，拉动业务全局性突破，形成传化网整体的生态优势。公司 的主要经营举措如下：</w:t>
      </w:r>
    </w:p>
    <w:p>
      <w:pPr>
        <w:pStyle w:val="Style14"/>
        <w:keepNext w:val="0"/>
        <w:keepLines w:val="0"/>
        <w:widowControl w:val="0"/>
        <w:shd w:val="clear" w:color="auto" w:fill="auto"/>
        <w:bidi w:val="0"/>
        <w:spacing w:before="0" w:after="0" w:line="580" w:lineRule="exact"/>
        <w:ind w:left="1240" w:right="1260" w:firstLine="0"/>
        <w:jc w:val="right"/>
      </w:pPr>
      <w:r>
        <w:rPr>
          <w:color w:val="000000"/>
          <w:spacing w:val="0"/>
          <w:w w:val="100"/>
          <w:position w:val="0"/>
          <w:sz w:val="24"/>
          <w:szCs w:val="24"/>
        </w:rPr>
        <w:t xml:space="preserve">第一、结合业务发展，夯实传化网智能信息系统与支付系统建设。根据业务 发展需要，加速传化网智能信息系统建设，持续夯实中后台系统建设，规范数据 标准，实现业务流、资金流在平台的数据信息沉淀，并基于人工智能深度学习和 大数据计算的能力，通过物联网、车联网以及各类智能硬件载体，围绕物流应用 </w:t>
      </w:r>
      <w:r>
        <w:rPr>
          <w:color w:val="000000"/>
          <w:spacing w:val="0"/>
          <w:w w:val="100"/>
          <w:position w:val="0"/>
          <w:sz w:val="24"/>
          <w:szCs w:val="24"/>
        </w:rPr>
        <w:t>场景，为供应链上的各主体、为城市、为行业提供智能物流服务。</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第二、加速互联网物流业务线上线下融合联动，提升运力的把控能力，提高 资源线上转化率。陆鲸业务，实施鲸港联动计划，在枢纽城市推广成都模式，提 高线下资源的线上转化率；通过用户分层运营，进一步提升平台成交量级与用户 活跃。易货嘀业务，加速城市拓展速度，积极推进与公路港协同作战模式，提升 市场占有率；拓展</w:t>
      </w:r>
      <w:r>
        <w:rPr>
          <w:rFonts w:ascii="Times New Roman" w:eastAsia="Times New Roman" w:hAnsi="Times New Roman" w:cs="Times New Roman"/>
          <w:color w:val="000000"/>
          <w:spacing w:val="0"/>
          <w:w w:val="100"/>
          <w:position w:val="0"/>
          <w:sz w:val="24"/>
          <w:szCs w:val="24"/>
        </w:rPr>
        <w:t>KA</w:t>
      </w:r>
      <w:r>
        <w:rPr>
          <w:color w:val="000000"/>
          <w:spacing w:val="0"/>
          <w:w w:val="100"/>
          <w:position w:val="0"/>
          <w:sz w:val="24"/>
          <w:szCs w:val="24"/>
        </w:rPr>
        <w:t>大客户，并重点打造小豹货栈仓配一体化业务；通过车队 合伙人计划，进一步提升运力把控能力。</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第三、继续深化全国化网络布局，拓展城市供应链服务，实施物流业务的深 度经营，打造成为城市物流中心。一是持续推进公路港全国网络建设，加速京津 冀、长三角、珠三角、长江中游、成渝、长株潭等城市群的布局与区域织网；二 是与互联网物流业务联动，拓展区域大客户，开展城市供应链服务，增强专业物 流服务运营能力。三是因地制宜推进创新增值业务，以公路港为业务载体，推进 线上线下资源的流量变现与创新经营。</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第四、发挥生态优势，全面推进金融业务。在传化网智能信息系统形成的一 单到底业务场景以及传化网生态下，通过强化与公路港、互联网物流的联动，基 于线上线下凝聚的大量资源，围绕物流企业、卡车司机在金融服务方面的空白与 痛点，全面开展金融服务，不断丰富完善生态系统。</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第五、打造传化网内业务协同体系，实现各业务的高效协同与联动。以战略 为抓手，牢牢把握传化网智能物流体系打造的主方向，全力保障资源要素，促进 平台与生态的形成。通过团队混编，促进线上与线下的组织协同，提高组织效能， 培养锻炼出一批能干、实干的专业人才；通过“目标协同、计划协同、内部结算” 等多种手段，提高传化网内资源共享与转化，促进业务联动。</w:t>
      </w:r>
    </w:p>
    <w:p>
      <w:pPr>
        <w:pStyle w:val="Style14"/>
        <w:keepNext w:val="0"/>
        <w:keepLines w:val="0"/>
        <w:widowControl w:val="0"/>
        <w:shd w:val="clear" w:color="auto" w:fill="auto"/>
        <w:bidi w:val="0"/>
        <w:spacing w:before="0" w:after="0" w:line="581" w:lineRule="exact"/>
        <w:ind w:left="1240" w:right="1260" w:firstLine="0"/>
        <w:jc w:val="left"/>
      </w:pPr>
      <w:r>
        <w:rPr>
          <w:color w:val="000000"/>
          <w:spacing w:val="0"/>
          <w:w w:val="100"/>
          <w:position w:val="0"/>
          <w:sz w:val="24"/>
          <w:szCs w:val="24"/>
        </w:rPr>
        <w:t xml:space="preserve">第六、在全力打造好传化网，构建一单到底的业务场景，从组织角度迅速形 成网状组织，从业务角度形成传化产业生态链。通过战投、联盟、合作等多种方 </w:t>
      </w:r>
      <w:r>
        <w:rPr>
          <w:color w:val="000000"/>
          <w:spacing w:val="0"/>
          <w:w w:val="100"/>
          <w:position w:val="0"/>
          <w:sz w:val="24"/>
          <w:szCs w:val="24"/>
        </w:rPr>
        <w:t>式，进一步打开组织、打开生态，与外部优势组织及各类要素资源链接，形成全 方位的“开放、连接、共赢”的供应链服务平台。</w:t>
      </w:r>
    </w:p>
    <w:p>
      <w:pPr>
        <w:pStyle w:val="Style14"/>
        <w:keepNext w:val="0"/>
        <w:keepLines w:val="0"/>
        <w:widowControl w:val="0"/>
        <w:shd w:val="clear" w:color="auto" w:fill="auto"/>
        <w:bidi w:val="0"/>
        <w:spacing w:before="0" w:after="0" w:line="581" w:lineRule="exact"/>
        <w:ind w:left="1760" w:right="0" w:firstLine="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业务组合：公司以“成为功能化学品领域的全球顶尖专家”为目标，聚焦于 提升终端消费品基底界面性能的功能化学品领域，力争核心业务单元在细分市场 拥有全球领导地位，打造由若干具有世界竞争力的业务组成的隐形冠军群。</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技术突破：集聚国内外研发资源，突破、提升核心和关键技术，紧扣基底界 面和</w:t>
      </w:r>
      <w:r>
        <w:rPr>
          <w:rFonts w:ascii="Times New Roman" w:eastAsia="Times New Roman" w:hAnsi="Times New Roman" w:cs="Times New Roman"/>
          <w:color w:val="000000"/>
          <w:spacing w:val="0"/>
          <w:w w:val="100"/>
          <w:position w:val="0"/>
          <w:sz w:val="24"/>
          <w:szCs w:val="24"/>
        </w:rPr>
        <w:t>SBU</w:t>
      </w:r>
      <w:r>
        <w:rPr>
          <w:color w:val="000000"/>
          <w:spacing w:val="0"/>
          <w:w w:val="100"/>
          <w:position w:val="0"/>
          <w:sz w:val="24"/>
          <w:szCs w:val="24"/>
        </w:rPr>
        <w:t>技术协同，形成产业“技术珍珠链”，围绕可持续和功能性趋势，加 大对战略产品线研发投入。</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外延扩张：坚持内涵式增长和外延式扩张并举的发展策略，在内涵式增长的 基础上，以“市场拓展”和“技术延伸”为主线，收购细分领域内具有核心技术 和市场资源知名企业，通过并购提升技术研发能力，拓展市场布局。</w:t>
      </w:r>
    </w:p>
    <w:p>
      <w:pPr>
        <w:pStyle w:val="Style14"/>
        <w:keepNext w:val="0"/>
        <w:keepLines w:val="0"/>
        <w:widowControl w:val="0"/>
        <w:shd w:val="clear" w:color="auto" w:fill="auto"/>
        <w:bidi w:val="0"/>
        <w:spacing w:before="0" w:after="0" w:line="581" w:lineRule="exact"/>
        <w:ind w:left="1880" w:right="0" w:firstLine="0"/>
        <w:jc w:val="both"/>
      </w:pPr>
      <w:bookmarkStart w:id="76" w:name="bookmark76"/>
      <w:r>
        <w:rPr>
          <w:rFonts w:ascii="Times New Roman" w:eastAsia="Times New Roman" w:hAnsi="Times New Roman" w:cs="Times New Roman"/>
          <w:b/>
          <w:bCs/>
          <w:color w:val="000000"/>
          <w:spacing w:val="0"/>
          <w:w w:val="100"/>
          <w:position w:val="0"/>
          <w:sz w:val="24"/>
          <w:szCs w:val="24"/>
        </w:rPr>
        <w:t>3</w:t>
      </w:r>
      <w:bookmarkEnd w:id="76"/>
      <w:r>
        <w:rPr>
          <w:b/>
          <w:bCs/>
          <w:color w:val="000000"/>
          <w:spacing w:val="0"/>
          <w:w w:val="100"/>
          <w:position w:val="0"/>
          <w:sz w:val="24"/>
          <w:szCs w:val="24"/>
        </w:rPr>
        <w:t>、对公司未来发展战略和经营目标的实现产生不利影响的风险因素分析 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传化网智能物流业务：</w:t>
      </w:r>
    </w:p>
    <w:p>
      <w:pPr>
        <w:pStyle w:val="Style14"/>
        <w:keepNext w:val="0"/>
        <w:keepLines w:val="0"/>
        <w:widowControl w:val="0"/>
        <w:shd w:val="clear" w:color="auto" w:fill="auto"/>
        <w:bidi w:val="0"/>
        <w:spacing w:before="0" w:after="0" w:line="581" w:lineRule="exact"/>
        <w:ind w:left="1280" w:right="0" w:firstLine="480"/>
        <w:jc w:val="left"/>
      </w:pPr>
      <w:bookmarkStart w:id="77" w:name="bookmark77"/>
      <w:r>
        <w:rPr>
          <w:b/>
          <w:bCs/>
          <w:color w:val="000000"/>
          <w:spacing w:val="0"/>
          <w:w w:val="100"/>
          <w:position w:val="0"/>
          <w:sz w:val="24"/>
          <w:szCs w:val="24"/>
        </w:rPr>
        <w:t>（</w:t>
      </w:r>
      <w:bookmarkEnd w:id="77"/>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）公司作为民营企业，承担并实施传化网建设，推动、改变行业现状， 本身就是一项重大挑战。</w:t>
      </w:r>
    </w:p>
    <w:p>
      <w:pPr>
        <w:pStyle w:val="Style14"/>
        <w:keepNext w:val="0"/>
        <w:keepLines w:val="0"/>
        <w:widowControl w:val="0"/>
        <w:shd w:val="clear" w:color="auto" w:fill="auto"/>
        <w:bidi w:val="0"/>
        <w:spacing w:before="0" w:after="0" w:line="581" w:lineRule="exact"/>
        <w:ind w:left="1280" w:right="0" w:firstLine="480"/>
        <w:jc w:val="left"/>
      </w:pPr>
      <w:r>
        <w:rPr>
          <w:color w:val="000000"/>
          <w:spacing w:val="0"/>
          <w:w w:val="100"/>
          <w:position w:val="0"/>
          <w:sz w:val="24"/>
          <w:szCs w:val="24"/>
        </w:rPr>
        <w:t xml:space="preserve">供应链联通生产制造的上、中、下游，可以支撑研发、设计、信息、金融、 物流等生产服务形成紧密、高效的协同，是生产性服务业的基础。而我国供应链 各个环节尚未打通，都是“信息孤岛”，商流、物流、资金流、信息流难以联通, 生产性服务企业普遍存在规模偏小、技术水平低、服务单一、同质化、服务成本 高等问题，各类生产服务无法形成系统化的协作，也难以与生产制造紧密联动。 同时社会、政府对生产性服务业这个概念还未达成广泛认同和支持。传化作为一 个企业在全面推动生产性服务业的发展，尽管公司一再在不同层面广泛呼吁，但 社会对于生产性服务业的关注度还不够，对于生产制造的痛点不够理解，广大的 </w:t>
      </w:r>
      <w:r>
        <w:rPr>
          <w:color w:val="000000"/>
          <w:spacing w:val="0"/>
          <w:w w:val="100"/>
          <w:position w:val="0"/>
          <w:sz w:val="24"/>
          <w:szCs w:val="24"/>
        </w:rPr>
        <w:t>创业和创新的团队还没有投身到这个领域当中来。</w:t>
      </w:r>
    </w:p>
    <w:p>
      <w:pPr>
        <w:pStyle w:val="Style14"/>
        <w:keepNext w:val="0"/>
        <w:keepLines w:val="0"/>
        <w:widowControl w:val="0"/>
        <w:shd w:val="clear" w:color="auto" w:fill="auto"/>
        <w:tabs>
          <w:tab w:pos="2378" w:val="left"/>
        </w:tabs>
        <w:bidi w:val="0"/>
        <w:spacing w:before="0" w:after="0" w:line="580" w:lineRule="exact"/>
        <w:ind w:left="1280" w:right="0" w:firstLine="480"/>
        <w:jc w:val="both"/>
      </w:pPr>
      <w:bookmarkStart w:id="78" w:name="bookmark78"/>
      <w:r>
        <w:rPr>
          <w:b/>
          <w:bCs/>
          <w:color w:val="000000"/>
          <w:spacing w:val="0"/>
          <w:w w:val="100"/>
          <w:position w:val="0"/>
          <w:sz w:val="24"/>
          <w:szCs w:val="24"/>
        </w:rPr>
        <w:t>（</w:t>
      </w:r>
      <w:bookmarkEnd w:id="7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传化网是一种全新的平台和模式，市场没有可对标对象，政府、社会、 行业、资本对传化网的认识与理解仍需要时间，公司得到广泛的资源支持才能加 速事业的发展。</w:t>
      </w:r>
    </w:p>
    <w:p>
      <w:pPr>
        <w:pStyle w:val="Style14"/>
        <w:keepNext w:val="0"/>
        <w:keepLines w:val="0"/>
        <w:widowControl w:val="0"/>
        <w:shd w:val="clear" w:color="auto" w:fill="auto"/>
        <w:bidi w:val="0"/>
        <w:spacing w:before="0" w:after="0" w:line="580" w:lineRule="exact"/>
        <w:ind w:left="1280" w:right="0" w:firstLine="480"/>
        <w:jc w:val="both"/>
      </w:pPr>
      <w:r>
        <w:rPr>
          <w:color w:val="000000"/>
          <w:spacing w:val="0"/>
          <w:w w:val="100"/>
          <w:position w:val="0"/>
          <w:sz w:val="24"/>
          <w:szCs w:val="24"/>
        </w:rPr>
        <w:t>传化网打造的公路物流智能系统，是相当于国家航空、高铁这样的智能系统， 具有公共属性，但并不完全是公共平台。传化网的目标是构建一个打通供应链各 环节、各主体，形成各类生产服务实现系统化协作的平台，然后基于平台内的生 产资料与生活资料数据，创新更多的产品服务，实现其商业价值，在这个过程中， 传化网需要同时兼顾公共平台打造和商业资本服务。由于市场上没有可对标对 象，政府、社会、行业、资本对传化网价值的认识与理解问题。</w:t>
      </w:r>
    </w:p>
    <w:p>
      <w:pPr>
        <w:pStyle w:val="Style14"/>
        <w:keepNext w:val="0"/>
        <w:keepLines w:val="0"/>
        <w:widowControl w:val="0"/>
        <w:shd w:val="clear" w:color="auto" w:fill="auto"/>
        <w:tabs>
          <w:tab w:pos="2378" w:val="left"/>
        </w:tabs>
        <w:bidi w:val="0"/>
        <w:spacing w:before="0" w:after="0" w:line="580" w:lineRule="exact"/>
        <w:ind w:left="1280" w:right="0" w:firstLine="480"/>
        <w:jc w:val="both"/>
      </w:pPr>
      <w:bookmarkStart w:id="79" w:name="bookmark79"/>
      <w:r>
        <w:rPr>
          <w:b/>
          <w:bCs/>
          <w:color w:val="000000"/>
          <w:spacing w:val="0"/>
          <w:w w:val="100"/>
          <w:position w:val="0"/>
          <w:sz w:val="24"/>
          <w:szCs w:val="24"/>
        </w:rPr>
        <w:t>（</w:t>
      </w:r>
      <w:bookmarkEnd w:id="79"/>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传化网的打造是一项系统性工程，仍需通过不断的探索与创新，迭代、 完善、丰富公司的商业模式。</w:t>
      </w:r>
    </w:p>
    <w:p>
      <w:pPr>
        <w:pStyle w:val="Style14"/>
        <w:keepNext w:val="0"/>
        <w:keepLines w:val="0"/>
        <w:widowControl w:val="0"/>
        <w:shd w:val="clear" w:color="auto" w:fill="auto"/>
        <w:bidi w:val="0"/>
        <w:spacing w:before="0" w:after="0" w:line="580" w:lineRule="exact"/>
        <w:ind w:left="1280" w:right="0" w:firstLine="480"/>
        <w:jc w:val="both"/>
      </w:pPr>
      <w:r>
        <w:rPr>
          <w:color w:val="000000"/>
          <w:spacing w:val="0"/>
          <w:w w:val="100"/>
          <w:position w:val="0"/>
          <w:sz w:val="24"/>
          <w:szCs w:val="24"/>
        </w:rPr>
        <w:t>现阶段打造传化网的关键是不断打磨智能信息系统，对接互联网、物联网技 术，将供应链各环节串联，逐步沉淀生产资料与生活资料数据，为数据的价值挖 掘奠定基础。在这个过程中，公司一方面将努力扩大现有的业务与产品的竞争力 与市场份额；另一方面将基于传化网大系统的场景，以小团队</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MVP</w:t>
      </w:r>
      <w:r>
        <w:rPr>
          <w:color w:val="000000"/>
          <w:spacing w:val="0"/>
          <w:w w:val="100"/>
          <w:position w:val="0"/>
          <w:sz w:val="24"/>
          <w:szCs w:val="24"/>
        </w:rPr>
        <w:t>”</w:t>
      </w:r>
      <w:r>
        <w:rPr>
          <w:color w:val="000000"/>
          <w:spacing w:val="0"/>
          <w:w w:val="100"/>
          <w:position w:val="0"/>
          <w:sz w:val="24"/>
          <w:szCs w:val="24"/>
        </w:rPr>
        <w:t>方式， 持续探索创新业务，由此持续迭代、丰富商业模式。</w:t>
      </w:r>
    </w:p>
    <w:p>
      <w:pPr>
        <w:pStyle w:val="Style14"/>
        <w:keepNext w:val="0"/>
        <w:keepLines w:val="0"/>
        <w:widowControl w:val="0"/>
        <w:shd w:val="clear" w:color="auto" w:fill="auto"/>
        <w:bidi w:val="0"/>
        <w:spacing w:before="0" w:after="0" w:line="580" w:lineRule="exact"/>
        <w:ind w:left="1280" w:right="0" w:firstLine="480"/>
        <w:jc w:val="both"/>
      </w:pPr>
      <w:r>
        <w:rPr>
          <w:b/>
          <w:bCs/>
          <w:color w:val="000000"/>
          <w:spacing w:val="0"/>
          <w:w w:val="100"/>
          <w:position w:val="0"/>
          <w:sz w:val="24"/>
          <w:szCs w:val="24"/>
        </w:rPr>
        <w:t>传化智联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化工业务：</w:t>
      </w:r>
    </w:p>
    <w:p>
      <w:pPr>
        <w:pStyle w:val="Style14"/>
        <w:keepNext w:val="0"/>
        <w:keepLines w:val="0"/>
        <w:widowControl w:val="0"/>
        <w:shd w:val="clear" w:color="auto" w:fill="auto"/>
        <w:tabs>
          <w:tab w:pos="2378" w:val="left"/>
        </w:tabs>
        <w:bidi w:val="0"/>
        <w:spacing w:before="0" w:after="0" w:line="580" w:lineRule="exact"/>
        <w:ind w:left="1280" w:right="0" w:firstLine="480"/>
        <w:jc w:val="both"/>
      </w:pPr>
      <w:bookmarkStart w:id="80" w:name="bookmark80"/>
      <w:r>
        <w:rPr>
          <w:b/>
          <w:bCs/>
          <w:color w:val="000000"/>
          <w:spacing w:val="0"/>
          <w:w w:val="100"/>
          <w:position w:val="0"/>
          <w:sz w:val="24"/>
          <w:szCs w:val="24"/>
        </w:rPr>
        <w:t>（</w:t>
      </w:r>
      <w:bookmarkEnd w:id="80"/>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w:t>
        <w:tab/>
        <w:t>安全环保风险。</w:t>
      </w:r>
      <w:r>
        <w:rPr>
          <w:color w:val="000000"/>
          <w:spacing w:val="0"/>
          <w:w w:val="100"/>
          <w:position w:val="0"/>
          <w:sz w:val="24"/>
          <w:szCs w:val="24"/>
        </w:rPr>
        <w:t>安全环保要求进一步升级，传化作为行业龙头企业， 不断提升安环管理水平，并通过安全生产资源管理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SRP</w:t>
      </w:r>
      <w:r>
        <w:rPr>
          <w:color w:val="000000"/>
          <w:spacing w:val="0"/>
          <w:w w:val="100"/>
          <w:position w:val="0"/>
          <w:sz w:val="24"/>
          <w:szCs w:val="24"/>
        </w:rPr>
        <w:t>”</w:t>
      </w:r>
      <w:r>
        <w:rPr>
          <w:color w:val="000000"/>
          <w:spacing w:val="0"/>
          <w:w w:val="100"/>
          <w:position w:val="0"/>
          <w:sz w:val="24"/>
          <w:szCs w:val="24"/>
        </w:rPr>
        <w:t>信息化系统，进一步 促进企业安全生产信息化、规范化管理。</w:t>
      </w:r>
    </w:p>
    <w:p>
      <w:pPr>
        <w:pStyle w:val="Style14"/>
        <w:keepNext w:val="0"/>
        <w:keepLines w:val="0"/>
        <w:widowControl w:val="0"/>
        <w:shd w:val="clear" w:color="auto" w:fill="auto"/>
        <w:tabs>
          <w:tab w:pos="2378" w:val="left"/>
        </w:tabs>
        <w:bidi w:val="0"/>
        <w:spacing w:before="0" w:after="0" w:line="580" w:lineRule="exact"/>
        <w:ind w:left="1280" w:right="0" w:firstLine="480"/>
        <w:jc w:val="both"/>
      </w:pPr>
      <w:bookmarkStart w:id="81" w:name="bookmark81"/>
      <w:r>
        <w:rPr>
          <w:b/>
          <w:bCs/>
          <w:color w:val="000000"/>
          <w:spacing w:val="0"/>
          <w:w w:val="100"/>
          <w:position w:val="0"/>
          <w:sz w:val="24"/>
          <w:szCs w:val="24"/>
        </w:rPr>
        <w:t>（</w:t>
      </w:r>
      <w:bookmarkEnd w:id="8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国内市场风险。</w:t>
      </w:r>
      <w:r>
        <w:rPr>
          <w:color w:val="000000"/>
          <w:spacing w:val="0"/>
          <w:w w:val="100"/>
          <w:position w:val="0"/>
          <w:sz w:val="24"/>
          <w:szCs w:val="24"/>
        </w:rPr>
        <w:t xml:space="preserve">安全环保压力配合供给侧改革淘汰落后产能，下游客 户尤其是中小企业生存压力巨大。传化的客户群以大客户居多，受此影响相对较 小，同时传化坚持“绿色环保”原则，为客户提供低消耗、低排放的环保型产品， </w:t>
      </w:r>
      <w:bookmarkStart w:id="82" w:name="bookmark82"/>
      <w:r>
        <w:rPr>
          <w:color w:val="000000"/>
          <w:spacing w:val="0"/>
          <w:w w:val="100"/>
          <w:position w:val="0"/>
          <w:sz w:val="24"/>
          <w:szCs w:val="24"/>
        </w:rPr>
        <w:t>帮助客户节能减排。</w:t>
      </w:r>
      <w:bookmarkEnd w:id="82"/>
    </w:p>
    <w:p>
      <w:pPr>
        <w:pStyle w:val="Style14"/>
        <w:keepNext w:val="0"/>
        <w:keepLines w:val="0"/>
        <w:widowControl w:val="0"/>
        <w:numPr>
          <w:ilvl w:val="0"/>
          <w:numId w:val="11"/>
        </w:numPr>
        <w:shd w:val="clear" w:color="auto" w:fill="auto"/>
        <w:bidi w:val="0"/>
        <w:spacing w:before="0" w:after="0" w:line="578" w:lineRule="exact"/>
        <w:ind w:left="1260" w:right="0" w:firstLine="500"/>
        <w:jc w:val="left"/>
      </w:pPr>
      <w:bookmarkStart w:id="83" w:name="bookmark83"/>
      <w:bookmarkStart w:id="84" w:name="bookmark84"/>
      <w:bookmarkEnd w:id="84"/>
      <w:r>
        <w:rPr>
          <w:b/>
          <w:bCs/>
          <w:color w:val="000000"/>
          <w:spacing w:val="0"/>
          <w:w w:val="100"/>
          <w:position w:val="0"/>
          <w:sz w:val="24"/>
          <w:szCs w:val="24"/>
        </w:rPr>
        <w:t>经营风险。</w:t>
      </w:r>
      <w:r>
        <w:rPr>
          <w:color w:val="000000"/>
          <w:spacing w:val="0"/>
          <w:w w:val="100"/>
          <w:position w:val="0"/>
          <w:sz w:val="24"/>
          <w:szCs w:val="24"/>
        </w:rPr>
        <w:t>并购后能否成功发挥协同效应存在一定的不确定性。为此, 在并购完成后，传化智联将采取相对稳健的整合策略，在战略明确的前提下，充 分发挥原经营团队的积极性，有效降低经营管理风险，最大程度实现平滑过渡。</w:t>
      </w:r>
      <w:bookmarkEnd w:id="83"/>
    </w:p>
    <w:p>
      <w:pPr>
        <w:pStyle w:val="Style14"/>
        <w:keepNext w:val="0"/>
        <w:keepLines w:val="0"/>
        <w:widowControl w:val="0"/>
        <w:shd w:val="clear" w:color="auto" w:fill="auto"/>
        <w:bidi w:val="0"/>
        <w:spacing w:before="0" w:after="260" w:line="578" w:lineRule="exact"/>
        <w:ind w:left="1760" w:right="0" w:firstLine="0"/>
        <w:jc w:val="left"/>
      </w:pPr>
      <w:r>
        <w:rPr>
          <w:b/>
          <w:bCs/>
          <w:color w:val="000000"/>
          <w:spacing w:val="0"/>
          <w:w w:val="100"/>
          <w:position w:val="0"/>
          <w:sz w:val="24"/>
          <w:szCs w:val="24"/>
        </w:rPr>
        <w:t>十、接待调研、沟通、采访等活动</w:t>
      </w:r>
    </w:p>
    <w:p>
      <w:pPr>
        <w:pStyle w:val="Style30"/>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、报告期内接待调研、沟通、采访等活动登记表</w:t>
      </w:r>
    </w:p>
    <w:tbl>
      <w:tblPr>
        <w:tblOverlap w:val="never"/>
        <w:jc w:val="right"/>
        <w:tblLayout w:type="fixed"/>
      </w:tblPr>
      <w:tblGrid>
        <w:gridCol w:w="2184"/>
        <w:gridCol w:w="2179"/>
        <w:gridCol w:w="2021"/>
        <w:gridCol w:w="3197"/>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接待时间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接待方式</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接待对象类型</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调研的基本情况索引</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详见巨潮资讯(</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传化智联</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日投资 者关系活动记录表</w:t>
            </w:r>
          </w:p>
        </w:tc>
      </w:tr>
      <w:tr>
        <w:trPr>
          <w:trHeight w:val="8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详见巨潮资讯(</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传化智联</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日投资 者关系活动记录表</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详见巨潮资讯(</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传化智联</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日投资 者关系活动记录表</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详见巨潮资讯(</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传化智联</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日投资 者关系活动记录表</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电话沟通</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19" w:line="1" w:lineRule="exact"/>
      </w:pPr>
    </w:p>
    <w:p>
      <w:pPr>
        <w:pStyle w:val="Style54"/>
        <w:keepNext w:val="0"/>
        <w:keepLines w:val="0"/>
        <w:widowControl w:val="0"/>
        <w:shd w:val="clear" w:color="auto" w:fill="auto"/>
        <w:bidi w:val="0"/>
        <w:spacing w:before="0" w:line="240" w:lineRule="auto"/>
        <w:ind w:left="0" w:right="0" w:firstLine="0"/>
        <w:jc w:val="center"/>
      </w:pPr>
      <w:r>
        <w:rPr>
          <w:color w:val="000000"/>
          <w:spacing w:val="0"/>
          <w:w w:val="100"/>
          <w:position w:val="0"/>
        </w:rPr>
        <w:t>第五节重要事项</w:t>
      </w:r>
    </w:p>
    <w:p>
      <w:pPr>
        <w:pStyle w:val="Style14"/>
        <w:keepNext w:val="0"/>
        <w:keepLines w:val="0"/>
        <w:widowControl w:val="0"/>
        <w:shd w:val="clear" w:color="auto" w:fill="auto"/>
        <w:bidi w:val="0"/>
        <w:spacing w:before="0" w:after="340" w:line="240" w:lineRule="auto"/>
        <w:ind w:left="1980" w:right="0" w:firstLine="0"/>
        <w:jc w:val="left"/>
      </w:pPr>
      <w:r>
        <w:rPr>
          <w:b/>
          <w:bCs/>
          <w:color w:val="000000"/>
          <w:spacing w:val="0"/>
          <w:w w:val="100"/>
          <w:position w:val="0"/>
          <w:sz w:val="24"/>
          <w:szCs w:val="24"/>
        </w:rPr>
        <w:t>、公司普通股利润分配及资本公积金转增股本情况</w:t>
      </w:r>
    </w:p>
    <w:p>
      <w:pPr>
        <w:pStyle w:val="Style14"/>
        <w:keepNext w:val="0"/>
        <w:keepLines w:val="0"/>
        <w:widowControl w:val="0"/>
        <w:shd w:val="clear" w:color="auto" w:fill="auto"/>
        <w:bidi w:val="0"/>
        <w:spacing w:before="0" w:after="0" w:line="581" w:lineRule="exact"/>
        <w:ind w:left="1760" w:right="0" w:firstLine="0"/>
        <w:jc w:val="left"/>
      </w:pPr>
      <w:bookmarkStart w:id="85" w:name="bookmark85"/>
      <w:r>
        <w:rPr>
          <w:rFonts w:ascii="Times New Roman" w:eastAsia="Times New Roman" w:hAnsi="Times New Roman" w:cs="Times New Roman"/>
          <w:color w:val="000000"/>
          <w:spacing w:val="0"/>
          <w:w w:val="100"/>
          <w:position w:val="0"/>
          <w:sz w:val="24"/>
          <w:szCs w:val="24"/>
        </w:rPr>
        <w:t>1</w:t>
      </w:r>
      <w:bookmarkEnd w:id="85"/>
      <w:r>
        <w:rPr>
          <w:color w:val="000000"/>
          <w:spacing w:val="0"/>
          <w:w w:val="100"/>
          <w:position w:val="0"/>
          <w:sz w:val="24"/>
          <w:szCs w:val="24"/>
        </w:rPr>
        <w:t>、报告期内利润分配政策特别是现金分红政策的制定、执行或调整情况</w:t>
      </w:r>
    </w:p>
    <w:p>
      <w:pPr>
        <w:pStyle w:val="Style14"/>
        <w:keepNext w:val="0"/>
        <w:keepLines w:val="0"/>
        <w:widowControl w:val="0"/>
        <w:shd w:val="clear" w:color="auto" w:fill="auto"/>
        <w:bidi w:val="0"/>
        <w:spacing w:before="0" w:after="140" w:line="581" w:lineRule="exact"/>
        <w:ind w:left="1260" w:right="0" w:firstLine="500"/>
        <w:jc w:val="left"/>
      </w:pPr>
      <w:r>
        <w:rPr>
          <w:color w:val="000000"/>
          <w:spacing w:val="0"/>
          <w:w w:val="100"/>
          <w:position w:val="0"/>
          <w:sz w:val="24"/>
          <w:szCs w:val="24"/>
        </w:rPr>
        <w:t>报告期内，公司严格执行利润分配政策，公司利润分配政策的制定及执行情 况，符合《公司章程》的规定和股东大会决议的要求，调整现有利润分配政策， 分红标准和比例明确且清晰，相关的决策程序和机制完备，独立董事尽职履责并 发挥了应有的作用，股东大会和日常投资者接待为中小股东提供了充分表达意见 和诉求的机会，中小股东的合法权益得到充分维护。未来公司将结合公司实际情 况和投资者意愿，围绕提高公司分红政策的透明度、不断完善公司股利分配政策、 细化相关规章制度、严格履行相关程序、保持股利分配政策的稳定性和持续性， 使投资者对未来分红有明确预期，切实提升对公司股东的回报。</w:t>
      </w:r>
    </w:p>
    <w:tbl>
      <w:tblPr>
        <w:tblOverlap w:val="never"/>
        <w:jc w:val="right"/>
        <w:tblLayout w:type="fixed"/>
      </w:tblPr>
      <w:tblGrid>
        <w:gridCol w:w="4790"/>
        <w:gridCol w:w="4790"/>
      </w:tblGrid>
      <w:tr>
        <w:trPr>
          <w:trHeight w:val="307" w:hRule="exact"/>
        </w:trPr>
        <w:tc>
          <w:tcPr>
            <w:gridSpan w:val="2"/>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是</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是</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是</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是</w:t>
            </w:r>
          </w:p>
        </w:tc>
      </w:tr>
      <w:tr>
        <w:trPr>
          <w:trHeight w:val="595"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年（含报告期）的利润分配方案及资本公积金转增股本方案情</w:t>
      </w:r>
    </w:p>
    <w:p>
      <w:pPr>
        <w:pStyle w:val="Style14"/>
        <w:keepNext w:val="0"/>
        <w:keepLines w:val="0"/>
        <w:widowControl w:val="0"/>
        <w:shd w:val="clear" w:color="auto" w:fill="auto"/>
        <w:bidi w:val="0"/>
        <w:spacing w:before="0" w:after="0" w:line="584" w:lineRule="exact"/>
        <w:ind w:left="1260" w:right="0" w:firstLine="0"/>
        <w:jc w:val="left"/>
      </w:pPr>
      <w:r>
        <w:rPr>
          <w:color w:val="000000"/>
          <w:spacing w:val="0"/>
          <w:w w:val="100"/>
          <w:position w:val="0"/>
          <w:sz w:val="24"/>
          <w:szCs w:val="24"/>
        </w:rPr>
        <w:t>况</w:t>
      </w:r>
    </w:p>
    <w:p>
      <w:pPr>
        <w:pStyle w:val="Style14"/>
        <w:keepNext w:val="0"/>
        <w:keepLines w:val="0"/>
        <w:widowControl w:val="0"/>
        <w:shd w:val="clear" w:color="auto" w:fill="auto"/>
        <w:bidi w:val="0"/>
        <w:spacing w:before="0" w:after="0" w:line="584" w:lineRule="exact"/>
        <w:ind w:left="1260" w:right="0" w:firstLine="50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年度利润分配预案为：公司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年度利润分配预案为：以公司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日的总股本</w:t>
      </w:r>
      <w:r>
        <w:rPr>
          <w:rFonts w:ascii="Times New Roman" w:eastAsia="Times New Roman" w:hAnsi="Times New Roman" w:cs="Times New Roman"/>
          <w:color w:val="000000"/>
          <w:spacing w:val="0"/>
          <w:w w:val="100"/>
          <w:position w:val="0"/>
          <w:sz w:val="24"/>
          <w:szCs w:val="24"/>
        </w:rPr>
        <w:t>3,257,814,678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 现金红利</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元（含税），剩余未分配利润结转下年。</w:t>
      </w:r>
    </w:p>
    <w:p>
      <w:pPr>
        <w:pStyle w:val="Style14"/>
        <w:keepNext w:val="0"/>
        <w:keepLines w:val="0"/>
        <w:widowControl w:val="0"/>
        <w:shd w:val="clear" w:color="auto" w:fill="auto"/>
        <w:bidi w:val="0"/>
        <w:spacing w:before="0" w:after="0" w:line="584" w:lineRule="exact"/>
        <w:ind w:left="1260" w:right="0" w:firstLine="50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年度利润分配预案为：以公司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日的总股本 </w:t>
      </w:r>
      <w:r>
        <w:rPr>
          <w:rFonts w:ascii="Times New Roman" w:eastAsia="Times New Roman" w:hAnsi="Times New Roman" w:cs="Times New Roman"/>
          <w:color w:val="000000"/>
          <w:spacing w:val="0"/>
          <w:w w:val="100"/>
          <w:position w:val="0"/>
          <w:sz w:val="24"/>
          <w:szCs w:val="24"/>
        </w:rPr>
        <w:t>3,257,814,678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元（含税）， 剩余未分配利润结转下年。</w:t>
      </w:r>
    </w:p>
    <w:p>
      <w:pPr>
        <w:pStyle w:val="Style14"/>
        <w:keepNext w:val="0"/>
        <w:keepLines w:val="0"/>
        <w:widowControl w:val="0"/>
        <w:shd w:val="clear" w:color="auto" w:fill="auto"/>
        <w:bidi w:val="0"/>
        <w:spacing w:before="0" w:after="60" w:line="584" w:lineRule="exact"/>
        <w:ind w:left="0" w:right="0" w:firstLine="0"/>
        <w:jc w:val="center"/>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年度利润分配预案为：以公司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日的总股本</w:t>
        <w:br/>
      </w:r>
      <w:r>
        <w:rPr>
          <w:rFonts w:ascii="Times New Roman" w:eastAsia="Times New Roman" w:hAnsi="Times New Roman" w:cs="Times New Roman"/>
          <w:color w:val="000000"/>
          <w:spacing w:val="0"/>
          <w:w w:val="100"/>
          <w:position w:val="0"/>
          <w:sz w:val="24"/>
          <w:szCs w:val="24"/>
        </w:rPr>
        <w:t>487,980,000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元（含税），剩</w:t>
      </w:r>
      <w:r>
        <w:br w:type="page"/>
      </w:r>
    </w:p>
    <w:p>
      <w:pPr>
        <w:pStyle w:val="Style14"/>
        <w:keepNext w:val="0"/>
        <w:keepLines w:val="0"/>
        <w:widowControl w:val="0"/>
        <w:shd w:val="clear" w:color="auto" w:fill="auto"/>
        <w:bidi w:val="0"/>
        <w:spacing w:before="0" w:after="280" w:line="240" w:lineRule="auto"/>
        <w:ind w:left="1260" w:right="0" w:firstLine="0"/>
        <w:jc w:val="left"/>
      </w:pPr>
      <w:r>
        <w:rPr>
          <w:color w:val="000000"/>
          <w:spacing w:val="0"/>
          <w:w w:val="100"/>
          <w:position w:val="0"/>
          <w:sz w:val="24"/>
          <w:szCs w:val="24"/>
        </w:rPr>
        <w:t>余未分配利润结转下年。</w:t>
      </w:r>
    </w:p>
    <w:p>
      <w:pPr>
        <w:pStyle w:val="Style14"/>
        <w:keepNext w:val="0"/>
        <w:keepLines w:val="0"/>
        <w:widowControl w:val="0"/>
        <w:shd w:val="clear" w:color="auto" w:fill="auto"/>
        <w:bidi w:val="0"/>
        <w:spacing w:before="0" w:after="160" w:line="240" w:lineRule="auto"/>
        <w:ind w:left="1760" w:right="0" w:firstLine="0"/>
        <w:jc w:val="left"/>
      </w:pPr>
      <w:r>
        <w:rPr>
          <w:color w:val="000000"/>
          <w:spacing w:val="0"/>
          <w:w w:val="100"/>
          <w:position w:val="0"/>
          <w:sz w:val="24"/>
          <w:szCs w:val="24"/>
        </w:rPr>
        <w:t>公司近三年（包括本报告期）普通股现金分红情况表:</w:t>
      </w:r>
    </w:p>
    <w:p>
      <w:pPr>
        <w:pStyle w:val="Style30"/>
        <w:keepNext w:val="0"/>
        <w:keepLines w:val="0"/>
        <w:widowControl w:val="0"/>
        <w:shd w:val="clear" w:color="auto" w:fill="auto"/>
        <w:bidi w:val="0"/>
        <w:spacing w:before="0" w:after="0" w:line="240" w:lineRule="auto"/>
        <w:ind w:left="7464"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1694"/>
        <w:gridCol w:w="1502"/>
        <w:gridCol w:w="1594"/>
        <w:gridCol w:w="1594"/>
        <w:gridCol w:w="1594"/>
        <w:gridCol w:w="1598"/>
      </w:tblGrid>
      <w:tr>
        <w:trPr>
          <w:trHeight w:val="117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分红年度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现金分红金额 （含税）</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占合并报表中归 属于上市公司普 通股股东的净利 润的比率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以其他方式现金 分红的金额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以其他方式现金 分红的比例</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325,781,467.80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580,985,445.92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325,781,467.80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550,629,090.92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73,197,000.00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245,155,062.01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0"/>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公司报告期内盈利且母公司未分配利润为正已提出现金红利分配预案。</w:t>
      </w:r>
    </w:p>
    <w:p>
      <w:pPr>
        <w:widowControl w:val="0"/>
        <w:spacing w:after="279" w:line="1" w:lineRule="exact"/>
      </w:pPr>
    </w:p>
    <w:p>
      <w:pPr>
        <w:pStyle w:val="Style30"/>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sz w:val="24"/>
          <w:szCs w:val="24"/>
        </w:rPr>
        <w:t>二、本报告期利润分配及资本公积金转增股本预案</w:t>
      </w:r>
    </w:p>
    <w:tbl>
      <w:tblPr>
        <w:tblOverlap w:val="never"/>
        <w:jc w:val="right"/>
        <w:tblLayout w:type="fixed"/>
      </w:tblPr>
      <w:tblGrid>
        <w:gridCol w:w="3802"/>
        <w:gridCol w:w="5779"/>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3,257,814,678</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325,781,467.80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1,739,467,435.14</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590" w:hRule="exact"/>
        </w:trPr>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公司发展阶段属成长期且有重大资金支出安排的，进行利润分配时，现金分红在本次利润分配中所占比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r>
      <w:tr>
        <w:trPr>
          <w:trHeight w:val="298" w:hRule="exact"/>
        </w:trPr>
        <w:tc>
          <w:tcPr>
            <w:gridSpan w:val="2"/>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595" w:hRule="exact"/>
        </w:trPr>
        <w:tc>
          <w:tcPr>
            <w:gridSpan w:val="2"/>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公司本年度的利润分配预案为：以公司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日的总股本</w:t>
            </w:r>
            <w:r>
              <w:rPr>
                <w:rFonts w:ascii="Times New Roman" w:eastAsia="Times New Roman" w:hAnsi="Times New Roman" w:cs="Times New Roman"/>
                <w:color w:val="000000"/>
                <w:spacing w:val="0"/>
                <w:w w:val="100"/>
                <w:position w:val="0"/>
                <w:sz w:val="20"/>
                <w:szCs w:val="20"/>
              </w:rPr>
              <w:t>3,257,814,678</w:t>
            </w:r>
            <w:r>
              <w:rPr>
                <w:color w:val="000000"/>
                <w:spacing w:val="0"/>
                <w:w w:val="100"/>
                <w:position w:val="0"/>
                <w:sz w:val="20"/>
                <w:szCs w:val="20"/>
              </w:rPr>
              <w:t>股为基数，向全体股东 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元（含税），剩余未分配利润结转下年。</w:t>
            </w:r>
          </w:p>
        </w:tc>
      </w:tr>
    </w:tbl>
    <w:p>
      <w:pPr>
        <w:pStyle w:val="Style30"/>
        <w:keepNext w:val="0"/>
        <w:keepLines w:val="0"/>
        <w:widowControl w:val="0"/>
        <w:shd w:val="clear" w:color="auto" w:fill="auto"/>
        <w:bidi w:val="0"/>
        <w:spacing w:before="0" w:after="0" w:line="240" w:lineRule="auto"/>
        <w:ind w:left="466" w:right="0" w:firstLine="0"/>
        <w:jc w:val="left"/>
      </w:pPr>
      <w:r>
        <w:rPr>
          <w:b/>
          <w:bCs/>
          <w:color w:val="000000"/>
          <w:spacing w:val="0"/>
          <w:w w:val="100"/>
          <w:position w:val="0"/>
          <w:sz w:val="24"/>
          <w:szCs w:val="24"/>
        </w:rPr>
        <w:t>三、承诺事项履行情况</w:t>
      </w:r>
    </w:p>
    <w:p>
      <w:pPr>
        <w:widowControl w:val="0"/>
        <w:spacing w:after="279" w:line="1" w:lineRule="exact"/>
      </w:pPr>
    </w:p>
    <w:p>
      <w:pPr>
        <w:pStyle w:val="Style14"/>
        <w:keepNext w:val="0"/>
        <w:keepLines w:val="0"/>
        <w:widowControl w:val="0"/>
        <w:shd w:val="clear" w:color="auto" w:fill="auto"/>
        <w:bidi w:val="0"/>
        <w:spacing w:before="0" w:after="280" w:line="240" w:lineRule="auto"/>
        <w:ind w:left="1760" w:right="0" w:firstLine="0"/>
        <w:jc w:val="left"/>
      </w:pPr>
      <w:bookmarkStart w:id="86" w:name="bookmark86"/>
      <w:r>
        <w:rPr>
          <w:rFonts w:ascii="Times New Roman" w:eastAsia="Times New Roman" w:hAnsi="Times New Roman" w:cs="Times New Roman"/>
          <w:color w:val="000000"/>
          <w:spacing w:val="0"/>
          <w:w w:val="100"/>
          <w:position w:val="0"/>
          <w:sz w:val="24"/>
          <w:szCs w:val="24"/>
        </w:rPr>
        <w:t>1</w:t>
      </w:r>
      <w:bookmarkEnd w:id="86"/>
      <w:r>
        <w:rPr>
          <w:color w:val="000000"/>
          <w:spacing w:val="0"/>
          <w:w w:val="100"/>
          <w:position w:val="0"/>
          <w:sz w:val="24"/>
          <w:szCs w:val="24"/>
        </w:rPr>
        <w:t>、公司、股东、实际控制人、收购人、董事、监事、高级管理人员或其他</w:t>
      </w:r>
    </w:p>
    <w:p>
      <w:pPr>
        <w:pStyle w:val="Style14"/>
        <w:keepNext w:val="0"/>
        <w:keepLines w:val="0"/>
        <w:widowControl w:val="0"/>
        <w:shd w:val="clear" w:color="auto" w:fill="auto"/>
        <w:bidi w:val="0"/>
        <w:spacing w:before="0" w:after="280" w:line="240" w:lineRule="auto"/>
        <w:ind w:left="1260" w:right="0" w:firstLine="0"/>
        <w:jc w:val="left"/>
        <w:sectPr>
          <w:footnotePr>
            <w:pos w:val="pageBottom"/>
            <w:numFmt w:val="decimal"/>
            <w:numRestart w:val="continuous"/>
          </w:footnotePr>
          <w:pgSz w:w="11900" w:h="16840"/>
          <w:pgMar w:top="1287" w:right="266" w:bottom="1455" w:left="561" w:header="0" w:footer="3" w:gutter="0"/>
          <w:cols w:space="720"/>
          <w:noEndnote/>
          <w:rtlGutter w:val="0"/>
          <w:docGrid w:linePitch="360"/>
        </w:sectPr>
      </w:pPr>
      <w:r>
        <w:rPr>
          <w:color w:val="000000"/>
          <w:spacing w:val="0"/>
          <w:w w:val="100"/>
          <w:position w:val="0"/>
          <w:sz w:val="24"/>
          <w:szCs w:val="24"/>
        </w:rPr>
        <w:t>关联方在报告期内履行完毕及截至报告期末尚未履行完毕的承诺事项</w:t>
      </w:r>
    </w:p>
    <w:tbl>
      <w:tblPr>
        <w:tblOverlap w:val="never"/>
        <w:jc w:val="center"/>
        <w:tblLayout w:type="fixed"/>
      </w:tblPr>
      <w:tblGrid>
        <w:gridCol w:w="2414"/>
        <w:gridCol w:w="1699"/>
        <w:gridCol w:w="1138"/>
        <w:gridCol w:w="5386"/>
        <w:gridCol w:w="1560"/>
        <w:gridCol w:w="1570"/>
        <w:gridCol w:w="1637"/>
      </w:tblGrid>
      <w:tr>
        <w:trPr>
          <w:trHeight w:val="307"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承诺事由</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承诺类型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承诺时间</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承诺期限</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履行情况</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收购报告书或权益变动报告</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资产重组时所作承诺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业绩补偿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5"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年，传化物流累计经审计的扣除非经常</w:t>
            </w:r>
            <w:r>
              <w:rPr>
                <w:color w:val="000000"/>
                <w:spacing w:val="0"/>
                <w:w w:val="100"/>
                <w:position w:val="0"/>
                <w:sz w:val="20"/>
                <w:szCs w:val="20"/>
              </w:rPr>
              <w:t>［</w:t>
            </w:r>
            <w:r>
              <w:rPr>
                <w:color w:val="000000"/>
                <w:spacing w:val="0"/>
                <w:w w:val="100"/>
                <w:position w:val="0"/>
                <w:sz w:val="20"/>
                <w:szCs w:val="20"/>
              </w:rPr>
              <w:t>生损 益后归属母公司所有者的净利润总数为</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亿元累计经审计归属 母公司所有者的净利润总数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含非经常性损益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w:t>
            </w:r>
            <w:r>
              <w:rPr>
                <w:rFonts w:ascii="Times New Roman" w:eastAsia="Times New Roman" w:hAnsi="Times New Roman" w:cs="Times New Roman"/>
                <w:color w:val="000000"/>
                <w:spacing w:val="0"/>
                <w:w w:val="100"/>
                <w:position w:val="0"/>
                <w:sz w:val="20"/>
                <w:szCs w:val="20"/>
              </w:rPr>
              <w:t>56.88</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r>
        <w:trPr>
          <w:trHeight w:val="116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上市公司实际控制 人承诺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jc w:val="both"/>
              <w:rPr>
                <w:sz w:val="20"/>
                <w:szCs w:val="20"/>
              </w:rPr>
            </w:pPr>
            <w:r>
              <w:rPr>
                <w:color w:val="000000"/>
                <w:spacing w:val="0"/>
                <w:w w:val="100"/>
                <w:position w:val="0"/>
                <w:sz w:val="20"/>
                <w:szCs w:val="20"/>
              </w:rPr>
              <w:t>在本次交易前已持有的上市公司股份，自本次交易完成之日 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个月内不转让。本次交易完成后，本承诺人因上市公司分配 股票股利、转增股本等情形所增持的股份亦应遵守前述股份锁定 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履行完毕</w:t>
            </w:r>
          </w:p>
        </w:tc>
      </w:tr>
      <w:tr>
        <w:trPr>
          <w:trHeight w:val="2333"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jc w:val="both"/>
              <w:rPr>
                <w:sz w:val="20"/>
                <w:szCs w:val="20"/>
              </w:rPr>
            </w:pPr>
            <w:r>
              <w:rPr>
                <w:color w:val="000000"/>
                <w:spacing w:val="0"/>
                <w:w w:val="100"/>
                <w:position w:val="0"/>
                <w:sz w:val="20"/>
                <w:szCs w:val="20"/>
              </w:rPr>
              <w:t>传化智联在本次交易中向本公司发行的全部股份，本公司承 诺自本次发行完成之日起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个月届满之日及本公司在《盈利补偿 协议》及《</w:t>
            </w:r>
            <w:r>
              <w:rPr>
                <w:color w:val="000000"/>
                <w:spacing w:val="0"/>
                <w:w w:val="100"/>
                <w:position w:val="0"/>
                <w:sz w:val="20"/>
                <w:szCs w:val="20"/>
              </w:rPr>
              <w:t>〈</w:t>
            </w:r>
            <w:r>
              <w:rPr>
                <w:color w:val="000000"/>
                <w:spacing w:val="0"/>
                <w:w w:val="100"/>
                <w:position w:val="0"/>
                <w:sz w:val="20"/>
                <w:szCs w:val="20"/>
              </w:rPr>
              <w:t>盈利补偿协议</w:t>
            </w:r>
            <w:r>
              <w:rPr>
                <w:color w:val="000000"/>
                <w:spacing w:val="0"/>
                <w:w w:val="100"/>
                <w:position w:val="0"/>
                <w:sz w:val="20"/>
                <w:szCs w:val="20"/>
              </w:rPr>
              <w:t>〉</w:t>
            </w:r>
            <w:r>
              <w:rPr>
                <w:color w:val="000000"/>
                <w:spacing w:val="0"/>
                <w:w w:val="100"/>
                <w:position w:val="0"/>
                <w:sz w:val="20"/>
                <w:szCs w:val="20"/>
              </w:rPr>
              <w:t>之补充协议》中的业绩补偿义务全部 履行完毕之日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以较晚日为准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前不转让。</w:t>
            </w:r>
          </w:p>
          <w:p>
            <w:pPr>
              <w:pStyle w:val="Style6"/>
              <w:keepNext w:val="0"/>
              <w:keepLines w:val="0"/>
              <w:widowControl w:val="0"/>
              <w:shd w:val="clear" w:color="auto" w:fill="auto"/>
              <w:bidi w:val="0"/>
              <w:spacing w:before="0" w:after="0" w:line="290" w:lineRule="exact"/>
              <w:ind w:left="0" w:right="0"/>
              <w:jc w:val="both"/>
              <w:rPr>
                <w:sz w:val="20"/>
                <w:szCs w:val="20"/>
              </w:rPr>
            </w:pPr>
            <w:r>
              <w:rPr>
                <w:color w:val="000000"/>
                <w:spacing w:val="0"/>
                <w:w w:val="100"/>
                <w:position w:val="0"/>
                <w:sz w:val="20"/>
                <w:szCs w:val="20"/>
              </w:rPr>
              <w:t>若本次交易完成后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个月内上市公司股票连续</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个交易日的 收盘价低于发行价（指本次发行股份购买资产和本次配套融资的 发行价中的较高者，下同），或者本次交易完成后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个月期末收 盘价低于发行价的，则前述锁定期自动延长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r>
        <w:trPr>
          <w:trHeight w:val="2621" w:hRule="exact"/>
        </w:trPr>
        <w:tc>
          <w:tcPr>
            <w:vMerge/>
            <w:tcBorders>
              <w:left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华安未来资产管理</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9" w:lineRule="exact"/>
              <w:ind w:left="0" w:right="0"/>
              <w:jc w:val="both"/>
              <w:rPr>
                <w:sz w:val="20"/>
                <w:szCs w:val="20"/>
              </w:rPr>
            </w:pPr>
            <w:r>
              <w:rPr>
                <w:color w:val="000000"/>
                <w:spacing w:val="0"/>
                <w:w w:val="100"/>
                <w:position w:val="0"/>
                <w:sz w:val="20"/>
                <w:szCs w:val="20"/>
              </w:rPr>
              <w:t>就传化智联在本次交易中向本公司发行的全部股份（届时将 直接登记在本公司管理的华安资产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传化集团专项资产管理计划</w:t>
            </w:r>
          </w:p>
          <w:p>
            <w:pPr>
              <w:pStyle w:val="Style6"/>
              <w:keepNext w:val="0"/>
              <w:keepLines w:val="0"/>
              <w:widowControl w:val="0"/>
              <w:shd w:val="clear" w:color="auto" w:fill="auto"/>
              <w:bidi w:val="0"/>
              <w:spacing w:before="0" w:after="0" w:line="289" w:lineRule="exact"/>
              <w:ind w:left="0" w:right="0" w:firstLine="0"/>
              <w:jc w:val="both"/>
              <w:rPr>
                <w:sz w:val="20"/>
                <w:szCs w:val="20"/>
              </w:rPr>
            </w:pPr>
            <w:r>
              <w:rPr>
                <w:color w:val="000000"/>
                <w:spacing w:val="0"/>
                <w:w w:val="100"/>
                <w:position w:val="0"/>
                <w:sz w:val="20"/>
                <w:szCs w:val="20"/>
              </w:rPr>
              <w:t>（以下简称“专项资产管理计划”）名下），本公司承诺将保证 该专项资产管理计划自该等股份发行结束之日起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 让。在前述锁定期届满后，按中国证监会及深圳证券交易所有关 规定执行。若本次交易完成后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个月内上市公司股票连续</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个交 易日的收盘价低于发行价（指本次发行股份购买资产和本次配套 融资的发行价中的较高者，下同），或者交易完成后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个月期末 收盘价低于发行价的，贝</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前述锁定期自动延长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bl>
    <w:p>
      <w:pPr>
        <w:spacing w:lineRule="exact" w:line="1"/>
        <w:rPr>
          <w:sz w:val="2"/>
          <w:szCs w:val="2"/>
        </w:rPr>
      </w:pPr>
      <w:r>
        <w:br w:type="page"/>
      </w:r>
    </w:p>
    <w:tbl>
      <w:tblPr>
        <w:tblOverlap w:val="never"/>
        <w:jc w:val="center"/>
        <w:tblLayout w:type="fixed"/>
      </w:tblPr>
      <w:tblGrid>
        <w:gridCol w:w="2414"/>
        <w:gridCol w:w="1699"/>
        <w:gridCol w:w="1138"/>
        <w:gridCol w:w="5386"/>
        <w:gridCol w:w="1560"/>
        <w:gridCol w:w="1570"/>
        <w:gridCol w:w="1637"/>
      </w:tblGrid>
      <w:tr>
        <w:trPr>
          <w:trHeight w:val="1474"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长安财富资产管理 有限公司、长城嘉信 资产管理有限公司、 上海凯石益正资产 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380"/>
              <w:jc w:val="both"/>
              <w:rPr>
                <w:sz w:val="20"/>
                <w:szCs w:val="20"/>
              </w:rPr>
            </w:pPr>
            <w:r>
              <w:rPr>
                <w:color w:val="000000"/>
                <w:spacing w:val="0"/>
                <w:w w:val="100"/>
                <w:position w:val="0"/>
                <w:sz w:val="20"/>
                <w:szCs w:val="20"/>
              </w:rPr>
              <w:t>就传化智联在本次交易中向本公司发行的全部股份（届时将 直接登记在专项资产管理计划名下），本公司承诺将保证该专项 资产管理计划自该等股份发行结束之日起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个月内不转让。在前 述锁定期届满后,按中国证监会及深圳证券交易所有关规定执行。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r>
        <w:trPr>
          <w:trHeight w:val="1459"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杭州中阳融正投资 管理有限公司、上海 陆家嘴股权投资基 金合伙企业、西藏自 治区投资有限公司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380"/>
              <w:jc w:val="both"/>
              <w:rPr>
                <w:sz w:val="20"/>
                <w:szCs w:val="20"/>
              </w:rPr>
            </w:pPr>
            <w:r>
              <w:rPr>
                <w:color w:val="000000"/>
                <w:spacing w:val="0"/>
                <w:w w:val="100"/>
                <w:position w:val="0"/>
                <w:sz w:val="20"/>
                <w:szCs w:val="20"/>
              </w:rPr>
              <w:t>就传化智联在本次交易中向本企业发行的全部股份，本企业 承诺自该等股份发行结束之日起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个月内不转让。在前述锁定期 届满后，按中国证监会及深圳证券交易所有关规定执行。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r>
        <w:trPr>
          <w:trHeight w:val="4358"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9" w:lineRule="exact"/>
              <w:ind w:left="0" w:right="0" w:firstLine="0"/>
              <w:jc w:val="both"/>
              <w:rPr>
                <w:sz w:val="20"/>
                <w:szCs w:val="20"/>
              </w:rPr>
            </w:pPr>
            <w:r>
              <w:rPr>
                <w:color w:val="000000"/>
                <w:spacing w:val="0"/>
                <w:w w:val="100"/>
                <w:position w:val="0"/>
                <w:sz w:val="20"/>
                <w:szCs w:val="20"/>
              </w:rPr>
              <w:t>中国人寿资产管理 有限公司、上海君彤 璟联投资合伙企业、 厦门建发股份有限 公司、建信基金管理 有限责任公司、华商 基金管理有限公司、 北京新华汇嘉投资 管理有限公司、中广 核财务有限责任公 司、杭州金投资本管 理有限公司、上海凯 石益正资产管理有 限公司、珠海浩怡投 资企业（有限合伙）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关于股份锁 定的承诺及 补充承诺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1" w:lineRule="exact"/>
              <w:ind w:left="0" w:right="0" w:firstLine="380"/>
              <w:jc w:val="both"/>
              <w:rPr>
                <w:sz w:val="20"/>
                <w:szCs w:val="20"/>
              </w:rPr>
            </w:pPr>
            <w:r>
              <w:rPr>
                <w:color w:val="000000"/>
                <w:spacing w:val="0"/>
                <w:w w:val="100"/>
                <w:position w:val="0"/>
                <w:sz w:val="20"/>
                <w:szCs w:val="20"/>
              </w:rPr>
              <w:t>根据《上市公司证券发行管理办法》、《上市公司非公开发 行股票实施细则》等相关规定，因本次发行股份募集配套资金新 增的股份，自发行结束之日起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个月内不得转让。上述股份上市 后，因传化智联派发股票股息、资本公积转增股本等原因增加的 股份，遵守前述规定，限售期结束后，上述股份的减持按中国证 监会及深圳证券交易所有关规定执行。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r>
        <w:trPr>
          <w:trHeight w:val="88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徐传化、徐冠巨、徐 观宝及传化集团</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关于保证上 市公司独立 性的承诺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、关于上市公司人员独立</w:t>
            </w:r>
          </w:p>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保证传化智联的总经理、副总经理、财务总监、董事会秘书及其 他高级管理人员专职在传化智联工作、不在本承诺人及本承诺人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bl>
    <w:p>
      <w:pPr>
        <w:spacing w:lineRule="exact" w:line="1"/>
        <w:rPr>
          <w:sz w:val="2"/>
          <w:szCs w:val="2"/>
        </w:rPr>
      </w:pPr>
      <w:r>
        <w:br w:type="page"/>
      </w:r>
    </w:p>
    <w:tbl>
      <w:tblPr>
        <w:tblOverlap w:val="never"/>
        <w:jc w:val="center"/>
        <w:tblLayout w:type="fixed"/>
      </w:tblPr>
      <w:tblGrid>
        <w:gridCol w:w="2414"/>
        <w:gridCol w:w="1699"/>
        <w:gridCol w:w="1138"/>
        <w:gridCol w:w="5386"/>
        <w:gridCol w:w="1560"/>
        <w:gridCol w:w="1570"/>
        <w:gridCol w:w="1637"/>
      </w:tblGrid>
      <w:tr>
        <w:trPr>
          <w:trHeight w:val="8141"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控制的其他企业担任除董事、监事以外的职务，且不在本承诺人 及本承诺人控制的其他企业领取薪酬。</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保证传化智联的财务人员独立，不在本承诺人及本承诺人控制的 其他企业中兼职或领取报酬。</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保证传化智联的人事关系、劳动关系、薪酬管理体系独立于本承 诺人。</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保证本承诺人推荐出任传化智联董事、监事的人选都通过合法的 程序进行，本承诺人不干预传化智联董事会和股东大会已经做出 的人事任免决定。</w:t>
            </w:r>
          </w:p>
          <w:p>
            <w:pPr>
              <w:pStyle w:val="Style6"/>
              <w:keepNext w:val="0"/>
              <w:keepLines w:val="0"/>
              <w:widowControl w:val="0"/>
              <w:shd w:val="clear" w:color="auto" w:fill="auto"/>
              <w:tabs>
                <w:tab w:pos="293" w:val="left"/>
              </w:tabs>
              <w:bidi w:val="0"/>
              <w:spacing w:before="0" w:after="0" w:line="305"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关于上市公司财务独立</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保证传化智联建立独立的财务会计部门和独立的财务核算体系。 保证传化智联具有规范、独立的财务会计制度和对分公司、子公 司的财务管理制度。</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保证传化智联及其子公司能够独立做出财务决策，本承诺人及本 承诺人控制的其他企业不干预传化智联的资金使用、调度。</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保证传化智联独立在银行开户，不与本承诺人及本承诺人控制的 其他企业共用一个银行账户。</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保证传化智联及子公司依法独立纳税。</w:t>
            </w:r>
          </w:p>
          <w:p>
            <w:pPr>
              <w:pStyle w:val="Style6"/>
              <w:keepNext w:val="0"/>
              <w:keepLines w:val="0"/>
              <w:widowControl w:val="0"/>
              <w:shd w:val="clear" w:color="auto" w:fill="auto"/>
              <w:tabs>
                <w:tab w:pos="293" w:val="left"/>
              </w:tabs>
              <w:bidi w:val="0"/>
              <w:spacing w:before="0" w:after="0" w:line="305"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关于上市公司机构独立</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保证传化智联依法建立和完善法人治理结构，建立独立、完整的 组织机构。</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保证传化智联的股东大会、董事会、独立董事、监事会、高级管 理人员等依照法律、法规和公司章程独立行使经营管理权。</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保证传化智联与本承诺人及本承诺人控制的其他企业之间在办公 机构和生产经营场所等方面完全分开，不存在机构混同的情形。 保证传化智联及其子公司独立自主地运作，本承诺人不会超越股 东大会直接或间接干预上市公司的决策和经营。</w:t>
            </w:r>
          </w:p>
          <w:p>
            <w:pPr>
              <w:pStyle w:val="Style6"/>
              <w:keepNext w:val="0"/>
              <w:keepLines w:val="0"/>
              <w:widowControl w:val="0"/>
              <w:shd w:val="clear" w:color="auto" w:fill="auto"/>
              <w:tabs>
                <w:tab w:pos="293" w:val="left"/>
              </w:tabs>
              <w:bidi w:val="0"/>
              <w:spacing w:before="0" w:after="0" w:line="305"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关于上市公司资产独立、完整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699"/>
        <w:gridCol w:w="1138"/>
        <w:gridCol w:w="5386"/>
        <w:gridCol w:w="1560"/>
        <w:gridCol w:w="1570"/>
        <w:gridCol w:w="1637"/>
      </w:tblGrid>
      <w:tr>
        <w:trPr>
          <w:trHeight w:val="610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保证传化智联具有独立、完整的经营性资产。</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保证本承诺人及本承诺人控制的其他企业不违规占用传化智联的 资金、资产及其他资源。</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保证不以传化智联的资产为承诺人及承诺人控制的其他企业的债 务违规提供担保。</w:t>
            </w:r>
          </w:p>
          <w:p>
            <w:pPr>
              <w:pStyle w:val="Style6"/>
              <w:keepNext w:val="0"/>
              <w:keepLines w:val="0"/>
              <w:widowControl w:val="0"/>
              <w:shd w:val="clear" w:color="auto" w:fill="auto"/>
              <w:bidi w:val="0"/>
              <w:spacing w:before="0" w:after="0" w:line="305"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、关于上市公司业务独立</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保证传化智联拥有独立开展经营活动的资产、人员、资质以及具 有独立面向市场自主经营的能力，在产、供、销等环节不依赖本 承诺人</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保证严格控制关联交易事项，尽量避免或减少传化智联与本承诺 人及本承诺人控制的其他企业之间的持续性关联交易。杜绝非法 占用上市公司资金、资产的行为。对于无法避免的关联交易将本 着“公平、公正、公开”的原则定价。同时，对关联交易按照传 化智联的公司章程、有关法律法规和《深圳证券交易所股票上市 规则》等有关规定履行信息披露义务和办理有关报批程序，及时 对有关信息进行披露。</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保证传化智联在其他方面与本承诺人及本承诺人控制的其他企业 保持独立。</w:t>
            </w:r>
          </w:p>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保证不通过单独或一致行动的途径，以依法行使股东权利以外的 任何方式，干预传化智联的重大决策事项，影响上市公司资产、 人员、财务、机构、业务的独立性。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4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徐传化、徐冠巨、徐 观宝及传化集团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关于避免与 上市公司同 业竞争的承 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226" w:val="left"/>
              </w:tabs>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本承诺人及本承诺人所控制的除传化智联及其子公司以外的其 他企业（以下简称“相关企业“）不存在正在从事任何对传化智 联及其子公司构成直接或间接竞争的生产经营业务或活动的情 形。</w:t>
            </w:r>
          </w:p>
          <w:p>
            <w:pPr>
              <w:pStyle w:val="Style6"/>
              <w:keepNext w:val="0"/>
              <w:keepLines w:val="0"/>
              <w:widowControl w:val="0"/>
              <w:shd w:val="clear" w:color="auto" w:fill="auto"/>
              <w:tabs>
                <w:tab w:pos="240" w:val="left"/>
              </w:tabs>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在本次重组完成后，在持有上市公司股份期间，本承诺人保证, 并促使本承诺人所控制的相关企业不从事任何对传化智联及其子 公司构成直接或间接竞争的生产经营业务或活动。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bl>
    <w:p>
      <w:pPr>
        <w:spacing w:lineRule="exact" w:line="1"/>
        <w:rPr>
          <w:sz w:val="2"/>
          <w:szCs w:val="2"/>
        </w:rPr>
      </w:pPr>
      <w:r>
        <w:br w:type="page"/>
      </w:r>
    </w:p>
    <w:tbl>
      <w:tblPr>
        <w:tblOverlap w:val="never"/>
        <w:jc w:val="center"/>
        <w:tblLayout w:type="fixed"/>
      </w:tblPr>
      <w:tblGrid>
        <w:gridCol w:w="2414"/>
        <w:gridCol w:w="1699"/>
        <w:gridCol w:w="1138"/>
        <w:gridCol w:w="5386"/>
        <w:gridCol w:w="1560"/>
        <w:gridCol w:w="1570"/>
        <w:gridCol w:w="1637"/>
      </w:tblGrid>
      <w:tr>
        <w:trPr>
          <w:trHeight w:val="523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tabs>
                <w:tab w:pos="259" w:val="left"/>
              </w:tabs>
              <w:bidi w:val="0"/>
              <w:spacing w:before="0" w:after="0" w:line="28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在本次重组完成后，本承诺人将对自身及相关企业的生产经营 活动进行监督和约束，如果将来本承诺人及相关企业的产品或业 务与传化智联及其子公司的产品或业务出现或将出现相同或类似 的情况，本承诺人将采取以下措施解决：</w:t>
            </w:r>
          </w:p>
          <w:p>
            <w:pPr>
              <w:pStyle w:val="Style6"/>
              <w:keepNext w:val="0"/>
              <w:keepLines w:val="0"/>
              <w:widowControl w:val="0"/>
              <w:shd w:val="clear" w:color="auto" w:fill="auto"/>
              <w:tabs>
                <w:tab w:pos="418" w:val="left"/>
              </w:tabs>
              <w:bidi w:val="0"/>
              <w:spacing w:before="0" w:after="0" w:line="29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本承诺人及相关企业从任何第三者处获得的任何商业机会与 传化智联的产品或业务可能构成同业竞争的，本承诺人及相关企 业将立即通知传化智联，由传化智联决定是否获取及利用该等商 业机会；且应其需求，本承诺人及相关企业将尽力促使该等商业 机会按合理和公平的价格和条款让与传化智联；</w:t>
            </w:r>
          </w:p>
          <w:p>
            <w:pPr>
              <w:pStyle w:val="Style6"/>
              <w:keepNext w:val="0"/>
              <w:keepLines w:val="0"/>
              <w:widowControl w:val="0"/>
              <w:shd w:val="clear" w:color="auto" w:fill="auto"/>
              <w:tabs>
                <w:tab w:pos="418" w:val="left"/>
              </w:tabs>
              <w:bidi w:val="0"/>
              <w:spacing w:before="0" w:after="0" w:line="29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如本承诺人及相关企业与传化智联及其子公司因实质或潜在 的同业竞争产生利益冲突，则优先考虑传化智联及其子公司的利 益；</w:t>
            </w:r>
          </w:p>
          <w:p>
            <w:pPr>
              <w:pStyle w:val="Style6"/>
              <w:keepNext w:val="0"/>
              <w:keepLines w:val="0"/>
              <w:widowControl w:val="0"/>
              <w:shd w:val="clear" w:color="auto" w:fill="auto"/>
              <w:tabs>
                <w:tab w:pos="446" w:val="left"/>
              </w:tabs>
              <w:bidi w:val="0"/>
              <w:spacing w:before="0" w:after="0" w:line="29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传化智联认为必要时，本承诺人及相关企业将进行减持直至 全部转让本承诺人或相关企业持有的有关资产和业务，或由传化 智联通过法律法规允许的方式委托经营、租赁或优先收购上述有 关资产和业务。</w:t>
            </w:r>
          </w:p>
          <w:p>
            <w:pPr>
              <w:pStyle w:val="Style6"/>
              <w:keepNext w:val="0"/>
              <w:keepLines w:val="0"/>
              <w:widowControl w:val="0"/>
              <w:shd w:val="clear" w:color="auto" w:fill="auto"/>
              <w:tabs>
                <w:tab w:pos="288" w:val="left"/>
              </w:tabs>
              <w:bidi w:val="0"/>
              <w:spacing w:before="0" w:after="0" w:line="25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若因违反上述承诺而给传化智联或其子公司造成实际损失的， 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徐传化、徐冠巨、徐 观宝及传化集团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1" w:lineRule="exact"/>
              <w:ind w:left="0" w:right="0" w:firstLine="0"/>
              <w:jc w:val="left"/>
              <w:rPr>
                <w:sz w:val="20"/>
                <w:szCs w:val="20"/>
              </w:rPr>
            </w:pPr>
            <w:r>
              <w:rPr>
                <w:color w:val="000000"/>
                <w:spacing w:val="0"/>
                <w:w w:val="100"/>
                <w:position w:val="0"/>
                <w:sz w:val="20"/>
                <w:szCs w:val="20"/>
              </w:rPr>
              <w:t>关于规范与 上市公司关 联交易的承 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254" w:val="left"/>
              </w:tabs>
              <w:bidi w:val="0"/>
              <w:spacing w:before="0" w:after="0" w:line="29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在持有上市公司股份期间，本承诺人及本承诺人控制的其他企 业将严格遵循相关法律、法规、规章及规范性文件、《传化智联 股份有限公司章程》及上市公司内部规章制度等有关规定行使股 东权利；在上市公司股东大会对涉及本承诺人及本承诺人控制的 其他企业的关联交易进行表决时，履行关联交易决策、回避表决 等公允决策程序。</w:t>
            </w:r>
          </w:p>
          <w:p>
            <w:pPr>
              <w:pStyle w:val="Style6"/>
              <w:keepNext w:val="0"/>
              <w:keepLines w:val="0"/>
              <w:widowControl w:val="0"/>
              <w:shd w:val="clear" w:color="auto" w:fill="auto"/>
              <w:tabs>
                <w:tab w:pos="259" w:val="left"/>
              </w:tabs>
              <w:bidi w:val="0"/>
              <w:spacing w:before="0" w:after="0" w:line="29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在持有上市公司股份期间，本承诺人及本承诺人控制的其他企 业将尽可能魂免或减少与传化智联及其控制企"间发生关联交 易；对无法避免或者有合理原因发生的关联交易，将遵循市场公 正、公平、公开的原则，按照公允、合理的市场价格进行交易，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履行中</w:t>
            </w:r>
          </w:p>
        </w:tc>
      </w:tr>
    </w:tbl>
    <w:p>
      <w:pPr>
        <w:spacing w:lineRule="exact" w:line="1"/>
        <w:rPr>
          <w:sz w:val="2"/>
          <w:szCs w:val="2"/>
        </w:rPr>
      </w:pPr>
      <w:r>
        <w:br w:type="page"/>
      </w:r>
    </w:p>
    <w:tbl>
      <w:tblPr>
        <w:tblOverlap w:val="never"/>
        <w:jc w:val="center"/>
        <w:tblLayout w:type="fixed"/>
      </w:tblPr>
      <w:tblGrid>
        <w:gridCol w:w="2414"/>
        <w:gridCol w:w="1699"/>
        <w:gridCol w:w="1138"/>
        <w:gridCol w:w="5386"/>
        <w:gridCol w:w="1560"/>
        <w:gridCol w:w="1570"/>
        <w:gridCol w:w="1637"/>
      </w:tblGrid>
      <w:tr>
        <w:trPr>
          <w:trHeight w:val="4080"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并按相关法律、法规、规章及规范性文件、《传化智联股份有限 公司章程》的规定等履行关联交易决策程序及信息披露义务；保 证不通过与传化智联及其控制企业的关联交易损害传化智联及其 他股东的合法权益。</w:t>
            </w:r>
          </w:p>
          <w:p>
            <w:pPr>
              <w:pStyle w:val="Style6"/>
              <w:keepNext w:val="0"/>
              <w:keepLines w:val="0"/>
              <w:widowControl w:val="0"/>
              <w:shd w:val="clear" w:color="auto" w:fill="auto"/>
              <w:tabs>
                <w:tab w:pos="259" w:val="left"/>
              </w:tabs>
              <w:bidi w:val="0"/>
              <w:spacing w:before="0" w:after="0" w:line="29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在持有上市公司股份期间，不利用实际控制人地位及影响谋求 传化智联及其控制企业在业务合作等方面给予优于市场第三方的 权利；不利用股东地位及影响谋求与传化智联及其控制企业达成 交易的优先权利。</w:t>
            </w:r>
          </w:p>
          <w:p>
            <w:pPr>
              <w:pStyle w:val="Style6"/>
              <w:keepNext w:val="0"/>
              <w:keepLines w:val="0"/>
              <w:widowControl w:val="0"/>
              <w:shd w:val="clear" w:color="auto" w:fill="auto"/>
              <w:tabs>
                <w:tab w:pos="259" w:val="left"/>
              </w:tabs>
              <w:bidi w:val="0"/>
              <w:spacing w:before="0" w:after="0" w:line="29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在持有上市公司股份期间，本承诺人将杜绝一切非法占用上市 公司的资金、资产的行为，在任何情况下，不要求传化智联及其 控制企业向本承诺人及本承诺人控制的其他企业提供任可形式的 担保。</w:t>
            </w:r>
          </w:p>
          <w:p>
            <w:pPr>
              <w:pStyle w:val="Style6"/>
              <w:keepNext w:val="0"/>
              <w:keepLines w:val="0"/>
              <w:widowControl w:val="0"/>
              <w:shd w:val="clear" w:color="auto" w:fill="auto"/>
              <w:tabs>
                <w:tab w:pos="283" w:val="left"/>
              </w:tabs>
              <w:bidi w:val="0"/>
              <w:spacing w:before="0" w:after="0" w:line="29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若因违反上述承诺而给传化智联或其控制企业造成实际损失 的，由本承诺人承担赔偿责任。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首次公开发行或再融资时所 作承诺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徐传化、徐冠巨、徐 观宝父子三人及其 控制的企业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同业竞争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避免同业竞争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履行中</w:t>
            </w:r>
          </w:p>
        </w:tc>
      </w:tr>
      <w:tr>
        <w:trPr>
          <w:trHeight w:val="59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徐传化、徐冠巨、徐 观宝父子三人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保护中小股 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不利用其控股股东地位侵害中小股东利益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履行中</w:t>
            </w:r>
          </w:p>
        </w:tc>
      </w:tr>
      <w:tr>
        <w:trPr>
          <w:trHeight w:val="87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徐传化、徐冠巨、徐 观宝父子三人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关联交易、资 金占用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资金往来和关联交易结算等方面保证严格执行中国证监会有关规 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履行中</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其他对公司中小股东所作承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承诺是否按时履行</w:t>
            </w:r>
          </w:p>
        </w:tc>
        <w:tc>
          <w:tcPr>
            <w:gridSpan w:val="6"/>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00"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如承诺超期未履行完毕的， 应当详细说明未完成履行的</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2414"/>
        <w:gridCol w:w="12989"/>
      </w:tblGrid>
      <w:tr>
        <w:trPr>
          <w:trHeight w:val="600"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具体原因及下一步的工作计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310" w:right="0" w:firstLine="0"/>
        <w:jc w:val="left"/>
        <w:sectPr>
          <w:headerReference w:type="default" r:id="rId18"/>
          <w:footerReference w:type="default" r:id="rId19"/>
          <w:headerReference w:type="first" r:id="rId20"/>
          <w:footerReference w:type="first" r:id="rId21"/>
          <w:footnotePr>
            <w:pos w:val="pageBottom"/>
            <w:numFmt w:val="decimal"/>
            <w:numRestart w:val="continuous"/>
          </w:footnotePr>
          <w:pgSz w:w="16840" w:h="11900" w:orient="landscape"/>
          <w:pgMar w:top="1786" w:right="850" w:bottom="1892" w:left="58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、公司资产或项目存在盈利预测，且报告期仍处在盈利预测期间，公司就资产或项目达到原盈利预测及其原因做出说明</w:t>
      </w:r>
    </w:p>
    <w:p>
      <w:pPr>
        <w:widowControl w:val="0"/>
        <w:spacing w:after="279" w:line="1" w:lineRule="exact"/>
      </w:pPr>
    </w:p>
    <w:tbl>
      <w:tblPr>
        <w:tblOverlap w:val="never"/>
        <w:jc w:val="center"/>
        <w:tblLayout w:type="fixed"/>
      </w:tblPr>
      <w:tblGrid>
        <w:gridCol w:w="1733"/>
        <w:gridCol w:w="1181"/>
        <w:gridCol w:w="1181"/>
        <w:gridCol w:w="1181"/>
        <w:gridCol w:w="1181"/>
        <w:gridCol w:w="1176"/>
        <w:gridCol w:w="1186"/>
        <w:gridCol w:w="1181"/>
      </w:tblGrid>
      <w:tr>
        <w:trPr>
          <w:trHeight w:val="88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盈利预测资产或 项目名称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预测起始时 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预测终止时 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当期预测业 绩（万元）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当期实际业 绩（万元）</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未达预测的 原因（如适</w:t>
            </w:r>
          </w:p>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原预测披露 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原预测披露 索引</w:t>
            </w: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资产重组项目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-43,640.44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刊登于</w:t>
            </w:r>
            <w:r>
              <w:rPr>
                <w:color w:val="000000"/>
                <w:spacing w:val="0"/>
                <w:w w:val="100"/>
                <w:position w:val="0"/>
                <w:sz w:val="20"/>
                <w:szCs w:val="20"/>
              </w:rPr>
              <w:t>"</w:t>
            </w:r>
            <w:r>
              <w:rPr>
                <w:color w:val="000000"/>
                <w:spacing w:val="0"/>
                <w:w w:val="100"/>
                <w:position w:val="0"/>
                <w:sz w:val="20"/>
                <w:szCs w:val="20"/>
              </w:rPr>
              <w:t>巨 潮资讯”网</w:t>
            </w:r>
          </w:p>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《盈利补偿 协议》</w:t>
            </w:r>
          </w:p>
        </w:tc>
      </w:tr>
      <w:tr>
        <w:trPr>
          <w:trHeight w:val="64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39,148.37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240" w:lineRule="auto"/>
        <w:ind w:left="898" w:right="0" w:firstLine="0"/>
        <w:jc w:val="left"/>
      </w:pPr>
      <w:r>
        <w:rPr>
          <w:color w:val="000000"/>
          <w:spacing w:val="0"/>
          <w:w w:val="100"/>
          <w:position w:val="0"/>
          <w:sz w:val="24"/>
          <w:szCs w:val="24"/>
        </w:rPr>
        <w:t>公司股东、交易对手方在报告年度经营业绩做出的承诺情况:</w:t>
      </w:r>
    </w:p>
    <w:p>
      <w:pPr>
        <w:pStyle w:val="Style14"/>
        <w:keepNext w:val="0"/>
        <w:keepLines w:val="0"/>
        <w:widowControl w:val="0"/>
        <w:shd w:val="clear" w:color="auto" w:fill="auto"/>
        <w:bidi w:val="0"/>
        <w:spacing w:before="0" w:after="0" w:line="583" w:lineRule="exact"/>
        <w:ind w:left="920" w:right="0" w:firstLine="480"/>
        <w:jc w:val="both"/>
      </w:pPr>
      <w:r>
        <w:rPr>
          <w:color w:val="000000"/>
          <w:spacing w:val="0"/>
          <w:w w:val="100"/>
          <w:position w:val="0"/>
          <w:sz w:val="24"/>
          <w:szCs w:val="24"/>
        </w:rPr>
        <w:t>传化集团承诺：传化物流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年累计经审计的扣除非经常性损益 后归属母公司所有者的净利润总数为</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亿元，累计经审计归属母公司所有者的 净利润总数（含非经常性损益）为</w:t>
      </w:r>
      <w:r>
        <w:rPr>
          <w:rFonts w:ascii="Times New Roman" w:eastAsia="Times New Roman" w:hAnsi="Times New Roman" w:cs="Times New Roman"/>
          <w:color w:val="000000"/>
          <w:spacing w:val="0"/>
          <w:w w:val="100"/>
          <w:position w:val="0"/>
          <w:sz w:val="24"/>
          <w:szCs w:val="24"/>
        </w:rPr>
        <w:t>56.88</w:t>
      </w:r>
      <w:r>
        <w:rPr>
          <w:color w:val="000000"/>
          <w:spacing w:val="0"/>
          <w:w w:val="100"/>
          <w:position w:val="0"/>
          <w:sz w:val="24"/>
          <w:szCs w:val="24"/>
        </w:rPr>
        <w:t>亿元。传化物流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年扣除非经常性 损益后归属母公司所有者的净利润总数为</w:t>
      </w:r>
      <w:r>
        <w:rPr>
          <w:rFonts w:ascii="Times New Roman" w:eastAsia="Times New Roman" w:hAnsi="Times New Roman" w:cs="Times New Roman"/>
          <w:color w:val="000000"/>
          <w:spacing w:val="0"/>
          <w:w w:val="100"/>
          <w:position w:val="0"/>
          <w:sz w:val="24"/>
          <w:szCs w:val="24"/>
        </w:rPr>
        <w:t>-4.41</w:t>
      </w:r>
      <w:r>
        <w:rPr>
          <w:color w:val="000000"/>
          <w:spacing w:val="0"/>
          <w:w w:val="100"/>
          <w:position w:val="0"/>
          <w:sz w:val="24"/>
          <w:szCs w:val="24"/>
        </w:rPr>
        <w:t>亿元，归属母公司所有者的净利 润总数（含非经常性损益）为</w:t>
      </w:r>
      <w:r>
        <w:rPr>
          <w:rFonts w:ascii="Times New Roman" w:eastAsia="Times New Roman" w:hAnsi="Times New Roman" w:cs="Times New Roman"/>
          <w:color w:val="000000"/>
          <w:spacing w:val="0"/>
          <w:w w:val="100"/>
          <w:position w:val="0"/>
          <w:sz w:val="24"/>
          <w:szCs w:val="24"/>
        </w:rPr>
        <w:t>-3.51</w:t>
      </w:r>
      <w:r>
        <w:rPr>
          <w:color w:val="000000"/>
          <w:spacing w:val="0"/>
          <w:w w:val="100"/>
          <w:position w:val="0"/>
          <w:sz w:val="24"/>
          <w:szCs w:val="24"/>
        </w:rPr>
        <w:t>亿元。</w:t>
      </w:r>
    </w:p>
    <w:p>
      <w:pPr>
        <w:pStyle w:val="Style14"/>
        <w:keepNext w:val="0"/>
        <w:keepLines w:val="0"/>
        <w:widowControl w:val="0"/>
        <w:shd w:val="clear" w:color="auto" w:fill="auto"/>
        <w:tabs>
          <w:tab w:pos="1912" w:val="left"/>
        </w:tabs>
        <w:bidi w:val="0"/>
        <w:spacing w:before="0" w:after="0" w:line="583" w:lineRule="exact"/>
        <w:ind w:left="920" w:right="0" w:firstLine="480"/>
        <w:jc w:val="both"/>
      </w:pPr>
      <w:bookmarkStart w:id="87" w:name="bookmark87"/>
      <w:r>
        <w:rPr>
          <w:b/>
          <w:bCs/>
          <w:color w:val="000000"/>
          <w:spacing w:val="0"/>
          <w:w w:val="100"/>
          <w:position w:val="0"/>
          <w:sz w:val="24"/>
          <w:szCs w:val="24"/>
        </w:rPr>
        <w:t>四</w:t>
      </w:r>
      <w:bookmarkEnd w:id="87"/>
      <w:r>
        <w:rPr>
          <w:b/>
          <w:bCs/>
          <w:color w:val="000000"/>
          <w:spacing w:val="0"/>
          <w:w w:val="100"/>
          <w:position w:val="0"/>
          <w:sz w:val="24"/>
          <w:szCs w:val="24"/>
        </w:rPr>
        <w:t>、</w:t>
        <w:tab/>
        <w:t>公司报告期内，公司不存在控股股东及其关联方对上市公司重大的非经 营性占用资金。</w:t>
      </w:r>
    </w:p>
    <w:p>
      <w:pPr>
        <w:pStyle w:val="Style14"/>
        <w:keepNext w:val="0"/>
        <w:keepLines w:val="0"/>
        <w:widowControl w:val="0"/>
        <w:shd w:val="clear" w:color="auto" w:fill="auto"/>
        <w:tabs>
          <w:tab w:pos="1922" w:val="left"/>
        </w:tabs>
        <w:bidi w:val="0"/>
        <w:spacing w:before="0" w:after="0" w:line="583" w:lineRule="exact"/>
        <w:ind w:left="920" w:right="0" w:firstLine="480"/>
        <w:jc w:val="both"/>
      </w:pPr>
      <w:bookmarkStart w:id="88" w:name="bookmark88"/>
      <w:r>
        <w:rPr>
          <w:b/>
          <w:bCs/>
          <w:color w:val="000000"/>
          <w:spacing w:val="0"/>
          <w:w w:val="100"/>
          <w:position w:val="0"/>
          <w:sz w:val="24"/>
          <w:szCs w:val="24"/>
        </w:rPr>
        <w:t>五</w:t>
      </w:r>
      <w:bookmarkEnd w:id="88"/>
      <w:r>
        <w:rPr>
          <w:b/>
          <w:bCs/>
          <w:color w:val="000000"/>
          <w:spacing w:val="0"/>
          <w:w w:val="100"/>
          <w:position w:val="0"/>
          <w:sz w:val="24"/>
          <w:szCs w:val="24"/>
        </w:rPr>
        <w:t>、</w:t>
        <w:tab/>
        <w:t>报告期内，公司不存在董事会、监事会对会计师事务所本报告期“非标 准审计报告”的情况说明。</w:t>
      </w:r>
    </w:p>
    <w:p>
      <w:pPr>
        <w:pStyle w:val="Style14"/>
        <w:keepNext w:val="0"/>
        <w:keepLines w:val="0"/>
        <w:widowControl w:val="0"/>
        <w:shd w:val="clear" w:color="auto" w:fill="auto"/>
        <w:tabs>
          <w:tab w:pos="522" w:val="left"/>
        </w:tabs>
        <w:bidi w:val="0"/>
        <w:spacing w:before="0" w:after="0" w:line="583" w:lineRule="exact"/>
        <w:ind w:left="0" w:right="0" w:firstLine="0"/>
        <w:jc w:val="center"/>
      </w:pPr>
      <w:bookmarkStart w:id="89" w:name="bookmark89"/>
      <w:r>
        <w:rPr>
          <w:b/>
          <w:bCs/>
          <w:color w:val="000000"/>
          <w:spacing w:val="0"/>
          <w:w w:val="100"/>
          <w:position w:val="0"/>
          <w:sz w:val="24"/>
          <w:szCs w:val="24"/>
        </w:rPr>
        <w:t>六</w:t>
      </w:r>
      <w:bookmarkEnd w:id="89"/>
      <w:r>
        <w:rPr>
          <w:b/>
          <w:bCs/>
          <w:color w:val="000000"/>
          <w:spacing w:val="0"/>
          <w:w w:val="100"/>
          <w:position w:val="0"/>
          <w:sz w:val="24"/>
          <w:szCs w:val="24"/>
        </w:rPr>
        <w:t>、</w:t>
        <w:tab/>
        <w:t>报告期内，公司无会计政策、会计估计和核算方法发生变化的情况。</w:t>
      </w:r>
    </w:p>
    <w:p>
      <w:pPr>
        <w:pStyle w:val="Style14"/>
        <w:keepNext w:val="0"/>
        <w:keepLines w:val="0"/>
        <w:widowControl w:val="0"/>
        <w:shd w:val="clear" w:color="auto" w:fill="auto"/>
        <w:tabs>
          <w:tab w:pos="1922" w:val="left"/>
        </w:tabs>
        <w:bidi w:val="0"/>
        <w:spacing w:before="0" w:after="0" w:line="583" w:lineRule="exact"/>
        <w:ind w:left="1400" w:right="0" w:firstLine="0"/>
        <w:jc w:val="left"/>
      </w:pPr>
      <w:bookmarkStart w:id="90" w:name="bookmark90"/>
      <w:r>
        <w:rPr>
          <w:b/>
          <w:bCs/>
          <w:color w:val="000000"/>
          <w:spacing w:val="0"/>
          <w:w w:val="100"/>
          <w:position w:val="0"/>
          <w:sz w:val="24"/>
          <w:szCs w:val="24"/>
        </w:rPr>
        <w:t>七</w:t>
      </w:r>
      <w:bookmarkEnd w:id="90"/>
      <w:r>
        <w:rPr>
          <w:b/>
          <w:bCs/>
          <w:color w:val="000000"/>
          <w:spacing w:val="0"/>
          <w:w w:val="100"/>
          <w:position w:val="0"/>
          <w:sz w:val="24"/>
          <w:szCs w:val="24"/>
        </w:rPr>
        <w:t>、</w:t>
        <w:tab/>
        <w:t>报告期内，公司未发生重大会计差错更正需追溯重述的情况。</w:t>
      </w:r>
    </w:p>
    <w:p>
      <w:pPr>
        <w:pStyle w:val="Style14"/>
        <w:keepNext w:val="0"/>
        <w:keepLines w:val="0"/>
        <w:widowControl w:val="0"/>
        <w:shd w:val="clear" w:color="auto" w:fill="auto"/>
        <w:tabs>
          <w:tab w:pos="1922" w:val="left"/>
        </w:tabs>
        <w:bidi w:val="0"/>
        <w:spacing w:before="0" w:after="0" w:line="583" w:lineRule="exact"/>
        <w:ind w:left="1400" w:right="0" w:firstLine="0"/>
        <w:jc w:val="left"/>
      </w:pPr>
      <w:bookmarkStart w:id="91" w:name="bookmark91"/>
      <w:r>
        <w:rPr>
          <w:b/>
          <w:bCs/>
          <w:color w:val="000000"/>
          <w:spacing w:val="0"/>
          <w:w w:val="100"/>
          <w:position w:val="0"/>
          <w:sz w:val="24"/>
          <w:szCs w:val="24"/>
        </w:rPr>
        <w:t>八</w:t>
      </w:r>
      <w:bookmarkEnd w:id="91"/>
      <w:r>
        <w:rPr>
          <w:b/>
          <w:bCs/>
          <w:color w:val="000000"/>
          <w:spacing w:val="0"/>
          <w:w w:val="100"/>
          <w:position w:val="0"/>
          <w:sz w:val="24"/>
          <w:szCs w:val="24"/>
        </w:rPr>
        <w:t>、</w:t>
        <w:tab/>
        <w:t>与上年度财务报告相比，合并报表范围发生变化的情况</w:t>
      </w:r>
    </w:p>
    <w:p>
      <w:pPr>
        <w:pStyle w:val="Style14"/>
        <w:keepNext w:val="0"/>
        <w:keepLines w:val="0"/>
        <w:widowControl w:val="0"/>
        <w:shd w:val="clear" w:color="auto" w:fill="auto"/>
        <w:bidi w:val="0"/>
        <w:spacing w:before="0" w:after="300" w:line="583" w:lineRule="exact"/>
        <w:ind w:left="920" w:right="0" w:firstLine="480"/>
        <w:jc w:val="left"/>
      </w:pPr>
      <w:r>
        <w:rPr>
          <w:color w:val="000000"/>
          <w:spacing w:val="0"/>
          <w:w w:val="100"/>
          <w:position w:val="0"/>
          <w:sz w:val="24"/>
          <w:szCs w:val="24"/>
        </w:rPr>
        <w:t>合并报表范围发生变化情况详见本报告第十一节“财务报告”之“六合并 范围的变更”。</w:t>
      </w:r>
    </w:p>
    <w:p>
      <w:pPr>
        <w:pStyle w:val="Style14"/>
        <w:keepNext w:val="0"/>
        <w:keepLines w:val="0"/>
        <w:widowControl w:val="0"/>
        <w:shd w:val="clear" w:color="auto" w:fill="auto"/>
        <w:bidi w:val="0"/>
        <w:spacing w:before="0" w:after="300" w:line="240" w:lineRule="auto"/>
        <w:ind w:left="1400" w:right="0" w:firstLine="0"/>
        <w:jc w:val="left"/>
      </w:pPr>
      <w:bookmarkStart w:id="92" w:name="bookmark92"/>
      <w:r>
        <w:rPr>
          <w:b/>
          <w:bCs/>
          <w:color w:val="000000"/>
          <w:spacing w:val="0"/>
          <w:w w:val="100"/>
          <w:position w:val="0"/>
          <w:sz w:val="24"/>
          <w:szCs w:val="24"/>
        </w:rPr>
        <w:t>九</w:t>
      </w:r>
      <w:bookmarkEnd w:id="92"/>
      <w:r>
        <w:rPr>
          <w:b/>
          <w:bCs/>
          <w:color w:val="000000"/>
          <w:spacing w:val="0"/>
          <w:w w:val="100"/>
          <w:position w:val="0"/>
          <w:sz w:val="24"/>
          <w:szCs w:val="24"/>
        </w:rPr>
        <w:t>、聘任、解聘会计师事务所情况</w:t>
      </w:r>
    </w:p>
    <w:p>
      <w:pPr>
        <w:pStyle w:val="Style14"/>
        <w:keepNext w:val="0"/>
        <w:keepLines w:val="0"/>
        <w:widowControl w:val="0"/>
        <w:shd w:val="clear" w:color="auto" w:fill="auto"/>
        <w:bidi w:val="0"/>
        <w:spacing w:before="0" w:after="140" w:line="240" w:lineRule="auto"/>
        <w:ind w:left="1400" w:right="0" w:firstLine="0"/>
        <w:jc w:val="left"/>
      </w:pPr>
      <w:r>
        <w:rPr>
          <w:color w:val="000000"/>
          <w:spacing w:val="0"/>
          <w:w w:val="100"/>
          <w:position w:val="0"/>
          <w:sz w:val="24"/>
          <w:szCs w:val="24"/>
        </w:rPr>
        <w:t>现聘任的会计事务所：</w:t>
      </w:r>
    </w:p>
    <w:tbl>
      <w:tblPr>
        <w:tblOverlap w:val="never"/>
        <w:jc w:val="center"/>
        <w:tblLayout w:type="fixed"/>
      </w:tblPr>
      <w:tblGrid>
        <w:gridCol w:w="4435"/>
        <w:gridCol w:w="5203"/>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天健会计师事务所（特殊普通合伙）</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w:t>
            </w:r>
            <w:r>
              <w:rPr>
                <w:color w:val="000000"/>
                <w:spacing w:val="0"/>
                <w:w w:val="100"/>
                <w:position w:val="0"/>
                <w:sz w:val="20"/>
                <w:szCs w:val="20"/>
              </w:rPr>
              <w:t>万元</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缪志坚、张小利</w:t>
            </w:r>
          </w:p>
        </w:tc>
      </w:tr>
      <w:tr>
        <w:trPr>
          <w:trHeight w:val="302"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境外会计师事务所名称（如有）</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4430"/>
        <w:gridCol w:w="5203"/>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境外会计师事务所报酬（万元）（如有）</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境外会计师事务所注册会计师姓名（如有）</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139" w:line="1" w:lineRule="exact"/>
      </w:pPr>
    </w:p>
    <w:p>
      <w:pPr>
        <w:pStyle w:val="Style14"/>
        <w:keepNext w:val="0"/>
        <w:keepLines w:val="0"/>
        <w:widowControl w:val="0"/>
        <w:shd w:val="clear" w:color="auto" w:fill="auto"/>
        <w:bidi w:val="0"/>
        <w:spacing w:before="0" w:after="300" w:line="240" w:lineRule="auto"/>
        <w:ind w:left="1620" w:right="0" w:firstLine="0"/>
        <w:jc w:val="left"/>
      </w:pPr>
      <w:r>
        <w:rPr>
          <w:color w:val="000000"/>
          <w:spacing w:val="0"/>
          <w:w w:val="100"/>
          <w:position w:val="0"/>
          <w:sz w:val="24"/>
          <w:szCs w:val="24"/>
        </w:rPr>
        <w:t>报告期内，公司未改聘会计师事务所，也未聘请内部控制审计会计师事务所。</w:t>
      </w:r>
    </w:p>
    <w:p>
      <w:pPr>
        <w:pStyle w:val="Style14"/>
        <w:keepNext w:val="0"/>
        <w:keepLines w:val="0"/>
        <w:widowControl w:val="0"/>
        <w:shd w:val="clear" w:color="auto" w:fill="auto"/>
        <w:bidi w:val="0"/>
        <w:spacing w:before="0" w:after="300" w:line="240" w:lineRule="auto"/>
        <w:ind w:left="1140" w:right="0" w:firstLine="0"/>
        <w:jc w:val="left"/>
      </w:pPr>
      <w:r>
        <w:rPr>
          <w:color w:val="000000"/>
          <w:spacing w:val="0"/>
          <w:w w:val="100"/>
          <w:position w:val="0"/>
          <w:sz w:val="24"/>
          <w:szCs w:val="24"/>
        </w:rPr>
        <w:t>本年度。</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十、公司不存在年度报告披露后面临暂停上市和终止上市的情况。</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十一、报告期未发生破产重组相关事项。</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十二、报告期内，公司无重大诉讼、仲裁事项。</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十三、报告期内，公司不存在处罚及整改情况。</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十四、报告期内，公司及其控股股东、实际控制人的诚信状况优良。</w:t>
      </w:r>
    </w:p>
    <w:p>
      <w:pPr>
        <w:pStyle w:val="Style14"/>
        <w:keepNext w:val="0"/>
        <w:keepLines w:val="0"/>
        <w:widowControl w:val="0"/>
        <w:shd w:val="clear" w:color="auto" w:fill="auto"/>
        <w:bidi w:val="0"/>
        <w:spacing w:before="0" w:after="300" w:line="240" w:lineRule="auto"/>
        <w:ind w:left="1620" w:right="0" w:firstLine="0"/>
        <w:jc w:val="left"/>
      </w:pPr>
      <w:r>
        <w:rPr>
          <w:b/>
          <w:bCs/>
          <w:color w:val="000000"/>
          <w:spacing w:val="0"/>
          <w:w w:val="100"/>
          <w:position w:val="0"/>
          <w:sz w:val="24"/>
          <w:szCs w:val="24"/>
        </w:rPr>
        <w:t>十五、报告期内，公司实施股权激励计划、员工持股计划或其他员工激励措</w:t>
      </w:r>
    </w:p>
    <w:p>
      <w:pPr>
        <w:pStyle w:val="Style14"/>
        <w:keepNext w:val="0"/>
        <w:keepLines w:val="0"/>
        <w:widowControl w:val="0"/>
        <w:shd w:val="clear" w:color="auto" w:fill="auto"/>
        <w:bidi w:val="0"/>
        <w:spacing w:before="0" w:after="140" w:line="240" w:lineRule="auto"/>
        <w:ind w:left="1140" w:right="0" w:firstLine="0"/>
        <w:jc w:val="left"/>
      </w:pPr>
      <w:r>
        <w:rPr>
          <w:b/>
          <w:bCs/>
          <w:color w:val="000000"/>
          <w:spacing w:val="0"/>
          <w:w w:val="100"/>
          <w:position w:val="0"/>
          <w:sz w:val="24"/>
          <w:szCs w:val="24"/>
        </w:rPr>
        <w:t>施的情况</w:t>
      </w:r>
    </w:p>
    <w:tbl>
      <w:tblPr>
        <w:tblOverlap w:val="never"/>
        <w:jc w:val="center"/>
        <w:tblLayout w:type="fixed"/>
      </w:tblPr>
      <w:tblGrid>
        <w:gridCol w:w="7090"/>
        <w:gridCol w:w="3413"/>
      </w:tblGrid>
      <w:tr>
        <w:trPr>
          <w:trHeight w:val="30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45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9" w:lineRule="exact"/>
              <w:ind w:left="0" w:right="0" w:firstLine="0"/>
              <w:jc w:val="both"/>
              <w:rPr>
                <w:sz w:val="20"/>
                <w:szCs w:val="20"/>
              </w:rPr>
            </w:pPr>
            <w:r>
              <w:rPr>
                <w:color w:val="000000"/>
                <w:spacing w:val="0"/>
                <w:w w:val="100"/>
                <w:position w:val="0"/>
                <w:sz w:val="20"/>
                <w:szCs w:val="20"/>
              </w:rPr>
              <w:t xml:space="preserve">公司召开第五届董事会第二十六次会议、第五届监事会第十八次会议、公司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年度股东大会审议并通过《浙江传化股份有限公司第二期股票期权激 励计划（草案）》及其摘要、《浙江传化股份有限公司第二期股票期权激励 计划实施考核管理办法》、《关于提请股东大会授权董事会办理公司第二期 股票期权激励计划有关事项的议案》等相关议案。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具体情况详见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日刊 登在《证券时报》及“巨潮资讯” 的公告。</w:t>
            </w:r>
          </w:p>
        </w:tc>
      </w:tr>
      <w:tr>
        <w:trPr>
          <w:trHeight w:val="11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日，本公司分别召开第五届董事会第二十八次（临时）会 议和第五届监事会第二十次（临时）会议，审议并通过《关于公司第二期股 票期权激励计划授予的议案》等相关议案，确定以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日作 为激励计划的授予日，向</w:t>
            </w:r>
            <w:r>
              <w:rPr>
                <w:rFonts w:ascii="Times New Roman" w:eastAsia="Times New Roman" w:hAnsi="Times New Roman" w:cs="Times New Roman"/>
                <w:color w:val="000000"/>
                <w:spacing w:val="0"/>
                <w:w w:val="100"/>
                <w:position w:val="0"/>
                <w:sz w:val="20"/>
                <w:szCs w:val="20"/>
              </w:rPr>
              <w:t>355</w:t>
            </w:r>
            <w:r>
              <w:rPr>
                <w:color w:val="000000"/>
                <w:spacing w:val="0"/>
                <w:w w:val="100"/>
                <w:position w:val="0"/>
                <w:sz w:val="20"/>
                <w:szCs w:val="20"/>
              </w:rPr>
              <w:t>名激励对象授予</w:t>
            </w:r>
            <w:r>
              <w:rPr>
                <w:rFonts w:ascii="Times New Roman" w:eastAsia="Times New Roman" w:hAnsi="Times New Roman" w:cs="Times New Roman"/>
                <w:color w:val="000000"/>
                <w:spacing w:val="0"/>
                <w:w w:val="100"/>
                <w:position w:val="0"/>
                <w:sz w:val="20"/>
                <w:szCs w:val="20"/>
              </w:rPr>
              <w:t>2,473</w:t>
            </w:r>
            <w:r>
              <w:rPr>
                <w:color w:val="000000"/>
                <w:spacing w:val="0"/>
                <w:w w:val="100"/>
                <w:position w:val="0"/>
                <w:sz w:val="20"/>
                <w:szCs w:val="20"/>
              </w:rPr>
              <w:t>万份股票期权。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具体情况详见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日刊 登在《证券时报》及“巨潮资讯” 的公告。</w:t>
            </w:r>
          </w:p>
        </w:tc>
      </w:tr>
      <w:tr>
        <w:trPr>
          <w:trHeight w:val="146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日，本公司分别召开第五届董事会第二十九次（临时）会 议和第五届监事会第二十一次（临时）会议，审议并通过《关于调整公司第 二期股票期权激励计划授予对象及授予数量的议案》，同意将公司本次授予 股票期权涉及的激励对象由</w:t>
            </w:r>
            <w:r>
              <w:rPr>
                <w:rFonts w:ascii="Times New Roman" w:eastAsia="Times New Roman" w:hAnsi="Times New Roman" w:cs="Times New Roman"/>
                <w:color w:val="000000"/>
                <w:spacing w:val="0"/>
                <w:w w:val="100"/>
                <w:position w:val="0"/>
                <w:sz w:val="20"/>
                <w:szCs w:val="20"/>
              </w:rPr>
              <w:t>355</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348</w:t>
            </w:r>
            <w:r>
              <w:rPr>
                <w:color w:val="000000"/>
                <w:spacing w:val="0"/>
                <w:w w:val="100"/>
                <w:position w:val="0"/>
                <w:sz w:val="20"/>
                <w:szCs w:val="20"/>
              </w:rPr>
              <w:t>人，期权数量由</w:t>
            </w:r>
            <w:r>
              <w:rPr>
                <w:rFonts w:ascii="Times New Roman" w:eastAsia="Times New Roman" w:hAnsi="Times New Roman" w:cs="Times New Roman"/>
                <w:color w:val="000000"/>
                <w:spacing w:val="0"/>
                <w:w w:val="100"/>
                <w:position w:val="0"/>
                <w:sz w:val="20"/>
                <w:szCs w:val="20"/>
              </w:rPr>
              <w:t>2,473</w:t>
            </w:r>
            <w:r>
              <w:rPr>
                <w:color w:val="000000"/>
                <w:spacing w:val="0"/>
                <w:w w:val="100"/>
                <w:position w:val="0"/>
                <w:sz w:val="20"/>
                <w:szCs w:val="20"/>
              </w:rPr>
              <w:t>万 份调整为</w:t>
            </w:r>
            <w:r>
              <w:rPr>
                <w:rFonts w:ascii="Times New Roman" w:eastAsia="Times New Roman" w:hAnsi="Times New Roman" w:cs="Times New Roman"/>
                <w:color w:val="000000"/>
                <w:spacing w:val="0"/>
                <w:w w:val="100"/>
                <w:position w:val="0"/>
                <w:sz w:val="20"/>
                <w:szCs w:val="20"/>
              </w:rPr>
              <w:t>2,419</w:t>
            </w:r>
            <w:r>
              <w:rPr>
                <w:color w:val="000000"/>
                <w:spacing w:val="0"/>
                <w:w w:val="100"/>
                <w:position w:val="0"/>
                <w:sz w:val="20"/>
                <w:szCs w:val="20"/>
              </w:rPr>
              <w:t>万份。</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具体情况详见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日刊 登在《证券时报》及“巨潮资讯” 的公告。</w:t>
            </w:r>
          </w:p>
        </w:tc>
      </w:tr>
      <w:tr>
        <w:trPr>
          <w:trHeight w:val="175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经深圳证券交易所、中国证券登记结算有限责任公司深圳分公司审核确认， 公司已于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日完成了公司第二期股票期权激励计划的期权授予 登记工作，期权简称：传化</w:t>
            </w:r>
            <w:r>
              <w:rPr>
                <w:rFonts w:ascii="Times New Roman" w:eastAsia="Times New Roman" w:hAnsi="Times New Roman" w:cs="Times New Roman"/>
                <w:color w:val="000000"/>
                <w:spacing w:val="0"/>
                <w:w w:val="100"/>
                <w:position w:val="0"/>
                <w:sz w:val="20"/>
                <w:szCs w:val="20"/>
              </w:rPr>
              <w:t>JLC2</w:t>
            </w:r>
            <w:r>
              <w:rPr>
                <w:color w:val="000000"/>
                <w:spacing w:val="0"/>
                <w:w w:val="100"/>
                <w:position w:val="0"/>
                <w:sz w:val="20"/>
                <w:szCs w:val="20"/>
              </w:rPr>
              <w:t>，</w:t>
            </w:r>
            <w:r>
              <w:rPr>
                <w:color w:val="000000"/>
                <w:spacing w:val="0"/>
                <w:w w:val="100"/>
                <w:position w:val="0"/>
                <w:sz w:val="20"/>
                <w:szCs w:val="20"/>
              </w:rPr>
              <w:t>期权代码：</w:t>
            </w:r>
            <w:r>
              <w:rPr>
                <w:rFonts w:ascii="Times New Roman" w:eastAsia="Times New Roman" w:hAnsi="Times New Roman" w:cs="Times New Roman"/>
                <w:color w:val="000000"/>
                <w:spacing w:val="0"/>
                <w:w w:val="100"/>
                <w:position w:val="0"/>
                <w:sz w:val="20"/>
                <w:szCs w:val="20"/>
              </w:rPr>
              <w:t>037716</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具体情况详见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日刊登 在《证券时报》及“巨潮资讯”的 公告。</w:t>
            </w:r>
          </w:p>
        </w:tc>
      </w:tr>
    </w:tbl>
    <w:p>
      <w:pPr>
        <w:sectPr>
          <w:headerReference w:type="default" r:id="rId22"/>
          <w:footerReference w:type="default" r:id="rId23"/>
          <w:footnotePr>
            <w:pos w:val="pageBottom"/>
            <w:numFmt w:val="decimal"/>
            <w:numRestart w:val="continuous"/>
          </w:footnotePr>
          <w:pgSz w:w="11900" w:h="16840"/>
          <w:pgMar w:top="1441" w:right="642" w:bottom="1681" w:left="756" w:header="0" w:footer="3" w:gutter="0"/>
          <w:cols w:space="720"/>
          <w:noEndnote/>
          <w:rtlGutter w:val="0"/>
          <w:docGrid w:linePitch="360"/>
        </w:sectPr>
      </w:pPr>
    </w:p>
    <w:p>
      <w:pPr>
        <w:pStyle w:val="Style14"/>
        <w:keepNext w:val="0"/>
        <w:keepLines w:val="0"/>
        <w:widowControl w:val="0"/>
        <w:shd w:val="clear" w:color="auto" w:fill="auto"/>
        <w:bidi w:val="0"/>
        <w:spacing w:before="140" w:after="280" w:line="240" w:lineRule="auto"/>
        <w:ind w:left="1180" w:right="0" w:firstLine="0"/>
        <w:jc w:val="left"/>
      </w:pPr>
      <w:r>
        <w:rPr>
          <w:b/>
          <w:bCs/>
          <w:color w:val="000000"/>
          <w:spacing w:val="0"/>
          <w:w w:val="100"/>
          <w:position w:val="0"/>
          <w:sz w:val="24"/>
          <w:szCs w:val="24"/>
        </w:rPr>
        <w:t>十六、重大关联交易</w:t>
      </w:r>
    </w:p>
    <w:p>
      <w:pPr>
        <w:pStyle w:val="Style14"/>
        <w:keepNext w:val="0"/>
        <w:keepLines w:val="0"/>
        <w:widowControl w:val="0"/>
        <w:shd w:val="clear" w:color="auto" w:fill="auto"/>
        <w:bidi w:val="0"/>
        <w:spacing w:before="0" w:after="120" w:line="240" w:lineRule="auto"/>
        <w:ind w:left="1180" w:right="0" w:firstLine="0"/>
        <w:jc w:val="left"/>
      </w:pPr>
      <w:bookmarkStart w:id="93" w:name="bookmark93"/>
      <w:r>
        <w:rPr>
          <w:rFonts w:ascii="Times New Roman" w:eastAsia="Times New Roman" w:hAnsi="Times New Roman" w:cs="Times New Roman"/>
          <w:color w:val="000000"/>
          <w:spacing w:val="0"/>
          <w:w w:val="100"/>
          <w:position w:val="0"/>
          <w:sz w:val="24"/>
          <w:szCs w:val="24"/>
        </w:rPr>
        <w:t>1</w:t>
      </w:r>
      <w:bookmarkEnd w:id="93"/>
      <w:r>
        <w:rPr>
          <w:color w:val="000000"/>
          <w:spacing w:val="0"/>
          <w:w w:val="100"/>
          <w:position w:val="0"/>
          <w:sz w:val="24"/>
          <w:szCs w:val="24"/>
        </w:rPr>
        <w:t>、与日常经营相关的关联交易</w:t>
      </w:r>
    </w:p>
    <w:tbl>
      <w:tblPr>
        <w:tblOverlap w:val="never"/>
        <w:jc w:val="center"/>
        <w:tblLayout w:type="fixed"/>
      </w:tblPr>
      <w:tblGrid>
        <w:gridCol w:w="1282"/>
        <w:gridCol w:w="1421"/>
        <w:gridCol w:w="706"/>
        <w:gridCol w:w="710"/>
        <w:gridCol w:w="850"/>
        <w:gridCol w:w="850"/>
        <w:gridCol w:w="1133"/>
        <w:gridCol w:w="994"/>
        <w:gridCol w:w="850"/>
        <w:gridCol w:w="1277"/>
        <w:gridCol w:w="1277"/>
        <w:gridCol w:w="1277"/>
        <w:gridCol w:w="1272"/>
        <w:gridCol w:w="1426"/>
      </w:tblGrid>
      <w:tr>
        <w:trPr>
          <w:trHeight w:val="88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 易内容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关联交易 价格（元）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关联交易金 额（元）</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占同类交 易金额的 比例</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弱比的交 易额度 （万元）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是否超过剩比 额度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关联交易结算 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可获得的同类 交易市价（元）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披露索引</w:t>
            </w:r>
          </w:p>
        </w:tc>
      </w:tr>
      <w:tr>
        <w:trPr>
          <w:trHeight w:val="88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浙江新安化工 集团股份有限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24,592,19</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24,592,198.41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24,592,198.41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2016.3.29</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刊登在巨潮资讯 网</w:t>
            </w:r>
          </w:p>
          <w:p>
            <w:pPr>
              <w:pStyle w:val="Style6"/>
              <w:keepNext w:val="0"/>
              <w:keepLines w:val="0"/>
              <w:widowControl w:val="0"/>
              <w:shd w:val="clear" w:color="auto" w:fill="auto"/>
              <w:bidi w:val="0"/>
              <w:spacing w:before="0" w:after="0" w:line="305" w:lineRule="auto"/>
              <w:ind w:left="0" w:right="0" w:firstLine="0"/>
              <w:jc w:val="left"/>
              <w:rPr>
                <w:sz w:val="20"/>
                <w:szCs w:val="20"/>
              </w:rPr>
            </w:pP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sz w:val="20"/>
                <w:szCs w:val="20"/>
              </w:rPr>
              <w:t>http://www.cninfb</w:t>
            </w:r>
            <w:r>
              <w:fldChar w:fldCharType="end"/>
            </w:r>
          </w:p>
          <w:p>
            <w:pPr>
              <w:pStyle w:val="Style6"/>
              <w:keepNext w:val="0"/>
              <w:keepLines w:val="0"/>
              <w:widowControl w:val="0"/>
              <w:shd w:val="clear" w:color="auto" w:fill="auto"/>
              <w:bidi w:val="0"/>
              <w:spacing w:before="0" w:after="0" w:line="305"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.com.cn</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浙江传化能源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13,083,09</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13,083,091.22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13,083,091.22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浙江传化华洋 化工有限公司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4,252,427.</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4,252,427.06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4,252,427.06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杭州传化日用</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2,587,969.</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2,587,969.94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2,587,969.94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北京传化科技 发展有限公司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4,716,981.</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4,716,981.13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4,716,981.13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2017.4.18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刊登在巨潮资讯 网</w:t>
            </w:r>
          </w:p>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20"/>
                <w:szCs w:val="20"/>
              </w:rPr>
              <w:t>http://www.cninfO</w:t>
            </w:r>
            <w:r>
              <w:fldChar w:fldCharType="end"/>
            </w:r>
          </w:p>
          <w:p>
            <w:pPr>
              <w:pStyle w:val="Style6"/>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.com.cn</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浙江传化石油 化工有限公司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购买商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4,667,162.</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4,667,162.08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4,667,162.08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8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浙江传化能源 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化工原 料、运 输服务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2,083,852.</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2,083,852.75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2,083,852.75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2016.3.29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刊登在巨潮资讯 网</w:t>
            </w:r>
          </w:p>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20"/>
                <w:szCs w:val="20"/>
              </w:rPr>
              <w:t>http://www.cninfO</w:t>
            </w:r>
            <w:r>
              <w:fldChar w:fldCharType="end"/>
            </w:r>
          </w:p>
        </w:tc>
      </w:tr>
    </w:tbl>
    <w:p>
      <w:pPr>
        <w:spacing w:lineRule="exact" w:line="1"/>
        <w:rPr>
          <w:sz w:val="2"/>
          <w:szCs w:val="2"/>
        </w:rPr>
      </w:pPr>
      <w:r>
        <w:br w:type="page"/>
      </w:r>
    </w:p>
    <w:tbl>
      <w:tblPr>
        <w:tblOverlap w:val="never"/>
        <w:jc w:val="center"/>
        <w:tblLayout w:type="fixed"/>
      </w:tblPr>
      <w:tblGrid>
        <w:gridCol w:w="1282"/>
        <w:gridCol w:w="1421"/>
        <w:gridCol w:w="706"/>
        <w:gridCol w:w="710"/>
        <w:gridCol w:w="850"/>
        <w:gridCol w:w="850"/>
        <w:gridCol w:w="1133"/>
        <w:gridCol w:w="994"/>
        <w:gridCol w:w="850"/>
        <w:gridCol w:w="1277"/>
        <w:gridCol w:w="1277"/>
        <w:gridCol w:w="1277"/>
        <w:gridCol w:w="1272"/>
        <w:gridCol w:w="1426"/>
      </w:tblGrid>
      <w:tr>
        <w:trPr>
          <w:trHeight w:val="17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浙江传化华洋</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2" w:lineRule="exact"/>
              <w:ind w:left="0" w:right="0" w:firstLine="0"/>
              <w:jc w:val="both"/>
              <w:rPr>
                <w:sz w:val="20"/>
                <w:szCs w:val="20"/>
              </w:rPr>
            </w:pPr>
            <w:r>
              <w:rPr>
                <w:color w:val="000000"/>
                <w:spacing w:val="0"/>
                <w:w w:val="100"/>
                <w:position w:val="0"/>
                <w:sz w:val="20"/>
                <w:szCs w:val="20"/>
              </w:rPr>
              <w:t>化工原 料、运 输服 务、供 应链服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30,051,88</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30,051,882.16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30,051,882.16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.com.cn</w:t>
            </w:r>
          </w:p>
        </w:tc>
      </w:tr>
      <w:tr>
        <w:trPr>
          <w:trHeight w:val="17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杭州传化日用</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化工原 料、运 输服 务、供 应链服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13,505,84</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13,505,840.67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13,505,840.67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7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浙江新安化工 集团股份有限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同受控股股东传 化集团有限公司 直接或间接控制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化工原</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166,950.4</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166,950.43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166,950.43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99,708,355.85</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27942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298" w:hRule="exact"/>
        </w:trPr>
        <w:tc>
          <w:tcPr>
            <w:gridSpan w:val="4"/>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大额销货退回的详细情况</w:t>
            </w:r>
          </w:p>
        </w:tc>
        <w:tc>
          <w:tcPr>
            <w:gridSpan w:val="10"/>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590" w:hRule="exact"/>
        </w:trPr>
        <w:tc>
          <w:tcPr>
            <w:gridSpan w:val="4"/>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按类别对本期将发生的日常关联交易进行总金额 预计的，在报告期内的实际履行情况（如有）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与预计一致</w:t>
            </w:r>
          </w:p>
        </w:tc>
      </w:tr>
      <w:tr>
        <w:trPr>
          <w:trHeight w:val="600" w:hRule="exact"/>
        </w:trPr>
        <w:tc>
          <w:tcPr>
            <w:gridSpan w:val="4"/>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交易价格与市场参考价格差异较大的原因（如适 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sectPr>
          <w:headerReference w:type="default" r:id="rId24"/>
          <w:footerReference w:type="default" r:id="rId25"/>
          <w:headerReference w:type="first" r:id="rId26"/>
          <w:footerReference w:type="first" r:id="rId27"/>
          <w:footnotePr>
            <w:pos w:val="pageBottom"/>
            <w:numFmt w:val="decimal"/>
            <w:numRestart w:val="continuous"/>
          </w:footnotePr>
          <w:pgSz w:w="16840" w:h="11900" w:orient="landscape"/>
          <w:pgMar w:top="1790" w:right="793" w:bottom="1896" w:left="726" w:header="0" w:footer="3" w:gutter="0"/>
          <w:cols w:space="720"/>
          <w:noEndnote/>
          <w:titlePg/>
          <w:rtlGutter w:val="0"/>
          <w:docGrid w:linePitch="360"/>
        </w:sectPr>
      </w:pP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94" w:name="bookmark94"/>
      <w:r>
        <w:rPr>
          <w:rFonts w:ascii="Times New Roman" w:eastAsia="Times New Roman" w:hAnsi="Times New Roman" w:cs="Times New Roman"/>
          <w:color w:val="000000"/>
          <w:spacing w:val="0"/>
          <w:w w:val="100"/>
          <w:position w:val="0"/>
          <w:sz w:val="24"/>
          <w:szCs w:val="24"/>
        </w:rPr>
        <w:t>2</w:t>
      </w:r>
      <w:bookmarkEnd w:id="94"/>
      <w:r>
        <w:rPr>
          <w:color w:val="000000"/>
          <w:spacing w:val="0"/>
          <w:w w:val="100"/>
          <w:position w:val="0"/>
          <w:sz w:val="24"/>
          <w:szCs w:val="24"/>
        </w:rPr>
        <w:t>、</w:t>
        <w:tab/>
        <w:t>公司报告期末发生资产收购、出售的关联交易。</w:t>
      </w: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95" w:name="bookmark95"/>
      <w:r>
        <w:rPr>
          <w:rFonts w:ascii="Times New Roman" w:eastAsia="Times New Roman" w:hAnsi="Times New Roman" w:cs="Times New Roman"/>
          <w:color w:val="000000"/>
          <w:spacing w:val="0"/>
          <w:w w:val="100"/>
          <w:position w:val="0"/>
          <w:sz w:val="24"/>
          <w:szCs w:val="24"/>
        </w:rPr>
        <w:t>3</w:t>
      </w:r>
      <w:bookmarkEnd w:id="95"/>
      <w:r>
        <w:rPr>
          <w:color w:val="000000"/>
          <w:spacing w:val="0"/>
          <w:w w:val="100"/>
          <w:position w:val="0"/>
          <w:sz w:val="24"/>
          <w:szCs w:val="24"/>
        </w:rPr>
        <w:t>、</w:t>
        <w:tab/>
        <w:t>报告期内，公司未发生共同对外投资的重大关联交易的情况。</w:t>
      </w: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96" w:name="bookmark96"/>
      <w:r>
        <w:rPr>
          <w:rFonts w:ascii="Times New Roman" w:eastAsia="Times New Roman" w:hAnsi="Times New Roman" w:cs="Times New Roman"/>
          <w:color w:val="000000"/>
          <w:spacing w:val="0"/>
          <w:w w:val="100"/>
          <w:position w:val="0"/>
          <w:sz w:val="24"/>
          <w:szCs w:val="24"/>
        </w:rPr>
        <w:t>4</w:t>
      </w:r>
      <w:bookmarkEnd w:id="96"/>
      <w:r>
        <w:rPr>
          <w:color w:val="000000"/>
          <w:spacing w:val="0"/>
          <w:w w:val="100"/>
          <w:position w:val="0"/>
          <w:sz w:val="24"/>
          <w:szCs w:val="24"/>
        </w:rPr>
        <w:t>、</w:t>
        <w:tab/>
        <w:t>关联债权债务往来</w:t>
      </w:r>
    </w:p>
    <w:p>
      <w:pPr>
        <w:pStyle w:val="Style14"/>
        <w:keepNext w:val="0"/>
        <w:keepLines w:val="0"/>
        <w:widowControl w:val="0"/>
        <w:shd w:val="clear" w:color="auto" w:fill="auto"/>
        <w:bidi w:val="0"/>
        <w:spacing w:before="0" w:after="0" w:line="587" w:lineRule="exact"/>
        <w:ind w:left="0" w:right="0" w:firstLine="500"/>
        <w:jc w:val="both"/>
      </w:pPr>
      <w:r>
        <w:rPr>
          <w:color w:val="000000"/>
          <w:spacing w:val="0"/>
          <w:w w:val="100"/>
          <w:position w:val="0"/>
          <w:sz w:val="24"/>
          <w:szCs w:val="24"/>
        </w:rPr>
        <w:t>公司对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年以来公司及控股子公司与控股股东及关联方的经营性、非经 营性资金占用情况进行了全面的核查，本公司不存在控股股东及关联方对本公司 及控股子公司的重大的违规资金占用情况，也不存在控股股东及关联方重大变相 占用公司资金的情况。</w:t>
      </w: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97" w:name="bookmark97"/>
      <w:r>
        <w:rPr>
          <w:rFonts w:ascii="Times New Roman" w:eastAsia="Times New Roman" w:hAnsi="Times New Roman" w:cs="Times New Roman"/>
          <w:color w:val="000000"/>
          <w:spacing w:val="0"/>
          <w:w w:val="100"/>
          <w:position w:val="0"/>
          <w:sz w:val="24"/>
          <w:szCs w:val="24"/>
        </w:rPr>
        <w:t>5</w:t>
      </w:r>
      <w:bookmarkEnd w:id="97"/>
      <w:r>
        <w:rPr>
          <w:color w:val="000000"/>
          <w:spacing w:val="0"/>
          <w:w w:val="100"/>
          <w:position w:val="0"/>
          <w:sz w:val="24"/>
          <w:szCs w:val="24"/>
        </w:rPr>
        <w:t>、</w:t>
        <w:tab/>
        <w:t>报告期内，公司未发生其他重大关联交易事项。</w:t>
      </w:r>
    </w:p>
    <w:p>
      <w:pPr>
        <w:pStyle w:val="Style14"/>
        <w:keepNext w:val="0"/>
        <w:keepLines w:val="0"/>
        <w:widowControl w:val="0"/>
        <w:shd w:val="clear" w:color="auto" w:fill="auto"/>
        <w:bidi w:val="0"/>
        <w:spacing w:before="0" w:after="0" w:line="587" w:lineRule="exact"/>
        <w:ind w:left="0" w:right="0" w:firstLine="500"/>
        <w:jc w:val="left"/>
      </w:pPr>
      <w:r>
        <w:rPr>
          <w:b/>
          <w:bCs/>
          <w:color w:val="000000"/>
          <w:spacing w:val="0"/>
          <w:w w:val="100"/>
          <w:position w:val="0"/>
          <w:sz w:val="24"/>
          <w:szCs w:val="24"/>
        </w:rPr>
        <w:t>十七、重大合同及其履行情况</w:t>
      </w: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98" w:name="bookmark98"/>
      <w:r>
        <w:rPr>
          <w:rFonts w:ascii="Times New Roman" w:eastAsia="Times New Roman" w:hAnsi="Times New Roman" w:cs="Times New Roman"/>
          <w:color w:val="000000"/>
          <w:spacing w:val="0"/>
          <w:w w:val="100"/>
          <w:position w:val="0"/>
          <w:sz w:val="24"/>
          <w:szCs w:val="24"/>
        </w:rPr>
        <w:t>1</w:t>
      </w:r>
      <w:bookmarkEnd w:id="98"/>
      <w:r>
        <w:rPr>
          <w:color w:val="000000"/>
          <w:spacing w:val="0"/>
          <w:w w:val="100"/>
          <w:position w:val="0"/>
          <w:sz w:val="24"/>
          <w:szCs w:val="24"/>
        </w:rPr>
        <w:t>、</w:t>
        <w:tab/>
        <w:t>托管、承包、租赁事项情况</w:t>
      </w:r>
    </w:p>
    <w:p>
      <w:pPr>
        <w:pStyle w:val="Style14"/>
        <w:keepNext w:val="0"/>
        <w:keepLines w:val="0"/>
        <w:widowControl w:val="0"/>
        <w:shd w:val="clear" w:color="auto" w:fill="auto"/>
        <w:tabs>
          <w:tab w:pos="1026" w:val="left"/>
        </w:tabs>
        <w:bidi w:val="0"/>
        <w:spacing w:before="0" w:after="0" w:line="587" w:lineRule="exact"/>
        <w:ind w:left="0" w:right="0" w:firstLine="500"/>
        <w:jc w:val="left"/>
      </w:pPr>
      <w:bookmarkStart w:id="99" w:name="bookmark99"/>
      <w:r>
        <w:rPr>
          <w:color w:val="000000"/>
          <w:spacing w:val="0"/>
          <w:w w:val="100"/>
          <w:position w:val="0"/>
          <w:sz w:val="24"/>
          <w:szCs w:val="24"/>
        </w:rPr>
        <w:t>（</w:t>
      </w:r>
      <w:bookmarkEnd w:id="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报告期内，公司不存在为托管事项。</w:t>
      </w:r>
    </w:p>
    <w:p>
      <w:pPr>
        <w:pStyle w:val="Style14"/>
        <w:keepNext w:val="0"/>
        <w:keepLines w:val="0"/>
        <w:widowControl w:val="0"/>
        <w:shd w:val="clear" w:color="auto" w:fill="auto"/>
        <w:tabs>
          <w:tab w:pos="1026" w:val="left"/>
        </w:tabs>
        <w:bidi w:val="0"/>
        <w:spacing w:before="0" w:after="0" w:line="587" w:lineRule="exact"/>
        <w:ind w:left="0" w:right="0" w:firstLine="500"/>
        <w:jc w:val="left"/>
      </w:pPr>
      <w:bookmarkStart w:id="100" w:name="bookmark100"/>
      <w:r>
        <w:rPr>
          <w:color w:val="000000"/>
          <w:spacing w:val="0"/>
          <w:w w:val="100"/>
          <w:position w:val="0"/>
          <w:sz w:val="24"/>
          <w:szCs w:val="24"/>
        </w:rPr>
        <w:t>（</w:t>
      </w:r>
      <w:bookmarkEnd w:id="1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报告期内，公司不存在为承包事项。</w:t>
      </w:r>
    </w:p>
    <w:p>
      <w:pPr>
        <w:pStyle w:val="Style14"/>
        <w:keepNext w:val="0"/>
        <w:keepLines w:val="0"/>
        <w:widowControl w:val="0"/>
        <w:shd w:val="clear" w:color="auto" w:fill="auto"/>
        <w:tabs>
          <w:tab w:pos="1026" w:val="left"/>
        </w:tabs>
        <w:bidi w:val="0"/>
        <w:spacing w:before="0" w:after="0" w:line="587" w:lineRule="exact"/>
        <w:ind w:left="0" w:right="0" w:firstLine="500"/>
        <w:jc w:val="left"/>
      </w:pPr>
      <w:bookmarkStart w:id="101" w:name="bookmark101"/>
      <w:r>
        <w:rPr>
          <w:color w:val="000000"/>
          <w:spacing w:val="0"/>
          <w:w w:val="100"/>
          <w:position w:val="0"/>
          <w:sz w:val="24"/>
          <w:szCs w:val="24"/>
        </w:rPr>
        <w:t>（</w:t>
      </w:r>
      <w:bookmarkEnd w:id="10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报告期内，公司不存在为租赁事项。</w:t>
      </w:r>
    </w:p>
    <w:p>
      <w:pPr>
        <w:pStyle w:val="Style14"/>
        <w:keepNext w:val="0"/>
        <w:keepLines w:val="0"/>
        <w:widowControl w:val="0"/>
        <w:shd w:val="clear" w:color="auto" w:fill="auto"/>
        <w:tabs>
          <w:tab w:pos="911" w:val="left"/>
        </w:tabs>
        <w:bidi w:val="0"/>
        <w:spacing w:before="0" w:after="0" w:line="587" w:lineRule="exact"/>
        <w:ind w:left="0" w:right="0" w:firstLine="500"/>
        <w:jc w:val="left"/>
      </w:pPr>
      <w:bookmarkStart w:id="102" w:name="bookmark102"/>
      <w:r>
        <w:rPr>
          <w:rFonts w:ascii="Times New Roman" w:eastAsia="Times New Roman" w:hAnsi="Times New Roman" w:cs="Times New Roman"/>
          <w:color w:val="000000"/>
          <w:spacing w:val="0"/>
          <w:w w:val="100"/>
          <w:position w:val="0"/>
          <w:sz w:val="24"/>
          <w:szCs w:val="24"/>
        </w:rPr>
        <w:t>2</w:t>
      </w:r>
      <w:bookmarkEnd w:id="102"/>
      <w:r>
        <w:rPr>
          <w:color w:val="000000"/>
          <w:spacing w:val="0"/>
          <w:w w:val="100"/>
          <w:position w:val="0"/>
          <w:sz w:val="24"/>
          <w:szCs w:val="24"/>
        </w:rPr>
        <w:t>、</w:t>
        <w:tab/>
        <w:t>重大担保</w:t>
      </w:r>
    </w:p>
    <w:p>
      <w:pPr>
        <w:pStyle w:val="Style14"/>
        <w:keepNext w:val="0"/>
        <w:keepLines w:val="0"/>
        <w:widowControl w:val="0"/>
        <w:shd w:val="clear" w:color="auto" w:fill="auto"/>
        <w:bidi w:val="0"/>
        <w:spacing w:before="0" w:after="140" w:line="587" w:lineRule="exact"/>
        <w:ind w:left="0" w:right="0" w:firstLine="50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）担保情况</w:t>
      </w:r>
    </w:p>
    <w:p>
      <w:pPr>
        <w:pStyle w:val="Style30"/>
        <w:keepNext w:val="0"/>
        <w:keepLines w:val="0"/>
        <w:widowControl w:val="0"/>
        <w:shd w:val="clear" w:color="auto" w:fill="auto"/>
        <w:bidi w:val="0"/>
        <w:spacing w:before="0" w:after="0" w:line="240" w:lineRule="auto"/>
        <w:ind w:left="7253"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498"/>
        <w:gridCol w:w="950"/>
        <w:gridCol w:w="950"/>
        <w:gridCol w:w="1229"/>
        <w:gridCol w:w="1205"/>
        <w:gridCol w:w="1104"/>
        <w:gridCol w:w="1032"/>
        <w:gridCol w:w="811"/>
        <w:gridCol w:w="806"/>
      </w:tblGrid>
      <w:tr>
        <w:trPr>
          <w:trHeight w:val="302" w:hRule="exact"/>
        </w:trPr>
        <w:tc>
          <w:tcPr>
            <w:gridSpan w:val="9"/>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88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担保对象名称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93" w:lineRule="exact"/>
              <w:ind w:left="0" w:right="0" w:firstLine="0"/>
              <w:jc w:val="center"/>
              <w:rPr>
                <w:sz w:val="20"/>
                <w:szCs w:val="20"/>
              </w:rPr>
            </w:pPr>
            <w:r>
              <w:rPr>
                <w:color w:val="000000"/>
                <w:spacing w:val="0"/>
                <w:w w:val="100"/>
                <w:position w:val="0"/>
                <w:sz w:val="20"/>
                <w:szCs w:val="20"/>
              </w:rPr>
              <w:t>实际发生日 期（协议签署</w:t>
            </w:r>
          </w:p>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是否为 关联方 担保</w:t>
            </w:r>
          </w:p>
        </w:tc>
      </w:tr>
      <w:tr>
        <w:trPr>
          <w:trHeight w:val="204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鄂尔多斯市新 杭能源有限公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07</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自主合同 约定的承 租人履行 主合同项 下债务期 限届满之 日起两年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报告期内审批的对外担保 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报告期内对外 发生额合计</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担保实际</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报告期末已审批的对外担</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报告期末实际对外担保</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w:t>
            </w:r>
          </w:p>
        </w:tc>
      </w:tr>
      <w:tr>
        <w:trPr>
          <w:trHeight w:val="302" w:hRule="exact"/>
        </w:trPr>
        <w:tc>
          <w:tcPr>
            <w:gridSpan w:val="9"/>
            <w:tcBorders>
              <w:top w:val="single" w:sz="4"/>
              <w:left w:val="single" w:sz="4"/>
              <w:bottom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公司与子公司之间担保情况</w:t>
            </w:r>
          </w:p>
        </w:tc>
      </w:tr>
    </w:tbl>
    <w:p>
      <w:pPr>
        <w:spacing w:lineRule="exact" w:line="1"/>
        <w:rPr>
          <w:sz w:val="2"/>
          <w:szCs w:val="2"/>
        </w:rPr>
      </w:pPr>
      <w:r>
        <w:br w:type="page"/>
      </w:r>
    </w:p>
    <w:tbl>
      <w:tblPr>
        <w:tblOverlap w:val="never"/>
        <w:jc w:val="center"/>
        <w:tblLayout w:type="fixed"/>
      </w:tblPr>
      <w:tblGrid>
        <w:gridCol w:w="1498"/>
        <w:gridCol w:w="950"/>
        <w:gridCol w:w="950"/>
        <w:gridCol w:w="1229"/>
        <w:gridCol w:w="1195"/>
        <w:gridCol w:w="1114"/>
        <w:gridCol w:w="1022"/>
        <w:gridCol w:w="821"/>
        <w:gridCol w:w="806"/>
      </w:tblGrid>
      <w:tr>
        <w:trPr>
          <w:trHeight w:val="88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担保对象名称</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300" w:lineRule="exact"/>
              <w:ind w:left="0" w:right="0" w:firstLine="0"/>
              <w:jc w:val="both"/>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担保额度</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60" w:line="288" w:lineRule="exact"/>
              <w:ind w:left="0" w:right="0" w:firstLine="0"/>
              <w:jc w:val="center"/>
              <w:rPr>
                <w:sz w:val="20"/>
                <w:szCs w:val="20"/>
              </w:rPr>
            </w:pPr>
            <w:r>
              <w:rPr>
                <w:color w:val="000000"/>
                <w:spacing w:val="0"/>
                <w:w w:val="100"/>
                <w:position w:val="0"/>
                <w:sz w:val="20"/>
                <w:szCs w:val="20"/>
              </w:rPr>
              <w:t>实际发生日 期（协议签署</w:t>
            </w:r>
          </w:p>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是否为 关联方 担保</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杭州传化化学 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04</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自担保保 证书签订 之日起三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59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浙江天松新材 料股份有限公 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04</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连带责任保 证</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之日起两 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浙江天松新材 料股份有限公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之日起两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临安市南庄塑 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04</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之日起两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临安市南庄塑</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自担保保 证书签订 之日起两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浙江传化天松 新材料有限公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04</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之日起五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浙江传化涂料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之日起两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传化（香港）有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之日起一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传化（香港）有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10</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自担保保 证书签订 之日起一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佛山市传化富 联精细化工有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连带责任保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自担保保 证书签订 之日起五 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报告期内审批对子公司担</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14,140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报告期内对子公司担保 实际发生额合计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14,140</w:t>
            </w:r>
          </w:p>
        </w:tc>
      </w:tr>
      <w:tr>
        <w:trPr>
          <w:trHeight w:val="590" w:hRule="exact"/>
        </w:trPr>
        <w:tc>
          <w:tcPr>
            <w:gridSpan w:val="2"/>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报告期末已审批的对子公 司担保额度合计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B3</w:t>
            </w:r>
            <w:r>
              <w:rPr>
                <w:color w:val="000000"/>
                <w:spacing w:val="0"/>
                <w:w w:val="100"/>
                <w:position w:val="0"/>
                <w:sz w:val="20"/>
                <w:szCs w:val="20"/>
              </w:rPr>
              <w:t>）</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47,780</w:t>
            </w:r>
          </w:p>
        </w:tc>
        <w:tc>
          <w:tcPr>
            <w:gridSpan w:val="2"/>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报告期末对子公司实际 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B4</w:t>
            </w:r>
            <w:r>
              <w:rPr>
                <w:color w:val="000000"/>
                <w:spacing w:val="0"/>
                <w:w w:val="100"/>
                <w:position w:val="0"/>
                <w:sz w:val="20"/>
                <w:szCs w:val="2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33,640</w:t>
            </w:r>
          </w:p>
        </w:tc>
      </w:tr>
    </w:tbl>
    <w:p>
      <w:pPr>
        <w:sectPr>
          <w:headerReference w:type="default" r:id="rId28"/>
          <w:footerReference w:type="default" r:id="rId29"/>
          <w:footnotePr>
            <w:pos w:val="pageBottom"/>
            <w:numFmt w:val="decimal"/>
            <w:numRestart w:val="continuous"/>
          </w:footnotePr>
          <w:pgSz w:w="11900" w:h="16840"/>
          <w:pgMar w:top="1292" w:right="527" w:bottom="1623" w:left="1773" w:header="0" w:footer="3" w:gutter="0"/>
          <w:cols w:space="720"/>
          <w:noEndnote/>
          <w:rtlGutter w:val="0"/>
          <w:docGrid w:linePitch="360"/>
        </w:sectPr>
      </w:pPr>
    </w:p>
    <w:p>
      <w:pPr>
        <w:widowControl w:val="0"/>
        <w:spacing w:after="139" w:line="1" w:lineRule="exact"/>
      </w:pPr>
    </w:p>
    <w:tbl>
      <w:tblPr>
        <w:tblOverlap w:val="never"/>
        <w:jc w:val="right"/>
        <w:tblLayout w:type="fixed"/>
      </w:tblPr>
      <w:tblGrid>
        <w:gridCol w:w="1498"/>
        <w:gridCol w:w="950"/>
        <w:gridCol w:w="950"/>
        <w:gridCol w:w="1229"/>
        <w:gridCol w:w="1195"/>
        <w:gridCol w:w="1114"/>
        <w:gridCol w:w="1022"/>
        <w:gridCol w:w="821"/>
        <w:gridCol w:w="806"/>
      </w:tblGrid>
      <w:tr>
        <w:trPr>
          <w:trHeight w:val="312" w:hRule="exact"/>
        </w:trPr>
        <w:tc>
          <w:tcPr>
            <w:gridSpan w:val="9"/>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子公司对子公司的担保情况</w:t>
            </w:r>
          </w:p>
        </w:tc>
      </w:tr>
      <w:tr>
        <w:trPr>
          <w:trHeight w:val="87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担保对象名称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93" w:lineRule="exact"/>
              <w:ind w:left="0" w:right="0" w:firstLine="0"/>
              <w:jc w:val="center"/>
              <w:rPr>
                <w:sz w:val="20"/>
                <w:szCs w:val="20"/>
              </w:rPr>
            </w:pPr>
            <w:r>
              <w:rPr>
                <w:color w:val="000000"/>
                <w:spacing w:val="0"/>
                <w:w w:val="100"/>
                <w:position w:val="0"/>
                <w:sz w:val="20"/>
                <w:szCs w:val="20"/>
              </w:rPr>
              <w:t>实际发生日 期（协议签署</w:t>
            </w:r>
          </w:p>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是否为 关联方 担保</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报告期内审批对子公司担</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报告期内对子公司担保 实际发生额合计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报告期末已审批的对子公 司担保额度合计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报告期末对子公司实际 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02" w:hRule="exact"/>
        </w:trPr>
        <w:tc>
          <w:tcPr>
            <w:gridSpan w:val="9"/>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公司担保总额（即前三大项的合计）</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报告期内审批担保额度合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A1+B1+C1</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14,140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报告期内担保实际发生</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A2+B2+C2</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14,140</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报告期末已审批的担保额 度合计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A3+B3+C3</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70,280</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报告期末实际担保余额</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53,640</w:t>
            </w:r>
          </w:p>
        </w:tc>
      </w:tr>
      <w:tr>
        <w:trPr>
          <w:trHeight w:val="586" w:hRule="exact"/>
        </w:trPr>
        <w:tc>
          <w:tcPr>
            <w:gridSpan w:val="4"/>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实际担保总额（即</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sz w:val="20"/>
                <w:szCs w:val="20"/>
              </w:rPr>
              <w:t>）</w:t>
            </w:r>
            <w:r>
              <w:rPr>
                <w:color w:val="000000"/>
                <w:spacing w:val="0"/>
                <w:w w:val="100"/>
                <w:position w:val="0"/>
                <w:sz w:val="20"/>
                <w:szCs w:val="20"/>
              </w:rPr>
              <w:t>占公司净资产的比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w:t>
            </w:r>
          </w:p>
        </w:tc>
      </w:tr>
      <w:tr>
        <w:trPr>
          <w:trHeight w:val="302" w:hRule="exact"/>
        </w:trPr>
        <w:tc>
          <w:tcPr>
            <w:gridSpan w:val="9"/>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90" w:hRule="exact"/>
        </w:trPr>
        <w:tc>
          <w:tcPr>
            <w:gridSpan w:val="4"/>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gridSpan w:val="4"/>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的被担保对象 提供的债务担保金额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4"/>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F</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02" w:hRule="exact"/>
        </w:trPr>
        <w:tc>
          <w:tcPr>
            <w:gridSpan w:val="4"/>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D+E+F</w:t>
            </w:r>
            <w:r>
              <w:rPr>
                <w:color w:val="000000"/>
                <w:spacing w:val="0"/>
                <w:w w:val="100"/>
                <w:position w:val="0"/>
                <w:sz w:val="20"/>
                <w:szCs w:val="20"/>
              </w:rPr>
              <w:t>）</w:t>
            </w:r>
          </w:p>
        </w:tc>
        <w:tc>
          <w:tcPr>
            <w:gridSpan w:val="5"/>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4"/>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未到期担保可能承担连带清偿责任说明（如有）</w:t>
            </w:r>
          </w:p>
        </w:tc>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307" w:hRule="exact"/>
        </w:trPr>
        <w:tc>
          <w:tcPr>
            <w:gridSpan w:val="4"/>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违反规定程序对外提供担保的说明（如有）</w:t>
            </w:r>
          </w:p>
        </w:tc>
        <w:tc>
          <w:tcPr>
            <w:gridSpan w:val="5"/>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204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）、报告期内，公司不存在违规担保情形。</w:t>
      </w:r>
    </w:p>
    <w:p>
      <w:pPr>
        <w:pStyle w:val="Style14"/>
        <w:keepNext w:val="0"/>
        <w:keepLines w:val="0"/>
        <w:widowControl w:val="0"/>
        <w:shd w:val="clear" w:color="auto" w:fill="auto"/>
        <w:bidi w:val="0"/>
        <w:spacing w:before="0" w:after="280" w:line="240" w:lineRule="auto"/>
        <w:ind w:left="1900" w:right="0" w:firstLine="0"/>
        <w:jc w:val="left"/>
      </w:pPr>
      <w:bookmarkStart w:id="103" w:name="bookmark103"/>
      <w:r>
        <w:rPr>
          <w:rFonts w:ascii="Times New Roman" w:eastAsia="Times New Roman" w:hAnsi="Times New Roman" w:cs="Times New Roman"/>
          <w:color w:val="000000"/>
          <w:spacing w:val="0"/>
          <w:w w:val="100"/>
          <w:position w:val="0"/>
          <w:sz w:val="24"/>
          <w:szCs w:val="24"/>
        </w:rPr>
        <w:t>3</w:t>
      </w:r>
      <w:bookmarkEnd w:id="103"/>
      <w:r>
        <w:rPr>
          <w:color w:val="000000"/>
          <w:spacing w:val="0"/>
          <w:w w:val="100"/>
          <w:position w:val="0"/>
          <w:sz w:val="24"/>
          <w:szCs w:val="24"/>
        </w:rPr>
        <w:t>、委托他人进行现金资产管理情况</w:t>
      </w:r>
    </w:p>
    <w:p>
      <w:pPr>
        <w:pStyle w:val="Style14"/>
        <w:keepNext w:val="0"/>
        <w:keepLines w:val="0"/>
        <w:widowControl w:val="0"/>
        <w:shd w:val="clear" w:color="auto" w:fill="auto"/>
        <w:bidi w:val="0"/>
        <w:spacing w:before="0" w:after="140" w:line="240" w:lineRule="auto"/>
        <w:ind w:left="190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）委托理财情况</w:t>
      </w:r>
    </w:p>
    <w:p>
      <w:pPr>
        <w:pStyle w:val="Style30"/>
        <w:keepNext w:val="0"/>
        <w:keepLines w:val="0"/>
        <w:widowControl w:val="0"/>
        <w:shd w:val="clear" w:color="auto" w:fill="auto"/>
        <w:bidi w:val="0"/>
        <w:spacing w:before="0" w:after="0" w:line="240" w:lineRule="auto"/>
        <w:ind w:left="8669"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222"/>
        <w:gridCol w:w="830"/>
        <w:gridCol w:w="840"/>
        <w:gridCol w:w="874"/>
        <w:gridCol w:w="806"/>
        <w:gridCol w:w="802"/>
        <w:gridCol w:w="1003"/>
        <w:gridCol w:w="710"/>
        <w:gridCol w:w="696"/>
        <w:gridCol w:w="806"/>
        <w:gridCol w:w="802"/>
        <w:gridCol w:w="605"/>
      </w:tblGrid>
      <w:tr>
        <w:trPr>
          <w:trHeight w:val="175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受托人名称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是否关 联交易</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产品类 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委托理</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起始日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终止日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报酬确定 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6" w:lineRule="exact"/>
              <w:ind w:left="0" w:right="0" w:firstLine="0"/>
              <w:jc w:val="center"/>
              <w:rPr>
                <w:sz w:val="20"/>
                <w:szCs w:val="20"/>
              </w:rPr>
            </w:pPr>
            <w:r>
              <w:rPr>
                <w:color w:val="000000"/>
                <w:spacing w:val="0"/>
                <w:w w:val="100"/>
                <w:position w:val="0"/>
                <w:sz w:val="20"/>
                <w:szCs w:val="20"/>
              </w:rPr>
              <w:t>本期实 际收回 本金金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计提减 值准备 金额</w:t>
            </w:r>
          </w:p>
          <w:p>
            <w:pPr>
              <w:pStyle w:val="Style6"/>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（如 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预计收 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报告期 实际损 益金额</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 期损 益实 际收 回情 况</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华融证券股份有限公司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290.28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收回 本金 及收 益</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p>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left"/>
              <w:rPr>
                <w:sz w:val="20"/>
                <w:szCs w:val="20"/>
              </w:rPr>
            </w:pPr>
            <w:r>
              <w:rPr>
                <w:color w:val="000000"/>
                <w:spacing w:val="0"/>
                <w:w w:val="100"/>
                <w:position w:val="0"/>
                <w:sz w:val="20"/>
                <w:szCs w:val="20"/>
              </w:rPr>
              <w:t>收回 本金 及收 益</w:t>
            </w:r>
          </w:p>
        </w:tc>
      </w:tr>
      <w:tr>
        <w:trPr>
          <w:trHeight w:val="30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保本型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w:t>
            </w:r>
          </w:p>
        </w:tc>
      </w:tr>
    </w:tbl>
    <w:p>
      <w:pPr>
        <w:spacing w:lineRule="exact" w:line="1"/>
        <w:rPr>
          <w:sz w:val="2"/>
          <w:szCs w:val="2"/>
        </w:rPr>
      </w:pPr>
      <w:r>
        <w:br w:type="page"/>
      </w:r>
    </w:p>
    <w:tbl>
      <w:tblPr>
        <w:tblOverlap w:val="never"/>
        <w:jc w:val="center"/>
        <w:tblLayout w:type="fixed"/>
      </w:tblPr>
      <w:tblGrid>
        <w:gridCol w:w="2222"/>
        <w:gridCol w:w="830"/>
        <w:gridCol w:w="840"/>
        <w:gridCol w:w="874"/>
        <w:gridCol w:w="806"/>
        <w:gridCol w:w="802"/>
        <w:gridCol w:w="1003"/>
        <w:gridCol w:w="710"/>
        <w:gridCol w:w="701"/>
        <w:gridCol w:w="802"/>
        <w:gridCol w:w="802"/>
        <w:gridCol w:w="60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本金</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及收</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58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本金 及收</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878" w:hRule="exact"/>
        </w:trPr>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both"/>
              <w:rPr>
                <w:sz w:val="20"/>
                <w:szCs w:val="20"/>
              </w:rPr>
            </w:pPr>
            <w:r>
              <w:rPr>
                <w:color w:val="000000"/>
                <w:spacing w:val="0"/>
                <w:w w:val="100"/>
                <w:position w:val="0"/>
                <w:sz w:val="20"/>
                <w:szCs w:val="20"/>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2.73</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本金 及收 益</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878" w:hRule="exact"/>
        </w:trPr>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3.12</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本金 及收 益</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504"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0.11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本金 及收</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50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本金 及收</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504"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本金 及收</w:t>
            </w:r>
          </w:p>
        </w:tc>
      </w:tr>
      <w:tr>
        <w:trPr>
          <w:trHeight w:val="3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r>
      <w:tr>
        <w:trPr>
          <w:trHeight w:val="878" w:hRule="exact"/>
        </w:trPr>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w:t>
            </w:r>
          </w:p>
        </w:tc>
        <w:tc>
          <w:tcPr>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本金 及收 益</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7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2.86</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收回 本金 及收 益</w:t>
            </w:r>
          </w:p>
        </w:tc>
      </w:tr>
      <w:tr>
        <w:trPr>
          <w:trHeight w:val="74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农行萧山开发区支行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1.72</w:t>
            </w: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58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东亚银行杭州分行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0.97</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60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东亚银行杭州分行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89.38</w:t>
            </w: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38.52</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bl>
    <w:p>
      <w:pPr>
        <w:spacing w:lineRule="exact" w:line="1"/>
        <w:rPr>
          <w:sz w:val="2"/>
          <w:szCs w:val="2"/>
        </w:rPr>
      </w:pPr>
      <w:r>
        <w:br w:type="page"/>
      </w:r>
    </w:p>
    <w:tbl>
      <w:tblPr>
        <w:tblOverlap w:val="never"/>
        <w:jc w:val="center"/>
        <w:tblLayout w:type="fixed"/>
      </w:tblPr>
      <w:tblGrid>
        <w:gridCol w:w="2222"/>
        <w:gridCol w:w="830"/>
        <w:gridCol w:w="840"/>
        <w:gridCol w:w="874"/>
        <w:gridCol w:w="806"/>
        <w:gridCol w:w="802"/>
        <w:gridCol w:w="1003"/>
        <w:gridCol w:w="710"/>
        <w:gridCol w:w="701"/>
        <w:gridCol w:w="802"/>
        <w:gridCol w:w="802"/>
        <w:gridCol w:w="605"/>
      </w:tblGrid>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8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8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6"/>
              <w:keepNext w:val="0"/>
              <w:keepLines w:val="0"/>
              <w:widowControl w:val="0"/>
              <w:shd w:val="clear" w:color="auto" w:fill="auto"/>
              <w:bidi w:val="0"/>
              <w:spacing w:before="0" w:after="0" w:line="29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未赎</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华融证券股份有限公司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660.82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11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华融证券股份有限公司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961.64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华融证券股份有限公司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1,267.40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收回 本金 及收 益</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杭州银行滨江支行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11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萧山合作银行宁围支行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116.63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11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工行浙江省分行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vertAlign w:val="subscript"/>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p>
            <w:pPr>
              <w:pStyle w:val="Style6"/>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收回 本金 及收 益</w:t>
            </w:r>
          </w:p>
        </w:tc>
      </w:tr>
      <w:tr>
        <w:trPr>
          <w:trHeight w:val="590"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199,300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164,70</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3,686.96</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02" w:hRule="exact"/>
        </w:trPr>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委托理财资金来源</w:t>
            </w:r>
          </w:p>
        </w:tc>
        <w:tc>
          <w:tcPr>
            <w:gridSpan w:val="9"/>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公司自有闲置资金</w:t>
            </w:r>
          </w:p>
        </w:tc>
      </w:tr>
      <w:tr>
        <w:trPr>
          <w:trHeight w:val="298" w:hRule="exact"/>
        </w:trPr>
        <w:tc>
          <w:tcPr>
            <w:gridSpan w:val="3"/>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逾期未收回的本金和收益累计金额</w:t>
            </w:r>
          </w:p>
        </w:tc>
        <w:tc>
          <w:tcPr>
            <w:gridSpan w:val="9"/>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302" w:hRule="exact"/>
        </w:trPr>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涉诉情况（如适用）</w:t>
            </w:r>
          </w:p>
        </w:tc>
        <w:tc>
          <w:tcPr>
            <w:gridSpan w:val="9"/>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298" w:hRule="exact"/>
        </w:trPr>
        <w:tc>
          <w:tcPr>
            <w:gridSpan w:val="3"/>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委托理财审批董事会公告披露日期（如有</w:t>
            </w:r>
            <w:r>
              <w:rPr>
                <w:rFonts w:ascii="Times New Roman" w:eastAsia="Times New Roman" w:hAnsi="Times New Roman" w:cs="Times New Roman"/>
                <w:color w:val="000000"/>
                <w:spacing w:val="0"/>
                <w:w w:val="100"/>
                <w:position w:val="0"/>
                <w:sz w:val="20"/>
                <w:szCs w:val="20"/>
              </w:rPr>
              <w:t>）</w:t>
            </w:r>
          </w:p>
        </w:tc>
        <w:tc>
          <w:tcPr>
            <w:gridSpan w:val="9"/>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r>
        <w:trPr>
          <w:trHeight w:val="302" w:hRule="exact"/>
        </w:trPr>
        <w:tc>
          <w:tcPr>
            <w:gridSpan w:val="3"/>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委托理财审批股东会公告披露日期（如有</w:t>
            </w:r>
            <w:r>
              <w:rPr>
                <w:rFonts w:ascii="Times New Roman" w:eastAsia="Times New Roman" w:hAnsi="Times New Roman" w:cs="Times New Roman"/>
                <w:color w:val="000000"/>
                <w:spacing w:val="0"/>
                <w:w w:val="100"/>
                <w:position w:val="0"/>
                <w:sz w:val="20"/>
                <w:szCs w:val="20"/>
              </w:rPr>
              <w:t>）</w:t>
            </w:r>
          </w:p>
        </w:tc>
        <w:tc>
          <w:tcPr>
            <w:gridSpan w:val="9"/>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02" w:hRule="exact"/>
        </w:trPr>
        <w:tc>
          <w:tcPr>
            <w:gridSpan w:val="3"/>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未来是否还有委托理财计划</w:t>
            </w:r>
          </w:p>
        </w:tc>
        <w:tc>
          <w:tcPr>
            <w:gridSpan w:val="9"/>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r>
    </w:tbl>
    <w:p>
      <w:pPr>
        <w:pStyle w:val="Style30"/>
        <w:keepNext w:val="0"/>
        <w:keepLines w:val="0"/>
        <w:widowControl w:val="0"/>
        <w:shd w:val="clear" w:color="auto" w:fill="auto"/>
        <w:bidi w:val="0"/>
        <w:spacing w:before="0" w:after="0" w:line="240" w:lineRule="auto"/>
        <w:ind w:left="2011"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）公司报告期不存在委托贷款情况。</w:t>
      </w:r>
    </w:p>
    <w:p>
      <w:pPr>
        <w:pStyle w:val="Style14"/>
        <w:keepNext w:val="0"/>
        <w:keepLines w:val="0"/>
        <w:widowControl w:val="0"/>
        <w:shd w:val="clear" w:color="auto" w:fill="auto"/>
        <w:bidi w:val="0"/>
        <w:spacing w:before="0" w:after="0" w:line="580" w:lineRule="exact"/>
        <w:ind w:left="1740" w:right="0" w:firstLine="0"/>
        <w:jc w:val="both"/>
      </w:pPr>
      <w:bookmarkStart w:id="104" w:name="bookmark104"/>
      <w:r>
        <w:rPr>
          <w:rFonts w:ascii="Times New Roman" w:eastAsia="Times New Roman" w:hAnsi="Times New Roman" w:cs="Times New Roman"/>
          <w:color w:val="000000"/>
          <w:spacing w:val="0"/>
          <w:w w:val="100"/>
          <w:position w:val="0"/>
          <w:sz w:val="24"/>
          <w:szCs w:val="24"/>
        </w:rPr>
        <w:t>4</w:t>
      </w:r>
      <w:bookmarkEnd w:id="104"/>
      <w:r>
        <w:rPr>
          <w:color w:val="000000"/>
          <w:spacing w:val="0"/>
          <w:w w:val="100"/>
          <w:position w:val="0"/>
          <w:sz w:val="24"/>
          <w:szCs w:val="24"/>
        </w:rPr>
        <w:t>、公司报告期不存在其他重大合同</w:t>
      </w:r>
    </w:p>
    <w:p>
      <w:pPr>
        <w:pStyle w:val="Style14"/>
        <w:keepNext w:val="0"/>
        <w:keepLines w:val="0"/>
        <w:widowControl w:val="0"/>
        <w:shd w:val="clear" w:color="auto" w:fill="auto"/>
        <w:bidi w:val="0"/>
        <w:spacing w:before="0" w:after="0" w:line="580" w:lineRule="exact"/>
        <w:ind w:left="1740" w:right="0" w:firstLine="0"/>
        <w:jc w:val="both"/>
      </w:pPr>
      <w:r>
        <w:rPr>
          <w:b/>
          <w:bCs/>
          <w:color w:val="000000"/>
          <w:spacing w:val="0"/>
          <w:w w:val="100"/>
          <w:position w:val="0"/>
          <w:sz w:val="24"/>
          <w:szCs w:val="24"/>
        </w:rPr>
        <w:t>十八、社会责任情况</w:t>
      </w:r>
    </w:p>
    <w:p>
      <w:pPr>
        <w:pStyle w:val="Style14"/>
        <w:keepNext w:val="0"/>
        <w:keepLines w:val="0"/>
        <w:widowControl w:val="0"/>
        <w:shd w:val="clear" w:color="auto" w:fill="auto"/>
        <w:bidi w:val="0"/>
        <w:spacing w:before="0" w:after="0" w:line="580" w:lineRule="exact"/>
        <w:ind w:left="1260" w:right="0" w:firstLine="480"/>
        <w:jc w:val="both"/>
      </w:pPr>
      <w:r>
        <w:rPr>
          <w:color w:val="000000"/>
          <w:spacing w:val="0"/>
          <w:w w:val="100"/>
          <w:position w:val="0"/>
          <w:sz w:val="24"/>
          <w:szCs w:val="24"/>
        </w:rPr>
        <w:t>企业已成为承担社会功能和推动社会进步的重要载体，这是社会责任，也是 时代潮流。现代企业必须从过去简单赚钱的目的中解放出来，形成更高的使命、 价值和精神追求，才能够顺应时代潮流，使自己成为卓越的企业。保障股东特别 是中小股东的利益，维护债权人的合法权益，是公司最基本的社会责任。公司根 据《公司法》、《证券法》、《上市公司治理准则》等法律法规，不断完善公司 治理，建立了以《公司章程》为基础的内控体系，形成了以股东大会、董事会、 监事会及管理层为主体结构的决策与经营体系，切实保障全体股东及债权人的权 益。长期以来，传化智联着力构建以社会责任感为核心的企业文化理念体系，引 领企业的健康发展。</w:t>
      </w:r>
    </w:p>
    <w:p>
      <w:pPr>
        <w:pStyle w:val="Style14"/>
        <w:keepNext w:val="0"/>
        <w:keepLines w:val="0"/>
        <w:widowControl w:val="0"/>
        <w:shd w:val="clear" w:color="auto" w:fill="auto"/>
        <w:bidi w:val="0"/>
        <w:spacing w:before="0" w:after="0" w:line="580" w:lineRule="exact"/>
        <w:ind w:left="1260" w:right="0" w:firstLine="480"/>
        <w:jc w:val="both"/>
      </w:pPr>
      <w:r>
        <w:rPr>
          <w:color w:val="000000"/>
          <w:spacing w:val="0"/>
          <w:w w:val="100"/>
          <w:position w:val="0"/>
          <w:sz w:val="24"/>
          <w:szCs w:val="24"/>
        </w:rPr>
        <w:t xml:space="preserve">在理念体系上，传化以“社会责任感”为基础，确立了 “幸福员工、成就客 户、引领产业”的企业使命，以及“责任、诚信、务实、共赢”的核心价值观， 和“开拓进取、勇于创新”的企业精神，构建起较为完整的企业价值理念体系。 在履行社会责任上，一是对员工负责，并将此作为企业履行社会责任最基本的内 容，关注员工成长发展、关心员工生活状况、重视员工福利保障，让员工快乐工 作。通过持续推进企业文化建设，传化员工与企业结成了 “利益共同体、事业共 同体、命运共同体”，传化智联与员工之间的关系从利益共同体发展为事业共 同体，最终结成了命运共同体。企业从满足员工物质生活需要发展为更多地满足 员工发展需要，帮助员工不断成长，实现职业发展；员工也从工作中感受到成就 感，从事业发展中体会到荣誉感。如此，企业和员工之间形成了 “企业关爱员工, 员工爱护企业”的和谐文化氛围。二是对社会负责，积极推动行业转型升级，依 靠科技进步，发展循环经济，整合物流资源、推行清洁生产，建设资源节约型、 环境友好型企业，推进企业的可持续发展。三是热心公益事业，积极回报社会， </w:t>
      </w:r>
      <w:bookmarkStart w:id="105" w:name="bookmark105"/>
      <w:r>
        <w:rPr>
          <w:color w:val="000000"/>
          <w:spacing w:val="0"/>
          <w:w w:val="100"/>
          <w:position w:val="0"/>
          <w:sz w:val="24"/>
          <w:szCs w:val="24"/>
        </w:rPr>
        <w:t>积极响应浙江省委省政府近期提出的“五水共治”活动。公司不定期向社会捐赠, 组织员工积极参加社会公益活动。</w:t>
      </w:r>
      <w:bookmarkEnd w:id="105"/>
    </w:p>
    <w:p>
      <w:pPr>
        <w:pStyle w:val="Style14"/>
        <w:keepNext w:val="0"/>
        <w:keepLines w:val="0"/>
        <w:widowControl w:val="0"/>
        <w:shd w:val="clear" w:color="auto" w:fill="auto"/>
        <w:bidi w:val="0"/>
        <w:spacing w:before="0" w:after="0" w:line="584" w:lineRule="exact"/>
        <w:ind w:left="1420" w:right="0" w:firstLine="480"/>
        <w:jc w:val="both"/>
      </w:pPr>
      <w:r>
        <w:rPr>
          <w:color w:val="000000"/>
          <w:spacing w:val="0"/>
          <w:w w:val="100"/>
          <w:position w:val="0"/>
          <w:sz w:val="24"/>
          <w:szCs w:val="24"/>
        </w:rPr>
        <w:t>上市公司及其下属子公司不属于国家环保保护部门规定的重污染行业，不存 在其他重大社会责任问题，也未受到行政处罚。</w:t>
      </w:r>
    </w:p>
    <w:p>
      <w:pPr>
        <w:pStyle w:val="Style14"/>
        <w:keepNext w:val="0"/>
        <w:keepLines w:val="0"/>
        <w:widowControl w:val="0"/>
        <w:shd w:val="clear" w:color="auto" w:fill="auto"/>
        <w:bidi w:val="0"/>
        <w:spacing w:before="0" w:after="0" w:line="584" w:lineRule="exact"/>
        <w:ind w:left="1900" w:right="0" w:firstLine="0"/>
        <w:jc w:val="both"/>
      </w:pPr>
      <w:r>
        <w:rPr>
          <w:b/>
          <w:bCs/>
          <w:color w:val="000000"/>
          <w:spacing w:val="0"/>
          <w:w w:val="100"/>
          <w:position w:val="0"/>
          <w:sz w:val="24"/>
          <w:szCs w:val="24"/>
        </w:rPr>
        <w:t>十九、报告期内，公司不存在其他重大事项的说明情况。</w:t>
      </w:r>
    </w:p>
    <w:p>
      <w:pPr>
        <w:pStyle w:val="Style14"/>
        <w:keepNext w:val="0"/>
        <w:keepLines w:val="0"/>
        <w:widowControl w:val="0"/>
        <w:shd w:val="clear" w:color="auto" w:fill="auto"/>
        <w:bidi w:val="0"/>
        <w:spacing w:before="0" w:after="0" w:line="584" w:lineRule="exact"/>
        <w:ind w:left="1900" w:right="0" w:firstLine="0"/>
        <w:jc w:val="both"/>
      </w:pPr>
      <w:r>
        <w:rPr>
          <w:b/>
          <w:bCs/>
          <w:color w:val="000000"/>
          <w:spacing w:val="0"/>
          <w:w w:val="100"/>
          <w:position w:val="0"/>
          <w:sz w:val="24"/>
          <w:szCs w:val="24"/>
        </w:rPr>
        <w:t>二十、公司子公司重大事项</w:t>
      </w:r>
    </w:p>
    <w:p>
      <w:pPr>
        <w:pStyle w:val="Style14"/>
        <w:keepNext w:val="0"/>
        <w:keepLines w:val="0"/>
        <w:widowControl w:val="0"/>
        <w:shd w:val="clear" w:color="auto" w:fill="auto"/>
        <w:bidi w:val="0"/>
        <w:spacing w:before="0" w:after="580" w:line="584" w:lineRule="exact"/>
        <w:ind w:left="1420" w:right="0" w:firstLine="480"/>
        <w:jc w:val="both"/>
      </w:pPr>
      <w:r>
        <w:rPr>
          <w:color w:val="000000"/>
          <w:spacing w:val="0"/>
          <w:w w:val="100"/>
          <w:position w:val="0"/>
          <w:sz w:val="24"/>
          <w:szCs w:val="24"/>
        </w:rPr>
        <w:t>公司子公司重大事项见本报告第十一节“财务报告”之“十二其他重要事 项”之(二)其他对投资者决策有影响的重要交易和事项。</w:t>
      </w:r>
    </w:p>
    <w:p>
      <w:pPr>
        <w:pStyle w:val="Style26"/>
        <w:keepNext/>
        <w:keepLines/>
        <w:widowControl w:val="0"/>
        <w:shd w:val="clear" w:color="auto" w:fill="auto"/>
        <w:bidi w:val="0"/>
        <w:spacing w:before="0" w:after="260" w:line="240" w:lineRule="auto"/>
        <w:ind w:left="0" w:right="0" w:firstLine="0"/>
        <w:jc w:val="center"/>
      </w:pPr>
      <w:bookmarkStart w:id="106" w:name="bookmark106"/>
      <w:bookmarkStart w:id="107" w:name="bookmark107"/>
      <w:bookmarkStart w:id="108" w:name="bookmark108"/>
      <w:r>
        <w:rPr>
          <w:color w:val="000000"/>
          <w:spacing w:val="0"/>
          <w:w w:val="100"/>
          <w:position w:val="0"/>
        </w:rPr>
        <w:t>第六节股份变动及股东情况</w:t>
      </w:r>
      <w:bookmarkEnd w:id="106"/>
      <w:bookmarkEnd w:id="107"/>
      <w:bookmarkEnd w:id="108"/>
    </w:p>
    <w:p>
      <w:pPr>
        <w:pStyle w:val="Style14"/>
        <w:keepNext w:val="0"/>
        <w:keepLines w:val="0"/>
        <w:widowControl w:val="0"/>
        <w:shd w:val="clear" w:color="auto" w:fill="auto"/>
        <w:bidi w:val="0"/>
        <w:spacing w:before="0" w:after="260" w:line="584" w:lineRule="exact"/>
        <w:ind w:left="1980" w:right="0" w:firstLine="0"/>
        <w:jc w:val="both"/>
      </w:pPr>
      <w:bookmarkStart w:id="109" w:name="bookmark109"/>
      <w:r>
        <w:rPr>
          <w:b/>
          <w:bCs/>
          <w:color w:val="000000"/>
          <w:spacing w:val="0"/>
          <w:w w:val="100"/>
          <w:position w:val="0"/>
          <w:sz w:val="24"/>
          <w:szCs w:val="24"/>
        </w:rPr>
        <w:t>一</w:t>
      </w:r>
      <w:bookmarkEnd w:id="109"/>
      <w:r>
        <w:rPr>
          <w:b/>
          <w:bCs/>
          <w:color w:val="000000"/>
          <w:spacing w:val="0"/>
          <w:w w:val="100"/>
          <w:position w:val="0"/>
          <w:sz w:val="24"/>
          <w:szCs w:val="24"/>
        </w:rPr>
        <w:t>、股份变动情况</w:t>
      </w:r>
    </w:p>
    <w:p>
      <w:pPr>
        <w:pStyle w:val="Style30"/>
        <w:keepNext w:val="0"/>
        <w:keepLines w:val="0"/>
        <w:widowControl w:val="0"/>
        <w:shd w:val="clear" w:color="auto" w:fill="auto"/>
        <w:bidi w:val="0"/>
        <w:spacing w:before="0" w:after="0" w:line="240" w:lineRule="auto"/>
        <w:ind w:left="1843"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、股份变动情况</w:t>
      </w:r>
    </w:p>
    <w:tbl>
      <w:tblPr>
        <w:tblOverlap w:val="never"/>
        <w:jc w:val="center"/>
        <w:tblLayout w:type="fixed"/>
      </w:tblPr>
      <w:tblGrid>
        <w:gridCol w:w="2035"/>
        <w:gridCol w:w="1219"/>
        <w:gridCol w:w="720"/>
        <w:gridCol w:w="590"/>
        <w:gridCol w:w="845"/>
        <w:gridCol w:w="725"/>
        <w:gridCol w:w="1114"/>
        <w:gridCol w:w="1070"/>
        <w:gridCol w:w="1133"/>
        <w:gridCol w:w="1085"/>
      </w:tblGrid>
      <w:tr>
        <w:trPr>
          <w:trHeight w:val="302"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59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数量</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发行 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2,845,001,58</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2,844,991,5</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87.33</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67,451,963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67,451,963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2,702,382,71</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2,702,382,7</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82.95</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2,702,382,71</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2,702,382,7</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82.95</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、高管股份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75,166,906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75,156,906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412,813,094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412,823,094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12.67</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412,813,094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412,823,094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12.67</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3,257,814,67</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3,257,814,6</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股份变动的原因：</w:t>
      </w:r>
    </w:p>
    <w:p>
      <w:pPr>
        <w:pStyle w:val="Style14"/>
        <w:keepNext w:val="0"/>
        <w:keepLines w:val="0"/>
        <w:widowControl w:val="0"/>
        <w:shd w:val="clear" w:color="auto" w:fill="auto"/>
        <w:bidi w:val="0"/>
        <w:spacing w:before="0" w:after="0" w:line="578" w:lineRule="exact"/>
        <w:ind w:left="1420" w:right="0" w:firstLine="480"/>
        <w:jc w:val="both"/>
      </w:pPr>
      <w:r>
        <w:rPr>
          <w:color w:val="000000"/>
          <w:spacing w:val="0"/>
          <w:w w:val="100"/>
          <w:position w:val="0"/>
          <w:sz w:val="24"/>
          <w:szCs w:val="24"/>
        </w:rPr>
        <w:t>公司原监事应天根先生辞职后买入公司股票，根据深交所相关规定对其买入 的股票进行解锁，致使公司限售股份发生变化。</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股份变动的批准情况：</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股份变动的过户情况：</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0" w:line="578" w:lineRule="exact"/>
        <w:ind w:left="1420" w:right="0" w:firstLine="480"/>
        <w:jc w:val="both"/>
      </w:pPr>
      <w:r>
        <w:rPr>
          <w:color w:val="000000"/>
          <w:spacing w:val="0"/>
          <w:w w:val="100"/>
          <w:position w:val="0"/>
          <w:sz w:val="24"/>
          <w:szCs w:val="24"/>
        </w:rPr>
        <w:t>股份变动对最近一年和最近一期基本每股收益和稀释每股收益、归属于公司 普通股股东的每股净资产等财务指标的影响：</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0" w:line="578" w:lineRule="exact"/>
        <w:ind w:left="1900" w:right="0" w:firstLine="0"/>
        <w:jc w:val="both"/>
      </w:pPr>
      <w:r>
        <w:rPr>
          <w:color w:val="000000"/>
          <w:spacing w:val="0"/>
          <w:w w:val="100"/>
          <w:position w:val="0"/>
          <w:sz w:val="24"/>
          <w:szCs w:val="24"/>
        </w:rPr>
        <w:t>公司认为必要或证券监管机构要求披露的其他内容：</w:t>
      </w:r>
    </w:p>
    <w:p>
      <w:pPr>
        <w:pStyle w:val="Style14"/>
        <w:keepNext w:val="0"/>
        <w:keepLines w:val="0"/>
        <w:widowControl w:val="0"/>
        <w:shd w:val="clear" w:color="auto" w:fill="auto"/>
        <w:bidi w:val="0"/>
        <w:spacing w:before="0" w:after="280" w:line="578" w:lineRule="exact"/>
        <w:ind w:left="1900" w:right="0" w:firstLine="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0" w:line="504" w:lineRule="auto"/>
        <w:ind w:left="1900" w:right="0" w:firstLine="0"/>
        <w:jc w:val="both"/>
      </w:pPr>
      <w:bookmarkStart w:id="110" w:name="bookmark110"/>
      <w:r>
        <w:rPr>
          <w:rFonts w:ascii="Times New Roman" w:eastAsia="Times New Roman" w:hAnsi="Times New Roman" w:cs="Times New Roman"/>
          <w:color w:val="000000"/>
          <w:spacing w:val="0"/>
          <w:w w:val="100"/>
          <w:position w:val="0"/>
          <w:sz w:val="24"/>
          <w:szCs w:val="24"/>
        </w:rPr>
        <w:t>2</w:t>
      </w:r>
      <w:bookmarkEnd w:id="110"/>
      <w:r>
        <w:rPr>
          <w:color w:val="000000"/>
          <w:spacing w:val="0"/>
          <w:w w:val="100"/>
          <w:position w:val="0"/>
          <w:sz w:val="24"/>
          <w:szCs w:val="24"/>
        </w:rPr>
        <w:t>、限售股份变动情况</w:t>
      </w:r>
    </w:p>
    <w:tbl>
      <w:tblPr>
        <w:tblOverlap w:val="never"/>
        <w:jc w:val="center"/>
        <w:tblLayout w:type="fixed"/>
      </w:tblPr>
      <w:tblGrid>
        <w:gridCol w:w="3264"/>
        <w:gridCol w:w="893"/>
        <w:gridCol w:w="1368"/>
        <w:gridCol w:w="1368"/>
        <w:gridCol w:w="1368"/>
        <w:gridCol w:w="1354"/>
        <w:gridCol w:w="1382"/>
      </w:tblGrid>
      <w:tr>
        <w:trPr>
          <w:trHeight w:val="274" w:hRule="exact"/>
        </w:trPr>
        <w:tc>
          <w:tcPr>
            <w:gridSpan w:val="6"/>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殳</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期初限 售股数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本期解除限售 股数</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本期增加限售 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解除限售日期</w:t>
            </w:r>
          </w:p>
        </w:tc>
      </w:tr>
      <w:tr>
        <w:trPr>
          <w:trHeight w:val="59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应天根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监事离职锁定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锁定六个月以</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后解禁</w:t>
            </w:r>
            <w:r>
              <w:rPr>
                <w:rFonts w:ascii="Times New Roman" w:eastAsia="Times New Roman" w:hAnsi="Times New Roman" w:cs="Times New Roman"/>
                <w:color w:val="000000"/>
                <w:spacing w:val="0"/>
                <w:w w:val="100"/>
                <w:position w:val="0"/>
                <w:sz w:val="20"/>
                <w:szCs w:val="20"/>
              </w:rPr>
              <w:t>50%</w:t>
            </w:r>
          </w:p>
        </w:tc>
      </w:tr>
    </w:tbl>
    <w:p>
      <w:pPr>
        <w:widowControl w:val="0"/>
        <w:spacing w:after="159" w:line="1" w:lineRule="exact"/>
      </w:pPr>
    </w:p>
    <w:p>
      <w:pPr>
        <w:pStyle w:val="Style14"/>
        <w:keepNext w:val="0"/>
        <w:keepLines w:val="0"/>
        <w:widowControl w:val="0"/>
        <w:shd w:val="clear" w:color="auto" w:fill="auto"/>
        <w:bidi w:val="0"/>
        <w:spacing w:before="0" w:after="280" w:line="240" w:lineRule="auto"/>
        <w:ind w:left="1900" w:right="0" w:firstLine="0"/>
        <w:jc w:val="both"/>
      </w:pPr>
      <w:bookmarkStart w:id="111" w:name="bookmark111"/>
      <w:r>
        <w:rPr>
          <w:b/>
          <w:bCs/>
          <w:color w:val="000000"/>
          <w:spacing w:val="0"/>
          <w:w w:val="100"/>
          <w:position w:val="0"/>
          <w:sz w:val="24"/>
          <w:szCs w:val="24"/>
        </w:rPr>
        <w:t>二</w:t>
      </w:r>
      <w:bookmarkEnd w:id="111"/>
      <w:r>
        <w:rPr>
          <w:b/>
          <w:bCs/>
          <w:color w:val="000000"/>
          <w:spacing w:val="0"/>
          <w:w w:val="100"/>
          <w:position w:val="0"/>
          <w:sz w:val="24"/>
          <w:szCs w:val="24"/>
        </w:rPr>
        <w:t>、证券发行与上市情况</w:t>
      </w:r>
    </w:p>
    <w:p>
      <w:pPr>
        <w:pStyle w:val="Style14"/>
        <w:keepNext w:val="0"/>
        <w:keepLines w:val="0"/>
        <w:widowControl w:val="0"/>
        <w:shd w:val="clear" w:color="auto" w:fill="auto"/>
        <w:tabs>
          <w:tab w:pos="2278" w:val="left"/>
        </w:tabs>
        <w:bidi w:val="0"/>
        <w:spacing w:before="0" w:after="280" w:line="240" w:lineRule="auto"/>
        <w:ind w:left="1900" w:right="0" w:firstLine="0"/>
        <w:jc w:val="both"/>
      </w:pPr>
      <w:bookmarkStart w:id="112" w:name="bookmark112"/>
      <w:r>
        <w:rPr>
          <w:rFonts w:ascii="Times New Roman" w:eastAsia="Times New Roman" w:hAnsi="Times New Roman" w:cs="Times New Roman"/>
          <w:color w:val="000000"/>
          <w:spacing w:val="0"/>
          <w:w w:val="100"/>
          <w:position w:val="0"/>
          <w:sz w:val="24"/>
          <w:szCs w:val="24"/>
        </w:rPr>
        <w:t>1</w:t>
      </w:r>
      <w:bookmarkEnd w:id="112"/>
      <w:r>
        <w:rPr>
          <w:color w:val="000000"/>
          <w:spacing w:val="0"/>
          <w:w w:val="100"/>
          <w:position w:val="0"/>
          <w:sz w:val="24"/>
          <w:szCs w:val="24"/>
        </w:rPr>
        <w:t>、</w:t>
        <w:tab/>
        <w:t>报告期内，公司不存在证券发行（不含优先股）情况。</w:t>
      </w:r>
    </w:p>
    <w:p>
      <w:pPr>
        <w:pStyle w:val="Style14"/>
        <w:keepNext w:val="0"/>
        <w:keepLines w:val="0"/>
        <w:widowControl w:val="0"/>
        <w:shd w:val="clear" w:color="auto" w:fill="auto"/>
        <w:tabs>
          <w:tab w:pos="2302" w:val="left"/>
        </w:tabs>
        <w:bidi w:val="0"/>
        <w:spacing w:before="0" w:after="280" w:line="240" w:lineRule="auto"/>
        <w:ind w:left="1900" w:right="0" w:firstLine="0"/>
        <w:jc w:val="both"/>
      </w:pPr>
      <w:bookmarkStart w:id="113" w:name="bookmark113"/>
      <w:r>
        <w:rPr>
          <w:rFonts w:ascii="Times New Roman" w:eastAsia="Times New Roman" w:hAnsi="Times New Roman" w:cs="Times New Roman"/>
          <w:color w:val="000000"/>
          <w:spacing w:val="0"/>
          <w:w w:val="100"/>
          <w:position w:val="0"/>
          <w:sz w:val="24"/>
          <w:szCs w:val="24"/>
        </w:rPr>
        <w:t>2</w:t>
      </w:r>
      <w:bookmarkEnd w:id="113"/>
      <w:r>
        <w:rPr>
          <w:color w:val="000000"/>
          <w:spacing w:val="0"/>
          <w:w w:val="100"/>
          <w:position w:val="0"/>
          <w:sz w:val="24"/>
          <w:szCs w:val="24"/>
        </w:rPr>
        <w:t>、</w:t>
        <w:tab/>
        <w:t>报告期内，公司不存在股份总数及股东结构的变动、公司资产和负债结</w:t>
      </w:r>
    </w:p>
    <w:p>
      <w:pPr>
        <w:pStyle w:val="Style14"/>
        <w:keepNext w:val="0"/>
        <w:keepLines w:val="0"/>
        <w:widowControl w:val="0"/>
        <w:shd w:val="clear" w:color="auto" w:fill="auto"/>
        <w:bidi w:val="0"/>
        <w:spacing w:before="0" w:after="280" w:line="240" w:lineRule="auto"/>
        <w:ind w:left="1420" w:right="0" w:firstLine="0"/>
        <w:jc w:val="both"/>
      </w:pPr>
      <w:r>
        <w:rPr>
          <w:color w:val="000000"/>
          <w:spacing w:val="0"/>
          <w:w w:val="100"/>
          <w:position w:val="0"/>
          <w:sz w:val="24"/>
          <w:szCs w:val="24"/>
        </w:rPr>
        <w:t>构的变动情况说明</w:t>
      </w:r>
    </w:p>
    <w:p>
      <w:pPr>
        <w:pStyle w:val="Style14"/>
        <w:keepNext w:val="0"/>
        <w:keepLines w:val="0"/>
        <w:widowControl w:val="0"/>
        <w:shd w:val="clear" w:color="auto" w:fill="auto"/>
        <w:bidi w:val="0"/>
        <w:spacing w:before="0" w:after="280" w:line="240" w:lineRule="auto"/>
        <w:ind w:left="1900" w:right="0" w:firstLine="0"/>
        <w:jc w:val="both"/>
      </w:pPr>
      <w:bookmarkStart w:id="114" w:name="bookmark114"/>
      <w:r>
        <w:rPr>
          <w:rFonts w:ascii="Times New Roman" w:eastAsia="Times New Roman" w:hAnsi="Times New Roman" w:cs="Times New Roman"/>
          <w:color w:val="000000"/>
          <w:spacing w:val="0"/>
          <w:w w:val="100"/>
          <w:position w:val="0"/>
          <w:sz w:val="24"/>
          <w:szCs w:val="24"/>
        </w:rPr>
        <w:t>3</w:t>
      </w:r>
      <w:bookmarkEnd w:id="114"/>
      <w:r>
        <w:rPr>
          <w:color w:val="000000"/>
          <w:spacing w:val="0"/>
          <w:w w:val="100"/>
          <w:position w:val="0"/>
          <w:sz w:val="24"/>
          <w:szCs w:val="24"/>
        </w:rPr>
        <w:t>、报告期内，公司不存在现存的内部职工股情况。</w:t>
      </w:r>
    </w:p>
    <w:p>
      <w:pPr>
        <w:pStyle w:val="Style14"/>
        <w:keepNext w:val="0"/>
        <w:keepLines w:val="0"/>
        <w:widowControl w:val="0"/>
        <w:shd w:val="clear" w:color="auto" w:fill="auto"/>
        <w:bidi w:val="0"/>
        <w:spacing w:before="0" w:after="280" w:line="240" w:lineRule="auto"/>
        <w:ind w:left="1780" w:right="0" w:firstLine="0"/>
        <w:jc w:val="both"/>
      </w:pPr>
      <w:bookmarkStart w:id="115" w:name="bookmark115"/>
      <w:r>
        <w:rPr>
          <w:b/>
          <w:bCs/>
          <w:color w:val="000000"/>
          <w:spacing w:val="0"/>
          <w:w w:val="100"/>
          <w:position w:val="0"/>
          <w:sz w:val="24"/>
          <w:szCs w:val="24"/>
        </w:rPr>
        <w:t>三</w:t>
      </w:r>
      <w:bookmarkEnd w:id="115"/>
      <w:r>
        <w:rPr>
          <w:b/>
          <w:bCs/>
          <w:color w:val="000000"/>
          <w:spacing w:val="0"/>
          <w:w w:val="100"/>
          <w:position w:val="0"/>
          <w:sz w:val="24"/>
          <w:szCs w:val="24"/>
        </w:rPr>
        <w:t>、股东和实际控制人情况</w:t>
      </w:r>
    </w:p>
    <w:p>
      <w:pPr>
        <w:pStyle w:val="Style14"/>
        <w:keepNext w:val="0"/>
        <w:keepLines w:val="0"/>
        <w:widowControl w:val="0"/>
        <w:shd w:val="clear" w:color="auto" w:fill="auto"/>
        <w:bidi w:val="0"/>
        <w:spacing w:before="0" w:after="160" w:line="240" w:lineRule="auto"/>
        <w:ind w:left="1780" w:right="0" w:firstLine="0"/>
        <w:jc w:val="both"/>
      </w:pPr>
      <w:bookmarkStart w:id="116" w:name="bookmark116"/>
      <w:r>
        <w:rPr>
          <w:rFonts w:ascii="Times New Roman" w:eastAsia="Times New Roman" w:hAnsi="Times New Roman" w:cs="Times New Roman"/>
          <w:b/>
          <w:bCs/>
          <w:color w:val="000000"/>
          <w:spacing w:val="0"/>
          <w:w w:val="100"/>
          <w:position w:val="0"/>
          <w:sz w:val="24"/>
          <w:szCs w:val="24"/>
        </w:rPr>
        <w:t>1</w:t>
      </w:r>
      <w:bookmarkEnd w:id="116"/>
      <w:r>
        <w:rPr>
          <w:b/>
          <w:bCs/>
          <w:color w:val="000000"/>
          <w:spacing w:val="0"/>
          <w:w w:val="100"/>
          <w:position w:val="0"/>
          <w:sz w:val="24"/>
          <w:szCs w:val="24"/>
        </w:rPr>
        <w:t>、公司股东数量及持股情况</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单位：股</w:t>
      </w:r>
    </w:p>
    <w:tbl>
      <w:tblPr>
        <w:tblOverlap w:val="never"/>
        <w:jc w:val="center"/>
        <w:tblLayout w:type="fixed"/>
      </w:tblPr>
      <w:tblGrid>
        <w:gridCol w:w="2472"/>
        <w:gridCol w:w="1200"/>
        <w:gridCol w:w="1195"/>
        <w:gridCol w:w="1195"/>
        <w:gridCol w:w="1195"/>
        <w:gridCol w:w="1195"/>
        <w:gridCol w:w="1200"/>
        <w:gridCol w:w="1411"/>
      </w:tblGrid>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报告期末普通股股东总数</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14,017</w:t>
            </w:r>
          </w:p>
        </w:tc>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15,659</w:t>
            </w:r>
          </w:p>
        </w:tc>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报告期末表</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2534"/>
        <w:gridCol w:w="1138"/>
        <w:gridCol w:w="490"/>
        <w:gridCol w:w="667"/>
        <w:gridCol w:w="907"/>
        <w:gridCol w:w="326"/>
        <w:gridCol w:w="605"/>
        <w:gridCol w:w="590"/>
        <w:gridCol w:w="398"/>
        <w:gridCol w:w="494"/>
        <w:gridCol w:w="302"/>
        <w:gridCol w:w="341"/>
        <w:gridCol w:w="706"/>
        <w:gridCol w:w="154"/>
        <w:gridCol w:w="274"/>
        <w:gridCol w:w="1138"/>
      </w:tblGrid>
      <w:tr>
        <w:trPr>
          <w:trHeight w:val="175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露日前上一 月末普通股 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决权恢复的 优先股股东 总数（如有）</w:t>
            </w:r>
          </w:p>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（参见注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9" w:lineRule="exact"/>
              <w:ind w:left="0" w:right="0" w:firstLine="0"/>
              <w:jc w:val="left"/>
              <w:rPr>
                <w:sz w:val="20"/>
                <w:szCs w:val="20"/>
              </w:rPr>
            </w:pPr>
            <w:r>
              <w:rPr>
                <w:color w:val="000000"/>
                <w:spacing w:val="0"/>
                <w:w w:val="100"/>
                <w:position w:val="0"/>
                <w:sz w:val="20"/>
                <w:szCs w:val="20"/>
              </w:rPr>
              <w:t>露日前上一 月末表决权 恢复的优先 股股东总数</w:t>
            </w:r>
          </w:p>
          <w:p>
            <w:pPr>
              <w:pStyle w:val="Style6"/>
              <w:keepNext w:val="0"/>
              <w:keepLines w:val="0"/>
              <w:widowControl w:val="0"/>
              <w:shd w:val="clear" w:color="auto" w:fill="auto"/>
              <w:bidi w:val="0"/>
              <w:spacing w:before="0" w:after="0" w:line="289" w:lineRule="exact"/>
              <w:ind w:left="0" w:right="0" w:firstLine="0"/>
              <w:jc w:val="left"/>
              <w:rPr>
                <w:sz w:val="20"/>
                <w:szCs w:val="20"/>
              </w:rPr>
            </w:pPr>
            <w:r>
              <w:rPr>
                <w:color w:val="000000"/>
                <w:spacing w:val="0"/>
                <w:w w:val="100"/>
                <w:position w:val="0"/>
                <w:sz w:val="20"/>
                <w:szCs w:val="20"/>
              </w:rPr>
              <w:t>（如有）（参 见注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16"/>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名股东持股情况</w:t>
            </w:r>
          </w:p>
        </w:tc>
      </w:tr>
      <w:tr>
        <w:trPr>
          <w:trHeight w:val="302"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股东性质</w:t>
            </w:r>
          </w:p>
        </w:tc>
        <w:tc>
          <w:tcPr>
            <w:vMerge w:val="restart"/>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持股 比例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报告期末 持股数量</w:t>
            </w:r>
          </w:p>
        </w:tc>
        <w:tc>
          <w:tcPr>
            <w:gridSpan w:val="2"/>
            <w:vMerge w:val="restart"/>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报告期内 增减变动 情况</w:t>
            </w:r>
          </w:p>
        </w:tc>
        <w:tc>
          <w:tcPr>
            <w:gridSpan w:val="2"/>
            <w:vMerge w:val="restart"/>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持有有限 售条件的 股份数量</w:t>
            </w:r>
          </w:p>
        </w:tc>
        <w:tc>
          <w:tcPr>
            <w:gridSpan w:val="3"/>
            <w:vMerge w:val="restart"/>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持有无限售 条件的股份 数量</w:t>
            </w:r>
          </w:p>
        </w:tc>
        <w:tc>
          <w:tcPr>
            <w:gridSpan w:val="4"/>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r>
      <w:tr>
        <w:trPr>
          <w:trHeight w:val="576"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top"/>
          </w:tcPr>
          <w:p>
            <w:pPr/>
          </w:p>
        </w:tc>
        <w:tc>
          <w:tcPr>
            <w:gridSpan w:val="2"/>
            <w:vMerge/>
            <w:tcBorders>
              <w:left w:val="single" w:sz="4"/>
            </w:tcBorders>
            <w:shd w:val="clear" w:color="auto" w:fill="D4D4D4"/>
            <w:vAlign w:val="top"/>
          </w:tcPr>
          <w:p>
            <w:pPr/>
          </w:p>
        </w:tc>
        <w:tc>
          <w:tcPr>
            <w:gridSpan w:val="3"/>
            <w:vMerge/>
            <w:tcBorders>
              <w:left w:val="single" w:sz="4"/>
            </w:tcBorders>
            <w:shd w:val="clear" w:color="auto" w:fill="D4D4D4"/>
            <w:vAlign w:val="top"/>
          </w:tcPr>
          <w:p>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股份状态</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数量</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1,973,050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1,858,287,</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114,763,680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8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长安财富一广发银行一长 安资产•传化物流股权投资 专项资产管理计划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174,216,0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174,216,0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上海航运产业基金管理有 限公司一上海君彤璟联投 资合伙企业（有限合伙）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71,065,98</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71,065,9</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华安未来资产一工商银行 —传化集团专项资产管理 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69,703,55</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69,703,5</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长城嘉信资产一宁波银行</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—王宝军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69,686,41</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69,686,4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63,565,12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47,673,84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15,891,284</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7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上海凯石益正资产管理有 限公司一凯石传化定增证 券投资基金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58,121,82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58,121,8</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杭州中阳融正投资管理有 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58,072,00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58,072,0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12,853,480</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珠海浩怡投资企业（有限合 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50,761,42</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50,761,4</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冻结</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上海陆家嘴股权投资基金 合伙企业（有限合伙）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46,457,60</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46,457,6</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90" w:hRule="exact"/>
        </w:trPr>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战略投资者或一般法人因配售新股成为前</w:t>
            </w:r>
            <w:r>
              <w:rPr>
                <w:rFonts w:ascii="Times New Roman" w:eastAsia="Times New Roman" w:hAnsi="Times New Roman" w:cs="Times New Roman"/>
                <w:color w:val="000000"/>
                <w:spacing w:val="0"/>
                <w:w w:val="100"/>
                <w:position w:val="0"/>
                <w:sz w:val="20"/>
                <w:szCs w:val="20"/>
              </w:rPr>
              <w:t>10</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名股东的情况（如有）（参见注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gridSpan w:val="1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440"/>
              <w:jc w:val="both"/>
              <w:rPr>
                <w:sz w:val="20"/>
                <w:szCs w:val="20"/>
              </w:rPr>
            </w:pPr>
            <w:r>
              <w:rPr>
                <w:color w:val="000000"/>
                <w:spacing w:val="0"/>
                <w:w w:val="100"/>
                <w:position w:val="0"/>
                <w:sz w:val="20"/>
                <w:szCs w:val="20"/>
              </w:rPr>
              <w:t>报告期内，公司不存在战略投资者或一般法人因配售新股成为前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 股东的情况。</w:t>
            </w:r>
          </w:p>
        </w:tc>
      </w:tr>
      <w:tr>
        <w:trPr>
          <w:trHeight w:val="1459"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1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4" w:lineRule="exact"/>
              <w:ind w:left="0" w:right="0" w:firstLine="44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名股东中徐冠巨为传化集团有限公司的出资人，华安未来资产一 工商银行一传化集团专项资产管理计划为公司员工资管计划，存在关联关 系；其他股东之间未知是否存在关联关系。除此之外，公司未知其他股东之 间是否存在关联关系或是否属于《上市公司收购管理办法》规定的一致行动 人。</w:t>
            </w:r>
          </w:p>
        </w:tc>
      </w:tr>
      <w:tr>
        <w:trPr>
          <w:trHeight w:val="302" w:hRule="exact"/>
        </w:trPr>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4000" w:right="0" w:firstLine="0"/>
              <w:jc w:val="left"/>
              <w:rPr>
                <w:sz w:val="20"/>
                <w:szCs w:val="20"/>
              </w:rPr>
            </w:pPr>
            <w:r>
              <w:rPr>
                <w:color w:val="000000"/>
                <w:spacing w:val="0"/>
                <w:w w:val="100"/>
                <w:position w:val="0"/>
                <w:sz w:val="20"/>
                <w:szCs w:val="20"/>
              </w:rPr>
              <w:t>前</w:t>
            </w:r>
          </w:p>
        </w:tc>
        <w:tc>
          <w:tcPr>
            <w:gridSpan w:val="13"/>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298" w:hRule="exact"/>
        </w:trPr>
        <w:tc>
          <w:tcPr>
            <w:gridSpan w:val="3"/>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7"/>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报告期末持有无限售条件股份数量</w:t>
            </w:r>
          </w:p>
        </w:tc>
        <w:tc>
          <w:tcPr>
            <w:gridSpan w:val="6"/>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02" w:hRule="exact"/>
        </w:trPr>
        <w:tc>
          <w:tcPr>
            <w:gridSpan w:val="3"/>
            <w:vMerge/>
            <w:tcBorders>
              <w:left w:val="single" w:sz="4"/>
            </w:tcBorders>
            <w:shd w:val="clear" w:color="auto" w:fill="D4D4D4"/>
            <w:vAlign w:val="center"/>
          </w:tcPr>
          <w:p>
            <w:pPr/>
          </w:p>
        </w:tc>
        <w:tc>
          <w:tcPr>
            <w:gridSpan w:val="7"/>
            <w:vMerge/>
            <w:tcBorders>
              <w:left w:val="single" w:sz="4"/>
            </w:tcBorders>
            <w:shd w:val="clear" w:color="auto" w:fill="D4D4D4"/>
            <w:vAlign w:val="center"/>
          </w:tcPr>
          <w:p>
            <w:pPr/>
          </w:p>
        </w:tc>
        <w:tc>
          <w:tcPr>
            <w:gridSpan w:val="3"/>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3"/>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数量</w:t>
            </w:r>
          </w:p>
        </w:tc>
      </w:tr>
      <w:tr>
        <w:trPr>
          <w:trHeight w:val="29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gridSpan w:val="7"/>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114,763,680</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114,763,680</w:t>
            </w:r>
          </w:p>
        </w:tc>
      </w:tr>
      <w:tr>
        <w:trPr>
          <w:trHeight w:val="595" w:hRule="exact"/>
        </w:trPr>
        <w:tc>
          <w:tcPr>
            <w:gridSpan w:val="3"/>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天治基金一浦发银行一天治凌云</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号特定多 客户资产管理计划</w:t>
            </w:r>
          </w:p>
        </w:tc>
        <w:tc>
          <w:tcPr>
            <w:gridSpan w:val="7"/>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16,171,300</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16,171,300</w:t>
            </w:r>
          </w:p>
        </w:tc>
      </w:tr>
    </w:tbl>
    <w:p>
      <w:pPr>
        <w:spacing w:lineRule="exact" w:line="1"/>
        <w:rPr>
          <w:sz w:val="2"/>
          <w:szCs w:val="2"/>
        </w:rPr>
      </w:pPr>
      <w:r>
        <w:br w:type="page"/>
      </w:r>
    </w:p>
    <w:tbl>
      <w:tblPr>
        <w:tblOverlap w:val="never"/>
        <w:jc w:val="center"/>
        <w:tblLayout w:type="fixed"/>
      </w:tblPr>
      <w:tblGrid>
        <w:gridCol w:w="4162"/>
        <w:gridCol w:w="3989"/>
        <w:gridCol w:w="1349"/>
        <w:gridCol w:w="1565"/>
      </w:tblGrid>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15,891,284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15,891,284</w:t>
            </w:r>
          </w:p>
        </w:tc>
      </w:tr>
      <w:tr>
        <w:trPr>
          <w:trHeight w:val="5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 xml:space="preserve">陕西省国际信托股份有限公司一陕国投•祥瑞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号结构化证券投资集合资金信托计划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15,761,934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15,761,934</w:t>
            </w:r>
          </w:p>
        </w:tc>
      </w:tr>
      <w:tr>
        <w:trPr>
          <w:trHeight w:val="59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中国工商银行股份有限公司一华商新锐产业 灵活配置混合型证券投资基金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15,732,374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15,732,374</w:t>
            </w:r>
          </w:p>
        </w:tc>
      </w:tr>
      <w:tr>
        <w:trPr>
          <w:trHeight w:val="59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中国农业银行股份有限公司企业年金计划一 中国银行股份有限公司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12,007,839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12,007,839</w:t>
            </w:r>
          </w:p>
        </w:tc>
      </w:tr>
      <w:tr>
        <w:trPr>
          <w:trHeight w:val="30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9,157,690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9,157,690</w:t>
            </w:r>
          </w:p>
        </w:tc>
      </w:tr>
      <w:tr>
        <w:trPr>
          <w:trHeight w:val="59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陕西省国际信托股份有限公司一陕国投•祥瑞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号结构化证券投资集合资金信托计划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8,631,435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8,631,435</w:t>
            </w:r>
          </w:p>
        </w:tc>
      </w:tr>
      <w:tr>
        <w:trPr>
          <w:trHeight w:val="59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中国建设银行股份有限公司一华商未来主题 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7,090,486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7,090,486</w:t>
            </w:r>
          </w:p>
        </w:tc>
      </w:tr>
      <w:tr>
        <w:trPr>
          <w:trHeight w:val="5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中国建设银行股份有限公司一华商主题精选 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6,778,224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6,778,224</w:t>
            </w:r>
          </w:p>
        </w:tc>
      </w:tr>
      <w:tr>
        <w:trPr>
          <w:trHeight w:val="117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名无限售流通股股东之间，以及前</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名无限售流通股股东和前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名股东之间关联 关系或一致行动的说明</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4" w:lineRule="exact"/>
              <w:ind w:left="0" w:right="0" w:firstLine="44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名股东中徐冠巨、徐观宝系兄弟关系，同时为传化集团有限公司 的出资人，存在关联关系；其他股东之间未知是否存在关联关系。除此之外， 公司未知其他股东之间是否存在关联关系或是否属于《上市公司收购管理办 法》规定的一致行动人。</w:t>
            </w:r>
          </w:p>
        </w:tc>
      </w:tr>
      <w:tr>
        <w:trPr>
          <w:trHeight w:val="595"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名普通股股东参与融资融券业务情况说 明（如有）（参见注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报告期内，公司不存在前十大股东参与融资融券业务的情况。</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640"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名无限售条件普通股股东在报告期内未进行</w:t>
      </w:r>
    </w:p>
    <w:p>
      <w:pPr>
        <w:pStyle w:val="Style14"/>
        <w:keepNext w:val="0"/>
        <w:keepLines w:val="0"/>
        <w:widowControl w:val="0"/>
        <w:shd w:val="clear" w:color="auto" w:fill="auto"/>
        <w:bidi w:val="0"/>
        <w:spacing w:before="0" w:after="280" w:line="240" w:lineRule="auto"/>
        <w:ind w:left="1280" w:right="0" w:firstLine="0"/>
        <w:jc w:val="left"/>
      </w:pPr>
      <w:r>
        <w:rPr>
          <w:color w:val="000000"/>
          <w:spacing w:val="0"/>
          <w:w w:val="100"/>
          <w:position w:val="0"/>
          <w:sz w:val="24"/>
          <w:szCs w:val="24"/>
        </w:rPr>
        <w:t>约定购回交易。</w:t>
      </w:r>
    </w:p>
    <w:p>
      <w:pPr>
        <w:pStyle w:val="Style14"/>
        <w:keepNext w:val="0"/>
        <w:keepLines w:val="0"/>
        <w:widowControl w:val="0"/>
        <w:shd w:val="clear" w:color="auto" w:fill="auto"/>
        <w:bidi w:val="0"/>
        <w:spacing w:before="0" w:after="280" w:line="240" w:lineRule="auto"/>
        <w:ind w:left="1640" w:right="0" w:firstLine="0"/>
        <w:jc w:val="left"/>
      </w:pPr>
      <w:bookmarkStart w:id="117" w:name="bookmark117"/>
      <w:r>
        <w:rPr>
          <w:rFonts w:ascii="Times New Roman" w:eastAsia="Times New Roman" w:hAnsi="Times New Roman" w:cs="Times New Roman"/>
          <w:color w:val="000000"/>
          <w:spacing w:val="0"/>
          <w:w w:val="100"/>
          <w:position w:val="0"/>
          <w:sz w:val="24"/>
          <w:szCs w:val="24"/>
        </w:rPr>
        <w:t>2</w:t>
      </w:r>
      <w:bookmarkEnd w:id="117"/>
      <w:r>
        <w:rPr>
          <w:color w:val="000000"/>
          <w:spacing w:val="0"/>
          <w:w w:val="100"/>
          <w:position w:val="0"/>
          <w:sz w:val="24"/>
          <w:szCs w:val="24"/>
        </w:rPr>
        <w:t>、公司控股股东情况</w:t>
      </w:r>
    </w:p>
    <w:p>
      <w:pPr>
        <w:pStyle w:val="Style14"/>
        <w:keepNext w:val="0"/>
        <w:keepLines w:val="0"/>
        <w:widowControl w:val="0"/>
        <w:shd w:val="clear" w:color="auto" w:fill="auto"/>
        <w:bidi w:val="0"/>
        <w:spacing w:before="0" w:after="140" w:line="240" w:lineRule="auto"/>
        <w:ind w:left="1640" w:right="0" w:firstLine="0"/>
        <w:jc w:val="left"/>
      </w:pPr>
      <w:r>
        <w:rPr>
          <w:color w:val="000000"/>
          <w:spacing w:val="0"/>
          <w:w w:val="100"/>
          <w:position w:val="0"/>
          <w:sz w:val="24"/>
          <w:szCs w:val="24"/>
        </w:rPr>
        <w:t xml:space="preserve">控股股东性质：自然人控股 </w:t>
      </w:r>
      <w:r>
        <w:rPr>
          <w:color w:val="000000"/>
          <w:spacing w:val="0"/>
          <w:w w:val="100"/>
          <w:position w:val="0"/>
          <w:sz w:val="24"/>
          <w:szCs w:val="24"/>
        </w:rPr>
        <w:t>控股股东类型：法人</w:t>
      </w:r>
    </w:p>
    <w:tbl>
      <w:tblPr>
        <w:tblOverlap w:val="never"/>
        <w:jc w:val="center"/>
        <w:tblLayout w:type="fixed"/>
      </w:tblPr>
      <w:tblGrid>
        <w:gridCol w:w="1810"/>
        <w:gridCol w:w="1171"/>
        <w:gridCol w:w="1200"/>
        <w:gridCol w:w="1512"/>
        <w:gridCol w:w="1622"/>
        <w:gridCol w:w="3523"/>
      </w:tblGrid>
      <w:tr>
        <w:trPr>
          <w:trHeight w:val="59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控股股东名称</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法定代表人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单位负责人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组织机构代码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w:t>
            </w:r>
          </w:p>
        </w:tc>
      </w:tr>
      <w:tr>
        <w:trPr>
          <w:trHeight w:val="32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9133010925390</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87031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800,000,000.00 </w:t>
            </w: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9" w:lineRule="exact"/>
              <w:ind w:left="0" w:right="0" w:firstLine="0"/>
              <w:jc w:val="both"/>
              <w:rPr>
                <w:sz w:val="20"/>
                <w:szCs w:val="20"/>
              </w:rPr>
            </w:pPr>
            <w:r>
              <w:rPr>
                <w:color w:val="000000"/>
                <w:spacing w:val="0"/>
                <w:w w:val="100"/>
                <w:position w:val="0"/>
                <w:sz w:val="20"/>
                <w:szCs w:val="20"/>
              </w:rPr>
              <w:t>批发、零售，日用化工产品及精细化 工产品（除化学危险品及易制毒化学 品），农副产品，以及其他无需报经 审批的一切合法项目；出口本企业自 产的化工产品，化工原料，化纤原料； 进口本企业生产、科研所需的原辅材 料，机械设备，仪器仪表及零配件； 实业投资；软件开发；现代物流服务 （国家专项审批的除外）；企业咨询 服务，凡以上涉及许可证制度的凭证 经营。</w:t>
            </w:r>
          </w:p>
        </w:tc>
      </w:tr>
      <w:tr>
        <w:trPr>
          <w:trHeight w:val="1176"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6" w:lineRule="exact"/>
              <w:ind w:left="0" w:right="0" w:firstLine="0"/>
              <w:jc w:val="left"/>
              <w:rPr>
                <w:sz w:val="20"/>
                <w:szCs w:val="20"/>
              </w:rPr>
            </w:pPr>
            <w:r>
              <w:rPr>
                <w:color w:val="000000"/>
                <w:spacing w:val="0"/>
                <w:w w:val="100"/>
                <w:position w:val="0"/>
                <w:sz w:val="20"/>
                <w:szCs w:val="20"/>
              </w:rPr>
              <w:t>控股股东报告期内 控股和参股的其他 境内外上市公司的 股权情况</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报告期内，控股股东除公司以外还持有上市公司浙江新安化工集团股份有限公司</w:t>
            </w:r>
            <w:r>
              <w:rPr>
                <w:rFonts w:ascii="Times New Roman" w:eastAsia="Times New Roman" w:hAnsi="Times New Roman" w:cs="Times New Roman"/>
                <w:color w:val="000000"/>
                <w:spacing w:val="0"/>
                <w:w w:val="100"/>
                <w:position w:val="0"/>
                <w:sz w:val="20"/>
                <w:szCs w:val="20"/>
              </w:rPr>
              <w:t>14.98%</w:t>
            </w:r>
            <w:r>
              <w:rPr>
                <w:color w:val="000000"/>
                <w:spacing w:val="0"/>
                <w:w w:val="100"/>
                <w:position w:val="0"/>
                <w:sz w:val="20"/>
                <w:szCs w:val="20"/>
              </w:rPr>
              <w:t>的股份。</w:t>
            </w:r>
          </w:p>
        </w:tc>
      </w:tr>
    </w:tbl>
    <w:p>
      <w:pPr>
        <w:spacing w:lineRule="exact" w:line="1"/>
        <w:rPr>
          <w:sz w:val="2"/>
          <w:szCs w:val="2"/>
        </w:rPr>
      </w:pPr>
      <w:r>
        <w:br w:type="page"/>
      </w:r>
    </w:p>
    <w:p>
      <w:pPr>
        <w:pStyle w:val="Style14"/>
        <w:keepNext w:val="0"/>
        <w:keepLines w:val="0"/>
        <w:widowControl w:val="0"/>
        <w:shd w:val="clear" w:color="auto" w:fill="auto"/>
        <w:bidi w:val="0"/>
        <w:spacing w:before="0" w:after="280" w:line="240" w:lineRule="auto"/>
        <w:ind w:left="1580" w:right="0" w:firstLine="0"/>
        <w:jc w:val="both"/>
      </w:pPr>
      <w:bookmarkStart w:id="118" w:name="bookmark118"/>
      <w:r>
        <w:rPr>
          <w:color w:val="000000"/>
          <w:spacing w:val="0"/>
          <w:w w:val="100"/>
          <w:position w:val="0"/>
          <w:sz w:val="24"/>
          <w:szCs w:val="24"/>
        </w:rPr>
        <w:t>报告期内，公司控股股东未发生变更。</w:t>
      </w:r>
      <w:bookmarkEnd w:id="118"/>
    </w:p>
    <w:p>
      <w:pPr>
        <w:pStyle w:val="Style14"/>
        <w:keepNext w:val="0"/>
        <w:keepLines w:val="0"/>
        <w:widowControl w:val="0"/>
        <w:shd w:val="clear" w:color="auto" w:fill="auto"/>
        <w:bidi w:val="0"/>
        <w:spacing w:before="0" w:after="280" w:line="240" w:lineRule="auto"/>
        <w:ind w:left="1580" w:right="0" w:firstLine="0"/>
        <w:jc w:val="both"/>
      </w:pPr>
      <w:bookmarkStart w:id="119" w:name="bookmark119"/>
      <w:r>
        <w:rPr>
          <w:rFonts w:ascii="Times New Roman" w:eastAsia="Times New Roman" w:hAnsi="Times New Roman" w:cs="Times New Roman"/>
          <w:color w:val="000000"/>
          <w:spacing w:val="0"/>
          <w:w w:val="100"/>
          <w:position w:val="0"/>
          <w:sz w:val="24"/>
          <w:szCs w:val="24"/>
        </w:rPr>
        <w:t>3</w:t>
      </w:r>
      <w:bookmarkEnd w:id="119"/>
      <w:r>
        <w:rPr>
          <w:color w:val="000000"/>
          <w:spacing w:val="0"/>
          <w:w w:val="100"/>
          <w:position w:val="0"/>
          <w:sz w:val="24"/>
          <w:szCs w:val="24"/>
        </w:rPr>
        <w:t>、公司实际控制人情况</w:t>
      </w:r>
    </w:p>
    <w:p>
      <w:pPr>
        <w:pStyle w:val="Style14"/>
        <w:keepNext w:val="0"/>
        <w:keepLines w:val="0"/>
        <w:widowControl w:val="0"/>
        <w:shd w:val="clear" w:color="auto" w:fill="auto"/>
        <w:bidi w:val="0"/>
        <w:spacing w:before="0" w:after="280" w:line="240" w:lineRule="auto"/>
        <w:ind w:left="1580" w:right="0" w:firstLine="0"/>
        <w:jc w:val="both"/>
      </w:pPr>
      <w:r>
        <w:rPr>
          <w:color w:val="000000"/>
          <w:spacing w:val="0"/>
          <w:w w:val="100"/>
          <w:position w:val="0"/>
          <w:sz w:val="24"/>
          <w:szCs w:val="24"/>
        </w:rPr>
        <w:t>实际控制人性质：境内自然人</w:t>
      </w:r>
    </w:p>
    <w:p>
      <w:pPr>
        <w:pStyle w:val="Style14"/>
        <w:keepNext w:val="0"/>
        <w:keepLines w:val="0"/>
        <w:widowControl w:val="0"/>
        <w:shd w:val="clear" w:color="auto" w:fill="auto"/>
        <w:bidi w:val="0"/>
        <w:spacing w:before="0" w:after="180" w:line="240" w:lineRule="auto"/>
        <w:ind w:left="1580" w:right="0" w:firstLine="0"/>
        <w:jc w:val="both"/>
      </w:pPr>
      <w:r>
        <w:rPr>
          <w:color w:val="000000"/>
          <w:spacing w:val="0"/>
          <w:w w:val="100"/>
          <w:position w:val="0"/>
          <w:sz w:val="24"/>
          <w:szCs w:val="24"/>
        </w:rPr>
        <w:t>实际控制人类型：自然人</w:t>
      </w:r>
    </w:p>
    <w:tbl>
      <w:tblPr>
        <w:tblOverlap w:val="never"/>
        <w:jc w:val="center"/>
        <w:tblLayout w:type="fixed"/>
      </w:tblPr>
      <w:tblGrid>
        <w:gridCol w:w="3712"/>
        <w:gridCol w:w="1683"/>
        <w:gridCol w:w="4182"/>
      </w:tblGrid>
      <w:tr>
        <w:trPr>
          <w:trHeight w:val="304"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实际控制人姓名</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30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0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0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徐传化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8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徐冠巨：曾在杭州万向节厂工作，传化集团有限公司董事长；徐 观宝：曾在萧山宁围初中任教，传化集团有限公司副董事长；徐 传化：传化集团董事局主席。</w:t>
            </w:r>
          </w:p>
        </w:tc>
      </w:tr>
      <w:tr>
        <w:trPr>
          <w:trHeight w:val="304"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年曾控股的境内外上市公司情况</w:t>
            </w:r>
          </w:p>
        </w:tc>
        <w:tc>
          <w:tcPr>
            <w:gridSpan w:val="2"/>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注解：公司董事长徐冠巨、董事徐观宝最近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年内的职业及职务具体详见“第六节董事、监事、高级管</w:t>
      </w:r>
    </w:p>
    <w:p>
      <w:pPr>
        <w:pStyle w:val="Style30"/>
        <w:keepNext w:val="0"/>
        <w:keepLines w:val="0"/>
        <w:widowControl w:val="0"/>
        <w:shd w:val="clear" w:color="auto" w:fill="auto"/>
        <w:bidi w:val="0"/>
        <w:spacing w:before="0" w:after="0" w:line="240" w:lineRule="auto"/>
        <w:ind w:left="637" w:right="0" w:firstLine="0"/>
        <w:jc w:val="left"/>
        <w:rPr>
          <w:sz w:val="18"/>
          <w:szCs w:val="18"/>
        </w:rPr>
      </w:pPr>
      <w:r>
        <w:rPr>
          <w:color w:val="000000"/>
          <w:spacing w:val="0"/>
          <w:w w:val="100"/>
          <w:position w:val="0"/>
          <w:sz w:val="18"/>
          <w:szCs w:val="18"/>
        </w:rPr>
        <w:t>理人员和员工情况”。</w:t>
      </w:r>
    </w:p>
    <w:p>
      <w:pPr>
        <w:widowControl w:val="0"/>
        <w:spacing w:after="179" w:line="1" w:lineRule="exact"/>
      </w:pPr>
    </w:p>
    <w:p>
      <w:pPr>
        <w:pStyle w:val="Style14"/>
        <w:keepNext w:val="0"/>
        <w:keepLines w:val="0"/>
        <w:widowControl w:val="0"/>
        <w:shd w:val="clear" w:color="auto" w:fill="auto"/>
        <w:bidi w:val="0"/>
        <w:spacing w:before="0" w:after="180" w:line="240" w:lineRule="auto"/>
        <w:ind w:left="1580" w:right="0" w:firstLine="0"/>
        <w:jc w:val="both"/>
      </w:pPr>
      <w:r>
        <w:rPr>
          <w:color w:val="000000"/>
          <w:spacing w:val="0"/>
          <w:w w:val="100"/>
          <w:position w:val="0"/>
          <w:sz w:val="24"/>
          <w:szCs w:val="24"/>
        </w:rPr>
        <w:t>公司与实际控制人之间的产权及控制关系的方框图如下:</w:t>
      </w:r>
    </w:p>
    <w:p>
      <w:pPr>
        <w:widowControl w:val="0"/>
        <w:jc w:val="center"/>
        <w:rPr>
          <w:sz w:val="2"/>
          <w:szCs w:val="2"/>
        </w:rPr>
      </w:pPr>
      <w:r>
        <w:drawing>
          <wp:inline>
            <wp:extent cx="5273040" cy="252349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0"/>
                    <a:stretch/>
                  </pic:blipFill>
                  <pic:spPr>
                    <a:xfrm>
                      <a:ext cx="5273040" cy="2523490"/>
                    </a:xfrm>
                    <a:prstGeom prst="rect"/>
                  </pic:spPr>
                </pic:pic>
              </a:graphicData>
            </a:graphic>
          </wp:inline>
        </w:drawing>
      </w:r>
    </w:p>
    <w:p>
      <w:pPr>
        <w:widowControl w:val="0"/>
        <w:spacing w:after="179" w:line="1" w:lineRule="exact"/>
      </w:pPr>
    </w:p>
    <w:p>
      <w:pPr>
        <w:pStyle w:val="Style14"/>
        <w:keepNext w:val="0"/>
        <w:keepLines w:val="0"/>
        <w:widowControl w:val="0"/>
        <w:shd w:val="clear" w:color="auto" w:fill="auto"/>
        <w:bidi w:val="0"/>
        <w:spacing w:before="0" w:after="280" w:line="240" w:lineRule="auto"/>
        <w:ind w:left="1580" w:right="0" w:firstLine="0"/>
        <w:jc w:val="both"/>
      </w:pPr>
      <w:r>
        <w:rPr>
          <w:color w:val="000000"/>
          <w:spacing w:val="0"/>
          <w:w w:val="100"/>
          <w:position w:val="0"/>
          <w:sz w:val="24"/>
          <w:szCs w:val="24"/>
        </w:rPr>
        <w:t>报告期内，公司实际控制人不存在通过信托或其他资产管理方式控制公司的</w:t>
      </w:r>
    </w:p>
    <w:p>
      <w:pPr>
        <w:pStyle w:val="Style14"/>
        <w:keepNext w:val="0"/>
        <w:keepLines w:val="0"/>
        <w:widowControl w:val="0"/>
        <w:shd w:val="clear" w:color="auto" w:fill="auto"/>
        <w:bidi w:val="0"/>
        <w:spacing w:before="0" w:after="280" w:line="240" w:lineRule="auto"/>
        <w:ind w:left="1260" w:right="0" w:firstLine="0"/>
        <w:jc w:val="left"/>
      </w:pPr>
      <w:r>
        <w:rPr>
          <w:color w:val="000000"/>
          <w:spacing w:val="0"/>
          <w:w w:val="100"/>
          <w:position w:val="0"/>
          <w:sz w:val="24"/>
          <w:szCs w:val="24"/>
        </w:rPr>
        <w:t>情况。</w:t>
      </w:r>
    </w:p>
    <w:p>
      <w:pPr>
        <w:pStyle w:val="Style14"/>
        <w:keepNext w:val="0"/>
        <w:keepLines w:val="0"/>
        <w:widowControl w:val="0"/>
        <w:shd w:val="clear" w:color="auto" w:fill="auto"/>
        <w:tabs>
          <w:tab w:pos="1979" w:val="left"/>
        </w:tabs>
        <w:bidi w:val="0"/>
        <w:spacing w:before="0" w:after="280" w:line="240" w:lineRule="auto"/>
        <w:ind w:left="1580" w:right="0" w:firstLine="0"/>
        <w:jc w:val="left"/>
      </w:pPr>
      <w:bookmarkStart w:id="120" w:name="bookmark120"/>
      <w:r>
        <w:rPr>
          <w:rFonts w:ascii="Times New Roman" w:eastAsia="Times New Roman" w:hAnsi="Times New Roman" w:cs="Times New Roman"/>
          <w:color w:val="000000"/>
          <w:spacing w:val="0"/>
          <w:w w:val="100"/>
          <w:position w:val="0"/>
          <w:sz w:val="24"/>
          <w:szCs w:val="24"/>
        </w:rPr>
        <w:t>4</w:t>
      </w:r>
      <w:bookmarkEnd w:id="120"/>
      <w:r>
        <w:rPr>
          <w:color w:val="000000"/>
          <w:spacing w:val="0"/>
          <w:w w:val="100"/>
          <w:position w:val="0"/>
          <w:sz w:val="24"/>
          <w:szCs w:val="24"/>
        </w:rPr>
        <w:t>、</w:t>
        <w:tab/>
        <w:t>报告期内，公司不存在其他持股在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p>
    <w:p>
      <w:pPr>
        <w:pStyle w:val="Style14"/>
        <w:keepNext w:val="0"/>
        <w:keepLines w:val="0"/>
        <w:widowControl w:val="0"/>
        <w:shd w:val="clear" w:color="auto" w:fill="auto"/>
        <w:tabs>
          <w:tab w:pos="1979" w:val="left"/>
        </w:tabs>
        <w:bidi w:val="0"/>
        <w:spacing w:before="0" w:after="560" w:line="240" w:lineRule="auto"/>
        <w:ind w:left="1580" w:right="0" w:firstLine="0"/>
        <w:jc w:val="left"/>
      </w:pPr>
      <w:bookmarkStart w:id="121" w:name="bookmark121"/>
      <w:r>
        <w:rPr>
          <w:rFonts w:ascii="Times New Roman" w:eastAsia="Times New Roman" w:hAnsi="Times New Roman" w:cs="Times New Roman"/>
          <w:color w:val="000000"/>
          <w:spacing w:val="0"/>
          <w:w w:val="100"/>
          <w:position w:val="0"/>
          <w:sz w:val="24"/>
          <w:szCs w:val="24"/>
        </w:rPr>
        <w:t>5</w:t>
      </w:r>
      <w:bookmarkEnd w:id="121"/>
      <w:r>
        <w:rPr>
          <w:color w:val="000000"/>
          <w:spacing w:val="0"/>
          <w:w w:val="100"/>
          <w:position w:val="0"/>
          <w:sz w:val="24"/>
          <w:szCs w:val="24"/>
        </w:rPr>
        <w:t>、</w:t>
        <w:tab/>
        <w:t>控股股东、实际控制人、重组方及其他承诺主体股份不存在限制减持情况。</w:t>
      </w:r>
    </w:p>
    <w:p>
      <w:pPr>
        <w:pStyle w:val="Style26"/>
        <w:keepNext/>
        <w:keepLines/>
        <w:widowControl w:val="0"/>
        <w:shd w:val="clear" w:color="auto" w:fill="auto"/>
        <w:bidi w:val="0"/>
        <w:spacing w:before="0" w:after="560" w:line="240" w:lineRule="auto"/>
        <w:ind w:left="0" w:right="0" w:firstLine="0"/>
        <w:jc w:val="center"/>
      </w:pPr>
      <w:bookmarkStart w:id="122" w:name="bookmark122"/>
      <w:bookmarkStart w:id="123" w:name="bookmark123"/>
      <w:bookmarkStart w:id="124" w:name="bookmark124"/>
      <w:r>
        <w:rPr>
          <w:color w:val="000000"/>
          <w:spacing w:val="0"/>
          <w:w w:val="100"/>
          <w:position w:val="0"/>
        </w:rPr>
        <w:t>第七节优先股相关情况</w:t>
      </w:r>
      <w:bookmarkEnd w:id="122"/>
      <w:bookmarkEnd w:id="123"/>
      <w:bookmarkEnd w:id="124"/>
    </w:p>
    <w:p>
      <w:pPr>
        <w:pStyle w:val="Style14"/>
        <w:keepNext w:val="0"/>
        <w:keepLines w:val="0"/>
        <w:widowControl w:val="0"/>
        <w:shd w:val="clear" w:color="auto" w:fill="auto"/>
        <w:bidi w:val="0"/>
        <w:spacing w:before="0" w:after="280" w:line="240" w:lineRule="auto"/>
        <w:ind w:left="1580" w:right="0" w:firstLine="0"/>
        <w:jc w:val="both"/>
      </w:pPr>
      <w:r>
        <w:rPr>
          <w:color w:val="000000"/>
          <w:spacing w:val="0"/>
          <w:w w:val="100"/>
          <w:position w:val="0"/>
          <w:sz w:val="24"/>
          <w:szCs w:val="24"/>
        </w:rPr>
        <w:t>报告期公司不存在优先股的。</w:t>
      </w:r>
    </w:p>
    <w:p>
      <w:pPr>
        <w:pStyle w:val="Style26"/>
        <w:keepNext/>
        <w:keepLines/>
        <w:widowControl w:val="0"/>
        <w:shd w:val="clear" w:color="auto" w:fill="auto"/>
        <w:bidi w:val="0"/>
        <w:spacing w:before="0" w:after="580" w:line="240" w:lineRule="auto"/>
        <w:ind w:left="0" w:right="0" w:firstLine="0"/>
        <w:jc w:val="center"/>
      </w:pPr>
      <w:bookmarkStart w:id="125" w:name="bookmark125"/>
      <w:bookmarkStart w:id="126" w:name="bookmark126"/>
      <w:bookmarkStart w:id="127" w:name="bookmark127"/>
      <w:bookmarkStart w:id="128" w:name="bookmark128"/>
      <w:r>
        <w:rPr>
          <w:color w:val="000000"/>
          <w:spacing w:val="0"/>
          <w:w w:val="100"/>
          <w:position w:val="0"/>
        </w:rPr>
        <w:t>第八节董事、监事、高级管理人员和员工情况</w:t>
      </w:r>
      <w:bookmarkEnd w:id="126"/>
      <w:bookmarkEnd w:id="127"/>
      <w:bookmarkEnd w:id="128"/>
      <w:bookmarkEnd w:id="125"/>
    </w:p>
    <w:p>
      <w:pPr>
        <w:pStyle w:val="Style30"/>
        <w:keepNext w:val="0"/>
        <w:keepLines w:val="0"/>
        <w:widowControl w:val="0"/>
        <w:shd w:val="clear" w:color="auto" w:fill="auto"/>
        <w:bidi w:val="0"/>
        <w:spacing w:before="0" w:after="0" w:line="240" w:lineRule="auto"/>
        <w:ind w:left="1603" w:right="0" w:firstLine="0"/>
        <w:jc w:val="left"/>
      </w:pPr>
      <w:r>
        <w:rPr>
          <w:b/>
          <w:bCs/>
          <w:color w:val="000000"/>
          <w:spacing w:val="0"/>
          <w:w w:val="100"/>
          <w:position w:val="0"/>
          <w:sz w:val="24"/>
          <w:szCs w:val="24"/>
        </w:rPr>
        <w:t>一、董事、监事和高级管理人员持股变动</w:t>
      </w:r>
    </w:p>
    <w:tbl>
      <w:tblPr>
        <w:tblOverlap w:val="never"/>
        <w:jc w:val="center"/>
        <w:tblLayout w:type="fixed"/>
      </w:tblPr>
      <w:tblGrid>
        <w:gridCol w:w="854"/>
        <w:gridCol w:w="1680"/>
        <w:gridCol w:w="869"/>
        <w:gridCol w:w="658"/>
        <w:gridCol w:w="658"/>
        <w:gridCol w:w="1171"/>
        <w:gridCol w:w="1022"/>
        <w:gridCol w:w="1018"/>
        <w:gridCol w:w="869"/>
        <w:gridCol w:w="869"/>
        <w:gridCol w:w="1027"/>
      </w:tblGrid>
      <w:tr>
        <w:trPr>
          <w:trHeight w:val="117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任职状 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期初持股 数（股）</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1" w:lineRule="exact"/>
              <w:ind w:left="0" w:right="0" w:firstLine="0"/>
              <w:jc w:val="center"/>
              <w:rPr>
                <w:sz w:val="20"/>
                <w:szCs w:val="20"/>
              </w:rPr>
            </w:pPr>
            <w:r>
              <w:rPr>
                <w:color w:val="000000"/>
                <w:spacing w:val="0"/>
                <w:w w:val="100"/>
                <w:position w:val="0"/>
                <w:sz w:val="20"/>
                <w:szCs w:val="20"/>
              </w:rPr>
              <w:t>本期增 持股份 数量 （股）</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本期减 持股份 数量 （股）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期末持股 数（股）</w:t>
            </w: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2013.05.15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2016.05.15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63,565,126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63,565,126</w:t>
            </w:r>
          </w:p>
        </w:tc>
      </w:tr>
      <w:tr>
        <w:trPr>
          <w:trHeight w:val="30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2013.05.15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2016.05.15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36,630,754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36,630,754</w:t>
            </w:r>
          </w:p>
        </w:tc>
      </w:tr>
      <w:tr>
        <w:trPr>
          <w:trHeight w:val="59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100,195,88</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100,195,88</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14"/>
        <w:keepNext w:val="0"/>
        <w:keepLines w:val="0"/>
        <w:widowControl w:val="0"/>
        <w:shd w:val="clear" w:color="auto" w:fill="auto"/>
        <w:tabs>
          <w:tab w:pos="2137" w:val="left"/>
        </w:tabs>
        <w:bidi w:val="0"/>
        <w:spacing w:before="0" w:after="0" w:line="580" w:lineRule="exact"/>
        <w:ind w:left="1620" w:right="0" w:firstLine="0"/>
        <w:jc w:val="left"/>
      </w:pPr>
      <w:bookmarkStart w:id="129" w:name="bookmark129"/>
      <w:r>
        <w:rPr>
          <w:b/>
          <w:bCs/>
          <w:color w:val="000000"/>
          <w:spacing w:val="0"/>
          <w:w w:val="100"/>
          <w:position w:val="0"/>
          <w:sz w:val="24"/>
          <w:szCs w:val="24"/>
        </w:rPr>
        <w:t>二</w:t>
      </w:r>
      <w:bookmarkEnd w:id="129"/>
      <w:r>
        <w:rPr>
          <w:b/>
          <w:bCs/>
          <w:color w:val="000000"/>
          <w:spacing w:val="0"/>
          <w:w w:val="100"/>
          <w:position w:val="0"/>
          <w:sz w:val="24"/>
          <w:szCs w:val="24"/>
        </w:rPr>
        <w:t>、</w:t>
        <w:tab/>
        <w:t>公司董事、监事、高级管理人员变动情况</w:t>
      </w:r>
    </w:p>
    <w:p>
      <w:pPr>
        <w:pStyle w:val="Style14"/>
        <w:keepNext w:val="0"/>
        <w:keepLines w:val="0"/>
        <w:widowControl w:val="0"/>
        <w:shd w:val="clear" w:color="auto" w:fill="auto"/>
        <w:bidi w:val="0"/>
        <w:spacing w:before="0" w:after="0" w:line="580" w:lineRule="exact"/>
        <w:ind w:left="1620" w:right="0" w:firstLine="0"/>
        <w:jc w:val="left"/>
      </w:pPr>
      <w:r>
        <w:rPr>
          <w:color w:val="000000"/>
          <w:spacing w:val="0"/>
          <w:w w:val="100"/>
          <w:position w:val="0"/>
          <w:sz w:val="24"/>
          <w:szCs w:val="24"/>
        </w:rPr>
        <w:t>公司报告期内不存在董事、监事、高级管理人员变动情况。</w:t>
      </w:r>
    </w:p>
    <w:p>
      <w:pPr>
        <w:pStyle w:val="Style14"/>
        <w:keepNext w:val="0"/>
        <w:keepLines w:val="0"/>
        <w:widowControl w:val="0"/>
        <w:shd w:val="clear" w:color="auto" w:fill="auto"/>
        <w:tabs>
          <w:tab w:pos="2142" w:val="left"/>
        </w:tabs>
        <w:bidi w:val="0"/>
        <w:spacing w:before="0" w:after="280" w:line="580" w:lineRule="exact"/>
        <w:ind w:left="1620" w:right="0" w:firstLine="0"/>
        <w:jc w:val="both"/>
      </w:pPr>
      <w:bookmarkStart w:id="130" w:name="bookmark130"/>
      <w:r>
        <w:rPr>
          <w:b/>
          <w:bCs/>
          <w:color w:val="000000"/>
          <w:spacing w:val="0"/>
          <w:w w:val="100"/>
          <w:position w:val="0"/>
          <w:sz w:val="24"/>
          <w:szCs w:val="24"/>
        </w:rPr>
        <w:t>三</w:t>
      </w:r>
      <w:bookmarkEnd w:id="130"/>
      <w:r>
        <w:rPr>
          <w:b/>
          <w:bCs/>
          <w:color w:val="000000"/>
          <w:spacing w:val="0"/>
          <w:w w:val="100"/>
          <w:position w:val="0"/>
          <w:sz w:val="24"/>
          <w:szCs w:val="24"/>
        </w:rPr>
        <w:t>、</w:t>
        <w:tab/>
        <w:t>任职情况</w:t>
      </w:r>
    </w:p>
    <w:p>
      <w:pPr>
        <w:pStyle w:val="Style14"/>
        <w:keepNext w:val="0"/>
        <w:keepLines w:val="0"/>
        <w:widowControl w:val="0"/>
        <w:shd w:val="clear" w:color="auto" w:fill="auto"/>
        <w:bidi w:val="0"/>
        <w:spacing w:before="0" w:after="0" w:line="504" w:lineRule="auto"/>
        <w:ind w:left="162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、董事</w:t>
      </w:r>
    </w:p>
    <w:p>
      <w:pPr>
        <w:pStyle w:val="Style14"/>
        <w:keepNext w:val="0"/>
        <w:keepLines w:val="0"/>
        <w:widowControl w:val="0"/>
        <w:shd w:val="clear" w:color="auto" w:fill="auto"/>
        <w:bidi w:val="0"/>
        <w:spacing w:before="0" w:after="0" w:line="580" w:lineRule="exact"/>
        <w:ind w:left="1140" w:right="0" w:firstLine="480"/>
        <w:jc w:val="left"/>
      </w:pPr>
      <w:r>
        <w:rPr>
          <w:color w:val="000000"/>
          <w:spacing w:val="0"/>
          <w:w w:val="100"/>
          <w:position w:val="0"/>
          <w:sz w:val="24"/>
          <w:szCs w:val="24"/>
        </w:rPr>
        <w:t>徐冠巨先生：中国国籍，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年出生，研究生学历，高级经济师，曾在杭 州万向节厂工作，现任全国政协委员、全国工商联副主席，传化物流董事长，本 公司董事长、总经理。</w:t>
      </w:r>
    </w:p>
    <w:p>
      <w:pPr>
        <w:pStyle w:val="Style14"/>
        <w:keepNext w:val="0"/>
        <w:keepLines w:val="0"/>
        <w:widowControl w:val="0"/>
        <w:shd w:val="clear" w:color="auto" w:fill="auto"/>
        <w:bidi w:val="0"/>
        <w:spacing w:before="0" w:after="0" w:line="580" w:lineRule="exact"/>
        <w:ind w:left="1140" w:right="0" w:firstLine="480"/>
        <w:jc w:val="left"/>
      </w:pPr>
      <w:r>
        <w:rPr>
          <w:color w:val="000000"/>
          <w:spacing w:val="0"/>
          <w:w w:val="100"/>
          <w:position w:val="0"/>
          <w:sz w:val="24"/>
          <w:szCs w:val="24"/>
        </w:rPr>
        <w:t>徐观宝先生：中国国籍，</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年出生，大专学历，高级经济师，曾在萧山 宁围初中任教，现任本公司董事、副董事长。</w:t>
      </w:r>
    </w:p>
    <w:p>
      <w:pPr>
        <w:pStyle w:val="Style14"/>
        <w:keepNext w:val="0"/>
        <w:keepLines w:val="0"/>
        <w:widowControl w:val="0"/>
        <w:shd w:val="clear" w:color="auto" w:fill="auto"/>
        <w:bidi w:val="0"/>
        <w:spacing w:before="0" w:after="0" w:line="580" w:lineRule="exact"/>
        <w:ind w:left="1140" w:right="0" w:firstLine="480"/>
        <w:jc w:val="left"/>
      </w:pPr>
      <w:r>
        <w:rPr>
          <w:color w:val="000000"/>
          <w:spacing w:val="0"/>
          <w:w w:val="100"/>
          <w:position w:val="0"/>
          <w:sz w:val="24"/>
          <w:szCs w:val="24"/>
        </w:rPr>
        <w:t>吴建华先生：中国国籍，</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年出生，高分子化学专业硕士，高级经济师, 曾就职于建德二轻工业总公司、万向集团公司。</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年进入传化集团工作，历 任传化集团员工、办公室主任、技术中心主任、发展部经理、投资发展部部长、 副总裁兼发展总监，现任传化集团总裁、新安化工董事长、本公司董事。</w:t>
      </w:r>
    </w:p>
    <w:p>
      <w:pPr>
        <w:pStyle w:val="Style14"/>
        <w:keepNext w:val="0"/>
        <w:keepLines w:val="0"/>
        <w:widowControl w:val="0"/>
        <w:shd w:val="clear" w:color="auto" w:fill="auto"/>
        <w:bidi w:val="0"/>
        <w:spacing w:before="0" w:after="420" w:line="580" w:lineRule="exact"/>
        <w:ind w:left="1140" w:right="0" w:firstLine="480"/>
        <w:jc w:val="left"/>
      </w:pPr>
      <w:r>
        <w:rPr>
          <w:color w:val="000000"/>
          <w:spacing w:val="0"/>
          <w:w w:val="100"/>
          <w:position w:val="0"/>
          <w:sz w:val="24"/>
          <w:szCs w:val="24"/>
        </w:rPr>
        <w:t>周家海先生：中国国籍，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年出生，硕士学历，助理经济师，</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年参 加工作。曾就职于传化集团、新安化工，担任传化集团董事长助理、新安化工副 总裁兼无机硅事业部总经理，浙江传化化学集团有限公司总裁，现任新安化工董 事、本公司副总经理、董事。</w:t>
      </w:r>
    </w:p>
    <w:p>
      <w:pPr>
        <w:pStyle w:val="Style14"/>
        <w:keepNext w:val="0"/>
        <w:keepLines w:val="0"/>
        <w:widowControl w:val="0"/>
        <w:shd w:val="clear" w:color="auto" w:fill="auto"/>
        <w:bidi w:val="0"/>
        <w:spacing w:before="0" w:after="0" w:line="581" w:lineRule="exact"/>
        <w:ind w:left="1140" w:right="0" w:firstLine="480"/>
        <w:jc w:val="both"/>
      </w:pPr>
      <w:r>
        <w:rPr>
          <w:color w:val="000000"/>
          <w:spacing w:val="0"/>
          <w:w w:val="100"/>
          <w:position w:val="0"/>
          <w:sz w:val="24"/>
          <w:szCs w:val="24"/>
        </w:rPr>
        <w:t>徐虎祥先生：中国国籍，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年出生，大专学历，高级经济师，</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sz w:val="24"/>
          <w:szCs w:val="24"/>
        </w:rPr>
        <w:t>年参 加工作。曾就职于杭万厂，</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4"/>
          <w:szCs w:val="24"/>
        </w:rPr>
        <w:t>年进入传化工作，曾担任杭州传化储运有限公 司总经理，浙江传化物流基地有限公司总经理，现任传化物流资深副总裁，本公 司副总经理、董事。</w:t>
      </w:r>
    </w:p>
    <w:p>
      <w:pPr>
        <w:pStyle w:val="Style14"/>
        <w:keepNext w:val="0"/>
        <w:keepLines w:val="0"/>
        <w:widowControl w:val="0"/>
        <w:shd w:val="clear" w:color="auto" w:fill="auto"/>
        <w:bidi w:val="0"/>
        <w:spacing w:before="0" w:after="0" w:line="581" w:lineRule="exact"/>
        <w:ind w:left="1140" w:right="0" w:firstLine="480"/>
        <w:jc w:val="both"/>
      </w:pPr>
      <w:r>
        <w:rPr>
          <w:color w:val="000000"/>
          <w:spacing w:val="0"/>
          <w:w w:val="100"/>
          <w:position w:val="0"/>
          <w:sz w:val="24"/>
          <w:szCs w:val="24"/>
        </w:rPr>
        <w:t>朱江英女士：中国国籍，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年出生，硕士学历，高级会计师，</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月就职于浙江卧龙集团公司财务部，</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任卧龙电气集团股份有限公司证券事务代表、办公室主任。</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月至今在 本公司工作，现任本公司董事、副总经理、董事会秘书。</w:t>
      </w:r>
    </w:p>
    <w:p>
      <w:pPr>
        <w:pStyle w:val="Style14"/>
        <w:keepNext w:val="0"/>
        <w:keepLines w:val="0"/>
        <w:widowControl w:val="0"/>
        <w:shd w:val="clear" w:color="auto" w:fill="auto"/>
        <w:bidi w:val="0"/>
        <w:spacing w:before="0" w:after="0" w:line="581" w:lineRule="exact"/>
        <w:ind w:left="1140" w:right="0" w:firstLine="480"/>
        <w:jc w:val="both"/>
      </w:pPr>
      <w:r>
        <w:rPr>
          <w:color w:val="000000"/>
          <w:spacing w:val="0"/>
          <w:w w:val="100"/>
          <w:position w:val="0"/>
          <w:sz w:val="24"/>
          <w:szCs w:val="24"/>
        </w:rPr>
        <w:t>周春生先生：中国国籍，</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月出生</w:t>
      </w:r>
      <w:r>
        <w:rPr>
          <w:color w:val="000000"/>
          <w:spacing w:val="0"/>
          <w:w w:val="100"/>
          <w:position w:val="0"/>
          <w:sz w:val="24"/>
          <w:szCs w:val="24"/>
        </w:rPr>
        <w:t>，</w:t>
      </w:r>
      <w:r>
        <w:rPr>
          <w:color w:val="000000"/>
          <w:spacing w:val="0"/>
          <w:w w:val="100"/>
          <w:position w:val="0"/>
          <w:sz w:val="24"/>
          <w:szCs w:val="24"/>
        </w:rPr>
        <w:t>曾任北京大学光华管理学院院长 助理，高层管理者培训与发展中心主任、金融教授、中国证监会规划发展委员会 委员（副局级），并兼任光华管理学院金融系主任，中国留美金融学会理事，美 国经济学会、美国金融研究会会员，</w:t>
      </w:r>
      <w:r>
        <w:rPr>
          <w:color w:val="000000"/>
          <w:spacing w:val="0"/>
          <w:w w:val="100"/>
          <w:position w:val="0"/>
          <w:sz w:val="24"/>
          <w:szCs w:val="24"/>
        </w:rPr>
        <w:t>Annals of Economics and Finance</w:t>
      </w:r>
      <w:r>
        <w:rPr>
          <w:color w:val="000000"/>
          <w:spacing w:val="0"/>
          <w:w w:val="100"/>
          <w:position w:val="0"/>
          <w:sz w:val="24"/>
          <w:szCs w:val="24"/>
        </w:rPr>
        <w:t>编委。 著名经济学家，国家杰出青年基金获得者，香港大学荣誉教授，香港城市大学客 座教授，深圳证券交易所首届和第二届上市委员会委员。现任，长江商学院常驻 教授，</w:t>
      </w:r>
      <w:r>
        <w:rPr>
          <w:color w:val="000000"/>
          <w:spacing w:val="0"/>
          <w:w w:val="100"/>
          <w:position w:val="0"/>
          <w:sz w:val="24"/>
          <w:szCs w:val="24"/>
        </w:rPr>
        <w:t>EMBA</w:t>
      </w:r>
      <w:r>
        <w:rPr>
          <w:color w:val="000000"/>
          <w:spacing w:val="0"/>
          <w:w w:val="100"/>
          <w:position w:val="0"/>
          <w:sz w:val="24"/>
          <w:szCs w:val="24"/>
        </w:rPr>
        <w:t>学术主任，中国智能交通系统（控股）有限公司、北亚资源控股有限 公司、广东国盛金控集团股份有限公司、昆吾九鼎投资控股股份有限公司、乐山 商业银行股份有限公司、中弘控股股份有限公司、安信期货有限责任公司独立董 事，南大傲拓科技江苏股份有限公司董事。本公司独立董事。</w:t>
      </w:r>
    </w:p>
    <w:p>
      <w:pPr>
        <w:pStyle w:val="Style14"/>
        <w:keepNext w:val="0"/>
        <w:keepLines w:val="0"/>
        <w:widowControl w:val="0"/>
        <w:shd w:val="clear" w:color="auto" w:fill="auto"/>
        <w:bidi w:val="0"/>
        <w:spacing w:before="0" w:after="0" w:line="581" w:lineRule="exact"/>
        <w:ind w:left="1100" w:right="1220" w:firstLine="0"/>
        <w:jc w:val="both"/>
      </w:pPr>
      <w:r>
        <w:rPr>
          <w:color w:val="000000"/>
          <w:spacing w:val="0"/>
          <w:w w:val="100"/>
          <w:position w:val="0"/>
          <w:sz w:val="24"/>
          <w:szCs w:val="24"/>
        </w:rPr>
        <w:t>李易先生：中国国籍，</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年，大学本科。曾任上海蕃薯藤文化传媒广告 有限公司总经理。现任中国移动互联网产业联盟秘书长、电子工业出版社《互联 网+》丛书主编；兼任工信部电信经济专家委员会第四届委员、上海市信息化专 家委员会第六届委员、中国电信集团创新孵化项目评审专家、东航集团创新孵化 评审委员会专家、北京航空航天大学软件学院客座教授、同济大学环境与可持续 发展学院客座教授、西南财大经济信息工程学院客座教授、北京邮电大学</w:t>
      </w:r>
      <w:r>
        <w:rPr>
          <w:color w:val="000000"/>
          <w:spacing w:val="0"/>
          <w:w w:val="100"/>
          <w:position w:val="0"/>
          <w:sz w:val="24"/>
          <w:szCs w:val="24"/>
        </w:rPr>
        <w:t>MBA</w:t>
      </w:r>
      <w:r>
        <w:rPr>
          <w:color w:val="000000"/>
          <w:spacing w:val="0"/>
          <w:w w:val="100"/>
          <w:position w:val="0"/>
          <w:sz w:val="24"/>
          <w:szCs w:val="24"/>
        </w:rPr>
        <w:t xml:space="preserve">特 </w:t>
      </w:r>
      <w:r>
        <w:rPr>
          <w:color w:val="000000"/>
          <w:spacing w:val="0"/>
          <w:w w:val="100"/>
          <w:position w:val="0"/>
          <w:sz w:val="24"/>
          <w:szCs w:val="24"/>
        </w:rPr>
        <w:t>聘导师。</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年度曾获“中国信息产业十大新锐人物”殊荣。惠州硕贝德无线 科技股份有限公司独立董事，本公司独立董事。</w:t>
      </w:r>
    </w:p>
    <w:p>
      <w:pPr>
        <w:pStyle w:val="Style14"/>
        <w:keepNext w:val="0"/>
        <w:keepLines w:val="0"/>
        <w:widowControl w:val="0"/>
        <w:shd w:val="clear" w:color="auto" w:fill="auto"/>
        <w:bidi w:val="0"/>
        <w:spacing w:before="0" w:after="0" w:line="585" w:lineRule="exact"/>
        <w:ind w:left="1140" w:right="0" w:firstLine="480"/>
        <w:jc w:val="both"/>
      </w:pPr>
      <w:r>
        <w:rPr>
          <w:color w:val="000000"/>
          <w:spacing w:val="0"/>
          <w:w w:val="100"/>
          <w:position w:val="0"/>
          <w:sz w:val="24"/>
          <w:szCs w:val="24"/>
        </w:rPr>
        <w:t>费忠新先生：中国国籍，</w:t>
      </w:r>
      <w:r>
        <w:rPr>
          <w:rFonts w:ascii="Times New Roman" w:eastAsia="Times New Roman" w:hAnsi="Times New Roman" w:cs="Times New Roman"/>
          <w:color w:val="000000"/>
          <w:spacing w:val="0"/>
          <w:w w:val="100"/>
          <w:position w:val="0"/>
          <w:sz w:val="24"/>
          <w:szCs w:val="24"/>
        </w:rPr>
        <w:t>1954</w:t>
      </w:r>
      <w:r>
        <w:rPr>
          <w:color w:val="000000"/>
          <w:spacing w:val="0"/>
          <w:w w:val="100"/>
          <w:position w:val="0"/>
          <w:sz w:val="24"/>
          <w:szCs w:val="24"/>
        </w:rPr>
        <w:t>年生，硕士，浙江财经学院会计学教授，中 国注册会计师。曾任浙江尖峰集团股份有限公司财务总监、中国广厦集团副总裁, 现任浙江财经大学会计学教授。同时担任杭州锅炉集团股份有限公司、浙大网新 科技股份有限公司、浙江华海药业股份有限公司独立董事，本公司独立董事。</w:t>
      </w:r>
    </w:p>
    <w:p>
      <w:pPr>
        <w:pStyle w:val="Style14"/>
        <w:keepNext w:val="0"/>
        <w:keepLines w:val="0"/>
        <w:widowControl w:val="0"/>
        <w:shd w:val="clear" w:color="auto" w:fill="auto"/>
        <w:tabs>
          <w:tab w:pos="1999" w:val="left"/>
        </w:tabs>
        <w:bidi w:val="0"/>
        <w:spacing w:before="0" w:after="0" w:line="585" w:lineRule="exact"/>
        <w:ind w:left="1620" w:right="0" w:firstLine="0"/>
        <w:jc w:val="both"/>
      </w:pPr>
      <w:bookmarkStart w:id="131" w:name="bookmark131"/>
      <w:r>
        <w:rPr>
          <w:rFonts w:ascii="Times New Roman" w:eastAsia="Times New Roman" w:hAnsi="Times New Roman" w:cs="Times New Roman"/>
          <w:color w:val="000000"/>
          <w:spacing w:val="0"/>
          <w:w w:val="100"/>
          <w:position w:val="0"/>
          <w:sz w:val="24"/>
          <w:szCs w:val="24"/>
        </w:rPr>
        <w:t>2</w:t>
      </w:r>
      <w:bookmarkEnd w:id="131"/>
      <w:r>
        <w:rPr>
          <w:color w:val="000000"/>
          <w:spacing w:val="0"/>
          <w:w w:val="100"/>
          <w:position w:val="0"/>
          <w:sz w:val="24"/>
          <w:szCs w:val="24"/>
        </w:rPr>
        <w:t>、</w:t>
        <w:tab/>
        <w:t>监事</w:t>
      </w:r>
    </w:p>
    <w:p>
      <w:pPr>
        <w:pStyle w:val="Style14"/>
        <w:keepNext w:val="0"/>
        <w:keepLines w:val="0"/>
        <w:widowControl w:val="0"/>
        <w:shd w:val="clear" w:color="auto" w:fill="auto"/>
        <w:bidi w:val="0"/>
        <w:spacing w:before="0" w:after="0" w:line="585" w:lineRule="exact"/>
        <w:ind w:left="1140" w:right="0" w:firstLine="480"/>
        <w:jc w:val="both"/>
      </w:pPr>
      <w:r>
        <w:rPr>
          <w:color w:val="000000"/>
          <w:spacing w:val="0"/>
          <w:w w:val="100"/>
          <w:position w:val="0"/>
          <w:sz w:val="24"/>
          <w:szCs w:val="24"/>
        </w:rPr>
        <w:t>陈捷先生，中国国籍，</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年出生，博士研究生学历，高级经济师，曾就 职于西南师范大学和四川大学，</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年进入传化集团工作，历任集团人力资源 部经理，现任传化集团副总裁、党委书记。现任本公司监事、监事会主席。</w:t>
      </w:r>
    </w:p>
    <w:p>
      <w:pPr>
        <w:pStyle w:val="Style14"/>
        <w:keepNext w:val="0"/>
        <w:keepLines w:val="0"/>
        <w:widowControl w:val="0"/>
        <w:shd w:val="clear" w:color="auto" w:fill="auto"/>
        <w:bidi w:val="0"/>
        <w:spacing w:before="0" w:after="0" w:line="585" w:lineRule="exact"/>
        <w:ind w:left="1140" w:right="0" w:firstLine="480"/>
        <w:jc w:val="both"/>
      </w:pPr>
      <w:r>
        <w:rPr>
          <w:color w:val="000000"/>
          <w:spacing w:val="0"/>
          <w:w w:val="100"/>
          <w:position w:val="0"/>
          <w:sz w:val="24"/>
          <w:szCs w:val="24"/>
        </w:rPr>
        <w:t>杨柏樟先生：中国国籍，</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年出生，大专学历，教授级高级会计师，</w:t>
      </w:r>
      <w:r>
        <w:rPr>
          <w:rFonts w:ascii="Times New Roman" w:eastAsia="Times New Roman" w:hAnsi="Times New Roman" w:cs="Times New Roman"/>
          <w:color w:val="000000"/>
          <w:spacing w:val="0"/>
          <w:w w:val="100"/>
          <w:position w:val="0"/>
          <w:sz w:val="24"/>
          <w:szCs w:val="24"/>
        </w:rPr>
        <w:t xml:space="preserve">1974 </w:t>
      </w:r>
      <w:r>
        <w:rPr>
          <w:color w:val="000000"/>
          <w:spacing w:val="0"/>
          <w:w w:val="100"/>
          <w:position w:val="0"/>
          <w:sz w:val="24"/>
          <w:szCs w:val="24"/>
        </w:rPr>
        <w:t>年参加工作。曾就职于宁围建筑队、宁围预制厂、万向集团、浙江华通物业开发 集团有限公司。</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年进入传化工作，曾任传化集团财务总监，现任传化集团 副总裁，本公司监事。</w:t>
      </w:r>
    </w:p>
    <w:p>
      <w:pPr>
        <w:pStyle w:val="Style14"/>
        <w:keepNext w:val="0"/>
        <w:keepLines w:val="0"/>
        <w:widowControl w:val="0"/>
        <w:shd w:val="clear" w:color="auto" w:fill="auto"/>
        <w:bidi w:val="0"/>
        <w:spacing w:before="0" w:after="0" w:line="585" w:lineRule="exact"/>
        <w:ind w:left="1140" w:right="0" w:firstLine="480"/>
        <w:jc w:val="both"/>
      </w:pPr>
      <w:r>
        <w:rPr>
          <w:color w:val="000000"/>
          <w:spacing w:val="0"/>
          <w:w w:val="100"/>
          <w:position w:val="0"/>
          <w:sz w:val="24"/>
          <w:szCs w:val="24"/>
        </w:rPr>
        <w:t>沈建康先生：中国国籍，</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4"/>
          <w:szCs w:val="24"/>
        </w:rPr>
        <w:t>年出生，大专学历，高级经济师，</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sz w:val="24"/>
          <w:szCs w:val="24"/>
        </w:rPr>
        <w:t>年参 加工作。曾就职于萧山手表零件厂、深圳得利嘉旅游用品有限公司、深圳明腾实 业有限公司、杭州明华置业有限公司。</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年进入传化工作，曾任传化物流财 务经理、总裁助理，现任传化物流副总裁。现任本公司职工监事。</w:t>
      </w:r>
    </w:p>
    <w:p>
      <w:pPr>
        <w:pStyle w:val="Style14"/>
        <w:keepNext w:val="0"/>
        <w:keepLines w:val="0"/>
        <w:widowControl w:val="0"/>
        <w:shd w:val="clear" w:color="auto" w:fill="auto"/>
        <w:tabs>
          <w:tab w:pos="1999" w:val="left"/>
        </w:tabs>
        <w:bidi w:val="0"/>
        <w:spacing w:before="0" w:after="0" w:line="585" w:lineRule="exact"/>
        <w:ind w:left="1620" w:right="0" w:firstLine="0"/>
        <w:jc w:val="both"/>
      </w:pPr>
      <w:bookmarkStart w:id="132" w:name="bookmark132"/>
      <w:r>
        <w:rPr>
          <w:rFonts w:ascii="Times New Roman" w:eastAsia="Times New Roman" w:hAnsi="Times New Roman" w:cs="Times New Roman"/>
          <w:color w:val="000000"/>
          <w:spacing w:val="0"/>
          <w:w w:val="100"/>
          <w:position w:val="0"/>
          <w:sz w:val="24"/>
          <w:szCs w:val="24"/>
        </w:rPr>
        <w:t>3</w:t>
      </w:r>
      <w:bookmarkEnd w:id="132"/>
      <w:r>
        <w:rPr>
          <w:color w:val="000000"/>
          <w:spacing w:val="0"/>
          <w:w w:val="100"/>
          <w:position w:val="0"/>
          <w:sz w:val="24"/>
          <w:szCs w:val="24"/>
        </w:rPr>
        <w:t>、</w:t>
        <w:tab/>
        <w:t>高级管理人员</w:t>
      </w:r>
    </w:p>
    <w:p>
      <w:pPr>
        <w:pStyle w:val="Style14"/>
        <w:keepNext w:val="0"/>
        <w:keepLines w:val="0"/>
        <w:widowControl w:val="0"/>
        <w:shd w:val="clear" w:color="auto" w:fill="auto"/>
        <w:bidi w:val="0"/>
        <w:spacing w:before="0" w:after="0" w:line="585" w:lineRule="exact"/>
        <w:ind w:left="1140" w:right="0" w:firstLine="480"/>
        <w:jc w:val="both"/>
      </w:pPr>
      <w:r>
        <w:rPr>
          <w:color w:val="000000"/>
          <w:spacing w:val="0"/>
          <w:w w:val="100"/>
          <w:position w:val="0"/>
          <w:sz w:val="24"/>
          <w:szCs w:val="24"/>
        </w:rPr>
        <w:t>徐冠巨先生：中国国籍，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年出生，研究生学历，高级经济师，曾在杭 州万向节厂工作，现任全国政协委员、全国工商联副主席，传化物流董事长，本 公司董事长、总经理。</w:t>
      </w:r>
    </w:p>
    <w:p>
      <w:pPr>
        <w:pStyle w:val="Style14"/>
        <w:keepNext w:val="0"/>
        <w:keepLines w:val="0"/>
        <w:widowControl w:val="0"/>
        <w:shd w:val="clear" w:color="auto" w:fill="auto"/>
        <w:bidi w:val="0"/>
        <w:spacing w:before="0" w:after="0" w:line="585" w:lineRule="exact"/>
        <w:ind w:left="1100" w:right="1220" w:firstLine="0"/>
        <w:jc w:val="right"/>
      </w:pPr>
      <w:r>
        <w:rPr>
          <w:color w:val="000000"/>
          <w:spacing w:val="0"/>
          <w:w w:val="100"/>
          <w:position w:val="0"/>
          <w:sz w:val="24"/>
          <w:szCs w:val="24"/>
        </w:rPr>
        <w:t>周家海先生：中国国籍，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年出生，硕士学历，助理经济师，</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 xml:space="preserve">年参 加工作。曾就职于传化集团、新安化工，担任传化集团董事长助理、新安化工副 </w:t>
      </w:r>
      <w:r>
        <w:rPr>
          <w:color w:val="000000"/>
          <w:spacing w:val="0"/>
          <w:w w:val="100"/>
          <w:position w:val="0"/>
          <w:sz w:val="24"/>
          <w:szCs w:val="24"/>
        </w:rPr>
        <w:t>总裁兼无机硅事业部总经理，本公司副总经理、董事。</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徐虎祥先生：中国国籍，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年出生，大专学历，高级经济师，</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sz w:val="24"/>
          <w:szCs w:val="24"/>
        </w:rPr>
        <w:t>年参 加工作。曾就职于杭万厂，</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4"/>
          <w:szCs w:val="24"/>
        </w:rPr>
        <w:t>年进入传化工作，曾担任杭州传化储运有限公 司总经理，浙江传化物流基地有限公司总经理，现任传化物流资深副总裁，本公 司副总经理、董事。</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李绍波先生：中国国籍，</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sz w:val="24"/>
          <w:szCs w:val="24"/>
        </w:rPr>
        <w:t>年出生，硕士学历，</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sz w:val="24"/>
          <w:szCs w:val="24"/>
        </w:rPr>
        <w:t>年参加工作。曾就 职于抚顺醇醚化学厂、浙江九龙山开发有限公司、香港新国际实业集团。</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sz w:val="24"/>
          <w:szCs w:val="24"/>
        </w:rPr>
        <w:t>年加入传化物流集团有限公司，现任传化物流高级副总裁，本公司副总经理。</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朱江英女士：中国国籍，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年出生，硕士学历，高级会计师，</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月就职于浙江卧龙集团公司财务部，</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任卧龙电气集团股份有限公司证券事务代表、办公室主任。</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月至今在 本公司工作，现任本公司董事、副总经理、董事会秘书。</w:t>
      </w:r>
    </w:p>
    <w:p>
      <w:pPr>
        <w:pStyle w:val="Style14"/>
        <w:keepNext w:val="0"/>
        <w:keepLines w:val="0"/>
        <w:widowControl w:val="0"/>
        <w:shd w:val="clear" w:color="auto" w:fill="auto"/>
        <w:bidi w:val="0"/>
        <w:spacing w:before="0" w:after="0" w:line="581" w:lineRule="exact"/>
        <w:ind w:left="1280" w:right="0" w:firstLine="480"/>
        <w:jc w:val="both"/>
      </w:pPr>
      <w:r>
        <w:rPr>
          <w:color w:val="000000"/>
          <w:spacing w:val="0"/>
          <w:w w:val="100"/>
          <w:position w:val="0"/>
          <w:sz w:val="24"/>
          <w:szCs w:val="24"/>
        </w:rPr>
        <w:t>朱军先生：中国国籍，</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sz w:val="24"/>
          <w:szCs w:val="24"/>
        </w:rPr>
        <w:t>年出生，硕士学历，</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sz w:val="24"/>
          <w:szCs w:val="24"/>
        </w:rPr>
        <w:t>年参加工作。曾就职 于江苏省纺织工业厅、英国考陶尔兹纺织集团、意大利</w:t>
      </w:r>
      <w:r>
        <w:rPr>
          <w:color w:val="000000"/>
          <w:spacing w:val="0"/>
          <w:w w:val="100"/>
          <w:position w:val="0"/>
          <w:sz w:val="24"/>
          <w:szCs w:val="24"/>
        </w:rPr>
        <w:t>Eurojersey S.P.A</w:t>
      </w:r>
      <w:r>
        <w:rPr>
          <w:color w:val="000000"/>
          <w:spacing w:val="0"/>
          <w:w w:val="100"/>
          <w:position w:val="0"/>
          <w:sz w:val="24"/>
          <w:szCs w:val="24"/>
        </w:rPr>
        <w:t>、</w:t>
      </w:r>
      <w:r>
        <w:rPr>
          <w:color w:val="000000"/>
          <w:spacing w:val="0"/>
          <w:w w:val="100"/>
          <w:position w:val="0"/>
          <w:sz w:val="24"/>
          <w:szCs w:val="24"/>
        </w:rPr>
        <w:t>巴 斯夫。</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年加入本公司工作，现任本公司副总经理。</w:t>
      </w:r>
    </w:p>
    <w:p>
      <w:pPr>
        <w:pStyle w:val="Style14"/>
        <w:keepNext w:val="0"/>
        <w:keepLines w:val="0"/>
        <w:widowControl w:val="0"/>
        <w:shd w:val="clear" w:color="auto" w:fill="auto"/>
        <w:bidi w:val="0"/>
        <w:spacing w:before="0" w:after="300" w:line="581" w:lineRule="exact"/>
        <w:ind w:left="1280" w:right="0" w:firstLine="480"/>
        <w:jc w:val="both"/>
      </w:pPr>
      <w:r>
        <w:rPr>
          <w:color w:val="000000"/>
          <w:spacing w:val="0"/>
          <w:w w:val="100"/>
          <w:position w:val="0"/>
          <w:sz w:val="24"/>
          <w:szCs w:val="24"/>
        </w:rPr>
        <w:t>杨万清先生：中国国籍，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年出生，大学本科学历，高级会计师。</w:t>
      </w:r>
      <w:r>
        <w:rPr>
          <w:rFonts w:ascii="Times New Roman" w:eastAsia="Times New Roman" w:hAnsi="Times New Roman" w:cs="Times New Roman"/>
          <w:color w:val="000000"/>
          <w:spacing w:val="0"/>
          <w:w w:val="100"/>
          <w:position w:val="0"/>
          <w:sz w:val="24"/>
          <w:szCs w:val="24"/>
        </w:rPr>
        <w:t xml:space="preserve">1996 </w:t>
      </w:r>
      <w:r>
        <w:rPr>
          <w:color w:val="000000"/>
          <w:spacing w:val="0"/>
          <w:w w:val="100"/>
          <w:position w:val="0"/>
          <w:sz w:val="24"/>
          <w:szCs w:val="24"/>
        </w:rPr>
        <w:t>年进入本公司工作，曾任财务部主办会计、财务部副经理，现任公司财务管理部 总经理。</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在股东单位任职情况:</w:t>
      </w:r>
    </w:p>
    <w:tbl>
      <w:tblPr>
        <w:tblOverlap w:val="never"/>
        <w:jc w:val="center"/>
        <w:tblLayout w:type="fixed"/>
      </w:tblPr>
      <w:tblGrid>
        <w:gridCol w:w="2482"/>
        <w:gridCol w:w="2755"/>
        <w:gridCol w:w="1267"/>
        <w:gridCol w:w="1752"/>
        <w:gridCol w:w="1742"/>
        <w:gridCol w:w="902"/>
      </w:tblGrid>
      <w:tr>
        <w:trPr>
          <w:trHeight w:val="117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在股东单位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在股东单 位是否领 取报酬津 贴</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吴建华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杨柏樟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副总裁、董事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2482"/>
        <w:gridCol w:w="8419"/>
      </w:tblGrid>
      <w:tr>
        <w:trPr>
          <w:trHeight w:val="600"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在股东单位任职情况的说 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上述人员的任职情况符合公司法及公司章程等相关规定。</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760" w:right="0" w:firstLine="0"/>
        <w:jc w:val="left"/>
      </w:pPr>
      <w:r>
        <w:rPr>
          <w:color w:val="000000"/>
          <w:spacing w:val="0"/>
          <w:w w:val="100"/>
          <w:position w:val="0"/>
          <w:sz w:val="24"/>
          <w:szCs w:val="24"/>
        </w:rPr>
        <w:t>在其他主要单位任职情况:</w:t>
      </w:r>
    </w:p>
    <w:tbl>
      <w:tblPr>
        <w:tblOverlap w:val="never"/>
        <w:jc w:val="center"/>
        <w:tblLayout w:type="fixed"/>
      </w:tblPr>
      <w:tblGrid>
        <w:gridCol w:w="994"/>
        <w:gridCol w:w="3600"/>
        <w:gridCol w:w="1157"/>
        <w:gridCol w:w="2333"/>
        <w:gridCol w:w="1843"/>
        <w:gridCol w:w="1032"/>
      </w:tblGrid>
      <w:tr>
        <w:trPr>
          <w:trHeight w:val="118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任职人员 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其他单位名称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在其他单位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在其他单 位是否领 取报酬津 贴</w:t>
            </w:r>
          </w:p>
        </w:tc>
      </w:tr>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浙江绿都房地产开发有限公司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浙江传化江南大地发展有限公司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传化控股集团有限公司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宁波境界投资股份有限公司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浙江海源投资有限公司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浙江绿都房地产开发有限公司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传化控股集团有限公司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浙江传化江南大地发展有限公司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吴建华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泰兴市锦鸡染料有限公司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浙江传化合成材料有限公司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杭州环特生物科技有限公司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西部新时代能源投资股份有限公司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浙江传化化学集团有限公司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周家海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浙江传化化学集团有限公司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浙江天松新材料股份有限公司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徐虎祥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传化公路港物流有限公司浙江分公司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杭州富阳传化物流基地有限公司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沈建康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杭州富阳传化物流基地有限公司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周春生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广东国盛金控集团股份有限公司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昆吾九鼎投资控股股份有限公司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07"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安信期货有限责任公司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日至今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994"/>
        <w:gridCol w:w="3600"/>
        <w:gridCol w:w="1157"/>
        <w:gridCol w:w="2333"/>
        <w:gridCol w:w="1843"/>
        <w:gridCol w:w="1032"/>
      </w:tblGrid>
      <w:tr>
        <w:trPr>
          <w:trHeight w:val="30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乐山商业银行股份有限公司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南大傲拓科技江苏股份有限公司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北亚资源控股有限公司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中国智能交通系统（控股）有限公司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中弘控股股份有限公司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李易</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惠州硕贝德无线科技股份有限公司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费忠新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浙江财经大学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教师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与至今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杭州锅炉集团股份有限公司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浙大网新科技股份有限公司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浙江华海药业股份有限公司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杨柏樟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传化控股集团有限公司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宁波境界投资股份有限公司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李绍波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888"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在其他单 位任职情 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上述人员的任职情况符合公司法及公司章程等相关规定。</w:t>
            </w:r>
          </w:p>
        </w:tc>
      </w:tr>
    </w:tbl>
    <w:p>
      <w:pPr>
        <w:widowControl w:val="0"/>
        <w:spacing w:after="139" w:line="1" w:lineRule="exact"/>
      </w:pPr>
    </w:p>
    <w:p>
      <w:pPr>
        <w:pStyle w:val="Style14"/>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24"/>
          <w:szCs w:val="24"/>
        </w:rPr>
        <w:t>公司现任及报告期内离任董事、监事和高级管理人员近三年不存在被证券监</w:t>
      </w:r>
    </w:p>
    <w:p>
      <w:pPr>
        <w:pStyle w:val="Style14"/>
        <w:keepNext w:val="0"/>
        <w:keepLines w:val="0"/>
        <w:widowControl w:val="0"/>
        <w:shd w:val="clear" w:color="auto" w:fill="auto"/>
        <w:bidi w:val="0"/>
        <w:spacing w:before="0" w:after="0" w:line="581" w:lineRule="exact"/>
        <w:ind w:left="1420" w:right="0" w:firstLine="0"/>
        <w:jc w:val="left"/>
      </w:pPr>
      <w:r>
        <w:rPr>
          <w:color w:val="000000"/>
          <w:spacing w:val="0"/>
          <w:w w:val="100"/>
          <w:position w:val="0"/>
          <w:sz w:val="24"/>
          <w:szCs w:val="24"/>
        </w:rPr>
        <w:t>管机构处罚的情况。</w:t>
      </w:r>
    </w:p>
    <w:p>
      <w:pPr>
        <w:pStyle w:val="Style14"/>
        <w:keepNext w:val="0"/>
        <w:keepLines w:val="0"/>
        <w:widowControl w:val="0"/>
        <w:shd w:val="clear" w:color="auto" w:fill="auto"/>
        <w:bidi w:val="0"/>
        <w:spacing w:before="0" w:after="0" w:line="581" w:lineRule="exact"/>
        <w:ind w:left="1900" w:right="0" w:firstLine="0"/>
        <w:jc w:val="left"/>
      </w:pPr>
      <w:bookmarkStart w:id="133" w:name="bookmark133"/>
      <w:r>
        <w:rPr>
          <w:b/>
          <w:bCs/>
          <w:color w:val="000000"/>
          <w:spacing w:val="0"/>
          <w:w w:val="100"/>
          <w:position w:val="0"/>
          <w:sz w:val="24"/>
          <w:szCs w:val="24"/>
        </w:rPr>
        <w:t>四</w:t>
      </w:r>
      <w:bookmarkEnd w:id="133"/>
      <w:r>
        <w:rPr>
          <w:b/>
          <w:bCs/>
          <w:color w:val="000000"/>
          <w:spacing w:val="0"/>
          <w:w w:val="100"/>
          <w:position w:val="0"/>
          <w:sz w:val="24"/>
          <w:szCs w:val="24"/>
        </w:rPr>
        <w:t>、董事、监事、高级管理人员报酬情况</w:t>
      </w:r>
    </w:p>
    <w:p>
      <w:pPr>
        <w:pStyle w:val="Style14"/>
        <w:keepNext w:val="0"/>
        <w:keepLines w:val="0"/>
        <w:widowControl w:val="0"/>
        <w:shd w:val="clear" w:color="auto" w:fill="auto"/>
        <w:bidi w:val="0"/>
        <w:spacing w:before="0" w:after="300" w:line="581" w:lineRule="exact"/>
        <w:ind w:left="1420" w:right="0" w:firstLine="480"/>
        <w:jc w:val="left"/>
      </w:pPr>
      <w:r>
        <w:rPr>
          <w:color w:val="000000"/>
          <w:spacing w:val="0"/>
          <w:w w:val="100"/>
          <w:position w:val="0"/>
          <w:sz w:val="24"/>
          <w:szCs w:val="24"/>
        </w:rPr>
        <w:t>公司建立了较为完善的董事、监事、高级管理人员绩效考评体系，上述人员 的工作绩效与其收入直接挂钩。董事会薪酬与考核委员会负责对上述人员的工作 能力、履职情况、责任目标完成情况等进行年终考评，制定薪酬方案。公司董事、 监事、高级管理人员报酬依据公司的经营业绩和绩效考核指标来确定。公司董事、 监事、高级管理人员报酬依据每月绩效考核指标完成情况支付。</w:t>
      </w:r>
    </w:p>
    <w:p>
      <w:pPr>
        <w:pStyle w:val="Style14"/>
        <w:keepNext w:val="0"/>
        <w:keepLines w:val="0"/>
        <w:widowControl w:val="0"/>
        <w:shd w:val="clear" w:color="auto" w:fill="auto"/>
        <w:bidi w:val="0"/>
        <w:spacing w:before="0" w:after="140" w:line="240" w:lineRule="auto"/>
        <w:ind w:left="1900" w:right="0" w:firstLine="0"/>
        <w:jc w:val="left"/>
      </w:pPr>
      <w:r>
        <w:rPr>
          <w:color w:val="000000"/>
          <w:spacing w:val="0"/>
          <w:w w:val="100"/>
          <w:position w:val="0"/>
          <w:sz w:val="24"/>
          <w:szCs w:val="24"/>
        </w:rPr>
        <w:t>公司报告期内董事、监事和高级管理人员报酬情况:</w:t>
      </w:r>
    </w:p>
    <w:tbl>
      <w:tblPr>
        <w:tblOverlap w:val="never"/>
        <w:jc w:val="center"/>
        <w:tblLayout w:type="fixed"/>
      </w:tblPr>
      <w:tblGrid>
        <w:gridCol w:w="998"/>
        <w:gridCol w:w="2832"/>
        <w:gridCol w:w="571"/>
        <w:gridCol w:w="850"/>
        <w:gridCol w:w="1699"/>
        <w:gridCol w:w="1560"/>
        <w:gridCol w:w="2275"/>
      </w:tblGrid>
      <w:tr>
        <w:trPr>
          <w:trHeight w:val="59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从公司获得的税 前报酬总额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是否在关联方获取报酬</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209</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是</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157</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是</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吴建华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173</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周家海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徐虎祥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朱江英</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董事；副总经理、董事会秘书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周春生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30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李易</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998"/>
        <w:gridCol w:w="2832"/>
        <w:gridCol w:w="571"/>
        <w:gridCol w:w="850"/>
        <w:gridCol w:w="1699"/>
        <w:gridCol w:w="1560"/>
        <w:gridCol w:w="2275"/>
      </w:tblGrid>
      <w:tr>
        <w:trPr>
          <w:trHeight w:val="30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费忠新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否</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是</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杨柏樟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102</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沈建康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李绍波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否</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朱军</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杨万清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财务管理部总经理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否</w:t>
            </w:r>
          </w:p>
        </w:tc>
      </w:tr>
      <w:tr>
        <w:trPr>
          <w:trHeight w:val="30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1,581</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762" w:right="0" w:firstLine="0"/>
        <w:jc w:val="left"/>
        <w:rPr>
          <w:sz w:val="18"/>
          <w:szCs w:val="18"/>
        </w:rPr>
      </w:pPr>
      <w:r>
        <w:rPr>
          <w:color w:val="000000"/>
          <w:spacing w:val="0"/>
          <w:w w:val="100"/>
          <w:position w:val="0"/>
          <w:sz w:val="18"/>
          <w:szCs w:val="18"/>
        </w:rPr>
        <w:t>注解：公司董事、监事、高级管理人员报告期内未出现被授予的股权激励情况</w:t>
      </w:r>
    </w:p>
    <w:p>
      <w:pPr>
        <w:widowControl w:val="0"/>
        <w:spacing w:after="139" w:line="1" w:lineRule="exact"/>
      </w:pPr>
    </w:p>
    <w:p>
      <w:pPr>
        <w:pStyle w:val="Style14"/>
        <w:keepNext w:val="0"/>
        <w:keepLines w:val="0"/>
        <w:widowControl w:val="0"/>
        <w:shd w:val="clear" w:color="auto" w:fill="auto"/>
        <w:bidi w:val="0"/>
        <w:spacing w:before="0" w:after="280" w:line="240" w:lineRule="auto"/>
        <w:ind w:left="1900" w:right="0" w:firstLine="0"/>
        <w:jc w:val="left"/>
      </w:pPr>
      <w:bookmarkStart w:id="134" w:name="bookmark134"/>
      <w:r>
        <w:rPr>
          <w:b/>
          <w:bCs/>
          <w:color w:val="000000"/>
          <w:spacing w:val="0"/>
          <w:w w:val="100"/>
          <w:position w:val="0"/>
          <w:sz w:val="24"/>
          <w:szCs w:val="24"/>
        </w:rPr>
        <w:t>五</w:t>
      </w:r>
      <w:bookmarkEnd w:id="134"/>
      <w:r>
        <w:rPr>
          <w:b/>
          <w:bCs/>
          <w:color w:val="000000"/>
          <w:spacing w:val="0"/>
          <w:w w:val="100"/>
          <w:position w:val="0"/>
          <w:sz w:val="24"/>
          <w:szCs w:val="24"/>
        </w:rPr>
        <w:t>、公司员工情况</w:t>
      </w:r>
    </w:p>
    <w:p>
      <w:pPr>
        <w:pStyle w:val="Style14"/>
        <w:keepNext w:val="0"/>
        <w:keepLines w:val="0"/>
        <w:widowControl w:val="0"/>
        <w:shd w:val="clear" w:color="auto" w:fill="auto"/>
        <w:bidi w:val="0"/>
        <w:spacing w:before="0" w:after="140" w:line="240" w:lineRule="auto"/>
        <w:ind w:left="190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、员工数量、专业构成及教育程度</w:t>
      </w:r>
    </w:p>
    <w:tbl>
      <w:tblPr>
        <w:tblOverlap w:val="never"/>
        <w:jc w:val="right"/>
        <w:tblLayout w:type="fixed"/>
      </w:tblPr>
      <w:tblGrid>
        <w:gridCol w:w="5357"/>
        <w:gridCol w:w="4790"/>
      </w:tblGrid>
      <w:tr>
        <w:trPr>
          <w:trHeight w:val="307"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1,318</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5,042</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6,360</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6,360</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r>
      <w:tr>
        <w:trPr>
          <w:trHeight w:val="298" w:hRule="exact"/>
        </w:trPr>
        <w:tc>
          <w:tcPr>
            <w:gridSpan w:val="2"/>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926</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1,144</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1123</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2,798</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6,360</w:t>
            </w:r>
          </w:p>
        </w:tc>
      </w:tr>
      <w:tr>
        <w:trPr>
          <w:trHeight w:val="298" w:hRule="exact"/>
        </w:trPr>
        <w:tc>
          <w:tcPr>
            <w:gridSpan w:val="2"/>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w:t>
            </w: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2,489</w:t>
            </w:r>
          </w:p>
        </w:tc>
      </w:tr>
      <w:tr>
        <w:trPr>
          <w:trHeight w:val="30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1,826</w:t>
            </w: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1,729</w:t>
            </w:r>
          </w:p>
        </w:tc>
      </w:tr>
      <w:tr>
        <w:trPr>
          <w:trHeight w:val="307" w:hRule="exact"/>
        </w:trPr>
        <w:tc>
          <w:tcPr>
            <w:tcBorders>
              <w:top w:val="single" w:sz="4"/>
              <w:left w:val="single" w:sz="4"/>
              <w:bottom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4280" w:right="0" w:firstLine="0"/>
              <w:jc w:val="both"/>
              <w:rPr>
                <w:sz w:val="20"/>
                <w:szCs w:val="20"/>
              </w:rPr>
            </w:pPr>
            <w:r>
              <w:rPr>
                <w:rFonts w:ascii="Times New Roman" w:eastAsia="Times New Roman" w:hAnsi="Times New Roman" w:cs="Times New Roman"/>
                <w:color w:val="000000"/>
                <w:spacing w:val="0"/>
                <w:w w:val="100"/>
                <w:position w:val="0"/>
                <w:sz w:val="20"/>
                <w:szCs w:val="20"/>
              </w:rPr>
              <w:t>6,360</w:t>
            </w:r>
          </w:p>
        </w:tc>
      </w:tr>
    </w:tbl>
    <w:p>
      <w:pPr>
        <w:widowControl w:val="0"/>
        <w:spacing w:after="139" w:line="1" w:lineRule="exact"/>
      </w:pPr>
    </w:p>
    <w:p>
      <w:pPr>
        <w:pStyle w:val="Style14"/>
        <w:keepNext w:val="0"/>
        <w:keepLines w:val="0"/>
        <w:widowControl w:val="0"/>
        <w:shd w:val="clear" w:color="auto" w:fill="auto"/>
        <w:bidi w:val="0"/>
        <w:spacing w:before="0" w:after="0" w:line="240" w:lineRule="auto"/>
        <w:ind w:left="1900" w:right="0" w:firstLine="0"/>
        <w:jc w:val="left"/>
      </w:pPr>
      <w:bookmarkStart w:id="135" w:name="bookmark135"/>
      <w:r>
        <w:rPr>
          <w:rFonts w:ascii="Times New Roman" w:eastAsia="Times New Roman" w:hAnsi="Times New Roman" w:cs="Times New Roman"/>
          <w:color w:val="000000"/>
          <w:spacing w:val="0"/>
          <w:w w:val="100"/>
          <w:position w:val="0"/>
          <w:sz w:val="24"/>
          <w:szCs w:val="24"/>
        </w:rPr>
        <w:t>2</w:t>
      </w:r>
      <w:bookmarkEnd w:id="135"/>
      <w:r>
        <w:rPr>
          <w:color w:val="000000"/>
          <w:spacing w:val="0"/>
          <w:w w:val="100"/>
          <w:position w:val="0"/>
          <w:sz w:val="24"/>
          <w:szCs w:val="24"/>
        </w:rPr>
        <w:t>、薪酬政策</w:t>
      </w:r>
    </w:p>
    <w:p>
      <w:pPr>
        <w:pStyle w:val="Style14"/>
        <w:keepNext w:val="0"/>
        <w:keepLines w:val="0"/>
        <w:widowControl w:val="0"/>
        <w:shd w:val="clear" w:color="auto" w:fill="auto"/>
        <w:bidi w:val="0"/>
        <w:spacing w:before="0" w:after="280" w:line="582" w:lineRule="exact"/>
        <w:ind w:left="1420" w:right="0" w:firstLine="480"/>
        <w:jc w:val="both"/>
      </w:pPr>
      <w:r>
        <w:rPr>
          <w:color w:val="000000"/>
          <w:spacing w:val="0"/>
          <w:w w:val="100"/>
          <w:position w:val="0"/>
          <w:sz w:val="24"/>
          <w:szCs w:val="24"/>
        </w:rPr>
        <w:t>公司结合各地区的平均薪酬水平、岗位职责以及员工个人的工作能力综合制 定薪酬制度，并依法缴纳五险一金。薪酬标准与公司经营情况紧密结合，并根据 年度绩效考核情况作为员工薪酬调整的重要依据，确保公司薪酬政策的灵活性与 成长性，达到公司利益与员工利益的一致。</w:t>
      </w:r>
    </w:p>
    <w:p>
      <w:pPr>
        <w:pStyle w:val="Style14"/>
        <w:keepNext w:val="0"/>
        <w:keepLines w:val="0"/>
        <w:widowControl w:val="0"/>
        <w:shd w:val="clear" w:color="auto" w:fill="auto"/>
        <w:bidi w:val="0"/>
        <w:spacing w:before="0" w:after="200" w:line="506" w:lineRule="auto"/>
        <w:ind w:left="1900" w:right="0" w:firstLine="0"/>
        <w:jc w:val="left"/>
      </w:pPr>
      <w:bookmarkStart w:id="136" w:name="bookmark136"/>
      <w:r>
        <w:rPr>
          <w:rFonts w:ascii="Times New Roman" w:eastAsia="Times New Roman" w:hAnsi="Times New Roman" w:cs="Times New Roman"/>
          <w:color w:val="000000"/>
          <w:spacing w:val="0"/>
          <w:w w:val="100"/>
          <w:position w:val="0"/>
          <w:sz w:val="24"/>
          <w:szCs w:val="24"/>
        </w:rPr>
        <w:t>3</w:t>
      </w:r>
      <w:bookmarkEnd w:id="136"/>
      <w:r>
        <w:rPr>
          <w:color w:val="000000"/>
          <w:spacing w:val="0"/>
          <w:w w:val="100"/>
          <w:position w:val="0"/>
          <w:sz w:val="24"/>
          <w:szCs w:val="24"/>
        </w:rPr>
        <w:t>、培训计划</w:t>
      </w:r>
    </w:p>
    <w:p>
      <w:pPr>
        <w:pStyle w:val="Style14"/>
        <w:keepNext w:val="0"/>
        <w:keepLines w:val="0"/>
        <w:widowControl w:val="0"/>
        <w:shd w:val="clear" w:color="auto" w:fill="auto"/>
        <w:bidi w:val="0"/>
        <w:spacing w:before="0" w:after="260" w:line="580" w:lineRule="exact"/>
        <w:ind w:left="0" w:right="0" w:firstLine="0"/>
        <w:jc w:val="center"/>
      </w:pPr>
      <w:bookmarkStart w:id="137" w:name="bookmark137"/>
      <w:bookmarkStart w:id="138" w:name="bookmark138"/>
      <w:r>
        <w:rPr>
          <w:color w:val="000000"/>
          <w:spacing w:val="0"/>
          <w:w w:val="100"/>
          <w:position w:val="0"/>
          <w:sz w:val="24"/>
          <w:szCs w:val="24"/>
        </w:rPr>
        <w:t>公司具备完整的培训体系，根据公司业务发展的需要，公司的培训旨在提高</w:t>
        <w:br/>
        <w:t>管理人员的管理技能，提升公司全员的业务能力，搭建合理人才梯队，保证公司</w:t>
        <w:br/>
        <w:t>可持续性发展。根据年度培训计划，系统地进行中高层管理人员及储备干部培训，</w:t>
        <w:br/>
        <w:t>研发队伍培训，销售队伍培训，生产运营培训，专项培训等，公司及部门分层级</w:t>
        <w:br/>
        <w:t>进行，培训形式多样，并及时进行培训效果评估，保证培训计划的落地及有效。</w:t>
      </w:r>
      <w:bookmarkEnd w:id="138"/>
      <w:bookmarkEnd w:id="137"/>
    </w:p>
    <w:p>
      <w:pPr>
        <w:pStyle w:val="Style14"/>
        <w:keepNext w:val="0"/>
        <w:keepLines w:val="0"/>
        <w:widowControl w:val="0"/>
        <w:shd w:val="clear" w:color="auto" w:fill="auto"/>
        <w:bidi w:val="0"/>
        <w:spacing w:before="0" w:after="260" w:line="504" w:lineRule="auto"/>
        <w:ind w:left="1640" w:right="0" w:firstLine="0"/>
        <w:jc w:val="left"/>
      </w:pPr>
      <w:bookmarkStart w:id="139" w:name="bookmark139"/>
      <w:r>
        <w:rPr>
          <w:rFonts w:ascii="Times New Roman" w:eastAsia="Times New Roman" w:hAnsi="Times New Roman" w:cs="Times New Roman"/>
          <w:color w:val="000000"/>
          <w:spacing w:val="0"/>
          <w:w w:val="100"/>
          <w:position w:val="0"/>
          <w:sz w:val="24"/>
          <w:szCs w:val="24"/>
        </w:rPr>
        <w:t>4</w:t>
      </w:r>
      <w:bookmarkEnd w:id="139"/>
      <w:r>
        <w:rPr>
          <w:color w:val="000000"/>
          <w:spacing w:val="0"/>
          <w:w w:val="100"/>
          <w:position w:val="0"/>
          <w:sz w:val="24"/>
          <w:szCs w:val="24"/>
        </w:rPr>
        <w:t>、报告期内，公司不存在劳务外包情况。</w:t>
      </w:r>
    </w:p>
    <w:p>
      <w:pPr>
        <w:pStyle w:val="Style5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第九节公司治理</w:t>
      </w:r>
    </w:p>
    <w:p>
      <w:pPr>
        <w:pStyle w:val="Style14"/>
        <w:keepNext w:val="0"/>
        <w:keepLines w:val="0"/>
        <w:widowControl w:val="0"/>
        <w:shd w:val="clear" w:color="auto" w:fill="auto"/>
        <w:bidi w:val="0"/>
        <w:spacing w:before="0" w:after="0" w:line="581" w:lineRule="exact"/>
        <w:ind w:left="1640" w:right="0" w:firstLine="0"/>
        <w:jc w:val="left"/>
      </w:pPr>
      <w:bookmarkStart w:id="140" w:name="bookmark140"/>
      <w:r>
        <w:rPr>
          <w:b/>
          <w:bCs/>
          <w:color w:val="000000"/>
          <w:spacing w:val="0"/>
          <w:w w:val="100"/>
          <w:position w:val="0"/>
          <w:sz w:val="24"/>
          <w:szCs w:val="24"/>
        </w:rPr>
        <w:t>一</w:t>
      </w:r>
      <w:bookmarkEnd w:id="140"/>
      <w:r>
        <w:rPr>
          <w:b/>
          <w:bCs/>
          <w:color w:val="000000"/>
          <w:spacing w:val="0"/>
          <w:w w:val="100"/>
          <w:position w:val="0"/>
          <w:sz w:val="24"/>
          <w:szCs w:val="24"/>
        </w:rPr>
        <w:t>、公司治理的基本状况</w:t>
      </w:r>
    </w:p>
    <w:p>
      <w:pPr>
        <w:pStyle w:val="Style14"/>
        <w:keepNext w:val="0"/>
        <w:keepLines w:val="0"/>
        <w:widowControl w:val="0"/>
        <w:shd w:val="clear" w:color="auto" w:fill="auto"/>
        <w:bidi w:val="0"/>
        <w:spacing w:before="0" w:after="0" w:line="581" w:lineRule="exact"/>
        <w:ind w:left="1640" w:right="0" w:firstLine="0"/>
        <w:jc w:val="left"/>
      </w:pPr>
      <w:r>
        <w:rPr>
          <w:color w:val="000000"/>
          <w:spacing w:val="0"/>
          <w:w w:val="100"/>
          <w:position w:val="0"/>
          <w:sz w:val="24"/>
          <w:szCs w:val="24"/>
        </w:rPr>
        <w:t>报告期内，公司严格按照《公司法》、《证券法》、《上市公司治理准则》、</w:t>
      </w:r>
    </w:p>
    <w:p>
      <w:pPr>
        <w:pStyle w:val="Style14"/>
        <w:keepNext w:val="0"/>
        <w:keepLines w:val="0"/>
        <w:widowControl w:val="0"/>
        <w:shd w:val="clear" w:color="auto" w:fill="auto"/>
        <w:bidi w:val="0"/>
        <w:spacing w:before="0" w:after="260" w:line="581" w:lineRule="exact"/>
        <w:ind w:left="1160" w:right="0" w:firstLine="0"/>
        <w:jc w:val="both"/>
      </w:pPr>
      <w:r>
        <w:rPr>
          <w:color w:val="000000"/>
          <w:spacing w:val="0"/>
          <w:w w:val="100"/>
          <w:position w:val="0"/>
          <w:sz w:val="24"/>
          <w:szCs w:val="24"/>
        </w:rPr>
        <w:t>《深圳证券交易所股票上市规则》和中国证监会有关法律法规等的要求，不断地 建立和完善公司的治理结构，根据相关管理部门出台和修订的各项国家法律、法 规条文，制订并修订了公司的各项相关制度规定，通过不断完善法人治理结构， 及时整改发现的问题，规范公司运作，提高公司治理水平。截至报告期末，公司 严格执行制定的相关治理性制度，规范运作，公司治理情况符合上述文件的相关 要求。</w:t>
      </w:r>
    </w:p>
    <w:p>
      <w:pPr>
        <w:pStyle w:val="Style30"/>
        <w:keepNext w:val="0"/>
        <w:keepLines w:val="0"/>
        <w:widowControl w:val="0"/>
        <w:shd w:val="clear" w:color="auto" w:fill="auto"/>
        <w:bidi w:val="0"/>
        <w:spacing w:before="0" w:after="0" w:line="240" w:lineRule="auto"/>
        <w:ind w:left="1627" w:right="0" w:firstLine="0"/>
        <w:jc w:val="left"/>
      </w:pPr>
      <w:r>
        <w:rPr>
          <w:color w:val="000000"/>
          <w:spacing w:val="0"/>
          <w:w w:val="100"/>
          <w:position w:val="0"/>
          <w:sz w:val="24"/>
          <w:szCs w:val="24"/>
        </w:rPr>
        <w:t>上市以来，公司主要建立及修订的公司治理性制度具体情况如下:</w:t>
      </w:r>
    </w:p>
    <w:tbl>
      <w:tblPr>
        <w:tblOverlap w:val="never"/>
        <w:jc w:val="center"/>
        <w:tblLayout w:type="fixed"/>
      </w:tblPr>
      <w:tblGrid>
        <w:gridCol w:w="725"/>
        <w:gridCol w:w="6658"/>
        <w:gridCol w:w="1440"/>
        <w:gridCol w:w="1810"/>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披露时间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信息披露媒体</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累积投票制实施细则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2006.4.29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信息披露事务管理制度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2007.6.13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独立董事年报工作制度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2008.3.19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董事会审计委员会实施细则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2008.3.19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董事、监事、高级管理人员持有和买卖本公司股票管理制度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2010.4.27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年报信息披露重大差错责任追究制度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2010.4.29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股票期权激励计划实施考核办法</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2011.1.12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环境信息披露管理制度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2011.1.26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大股东、实际控制人行为规范及信息问询制度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2011.1.26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内部审计管理制度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2011.9.29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31"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内幕信息知情人登记管理制度</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2012.4.25</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bl>
    <w:tbl>
      <w:tblPr>
        <w:tblOverlap w:val="never"/>
        <w:jc w:val="center"/>
        <w:tblLayout w:type="fixed"/>
      </w:tblPr>
      <w:tblGrid>
        <w:gridCol w:w="725"/>
        <w:gridCol w:w="6658"/>
        <w:gridCol w:w="1440"/>
        <w:gridCol w:w="1810"/>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外部信息使用人管理制度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2012.4.25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投资者关系管理制度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2013.7.24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关联交易决策制度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2013.7.24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2014.4.23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2015.6.9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商品套期保值业务管理制度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2015.6.9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公司治理细则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2015.7.1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第二期股票期权激励计划实施考核管理办法</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2016.5.18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2016.11.4</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巨潮资讯网</w:t>
            </w:r>
          </w:p>
        </w:tc>
      </w:tr>
    </w:tbl>
    <w:p>
      <w:pPr>
        <w:pStyle w:val="Style14"/>
        <w:keepNext w:val="0"/>
        <w:keepLines w:val="0"/>
        <w:widowControl w:val="0"/>
        <w:shd w:val="clear" w:color="auto" w:fill="auto"/>
        <w:bidi w:val="0"/>
        <w:spacing w:before="0" w:after="0" w:line="582" w:lineRule="exact"/>
        <w:ind w:left="1160" w:right="0" w:firstLine="480"/>
        <w:jc w:val="both"/>
      </w:pPr>
      <w:r>
        <w:rPr>
          <w:color w:val="000000"/>
          <w:spacing w:val="0"/>
          <w:w w:val="100"/>
          <w:position w:val="0"/>
          <w:sz w:val="24"/>
          <w:szCs w:val="24"/>
        </w:rPr>
        <w:t>公司能够严格按照《公司法》、《证券法》和中国证监会有关规定等法律、 法规和规范性文件的要求，不断完善公司法人治理结构，建立现代企业制度，自 觉履行信息披露义务，做好投资者关系管理，促进企业规范运作水平的不断提升。 公司治理状况符合《上市公司治理准则》的要求，具体情况如下：</w:t>
      </w:r>
    </w:p>
    <w:p>
      <w:pPr>
        <w:pStyle w:val="Style14"/>
        <w:keepNext w:val="0"/>
        <w:keepLines w:val="0"/>
        <w:widowControl w:val="0"/>
        <w:shd w:val="clear" w:color="auto" w:fill="auto"/>
        <w:tabs>
          <w:tab w:pos="2004" w:val="left"/>
        </w:tabs>
        <w:bidi w:val="0"/>
        <w:spacing w:before="0" w:after="0" w:line="582" w:lineRule="exact"/>
        <w:ind w:left="1160" w:right="0" w:firstLine="480"/>
        <w:jc w:val="both"/>
      </w:pPr>
      <w:bookmarkStart w:id="141" w:name="bookmark141"/>
      <w:r>
        <w:rPr>
          <w:rFonts w:ascii="Times New Roman" w:eastAsia="Times New Roman" w:hAnsi="Times New Roman" w:cs="Times New Roman"/>
          <w:color w:val="000000"/>
          <w:spacing w:val="0"/>
          <w:w w:val="100"/>
          <w:position w:val="0"/>
          <w:sz w:val="24"/>
          <w:szCs w:val="24"/>
        </w:rPr>
        <w:t>1</w:t>
      </w:r>
      <w:bookmarkEnd w:id="141"/>
      <w:r>
        <w:rPr>
          <w:color w:val="000000"/>
          <w:spacing w:val="0"/>
          <w:w w:val="100"/>
          <w:position w:val="0"/>
          <w:sz w:val="24"/>
          <w:szCs w:val="24"/>
        </w:rPr>
        <w:t>、</w:t>
        <w:tab/>
        <w:t>关于股东与股东大会：公司能够确保所有股东、特别是中小股东享有平 等地位，确保所有股东能充分行使自己的权利；公司能够严格按照《上市公司股 东大会规则》的要求召集、召开股东大会；股东大会审议有关关联交易事项时， 关联股东回避表决；公司关联交易公平合理，不存在损害中小股东利益的情形。</w:t>
      </w:r>
    </w:p>
    <w:p>
      <w:pPr>
        <w:pStyle w:val="Style14"/>
        <w:keepNext w:val="0"/>
        <w:keepLines w:val="0"/>
        <w:widowControl w:val="0"/>
        <w:shd w:val="clear" w:color="auto" w:fill="auto"/>
        <w:tabs>
          <w:tab w:pos="2004" w:val="left"/>
        </w:tabs>
        <w:bidi w:val="0"/>
        <w:spacing w:before="0" w:after="0" w:line="582" w:lineRule="exact"/>
        <w:ind w:left="1160" w:right="0" w:firstLine="480"/>
        <w:jc w:val="both"/>
      </w:pPr>
      <w:bookmarkStart w:id="142" w:name="bookmark142"/>
      <w:r>
        <w:rPr>
          <w:rFonts w:ascii="Times New Roman" w:eastAsia="Times New Roman" w:hAnsi="Times New Roman" w:cs="Times New Roman"/>
          <w:color w:val="000000"/>
          <w:spacing w:val="0"/>
          <w:w w:val="100"/>
          <w:position w:val="0"/>
          <w:sz w:val="24"/>
          <w:szCs w:val="24"/>
        </w:rPr>
        <w:t>2</w:t>
      </w:r>
      <w:bookmarkEnd w:id="142"/>
      <w:r>
        <w:rPr>
          <w:color w:val="000000"/>
          <w:spacing w:val="0"/>
          <w:w w:val="100"/>
          <w:position w:val="0"/>
          <w:sz w:val="24"/>
          <w:szCs w:val="24"/>
        </w:rPr>
        <w:t>、</w:t>
        <w:tab/>
        <w:t>关于控股股东与上市公司的关系：控股股东没有超越股东大会直接或间 接干预公司的决策和经营活动；公司与控股股东在人员、资产、财务、机构和业 务方面做到“五分开”，公司具有独立完整的业务及自主经营能力；公司董事会、 监事会和内部机构能够独立运作。</w:t>
      </w:r>
    </w:p>
    <w:p>
      <w:pPr>
        <w:pStyle w:val="Style14"/>
        <w:keepNext w:val="0"/>
        <w:keepLines w:val="0"/>
        <w:widowControl w:val="0"/>
        <w:shd w:val="clear" w:color="auto" w:fill="auto"/>
        <w:tabs>
          <w:tab w:pos="2004" w:val="left"/>
        </w:tabs>
        <w:bidi w:val="0"/>
        <w:spacing w:before="0" w:after="0" w:line="582" w:lineRule="exact"/>
        <w:ind w:left="1160" w:right="0" w:firstLine="480"/>
        <w:jc w:val="both"/>
      </w:pPr>
      <w:bookmarkStart w:id="143" w:name="bookmark143"/>
      <w:r>
        <w:rPr>
          <w:rFonts w:ascii="Times New Roman" w:eastAsia="Times New Roman" w:hAnsi="Times New Roman" w:cs="Times New Roman"/>
          <w:color w:val="000000"/>
          <w:spacing w:val="0"/>
          <w:w w:val="100"/>
          <w:position w:val="0"/>
          <w:sz w:val="24"/>
          <w:szCs w:val="24"/>
        </w:rPr>
        <w:t>3</w:t>
      </w:r>
      <w:bookmarkEnd w:id="143"/>
      <w:r>
        <w:rPr>
          <w:color w:val="000000"/>
          <w:spacing w:val="0"/>
          <w:w w:val="100"/>
          <w:position w:val="0"/>
          <w:sz w:val="24"/>
          <w:szCs w:val="24"/>
        </w:rPr>
        <w:t>、</w:t>
        <w:tab/>
        <w:t>关于董事与董事会：公司严格按照《公司章程》规定的董事选聘程序选 举董事；公司建立了独立董事制度；公司董事会人数和人员构成符合法律、法规 的要求；各位董事能够以认真负责的态度出席董事会和股东大会，能够积极参加 有关培训，熟悉有关法律、法规，了解作为董事的权利、义务和责任。</w:t>
      </w:r>
    </w:p>
    <w:p>
      <w:pPr>
        <w:pStyle w:val="Style14"/>
        <w:keepNext w:val="0"/>
        <w:keepLines w:val="0"/>
        <w:widowControl w:val="0"/>
        <w:shd w:val="clear" w:color="auto" w:fill="auto"/>
        <w:tabs>
          <w:tab w:pos="2004" w:val="left"/>
        </w:tabs>
        <w:bidi w:val="0"/>
        <w:spacing w:before="0" w:after="0" w:line="582" w:lineRule="exact"/>
        <w:ind w:left="1160" w:right="0" w:firstLine="480"/>
        <w:jc w:val="both"/>
      </w:pPr>
      <w:bookmarkStart w:id="144" w:name="bookmark144"/>
      <w:r>
        <w:rPr>
          <w:rFonts w:ascii="Times New Roman" w:eastAsia="Times New Roman" w:hAnsi="Times New Roman" w:cs="Times New Roman"/>
          <w:color w:val="000000"/>
          <w:spacing w:val="0"/>
          <w:w w:val="100"/>
          <w:position w:val="0"/>
          <w:sz w:val="24"/>
          <w:szCs w:val="24"/>
        </w:rPr>
        <w:t>4</w:t>
      </w:r>
      <w:bookmarkEnd w:id="144"/>
      <w:r>
        <w:rPr>
          <w:color w:val="000000"/>
          <w:spacing w:val="0"/>
          <w:w w:val="100"/>
          <w:position w:val="0"/>
          <w:sz w:val="24"/>
          <w:szCs w:val="24"/>
        </w:rPr>
        <w:t>、</w:t>
        <w:tab/>
        <w:t>关于监事和监事会：公司监事会的人数和人员构成符合法律、法规的要 求；公司监事能够认真履行自己的职责，能够本着对股东负责的精神，对公司财 务以及公司董事、总经理和其它高级管理人员履行职责的合法、合规性进行监督。</w:t>
      </w:r>
    </w:p>
    <w:p>
      <w:pPr>
        <w:pStyle w:val="Style14"/>
        <w:keepNext w:val="0"/>
        <w:keepLines w:val="0"/>
        <w:widowControl w:val="0"/>
        <w:shd w:val="clear" w:color="auto" w:fill="auto"/>
        <w:tabs>
          <w:tab w:pos="2051" w:val="left"/>
        </w:tabs>
        <w:bidi w:val="0"/>
        <w:spacing w:before="0" w:after="0" w:line="584" w:lineRule="exact"/>
        <w:ind w:left="1180" w:right="0" w:firstLine="480"/>
        <w:jc w:val="both"/>
      </w:pPr>
      <w:bookmarkStart w:id="145" w:name="bookmark145"/>
      <w:r>
        <w:rPr>
          <w:rFonts w:ascii="Times New Roman" w:eastAsia="Times New Roman" w:hAnsi="Times New Roman" w:cs="Times New Roman"/>
          <w:color w:val="000000"/>
          <w:spacing w:val="0"/>
          <w:w w:val="100"/>
          <w:position w:val="0"/>
          <w:sz w:val="24"/>
          <w:szCs w:val="24"/>
        </w:rPr>
        <w:t>5</w:t>
      </w:r>
      <w:bookmarkEnd w:id="145"/>
      <w:r>
        <w:rPr>
          <w:color w:val="000000"/>
          <w:spacing w:val="0"/>
          <w:w w:val="100"/>
          <w:position w:val="0"/>
          <w:sz w:val="24"/>
          <w:szCs w:val="24"/>
        </w:rPr>
        <w:t>、</w:t>
        <w:tab/>
        <w:t>关于绩效评价与激励约束机制：公司已建立了企业效绩评价激励体系， 使经营者的收入与企业经营业绩相挂钩，高级管理人员的聘任公开、透明，符合 法律、法规的规定。</w:t>
      </w:r>
    </w:p>
    <w:p>
      <w:pPr>
        <w:pStyle w:val="Style14"/>
        <w:keepNext w:val="0"/>
        <w:keepLines w:val="0"/>
        <w:widowControl w:val="0"/>
        <w:shd w:val="clear" w:color="auto" w:fill="auto"/>
        <w:tabs>
          <w:tab w:pos="2051" w:val="left"/>
        </w:tabs>
        <w:bidi w:val="0"/>
        <w:spacing w:before="0" w:after="0" w:line="584" w:lineRule="exact"/>
        <w:ind w:left="1180" w:right="0" w:firstLine="480"/>
        <w:jc w:val="both"/>
      </w:pPr>
      <w:bookmarkStart w:id="146" w:name="bookmark146"/>
      <w:r>
        <w:rPr>
          <w:rFonts w:ascii="Times New Roman" w:eastAsia="Times New Roman" w:hAnsi="Times New Roman" w:cs="Times New Roman"/>
          <w:color w:val="000000"/>
          <w:spacing w:val="0"/>
          <w:w w:val="100"/>
          <w:position w:val="0"/>
          <w:sz w:val="24"/>
          <w:szCs w:val="24"/>
        </w:rPr>
        <w:t>6</w:t>
      </w:r>
      <w:bookmarkEnd w:id="146"/>
      <w:r>
        <w:rPr>
          <w:color w:val="000000"/>
          <w:spacing w:val="0"/>
          <w:w w:val="100"/>
          <w:position w:val="0"/>
          <w:sz w:val="24"/>
          <w:szCs w:val="24"/>
        </w:rPr>
        <w:t>、</w:t>
        <w:tab/>
        <w:t>关于信息披露与透明度：公司指定董事会秘书负责信息披露工作，负责 接待股东来访及咨询；公司能够严格按照法律、法规和《公司章程》、《信息披 露事务管理制度》、《投资者关系管理制度》等相关规定，真实、准确、完整、 及时地披露有关信息，并确保所有股东有平等的机会获得信息；公司能够按照有 关规定，及时披露大股东及公司实际控制人的详细资料和股份变化情况。</w:t>
      </w:r>
    </w:p>
    <w:p>
      <w:pPr>
        <w:pStyle w:val="Style14"/>
        <w:keepNext w:val="0"/>
        <w:keepLines w:val="0"/>
        <w:widowControl w:val="0"/>
        <w:shd w:val="clear" w:color="auto" w:fill="auto"/>
        <w:tabs>
          <w:tab w:pos="2051" w:val="left"/>
        </w:tabs>
        <w:bidi w:val="0"/>
        <w:spacing w:before="0" w:after="0" w:line="584" w:lineRule="exact"/>
        <w:ind w:left="1180" w:right="0" w:firstLine="480"/>
        <w:jc w:val="both"/>
      </w:pPr>
      <w:bookmarkStart w:id="147" w:name="bookmark147"/>
      <w:r>
        <w:rPr>
          <w:rFonts w:ascii="Times New Roman" w:eastAsia="Times New Roman" w:hAnsi="Times New Roman" w:cs="Times New Roman"/>
          <w:color w:val="000000"/>
          <w:spacing w:val="0"/>
          <w:w w:val="100"/>
          <w:position w:val="0"/>
          <w:sz w:val="24"/>
          <w:szCs w:val="24"/>
        </w:rPr>
        <w:t>7</w:t>
      </w:r>
      <w:bookmarkEnd w:id="147"/>
      <w:r>
        <w:rPr>
          <w:color w:val="000000"/>
          <w:spacing w:val="0"/>
          <w:w w:val="100"/>
          <w:position w:val="0"/>
          <w:sz w:val="24"/>
          <w:szCs w:val="24"/>
        </w:rPr>
        <w:t>、</w:t>
        <w:tab/>
        <w:t>关于相关利益者：公司能够充分尊重和维护相关利益者的合法权益，实 现股东、员工、社会等各方利益的协调平衡，重视公司的社会责任，与相关利益 者积极合作，共同推动公司持续、健康的发展。</w:t>
      </w:r>
    </w:p>
    <w:p>
      <w:pPr>
        <w:pStyle w:val="Style14"/>
        <w:keepNext w:val="0"/>
        <w:keepLines w:val="0"/>
        <w:widowControl w:val="0"/>
        <w:shd w:val="clear" w:color="auto" w:fill="auto"/>
        <w:bidi w:val="0"/>
        <w:spacing w:before="0" w:after="0" w:line="584" w:lineRule="exact"/>
        <w:ind w:left="1180" w:right="0" w:firstLine="480"/>
        <w:jc w:val="both"/>
      </w:pPr>
      <w:bookmarkStart w:id="148" w:name="bookmark148"/>
      <w:r>
        <w:rPr>
          <w:b/>
          <w:bCs/>
          <w:color w:val="000000"/>
          <w:spacing w:val="0"/>
          <w:w w:val="100"/>
          <w:position w:val="0"/>
          <w:sz w:val="24"/>
          <w:szCs w:val="24"/>
        </w:rPr>
        <w:t>二</w:t>
      </w:r>
      <w:bookmarkEnd w:id="148"/>
      <w:r>
        <w:rPr>
          <w:b/>
          <w:bCs/>
          <w:color w:val="000000"/>
          <w:spacing w:val="0"/>
          <w:w w:val="100"/>
          <w:position w:val="0"/>
          <w:sz w:val="24"/>
          <w:szCs w:val="24"/>
        </w:rPr>
        <w:t>、公司相对于控股股东在业务、人员、资产、机构、财务等方面的独立情 况</w:t>
      </w:r>
    </w:p>
    <w:p>
      <w:pPr>
        <w:pStyle w:val="Style14"/>
        <w:keepNext w:val="0"/>
        <w:keepLines w:val="0"/>
        <w:widowControl w:val="0"/>
        <w:shd w:val="clear" w:color="auto" w:fill="auto"/>
        <w:tabs>
          <w:tab w:pos="372" w:val="left"/>
        </w:tabs>
        <w:bidi w:val="0"/>
        <w:spacing w:before="0" w:after="0" w:line="584" w:lineRule="exact"/>
        <w:ind w:left="0" w:right="0" w:firstLine="0"/>
        <w:jc w:val="center"/>
      </w:pPr>
      <w:bookmarkStart w:id="149" w:name="bookmark149"/>
      <w:r>
        <w:rPr>
          <w:rFonts w:ascii="Times New Roman" w:eastAsia="Times New Roman" w:hAnsi="Times New Roman" w:cs="Times New Roman"/>
          <w:color w:val="000000"/>
          <w:spacing w:val="0"/>
          <w:w w:val="100"/>
          <w:position w:val="0"/>
          <w:sz w:val="24"/>
          <w:szCs w:val="24"/>
        </w:rPr>
        <w:t>1</w:t>
      </w:r>
      <w:bookmarkEnd w:id="149"/>
      <w:r>
        <w:rPr>
          <w:color w:val="000000"/>
          <w:spacing w:val="0"/>
          <w:w w:val="100"/>
          <w:position w:val="0"/>
          <w:sz w:val="24"/>
          <w:szCs w:val="24"/>
        </w:rPr>
        <w:t>、</w:t>
        <w:tab/>
        <w:t>业务方面：公司业务独立于控股股东，自主经营，业务结构完整。</w:t>
      </w:r>
    </w:p>
    <w:p>
      <w:pPr>
        <w:pStyle w:val="Style14"/>
        <w:keepNext w:val="0"/>
        <w:keepLines w:val="0"/>
        <w:widowControl w:val="0"/>
        <w:shd w:val="clear" w:color="auto" w:fill="auto"/>
        <w:tabs>
          <w:tab w:pos="2056" w:val="left"/>
        </w:tabs>
        <w:bidi w:val="0"/>
        <w:spacing w:before="0" w:after="0" w:line="584" w:lineRule="exact"/>
        <w:ind w:left="1660" w:right="0" w:firstLine="0"/>
        <w:jc w:val="both"/>
      </w:pPr>
      <w:bookmarkStart w:id="150" w:name="bookmark150"/>
      <w:r>
        <w:rPr>
          <w:rFonts w:ascii="Times New Roman" w:eastAsia="Times New Roman" w:hAnsi="Times New Roman" w:cs="Times New Roman"/>
          <w:color w:val="000000"/>
          <w:spacing w:val="0"/>
          <w:w w:val="100"/>
          <w:position w:val="0"/>
          <w:sz w:val="24"/>
          <w:szCs w:val="24"/>
        </w:rPr>
        <w:t>2</w:t>
      </w:r>
      <w:bookmarkEnd w:id="150"/>
      <w:r>
        <w:rPr>
          <w:color w:val="000000"/>
          <w:spacing w:val="0"/>
          <w:w w:val="100"/>
          <w:position w:val="0"/>
          <w:sz w:val="24"/>
          <w:szCs w:val="24"/>
        </w:rPr>
        <w:t>、</w:t>
        <w:tab/>
        <w:t>人员方面：公司在劳动、人事及工资管理方面均保持独立。</w:t>
      </w:r>
    </w:p>
    <w:p>
      <w:pPr>
        <w:pStyle w:val="Style14"/>
        <w:keepNext w:val="0"/>
        <w:keepLines w:val="0"/>
        <w:widowControl w:val="0"/>
        <w:shd w:val="clear" w:color="auto" w:fill="auto"/>
        <w:tabs>
          <w:tab w:pos="2056" w:val="left"/>
        </w:tabs>
        <w:bidi w:val="0"/>
        <w:spacing w:before="0" w:after="0" w:line="584" w:lineRule="exact"/>
        <w:ind w:left="1180" w:right="0" w:firstLine="480"/>
        <w:jc w:val="both"/>
      </w:pPr>
      <w:bookmarkStart w:id="151" w:name="bookmark151"/>
      <w:r>
        <w:rPr>
          <w:rFonts w:ascii="Times New Roman" w:eastAsia="Times New Roman" w:hAnsi="Times New Roman" w:cs="Times New Roman"/>
          <w:color w:val="000000"/>
          <w:spacing w:val="0"/>
          <w:w w:val="100"/>
          <w:position w:val="0"/>
          <w:sz w:val="24"/>
          <w:szCs w:val="24"/>
        </w:rPr>
        <w:t>3</w:t>
      </w:r>
      <w:bookmarkEnd w:id="151"/>
      <w:r>
        <w:rPr>
          <w:color w:val="000000"/>
          <w:spacing w:val="0"/>
          <w:w w:val="100"/>
          <w:position w:val="0"/>
          <w:sz w:val="24"/>
          <w:szCs w:val="24"/>
        </w:rPr>
        <w:t>、</w:t>
        <w:tab/>
        <w:t>资产方面：公司拥有独立的生产系统、辅助生产系统和配套设施，工业 产权、商标、非专利技术等无形资产均由本公司拥有，本公司拥有独立的采购和 销售系统。</w:t>
      </w:r>
    </w:p>
    <w:p>
      <w:pPr>
        <w:pStyle w:val="Style14"/>
        <w:keepNext w:val="0"/>
        <w:keepLines w:val="0"/>
        <w:widowControl w:val="0"/>
        <w:shd w:val="clear" w:color="auto" w:fill="auto"/>
        <w:tabs>
          <w:tab w:pos="2046" w:val="left"/>
        </w:tabs>
        <w:bidi w:val="0"/>
        <w:spacing w:before="0" w:after="0" w:line="584" w:lineRule="exact"/>
        <w:ind w:left="1180" w:right="0" w:firstLine="480"/>
        <w:jc w:val="both"/>
      </w:pPr>
      <w:bookmarkStart w:id="152" w:name="bookmark152"/>
      <w:r>
        <w:rPr>
          <w:rFonts w:ascii="Times New Roman" w:eastAsia="Times New Roman" w:hAnsi="Times New Roman" w:cs="Times New Roman"/>
          <w:color w:val="000000"/>
          <w:spacing w:val="0"/>
          <w:w w:val="100"/>
          <w:position w:val="0"/>
          <w:sz w:val="24"/>
          <w:szCs w:val="24"/>
        </w:rPr>
        <w:t>4</w:t>
      </w:r>
      <w:bookmarkEnd w:id="152"/>
      <w:r>
        <w:rPr>
          <w:color w:val="000000"/>
          <w:spacing w:val="0"/>
          <w:w w:val="100"/>
          <w:position w:val="0"/>
          <w:sz w:val="24"/>
          <w:szCs w:val="24"/>
        </w:rPr>
        <w:t>、</w:t>
        <w:tab/>
        <w:t>机构方面：公司设立了完善的组织机构，董事会、监事会等内部机构独 立运作，不存在与控股股东职能部门之间的从属关系。</w:t>
      </w:r>
    </w:p>
    <w:p>
      <w:pPr>
        <w:pStyle w:val="Style14"/>
        <w:keepNext w:val="0"/>
        <w:keepLines w:val="0"/>
        <w:widowControl w:val="0"/>
        <w:shd w:val="clear" w:color="auto" w:fill="auto"/>
        <w:tabs>
          <w:tab w:pos="2060" w:val="left"/>
        </w:tabs>
        <w:bidi w:val="0"/>
        <w:spacing w:before="0" w:after="0" w:line="584" w:lineRule="exact"/>
        <w:ind w:left="1180" w:right="0" w:firstLine="480"/>
        <w:jc w:val="both"/>
      </w:pPr>
      <w:bookmarkStart w:id="153" w:name="bookmark153"/>
      <w:r>
        <w:rPr>
          <w:rFonts w:ascii="Times New Roman" w:eastAsia="Times New Roman" w:hAnsi="Times New Roman" w:cs="Times New Roman"/>
          <w:color w:val="000000"/>
          <w:spacing w:val="0"/>
          <w:w w:val="100"/>
          <w:position w:val="0"/>
          <w:sz w:val="24"/>
          <w:szCs w:val="24"/>
        </w:rPr>
        <w:t>5</w:t>
      </w:r>
      <w:bookmarkEnd w:id="153"/>
      <w:r>
        <w:rPr>
          <w:color w:val="000000"/>
          <w:spacing w:val="0"/>
          <w:w w:val="100"/>
          <w:position w:val="0"/>
          <w:sz w:val="24"/>
          <w:szCs w:val="24"/>
        </w:rPr>
        <w:t>、</w:t>
        <w:tab/>
        <w:t>财务方面：公司设有独立的财务部门，并建立了独立的会计核算系统和 财务管理制度；公司在银行独立开户；公司独立纳税。</w:t>
      </w:r>
    </w:p>
    <w:p>
      <w:pPr>
        <w:pStyle w:val="Style14"/>
        <w:keepNext w:val="0"/>
        <w:keepLines w:val="0"/>
        <w:widowControl w:val="0"/>
        <w:shd w:val="clear" w:color="auto" w:fill="auto"/>
        <w:bidi w:val="0"/>
        <w:spacing w:before="0" w:after="0" w:line="584" w:lineRule="exact"/>
        <w:ind w:left="1180" w:right="0" w:firstLine="480"/>
        <w:jc w:val="both"/>
      </w:pPr>
      <w:r>
        <w:rPr>
          <w:color w:val="000000"/>
          <w:spacing w:val="0"/>
          <w:w w:val="100"/>
          <w:position w:val="0"/>
          <w:sz w:val="24"/>
          <w:szCs w:val="24"/>
        </w:rPr>
        <w:t>公司与控股股东在业务、人员、资产、机构、财务等方面完全分开，具有独 立完整的业务及自主经营能力。</w:t>
      </w:r>
    </w:p>
    <w:p>
      <w:pPr>
        <w:pStyle w:val="Style14"/>
        <w:keepNext w:val="0"/>
        <w:keepLines w:val="0"/>
        <w:widowControl w:val="0"/>
        <w:shd w:val="clear" w:color="auto" w:fill="auto"/>
        <w:tabs>
          <w:tab w:pos="2062" w:val="left"/>
        </w:tabs>
        <w:bidi w:val="0"/>
        <w:spacing w:before="0" w:after="280" w:line="240" w:lineRule="auto"/>
        <w:ind w:left="1540" w:right="0" w:firstLine="0"/>
        <w:jc w:val="left"/>
      </w:pPr>
      <w:bookmarkStart w:id="154" w:name="bookmark154"/>
      <w:r>
        <w:rPr>
          <w:b/>
          <w:bCs/>
          <w:color w:val="000000"/>
          <w:spacing w:val="0"/>
          <w:w w:val="100"/>
          <w:position w:val="0"/>
          <w:sz w:val="24"/>
          <w:szCs w:val="24"/>
        </w:rPr>
        <w:t>三</w:t>
      </w:r>
      <w:bookmarkEnd w:id="154"/>
      <w:r>
        <w:rPr>
          <w:b/>
          <w:bCs/>
          <w:color w:val="000000"/>
          <w:spacing w:val="0"/>
          <w:w w:val="100"/>
          <w:position w:val="0"/>
          <w:sz w:val="24"/>
          <w:szCs w:val="24"/>
        </w:rPr>
        <w:t>、</w:t>
        <w:tab/>
        <w:t>公司不存在同业竞争情况。</w:t>
      </w:r>
    </w:p>
    <w:p>
      <w:pPr>
        <w:pStyle w:val="Style14"/>
        <w:keepNext w:val="0"/>
        <w:keepLines w:val="0"/>
        <w:widowControl w:val="0"/>
        <w:shd w:val="clear" w:color="auto" w:fill="auto"/>
        <w:tabs>
          <w:tab w:pos="2062" w:val="left"/>
        </w:tabs>
        <w:bidi w:val="0"/>
        <w:spacing w:before="0" w:after="280" w:line="240" w:lineRule="auto"/>
        <w:ind w:left="1540" w:right="0" w:firstLine="0"/>
        <w:jc w:val="left"/>
      </w:pPr>
      <w:bookmarkStart w:id="155" w:name="bookmark155"/>
      <w:r>
        <w:rPr>
          <w:b/>
          <w:bCs/>
          <w:color w:val="000000"/>
          <w:spacing w:val="0"/>
          <w:w w:val="100"/>
          <w:position w:val="0"/>
          <w:sz w:val="24"/>
          <w:szCs w:val="24"/>
        </w:rPr>
        <w:t>四</w:t>
      </w:r>
      <w:bookmarkEnd w:id="155"/>
      <w:r>
        <w:rPr>
          <w:b/>
          <w:bCs/>
          <w:color w:val="000000"/>
          <w:spacing w:val="0"/>
          <w:w w:val="100"/>
          <w:position w:val="0"/>
          <w:sz w:val="24"/>
          <w:szCs w:val="24"/>
        </w:rPr>
        <w:t>、</w:t>
        <w:tab/>
        <w:t>报告期内召开的年度股东大会和临时股东大会的有关情况</w:t>
      </w:r>
    </w:p>
    <w:p>
      <w:pPr>
        <w:pStyle w:val="Style14"/>
        <w:keepNext w:val="0"/>
        <w:keepLines w:val="0"/>
        <w:widowControl w:val="0"/>
        <w:shd w:val="clear" w:color="auto" w:fill="auto"/>
        <w:bidi w:val="0"/>
        <w:spacing w:before="0" w:after="140" w:line="240" w:lineRule="auto"/>
        <w:ind w:left="154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、本报告期股东大会情况</w:t>
      </w:r>
    </w:p>
    <w:tbl>
      <w:tblPr>
        <w:tblOverlap w:val="never"/>
        <w:jc w:val="center"/>
        <w:tblLayout w:type="fixed"/>
      </w:tblPr>
      <w:tblGrid>
        <w:gridCol w:w="2875"/>
        <w:gridCol w:w="1594"/>
        <w:gridCol w:w="1594"/>
        <w:gridCol w:w="1738"/>
        <w:gridCol w:w="1699"/>
        <w:gridCol w:w="1349"/>
      </w:tblGrid>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投资者参与比例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披露索引</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年度股东大会会议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r>
        <w:trPr>
          <w:trHeight w:val="59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年度第一次临时股东大会 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540" w:right="0" w:firstLine="0"/>
        <w:jc w:val="left"/>
      </w:pPr>
      <w:r>
        <w:rPr>
          <w:color w:val="000000"/>
          <w:spacing w:val="0"/>
          <w:w w:val="100"/>
          <w:position w:val="0"/>
          <w:sz w:val="24"/>
          <w:szCs w:val="24"/>
        </w:rPr>
        <w:t>报告期内，机构投资者未出任公司董事。</w:t>
      </w:r>
    </w:p>
    <w:p>
      <w:pPr>
        <w:pStyle w:val="Style14"/>
        <w:keepNext w:val="0"/>
        <w:keepLines w:val="0"/>
        <w:widowControl w:val="0"/>
        <w:shd w:val="clear" w:color="auto" w:fill="auto"/>
        <w:bidi w:val="0"/>
        <w:spacing w:before="0" w:after="280" w:line="240" w:lineRule="auto"/>
        <w:ind w:left="154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、报告期内，公司不存在表决权恢复的优先股股东请求召开股东会的情形。</w:t>
      </w:r>
    </w:p>
    <w:p>
      <w:pPr>
        <w:pStyle w:val="Style14"/>
        <w:keepNext w:val="0"/>
        <w:keepLines w:val="0"/>
        <w:widowControl w:val="0"/>
        <w:shd w:val="clear" w:color="auto" w:fill="auto"/>
        <w:bidi w:val="0"/>
        <w:spacing w:before="0" w:after="140" w:line="240" w:lineRule="auto"/>
        <w:ind w:left="1540" w:right="0" w:firstLine="0"/>
        <w:jc w:val="left"/>
      </w:pPr>
      <w:bookmarkStart w:id="156" w:name="bookmark156"/>
      <w:r>
        <w:rPr>
          <w:b/>
          <w:bCs/>
          <w:color w:val="000000"/>
          <w:spacing w:val="0"/>
          <w:w w:val="100"/>
          <w:position w:val="0"/>
          <w:sz w:val="24"/>
          <w:szCs w:val="24"/>
        </w:rPr>
        <w:t>五</w:t>
      </w:r>
      <w:bookmarkEnd w:id="156"/>
      <w:r>
        <w:rPr>
          <w:b/>
          <w:bCs/>
          <w:color w:val="000000"/>
          <w:spacing w:val="0"/>
          <w:w w:val="100"/>
          <w:position w:val="0"/>
          <w:sz w:val="24"/>
          <w:szCs w:val="24"/>
        </w:rPr>
        <w:t>、报告期内独立董事履行职责的情况</w:t>
      </w:r>
    </w:p>
    <w:tbl>
      <w:tblPr>
        <w:tblOverlap w:val="never"/>
        <w:jc w:val="right"/>
        <w:tblLayout w:type="fixed"/>
      </w:tblPr>
      <w:tblGrid>
        <w:gridCol w:w="1632"/>
        <w:gridCol w:w="1325"/>
        <w:gridCol w:w="1320"/>
        <w:gridCol w:w="1325"/>
        <w:gridCol w:w="1325"/>
        <w:gridCol w:w="1325"/>
        <w:gridCol w:w="1330"/>
      </w:tblGrid>
      <w:tr>
        <w:trPr>
          <w:trHeight w:val="302" w:hRule="exact"/>
        </w:trPr>
        <w:tc>
          <w:tcPr>
            <w:gridSpan w:val="7"/>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88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right"/>
              <w:rPr>
                <w:sz w:val="20"/>
                <w:szCs w:val="20"/>
              </w:rPr>
            </w:pPr>
            <w:r>
              <w:rPr>
                <w:color w:val="000000"/>
                <w:spacing w:val="0"/>
                <w:w w:val="100"/>
                <w:position w:val="0"/>
                <w:sz w:val="20"/>
                <w:szCs w:val="20"/>
              </w:rPr>
              <w:t>本报告期应参 加董事会次数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现场出席次数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委托出席次数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是否连续两次 未亲自参加会 议</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周春生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李易</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费忠新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307" w:hRule="exact"/>
        </w:trPr>
        <w:tc>
          <w:tcPr>
            <w:gridSpan w:val="2"/>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r>
    </w:tbl>
    <w:p>
      <w:pPr>
        <w:widowControl w:val="0"/>
        <w:spacing w:after="139" w:line="1" w:lineRule="exact"/>
      </w:pPr>
    </w:p>
    <w:p>
      <w:pPr>
        <w:pStyle w:val="Style14"/>
        <w:keepNext w:val="0"/>
        <w:keepLines w:val="0"/>
        <w:widowControl w:val="0"/>
        <w:shd w:val="clear" w:color="auto" w:fill="auto"/>
        <w:bidi w:val="0"/>
        <w:spacing w:before="0" w:after="280" w:line="240" w:lineRule="auto"/>
        <w:ind w:left="1540" w:right="0" w:firstLine="0"/>
        <w:jc w:val="left"/>
      </w:pPr>
      <w:r>
        <w:rPr>
          <w:color w:val="000000"/>
          <w:spacing w:val="0"/>
          <w:w w:val="100"/>
          <w:position w:val="0"/>
          <w:sz w:val="24"/>
          <w:szCs w:val="24"/>
        </w:rPr>
        <w:t>报告期内，公司独立董事不存在连续两次未出亲自出席董事会的情形。</w:t>
      </w:r>
    </w:p>
    <w:p>
      <w:pPr>
        <w:pStyle w:val="Style14"/>
        <w:keepNext w:val="0"/>
        <w:keepLines w:val="0"/>
        <w:widowControl w:val="0"/>
        <w:shd w:val="clear" w:color="auto" w:fill="auto"/>
        <w:tabs>
          <w:tab w:pos="1953" w:val="left"/>
        </w:tabs>
        <w:bidi w:val="0"/>
        <w:spacing w:before="0" w:after="280" w:line="240" w:lineRule="auto"/>
        <w:ind w:left="1540" w:right="0" w:firstLine="0"/>
        <w:jc w:val="left"/>
      </w:pPr>
      <w:bookmarkStart w:id="157" w:name="bookmark157"/>
      <w:r>
        <w:rPr>
          <w:rFonts w:ascii="Times New Roman" w:eastAsia="Times New Roman" w:hAnsi="Times New Roman" w:cs="Times New Roman"/>
          <w:color w:val="000000"/>
          <w:spacing w:val="0"/>
          <w:w w:val="100"/>
          <w:position w:val="0"/>
          <w:sz w:val="24"/>
          <w:szCs w:val="24"/>
        </w:rPr>
        <w:t>1</w:t>
      </w:r>
      <w:bookmarkEnd w:id="157"/>
      <w:r>
        <w:rPr>
          <w:color w:val="000000"/>
          <w:spacing w:val="0"/>
          <w:w w:val="100"/>
          <w:position w:val="0"/>
          <w:sz w:val="24"/>
          <w:szCs w:val="24"/>
        </w:rPr>
        <w:t>、</w:t>
        <w:tab/>
        <w:t>报告期内，公司独立董事对公司有关事项未提出异议。</w:t>
      </w:r>
    </w:p>
    <w:p>
      <w:pPr>
        <w:pStyle w:val="Style14"/>
        <w:keepNext w:val="0"/>
        <w:keepLines w:val="0"/>
        <w:widowControl w:val="0"/>
        <w:shd w:val="clear" w:color="auto" w:fill="auto"/>
        <w:tabs>
          <w:tab w:pos="1953" w:val="left"/>
        </w:tabs>
        <w:bidi w:val="0"/>
        <w:spacing w:before="0" w:after="0" w:line="240" w:lineRule="auto"/>
        <w:ind w:left="1540" w:right="0" w:firstLine="0"/>
        <w:jc w:val="left"/>
      </w:pPr>
      <w:bookmarkStart w:id="158" w:name="bookmark158"/>
      <w:r>
        <w:rPr>
          <w:rFonts w:ascii="Times New Roman" w:eastAsia="Times New Roman" w:hAnsi="Times New Roman" w:cs="Times New Roman"/>
          <w:color w:val="000000"/>
          <w:spacing w:val="0"/>
          <w:w w:val="100"/>
          <w:position w:val="0"/>
          <w:sz w:val="24"/>
          <w:szCs w:val="24"/>
        </w:rPr>
        <w:t>2</w:t>
      </w:r>
      <w:bookmarkEnd w:id="158"/>
      <w:r>
        <w:rPr>
          <w:color w:val="000000"/>
          <w:spacing w:val="0"/>
          <w:w w:val="100"/>
          <w:position w:val="0"/>
          <w:sz w:val="24"/>
          <w:szCs w:val="24"/>
        </w:rPr>
        <w:t>、</w:t>
        <w:tab/>
        <w:t>独立董事履行职责的其他说明</w:t>
      </w:r>
    </w:p>
    <w:p>
      <w:pPr>
        <w:pStyle w:val="Style14"/>
        <w:keepNext w:val="0"/>
        <w:keepLines w:val="0"/>
        <w:widowControl w:val="0"/>
        <w:shd w:val="clear" w:color="auto" w:fill="auto"/>
        <w:bidi w:val="0"/>
        <w:spacing w:before="0" w:after="0" w:line="581" w:lineRule="exact"/>
        <w:ind w:left="1040" w:right="0" w:firstLine="500"/>
        <w:jc w:val="both"/>
      </w:pPr>
      <w:r>
        <w:rPr>
          <w:color w:val="000000"/>
          <w:spacing w:val="0"/>
          <w:w w:val="100"/>
          <w:position w:val="0"/>
          <w:sz w:val="24"/>
          <w:szCs w:val="24"/>
        </w:rPr>
        <w:t>公司现有独立董事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人，独立董事本着对公司和全体股东诚信和勤勉的态 度，认真负责地参加了公司报告期内的董事会，认真履行作为独立董事应承担的 职责。独立董事对公司的定期报告、关联交易等议案进行了客观公正的评判，对 公司的持续、健康、稳定发展发挥了积极的作用。报告期内，公司独立董事未对 公司本年度的董事会议案及其他非董事会议案事项提出异议。</w:t>
      </w:r>
    </w:p>
    <w:p>
      <w:pPr>
        <w:pStyle w:val="Style14"/>
        <w:keepNext w:val="0"/>
        <w:keepLines w:val="0"/>
        <w:widowControl w:val="0"/>
        <w:shd w:val="clear" w:color="auto" w:fill="auto"/>
        <w:bidi w:val="0"/>
        <w:spacing w:before="0" w:after="0" w:line="581" w:lineRule="exact"/>
        <w:ind w:left="1040" w:right="0" w:firstLine="500"/>
        <w:jc w:val="both"/>
      </w:pPr>
      <w:r>
        <w:rPr>
          <w:color w:val="000000"/>
          <w:spacing w:val="0"/>
          <w:w w:val="100"/>
          <w:position w:val="0"/>
          <w:sz w:val="24"/>
          <w:szCs w:val="24"/>
        </w:rPr>
        <w:t xml:space="preserve">为进一步完善公司治理，健全公司内控体系，公司依据独立董事年报工作制 度，切实发挥独立董事在年报工作中的监督作用。报告期内，公司安排独立董事 参加了公司的年度总结大会，以便独立董事了解本年度的生产经营情况和重大事 项的进展情况；同时，公司及时将年报审计计划及相关重要文件及时寄送给独立 </w:t>
      </w:r>
      <w:r>
        <w:rPr>
          <w:color w:val="000000"/>
          <w:spacing w:val="0"/>
          <w:w w:val="100"/>
          <w:position w:val="0"/>
          <w:sz w:val="24"/>
          <w:szCs w:val="24"/>
        </w:rPr>
        <w:t>董事，并组织安排独立董事与年审会计师的见面会，沟通审计过程中发现的问题。</w:t>
      </w:r>
    </w:p>
    <w:p>
      <w:pPr>
        <w:pStyle w:val="Style14"/>
        <w:keepNext w:val="0"/>
        <w:keepLines w:val="0"/>
        <w:widowControl w:val="0"/>
        <w:shd w:val="clear" w:color="auto" w:fill="auto"/>
        <w:bidi w:val="0"/>
        <w:spacing w:before="0" w:after="0" w:line="581" w:lineRule="exact"/>
        <w:ind w:left="1540" w:right="0" w:firstLine="0"/>
        <w:jc w:val="left"/>
      </w:pPr>
      <w:bookmarkStart w:id="159" w:name="bookmark159"/>
      <w:r>
        <w:rPr>
          <w:b/>
          <w:bCs/>
          <w:color w:val="000000"/>
          <w:spacing w:val="0"/>
          <w:w w:val="100"/>
          <w:position w:val="0"/>
          <w:sz w:val="24"/>
          <w:szCs w:val="24"/>
        </w:rPr>
        <w:t>六</w:t>
      </w:r>
      <w:bookmarkEnd w:id="159"/>
      <w:r>
        <w:rPr>
          <w:b/>
          <w:bCs/>
          <w:color w:val="000000"/>
          <w:spacing w:val="0"/>
          <w:w w:val="100"/>
          <w:position w:val="0"/>
          <w:sz w:val="24"/>
          <w:szCs w:val="24"/>
        </w:rPr>
        <w:t>、董事会下设专门委员会在报告期内履行职责情况</w:t>
      </w:r>
    </w:p>
    <w:p>
      <w:pPr>
        <w:pStyle w:val="Style14"/>
        <w:keepNext w:val="0"/>
        <w:keepLines w:val="0"/>
        <w:widowControl w:val="0"/>
        <w:shd w:val="clear" w:color="auto" w:fill="auto"/>
        <w:bidi w:val="0"/>
        <w:spacing w:before="0" w:after="280" w:line="581" w:lineRule="exact"/>
        <w:ind w:left="1060" w:right="0" w:firstLine="480"/>
        <w:jc w:val="both"/>
      </w:pPr>
      <w:r>
        <w:rPr>
          <w:color w:val="000000"/>
          <w:spacing w:val="0"/>
          <w:w w:val="100"/>
          <w:position w:val="0"/>
          <w:sz w:val="24"/>
          <w:szCs w:val="24"/>
        </w:rPr>
        <w:t>公司董事会下设审计委员会、薪酬与考核委员会、提名委员会、战略委员会 四个专门委员会。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年各专门委员会本着勤勉尽责的原则，按照有关法律法 规、规范性文件及公司各专门委员会工作细则的有关规定开展相关工作，就专业 性事项进行研究，提出意见及建议，供董事会决策参考。报告期内，各专门委员 会履职情况如下：</w:t>
      </w:r>
    </w:p>
    <w:p>
      <w:pPr>
        <w:pStyle w:val="Style14"/>
        <w:keepNext w:val="0"/>
        <w:keepLines w:val="0"/>
        <w:widowControl w:val="0"/>
        <w:shd w:val="clear" w:color="auto" w:fill="auto"/>
        <w:tabs>
          <w:tab w:pos="1900" w:val="left"/>
        </w:tabs>
        <w:bidi w:val="0"/>
        <w:spacing w:before="0" w:after="0" w:line="506" w:lineRule="auto"/>
        <w:ind w:left="1540" w:right="0" w:firstLine="0"/>
        <w:jc w:val="left"/>
      </w:pPr>
      <w:bookmarkStart w:id="160" w:name="bookmark160"/>
      <w:r>
        <w:rPr>
          <w:rFonts w:ascii="Times New Roman" w:eastAsia="Times New Roman" w:hAnsi="Times New Roman" w:cs="Times New Roman"/>
          <w:color w:val="000000"/>
          <w:spacing w:val="0"/>
          <w:w w:val="100"/>
          <w:position w:val="0"/>
          <w:sz w:val="24"/>
          <w:szCs w:val="24"/>
        </w:rPr>
        <w:t>1</w:t>
      </w:r>
      <w:bookmarkEnd w:id="160"/>
      <w:r>
        <w:rPr>
          <w:color w:val="000000"/>
          <w:spacing w:val="0"/>
          <w:w w:val="100"/>
          <w:position w:val="0"/>
          <w:sz w:val="24"/>
          <w:szCs w:val="24"/>
        </w:rPr>
        <w:t>、</w:t>
        <w:tab/>
        <w:t>董事会审计委员会的履职情况</w:t>
      </w:r>
    </w:p>
    <w:p>
      <w:pPr>
        <w:pStyle w:val="Style14"/>
        <w:keepNext w:val="0"/>
        <w:keepLines w:val="0"/>
        <w:widowControl w:val="0"/>
        <w:shd w:val="clear" w:color="auto" w:fill="auto"/>
        <w:bidi w:val="0"/>
        <w:spacing w:before="0" w:after="280" w:line="581" w:lineRule="exact"/>
        <w:ind w:left="1060" w:right="0" w:firstLine="480"/>
        <w:jc w:val="both"/>
      </w:pPr>
      <w:r>
        <w:rPr>
          <w:color w:val="000000"/>
          <w:spacing w:val="0"/>
          <w:w w:val="100"/>
          <w:position w:val="0"/>
          <w:sz w:val="24"/>
          <w:szCs w:val="24"/>
        </w:rPr>
        <w:t>报告期内，审计委员会共召开了四次会议，讨论审议公司审计部的工作计划 与总结、募集资金使用情况核查报告、公司控股股东及关联方资金占用核查报告、 公司年度财务会计报表及续聘审计机构等相关内容，并形成决议提交公司董事 会。董事会审计委员会在</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年年报审计工作过程中与审计机构协商确定年度 财务报告审计工作时间安排，对天健会计师事务所（特殊普通合伙）审计工作进 行相关督促，对公司年度财务报表进行审阅并形成书面意见。同时，对审计机构 的年报审计工作进行总结和评价。</w:t>
      </w:r>
    </w:p>
    <w:p>
      <w:pPr>
        <w:pStyle w:val="Style14"/>
        <w:keepNext w:val="0"/>
        <w:keepLines w:val="0"/>
        <w:widowControl w:val="0"/>
        <w:shd w:val="clear" w:color="auto" w:fill="auto"/>
        <w:tabs>
          <w:tab w:pos="1920" w:val="left"/>
        </w:tabs>
        <w:bidi w:val="0"/>
        <w:spacing w:before="0" w:after="0" w:line="506" w:lineRule="auto"/>
        <w:ind w:left="1540" w:right="0" w:firstLine="0"/>
        <w:jc w:val="left"/>
      </w:pPr>
      <w:bookmarkStart w:id="161" w:name="bookmark161"/>
      <w:r>
        <w:rPr>
          <w:rFonts w:ascii="Times New Roman" w:eastAsia="Times New Roman" w:hAnsi="Times New Roman" w:cs="Times New Roman"/>
          <w:color w:val="000000"/>
          <w:spacing w:val="0"/>
          <w:w w:val="100"/>
          <w:position w:val="0"/>
          <w:sz w:val="24"/>
          <w:szCs w:val="24"/>
        </w:rPr>
        <w:t>2</w:t>
      </w:r>
      <w:bookmarkEnd w:id="161"/>
      <w:r>
        <w:rPr>
          <w:color w:val="000000"/>
          <w:spacing w:val="0"/>
          <w:w w:val="100"/>
          <w:position w:val="0"/>
          <w:sz w:val="24"/>
          <w:szCs w:val="24"/>
        </w:rPr>
        <w:t>、</w:t>
        <w:tab/>
        <w:t>董事会薪酬与考核委员会履职情况</w:t>
      </w:r>
    </w:p>
    <w:p>
      <w:pPr>
        <w:pStyle w:val="Style14"/>
        <w:keepNext w:val="0"/>
        <w:keepLines w:val="0"/>
        <w:widowControl w:val="0"/>
        <w:shd w:val="clear" w:color="auto" w:fill="auto"/>
        <w:bidi w:val="0"/>
        <w:spacing w:before="0" w:after="280" w:line="581" w:lineRule="exact"/>
        <w:ind w:left="1060" w:right="0" w:firstLine="480"/>
        <w:jc w:val="both"/>
      </w:pPr>
      <w:r>
        <w:rPr>
          <w:color w:val="000000"/>
          <w:spacing w:val="0"/>
          <w:w w:val="100"/>
          <w:position w:val="0"/>
          <w:sz w:val="24"/>
          <w:szCs w:val="24"/>
        </w:rPr>
        <w:t xml:space="preserve">报告期内，薪酬与考核委员会共召开了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次会议，审议公司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年度公司 董事、监事和高级管理人员薪酬分配情况。董事会薪酬与考核委员会对公司董事、 监事和高级管理人员</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年度薪酬分配情况进行了审核，认为公司相关人员的 年度薪酬分配方案是根据公司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年各项任务目标、经营指标完成情况进行综 合评价的结果，符合公司规章制度的要求和绩效考核规定，薪酬与考核委员会全 体委员无异议。</w:t>
      </w:r>
    </w:p>
    <w:p>
      <w:pPr>
        <w:pStyle w:val="Style14"/>
        <w:keepNext w:val="0"/>
        <w:keepLines w:val="0"/>
        <w:widowControl w:val="0"/>
        <w:shd w:val="clear" w:color="auto" w:fill="auto"/>
        <w:tabs>
          <w:tab w:pos="1920" w:val="left"/>
        </w:tabs>
        <w:bidi w:val="0"/>
        <w:spacing w:before="0" w:after="0" w:line="506" w:lineRule="auto"/>
        <w:ind w:left="1540" w:right="0" w:firstLine="0"/>
        <w:jc w:val="left"/>
      </w:pPr>
      <w:bookmarkStart w:id="162" w:name="bookmark162"/>
      <w:r>
        <w:rPr>
          <w:rFonts w:ascii="Times New Roman" w:eastAsia="Times New Roman" w:hAnsi="Times New Roman" w:cs="Times New Roman"/>
          <w:color w:val="000000"/>
          <w:spacing w:val="0"/>
          <w:w w:val="100"/>
          <w:position w:val="0"/>
          <w:sz w:val="24"/>
          <w:szCs w:val="24"/>
        </w:rPr>
        <w:t>3</w:t>
      </w:r>
      <w:bookmarkEnd w:id="162"/>
      <w:r>
        <w:rPr>
          <w:color w:val="000000"/>
          <w:spacing w:val="0"/>
          <w:w w:val="100"/>
          <w:position w:val="0"/>
          <w:sz w:val="24"/>
          <w:szCs w:val="24"/>
        </w:rPr>
        <w:t>、</w:t>
        <w:tab/>
        <w:t>董事会提名委员会履职情况</w:t>
      </w:r>
    </w:p>
    <w:p>
      <w:pPr>
        <w:pStyle w:val="Style14"/>
        <w:keepNext w:val="0"/>
        <w:keepLines w:val="0"/>
        <w:widowControl w:val="0"/>
        <w:shd w:val="clear" w:color="auto" w:fill="auto"/>
        <w:bidi w:val="0"/>
        <w:spacing w:before="0" w:after="280" w:line="581" w:lineRule="exact"/>
        <w:ind w:left="1540" w:right="0" w:firstLine="0"/>
        <w:jc w:val="left"/>
      </w:pPr>
      <w:r>
        <w:rPr>
          <w:color w:val="000000"/>
          <w:spacing w:val="0"/>
          <w:w w:val="100"/>
          <w:position w:val="0"/>
          <w:sz w:val="24"/>
          <w:szCs w:val="24"/>
        </w:rPr>
        <w:t>报告期内，提名委员会按照《董事会提名委员会实施细则》认真履行职责，</w:t>
      </w:r>
    </w:p>
    <w:p>
      <w:pPr>
        <w:pStyle w:val="Style14"/>
        <w:keepNext w:val="0"/>
        <w:keepLines w:val="0"/>
        <w:widowControl w:val="0"/>
        <w:shd w:val="clear" w:color="auto" w:fill="auto"/>
        <w:bidi w:val="0"/>
        <w:spacing w:before="0" w:after="280" w:line="580" w:lineRule="exact"/>
        <w:ind w:left="1140" w:right="0" w:firstLine="0"/>
        <w:jc w:val="left"/>
      </w:pPr>
      <w:r>
        <w:rPr>
          <w:color w:val="000000"/>
          <w:spacing w:val="0"/>
          <w:w w:val="100"/>
          <w:position w:val="0"/>
          <w:sz w:val="24"/>
          <w:szCs w:val="24"/>
        </w:rPr>
        <w:t>对公司核心人员的任职资格等相关事宜进行了讨论。</w:t>
      </w:r>
    </w:p>
    <w:p>
      <w:pPr>
        <w:pStyle w:val="Style14"/>
        <w:keepNext w:val="0"/>
        <w:keepLines w:val="0"/>
        <w:widowControl w:val="0"/>
        <w:shd w:val="clear" w:color="auto" w:fill="auto"/>
        <w:bidi w:val="0"/>
        <w:spacing w:before="0" w:after="0" w:line="504" w:lineRule="auto"/>
        <w:ind w:left="1620" w:right="0" w:firstLine="0"/>
        <w:jc w:val="left"/>
      </w:pPr>
      <w:bookmarkStart w:id="163" w:name="bookmark163"/>
      <w:r>
        <w:rPr>
          <w:rFonts w:ascii="Times New Roman" w:eastAsia="Times New Roman" w:hAnsi="Times New Roman" w:cs="Times New Roman"/>
          <w:color w:val="000000"/>
          <w:spacing w:val="0"/>
          <w:w w:val="100"/>
          <w:position w:val="0"/>
          <w:sz w:val="24"/>
          <w:szCs w:val="24"/>
        </w:rPr>
        <w:t>4</w:t>
      </w:r>
      <w:bookmarkEnd w:id="163"/>
      <w:r>
        <w:rPr>
          <w:color w:val="000000"/>
          <w:spacing w:val="0"/>
          <w:w w:val="100"/>
          <w:position w:val="0"/>
          <w:sz w:val="24"/>
          <w:szCs w:val="24"/>
        </w:rPr>
        <w:t>、公司董事会战略委员会履职情况</w:t>
      </w:r>
    </w:p>
    <w:p>
      <w:pPr>
        <w:pStyle w:val="Style14"/>
        <w:keepNext w:val="0"/>
        <w:keepLines w:val="0"/>
        <w:widowControl w:val="0"/>
        <w:shd w:val="clear" w:color="auto" w:fill="auto"/>
        <w:bidi w:val="0"/>
        <w:spacing w:before="0" w:after="0" w:line="580" w:lineRule="exact"/>
        <w:ind w:left="1140" w:right="0" w:firstLine="480"/>
        <w:jc w:val="both"/>
      </w:pPr>
      <w:r>
        <w:rPr>
          <w:color w:val="000000"/>
          <w:spacing w:val="0"/>
          <w:w w:val="100"/>
          <w:position w:val="0"/>
          <w:sz w:val="24"/>
          <w:szCs w:val="24"/>
        </w:rPr>
        <w:t>报告期内，结合国内外经济形势和公司细分行业的特点，对公司经营状况和 发展前景进行深入地分析，对公司战略规划、对外投资等事项进行了研究，提出 企业应重点关注的经营事项，为公司发展规划提出积极的建设性意见。</w:t>
      </w:r>
    </w:p>
    <w:p>
      <w:pPr>
        <w:pStyle w:val="Style14"/>
        <w:keepNext w:val="0"/>
        <w:keepLines w:val="0"/>
        <w:widowControl w:val="0"/>
        <w:shd w:val="clear" w:color="auto" w:fill="auto"/>
        <w:tabs>
          <w:tab w:pos="2142" w:val="left"/>
        </w:tabs>
        <w:bidi w:val="0"/>
        <w:spacing w:before="0" w:after="0" w:line="580" w:lineRule="exact"/>
        <w:ind w:left="1620" w:right="0" w:firstLine="0"/>
        <w:jc w:val="both"/>
      </w:pPr>
      <w:bookmarkStart w:id="164" w:name="bookmark164"/>
      <w:r>
        <w:rPr>
          <w:b/>
          <w:bCs/>
          <w:color w:val="000000"/>
          <w:spacing w:val="0"/>
          <w:w w:val="100"/>
          <w:position w:val="0"/>
          <w:sz w:val="24"/>
          <w:szCs w:val="24"/>
        </w:rPr>
        <w:t>七</w:t>
      </w:r>
      <w:bookmarkEnd w:id="164"/>
      <w:r>
        <w:rPr>
          <w:b/>
          <w:bCs/>
          <w:color w:val="000000"/>
          <w:spacing w:val="0"/>
          <w:w w:val="100"/>
          <w:position w:val="0"/>
          <w:sz w:val="24"/>
          <w:szCs w:val="24"/>
        </w:rPr>
        <w:t>、</w:t>
        <w:tab/>
        <w:t>监事会工作情况</w:t>
      </w:r>
    </w:p>
    <w:p>
      <w:pPr>
        <w:pStyle w:val="Style14"/>
        <w:keepNext w:val="0"/>
        <w:keepLines w:val="0"/>
        <w:widowControl w:val="0"/>
        <w:shd w:val="clear" w:color="auto" w:fill="auto"/>
        <w:bidi w:val="0"/>
        <w:spacing w:before="0" w:after="0" w:line="580" w:lineRule="exact"/>
        <w:ind w:left="1140" w:right="0" w:firstLine="480"/>
        <w:jc w:val="both"/>
      </w:pPr>
      <w:r>
        <w:rPr>
          <w:color w:val="000000"/>
          <w:spacing w:val="0"/>
          <w:w w:val="100"/>
          <w:position w:val="0"/>
          <w:sz w:val="24"/>
          <w:szCs w:val="24"/>
        </w:rPr>
        <w:t>公司监事会在报告期内的监督活动中发现公司不存在风险，并对报告期内的 监督事项无异议。</w:t>
      </w:r>
    </w:p>
    <w:p>
      <w:pPr>
        <w:pStyle w:val="Style14"/>
        <w:keepNext w:val="0"/>
        <w:keepLines w:val="0"/>
        <w:widowControl w:val="0"/>
        <w:shd w:val="clear" w:color="auto" w:fill="auto"/>
        <w:tabs>
          <w:tab w:pos="2142" w:val="left"/>
        </w:tabs>
        <w:bidi w:val="0"/>
        <w:spacing w:before="0" w:after="0" w:line="580" w:lineRule="exact"/>
        <w:ind w:left="1620" w:right="0" w:firstLine="0"/>
        <w:jc w:val="left"/>
      </w:pPr>
      <w:bookmarkStart w:id="165" w:name="bookmark165"/>
      <w:r>
        <w:rPr>
          <w:b/>
          <w:bCs/>
          <w:color w:val="000000"/>
          <w:spacing w:val="0"/>
          <w:w w:val="100"/>
          <w:position w:val="0"/>
          <w:sz w:val="24"/>
          <w:szCs w:val="24"/>
        </w:rPr>
        <w:t>八</w:t>
      </w:r>
      <w:bookmarkEnd w:id="165"/>
      <w:r>
        <w:rPr>
          <w:b/>
          <w:bCs/>
          <w:color w:val="000000"/>
          <w:spacing w:val="0"/>
          <w:w w:val="100"/>
          <w:position w:val="0"/>
          <w:sz w:val="24"/>
          <w:szCs w:val="24"/>
        </w:rPr>
        <w:t>、</w:t>
        <w:tab/>
        <w:t>高级管理人员的考评及激励情况</w:t>
      </w:r>
    </w:p>
    <w:p>
      <w:pPr>
        <w:pStyle w:val="Style14"/>
        <w:keepNext w:val="0"/>
        <w:keepLines w:val="0"/>
        <w:widowControl w:val="0"/>
        <w:shd w:val="clear" w:color="auto" w:fill="auto"/>
        <w:bidi w:val="0"/>
        <w:spacing w:before="0" w:after="0" w:line="580" w:lineRule="exact"/>
        <w:ind w:left="1140" w:right="0" w:firstLine="480"/>
        <w:jc w:val="both"/>
      </w:pPr>
      <w:r>
        <w:rPr>
          <w:color w:val="000000"/>
          <w:spacing w:val="0"/>
          <w:w w:val="100"/>
          <w:position w:val="0"/>
          <w:sz w:val="24"/>
          <w:szCs w:val="24"/>
        </w:rPr>
        <w:t>公司根据《公司治理细则》及相关的规章制度的要求，对高级管理人员的工 作进行约束。同时，公司根据年度重点项目、发展目标等指标完成情况对高级管 理人员的业绩和绩效进行考评和奖励。进一步完善公司治理结构，健全公司激励 与约束机制，增强公司管理团队和核心员工实现公司持续、健康发展的积极性与 创造性，确保公司经营发展目标的实现，促进公司的长远发展。</w:t>
      </w:r>
    </w:p>
    <w:p>
      <w:pPr>
        <w:pStyle w:val="Style14"/>
        <w:keepNext w:val="0"/>
        <w:keepLines w:val="0"/>
        <w:widowControl w:val="0"/>
        <w:shd w:val="clear" w:color="auto" w:fill="auto"/>
        <w:tabs>
          <w:tab w:pos="2142" w:val="left"/>
        </w:tabs>
        <w:bidi w:val="0"/>
        <w:spacing w:before="0" w:after="0" w:line="580" w:lineRule="exact"/>
        <w:ind w:left="1620" w:right="0" w:firstLine="0"/>
        <w:jc w:val="both"/>
      </w:pPr>
      <w:bookmarkStart w:id="166" w:name="bookmark166"/>
      <w:r>
        <w:rPr>
          <w:b/>
          <w:bCs/>
          <w:color w:val="000000"/>
          <w:spacing w:val="0"/>
          <w:w w:val="100"/>
          <w:position w:val="0"/>
          <w:sz w:val="24"/>
          <w:szCs w:val="24"/>
        </w:rPr>
        <w:t>九</w:t>
      </w:r>
      <w:bookmarkEnd w:id="166"/>
      <w:r>
        <w:rPr>
          <w:b/>
          <w:bCs/>
          <w:color w:val="000000"/>
          <w:spacing w:val="0"/>
          <w:w w:val="100"/>
          <w:position w:val="0"/>
          <w:sz w:val="24"/>
          <w:szCs w:val="24"/>
        </w:rPr>
        <w:t>、</w:t>
        <w:tab/>
        <w:t>内部控制评价报告</w:t>
      </w:r>
    </w:p>
    <w:p>
      <w:pPr>
        <w:pStyle w:val="Style14"/>
        <w:keepNext w:val="0"/>
        <w:keepLines w:val="0"/>
        <w:widowControl w:val="0"/>
        <w:shd w:val="clear" w:color="auto" w:fill="auto"/>
        <w:bidi w:val="0"/>
        <w:spacing w:before="0" w:after="280" w:line="580" w:lineRule="exact"/>
        <w:ind w:left="162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、报告期内，公司未存在内部控制重大缺陷的情况。</w:t>
      </w:r>
    </w:p>
    <w:p>
      <w:pPr>
        <w:pStyle w:val="Style30"/>
        <w:keepNext w:val="0"/>
        <w:keepLines w:val="0"/>
        <w:widowControl w:val="0"/>
        <w:shd w:val="clear" w:color="auto" w:fill="auto"/>
        <w:bidi w:val="0"/>
        <w:spacing w:before="0" w:after="0" w:line="240" w:lineRule="auto"/>
        <w:ind w:left="1594"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、内控自我评价报告</w:t>
      </w:r>
    </w:p>
    <w:tbl>
      <w:tblPr>
        <w:tblOverlap w:val="never"/>
        <w:jc w:val="center"/>
        <w:tblLayout w:type="fixed"/>
      </w:tblPr>
      <w:tblGrid>
        <w:gridCol w:w="1848"/>
        <w:gridCol w:w="2486"/>
        <w:gridCol w:w="2477"/>
        <w:gridCol w:w="3902"/>
      </w:tblGrid>
      <w:tr>
        <w:trPr>
          <w:trHeight w:val="307" w:hRule="exact"/>
        </w:trPr>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r>
      <w:tr>
        <w:trPr>
          <w:trHeight w:val="298" w:hRule="exact"/>
        </w:trPr>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董事会关于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年度内部控制自我评价报告</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纳入评价范围单位资产总额占公司合并财务报 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纳入评价范围单位营业收入占公司合并财务报 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4"/>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302"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1464"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gridSpan w:val="2"/>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exact"/>
              <w:ind w:left="0" w:right="0" w:firstLine="420"/>
              <w:jc w:val="left"/>
              <w:rPr>
                <w:sz w:val="20"/>
                <w:szCs w:val="20"/>
              </w:rPr>
            </w:pPr>
            <w:r>
              <w:rPr>
                <w:color w:val="000000"/>
                <w:spacing w:val="0"/>
                <w:w w:val="100"/>
                <w:position w:val="0"/>
                <w:sz w:val="20"/>
                <w:szCs w:val="20"/>
              </w:rPr>
              <w:t>出现以下情形的（包括但不限于），一般应认定 为财务报告内部控制重大缺陷：</w:t>
            </w:r>
          </w:p>
          <w:p>
            <w:pPr>
              <w:pStyle w:val="Style6"/>
              <w:keepNext w:val="0"/>
              <w:keepLines w:val="0"/>
              <w:widowControl w:val="0"/>
              <w:shd w:val="clear" w:color="auto" w:fill="auto"/>
              <w:tabs>
                <w:tab w:pos="838" w:val="left"/>
              </w:tabs>
              <w:bidi w:val="0"/>
              <w:spacing w:before="0" w:after="0" w:line="295" w:lineRule="exact"/>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发现董事、监事和高级管理人员重大舞弊；</w:t>
            </w:r>
          </w:p>
          <w:p>
            <w:pPr>
              <w:pStyle w:val="Style6"/>
              <w:keepNext w:val="0"/>
              <w:keepLines w:val="0"/>
              <w:widowControl w:val="0"/>
              <w:shd w:val="clear" w:color="auto" w:fill="auto"/>
              <w:tabs>
                <w:tab w:pos="926" w:val="left"/>
              </w:tabs>
              <w:bidi w:val="0"/>
              <w:spacing w:before="0" w:after="0" w:line="295" w:lineRule="exact"/>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发现当期财务报表存在重大错报，而内部控 制在运行过程中未能发现该错报；</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440"/>
              <w:jc w:val="left"/>
              <w:rPr>
                <w:sz w:val="20"/>
                <w:szCs w:val="20"/>
              </w:rPr>
            </w:pPr>
            <w:r>
              <w:rPr>
                <w:color w:val="000000"/>
                <w:spacing w:val="0"/>
                <w:w w:val="100"/>
                <w:position w:val="0"/>
                <w:sz w:val="20"/>
                <w:szCs w:val="20"/>
              </w:rPr>
              <w:t>非财务报告缺陷认定主要以缺陷对业 务流程有效性的影响程度、发生的可能性 作判定。</w:t>
            </w:r>
          </w:p>
          <w:p>
            <w:pPr>
              <w:pStyle w:val="Style6"/>
              <w:keepNext w:val="0"/>
              <w:keepLines w:val="0"/>
              <w:widowControl w:val="0"/>
              <w:shd w:val="clear" w:color="auto" w:fill="auto"/>
              <w:bidi w:val="0"/>
              <w:spacing w:before="0" w:after="0" w:line="290" w:lineRule="exact"/>
              <w:ind w:left="0" w:right="0" w:firstLine="440"/>
              <w:jc w:val="left"/>
              <w:rPr>
                <w:sz w:val="20"/>
                <w:szCs w:val="20"/>
              </w:rPr>
            </w:pPr>
            <w:r>
              <w:rPr>
                <w:color w:val="000000"/>
                <w:spacing w:val="0"/>
                <w:w w:val="100"/>
                <w:position w:val="0"/>
                <w:sz w:val="20"/>
                <w:szCs w:val="20"/>
              </w:rPr>
              <w:t>如果缺陷发生的可能性较小，会降低 工作效率或效果、或加大效果的不确定性、</w:t>
            </w:r>
          </w:p>
        </w:tc>
      </w:tr>
    </w:tbl>
    <w:p>
      <w:pPr>
        <w:spacing w:lineRule="exact" w:line="1"/>
        <w:rPr>
          <w:sz w:val="2"/>
          <w:szCs w:val="2"/>
        </w:rPr>
      </w:pPr>
      <w:r>
        <w:br w:type="page"/>
      </w:r>
    </w:p>
    <w:tbl>
      <w:tblPr>
        <w:tblOverlap w:val="never"/>
        <w:jc w:val="center"/>
        <w:tblLayout w:type="fixed"/>
      </w:tblPr>
      <w:tblGrid>
        <w:gridCol w:w="1848"/>
        <w:gridCol w:w="4963"/>
        <w:gridCol w:w="3902"/>
      </w:tblGrid>
      <w:tr>
        <w:trPr>
          <w:trHeight w:val="55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tabs>
                <w:tab w:pos="902" w:val="left"/>
              </w:tabs>
              <w:bidi w:val="0"/>
              <w:spacing w:before="0" w:after="0" w:line="302"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公司审计委员会和内部审计机构对内部控制 的监督无效；</w:t>
            </w:r>
          </w:p>
          <w:p>
            <w:pPr>
              <w:pStyle w:val="Style6"/>
              <w:keepNext w:val="0"/>
              <w:keepLines w:val="0"/>
              <w:widowControl w:val="0"/>
              <w:shd w:val="clear" w:color="auto" w:fill="auto"/>
              <w:tabs>
                <w:tab w:pos="943" w:val="left"/>
              </w:tabs>
              <w:bidi w:val="0"/>
              <w:spacing w:before="0" w:after="0" w:line="302"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控制环境无效；</w:t>
            </w:r>
          </w:p>
          <w:p>
            <w:pPr>
              <w:pStyle w:val="Style6"/>
              <w:keepNext w:val="0"/>
              <w:keepLines w:val="0"/>
              <w:widowControl w:val="0"/>
              <w:shd w:val="clear" w:color="auto" w:fill="auto"/>
              <w:tabs>
                <w:tab w:pos="902" w:val="left"/>
              </w:tabs>
              <w:bidi w:val="0"/>
              <w:spacing w:before="0" w:after="0" w:line="302"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一经发现并报告给管理层的重大缺陷在合理 的时间后未加以改正；</w:t>
            </w:r>
          </w:p>
          <w:p>
            <w:pPr>
              <w:pStyle w:val="Style6"/>
              <w:keepNext w:val="0"/>
              <w:keepLines w:val="0"/>
              <w:widowControl w:val="0"/>
              <w:shd w:val="clear" w:color="auto" w:fill="auto"/>
              <w:tabs>
                <w:tab w:pos="852" w:val="left"/>
              </w:tabs>
              <w:bidi w:val="0"/>
              <w:spacing w:before="0" w:after="0" w:line="298"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因会计差错导致的监管机构处罚。</w:t>
            </w:r>
          </w:p>
          <w:p>
            <w:pPr>
              <w:pStyle w:val="Style6"/>
              <w:keepNext w:val="0"/>
              <w:keepLines w:val="0"/>
              <w:widowControl w:val="0"/>
              <w:shd w:val="clear" w:color="auto" w:fill="auto"/>
              <w:bidi w:val="0"/>
              <w:spacing w:before="0" w:after="0" w:line="298" w:lineRule="exact"/>
              <w:ind w:left="0" w:right="0" w:firstLine="420"/>
              <w:jc w:val="both"/>
              <w:rPr>
                <w:sz w:val="20"/>
                <w:szCs w:val="20"/>
              </w:rPr>
            </w:pPr>
            <w:r>
              <w:rPr>
                <w:color w:val="000000"/>
                <w:spacing w:val="0"/>
                <w:w w:val="100"/>
                <w:position w:val="0"/>
                <w:sz w:val="20"/>
                <w:szCs w:val="20"/>
              </w:rPr>
              <w:t>出现以下情形的（包括但不限于），被认定为“重 要缺陷”，以及存在“重大缺陷”的强烈迹象：</w:t>
            </w:r>
          </w:p>
          <w:p>
            <w:pPr>
              <w:pStyle w:val="Style6"/>
              <w:keepNext w:val="0"/>
              <w:keepLines w:val="0"/>
              <w:widowControl w:val="0"/>
              <w:shd w:val="clear" w:color="auto" w:fill="auto"/>
              <w:tabs>
                <w:tab w:pos="842" w:val="left"/>
              </w:tabs>
              <w:bidi w:val="0"/>
              <w:spacing w:before="0" w:after="0" w:line="298"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关键岗位人员舞弊；</w:t>
            </w:r>
          </w:p>
          <w:p>
            <w:pPr>
              <w:pStyle w:val="Style6"/>
              <w:keepNext w:val="0"/>
              <w:keepLines w:val="0"/>
              <w:widowControl w:val="0"/>
              <w:shd w:val="clear" w:color="auto" w:fill="auto"/>
              <w:tabs>
                <w:tab w:pos="926" w:val="left"/>
              </w:tabs>
              <w:bidi w:val="0"/>
              <w:spacing w:before="0" w:after="0" w:line="298"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合规性监管职能失效，违反法规的行为可能 对财务报告的可靠性产生重大影响；</w:t>
            </w:r>
          </w:p>
          <w:p>
            <w:pPr>
              <w:pStyle w:val="Style6"/>
              <w:keepNext w:val="0"/>
              <w:keepLines w:val="0"/>
              <w:widowControl w:val="0"/>
              <w:shd w:val="clear" w:color="auto" w:fill="auto"/>
              <w:tabs>
                <w:tab w:pos="950" w:val="left"/>
              </w:tabs>
              <w:bidi w:val="0"/>
              <w:spacing w:before="0" w:after="0" w:line="29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已向管理层汇报但经过合理期限后，管理层 仍然没有对重要缺陷进行纠正；</w:t>
            </w:r>
          </w:p>
          <w:p>
            <w:pPr>
              <w:pStyle w:val="Style6"/>
              <w:keepNext w:val="0"/>
              <w:keepLines w:val="0"/>
              <w:widowControl w:val="0"/>
              <w:shd w:val="clear" w:color="auto" w:fill="auto"/>
              <w:tabs>
                <w:tab w:pos="842" w:val="left"/>
              </w:tabs>
              <w:bidi w:val="0"/>
              <w:spacing w:before="0" w:after="0" w:line="29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未依照公认会计准则选择和应用会计政策；</w:t>
            </w:r>
          </w:p>
          <w:p>
            <w:pPr>
              <w:pStyle w:val="Style6"/>
              <w:keepNext w:val="0"/>
              <w:keepLines w:val="0"/>
              <w:widowControl w:val="0"/>
              <w:shd w:val="clear" w:color="auto" w:fill="auto"/>
              <w:tabs>
                <w:tab w:pos="1042" w:val="left"/>
              </w:tabs>
              <w:bidi w:val="0"/>
              <w:spacing w:before="0" w:after="0" w:line="29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对于非常规或特殊交易的账务处理没有建 立相应的控制机制或没有实施且没有相应的补偿性控 制；</w:t>
            </w:r>
          </w:p>
          <w:p>
            <w:pPr>
              <w:pStyle w:val="Style6"/>
              <w:keepNext w:val="0"/>
              <w:keepLines w:val="0"/>
              <w:widowControl w:val="0"/>
              <w:shd w:val="clear" w:color="auto" w:fill="auto"/>
              <w:bidi w:val="0"/>
              <w:spacing w:before="0" w:after="0" w:line="296" w:lineRule="exact"/>
              <w:ind w:left="0" w:right="0" w:firstLine="420"/>
              <w:jc w:val="both"/>
              <w:rPr>
                <w:sz w:val="20"/>
                <w:szCs w:val="20"/>
              </w:rPr>
            </w:pPr>
            <w:r>
              <w:rPr>
                <w:color w:val="000000"/>
                <w:spacing w:val="0"/>
                <w:w w:val="100"/>
                <w:position w:val="0"/>
                <w:sz w:val="20"/>
                <w:szCs w:val="20"/>
              </w:rPr>
              <w:t>一般缺陷是指除上述重大缺陷、重要缺陷之外的 其他控制缺陷。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或使之偏离预期目标为一般缺陷。</w:t>
            </w:r>
          </w:p>
          <w:p>
            <w:pPr>
              <w:pStyle w:val="Style6"/>
              <w:keepNext w:val="0"/>
              <w:keepLines w:val="0"/>
              <w:widowControl w:val="0"/>
              <w:shd w:val="clear" w:color="auto" w:fill="auto"/>
              <w:bidi w:val="0"/>
              <w:spacing w:before="0" w:after="0" w:line="290" w:lineRule="exact"/>
              <w:ind w:left="0" w:right="0" w:firstLine="440"/>
              <w:jc w:val="both"/>
              <w:rPr>
                <w:sz w:val="20"/>
                <w:szCs w:val="20"/>
              </w:rPr>
            </w:pPr>
            <w:r>
              <w:rPr>
                <w:color w:val="000000"/>
                <w:spacing w:val="0"/>
                <w:w w:val="100"/>
                <w:position w:val="0"/>
                <w:sz w:val="20"/>
                <w:szCs w:val="20"/>
              </w:rPr>
              <w:t>如果缺陷发生的可能性较高，会显著 降低工作效率或效果、或显著加大效果的 不确定性、或使之显著偏离预期目标为重 要缺陷；如果缺陷发生的可能性高，会严 重降低工作效率或效果、或严重加大效果 的不确定性、或使之严重偏离预期目标为 重大缺陷。</w:t>
            </w:r>
          </w:p>
        </w:tc>
      </w:tr>
      <w:tr>
        <w:trPr>
          <w:trHeight w:val="407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0" w:lineRule="exact"/>
              <w:ind w:left="0" w:right="0" w:firstLine="420"/>
              <w:jc w:val="both"/>
              <w:rPr>
                <w:sz w:val="20"/>
                <w:szCs w:val="20"/>
              </w:rPr>
            </w:pPr>
            <w:r>
              <w:rPr>
                <w:color w:val="000000"/>
                <w:spacing w:val="0"/>
                <w:w w:val="100"/>
                <w:position w:val="0"/>
                <w:sz w:val="20"/>
                <w:szCs w:val="20"/>
              </w:rPr>
              <w:t xml:space="preserve">内部控制缺陷可能导致或导致的损失与利润相关 的，以营业收入指标衡量。如果该缺陷单独或连同其 他缺陷可能导致的财务报告错报金额小于营业收入的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，则认定为一般缺陷；如果超过营业收入的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但 小于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，则为重要缺陷；如果超过营业收入的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则认定为重大缺陷。</w:t>
            </w:r>
          </w:p>
          <w:p>
            <w:pPr>
              <w:pStyle w:val="Style6"/>
              <w:keepNext w:val="0"/>
              <w:keepLines w:val="0"/>
              <w:widowControl w:val="0"/>
              <w:shd w:val="clear" w:color="auto" w:fill="auto"/>
              <w:bidi w:val="0"/>
              <w:spacing w:before="0" w:after="0" w:line="290" w:lineRule="exact"/>
              <w:ind w:left="0" w:right="0" w:firstLine="420"/>
              <w:jc w:val="both"/>
              <w:rPr>
                <w:sz w:val="20"/>
                <w:szCs w:val="20"/>
              </w:rPr>
            </w:pPr>
            <w:r>
              <w:rPr>
                <w:color w:val="000000"/>
                <w:spacing w:val="0"/>
                <w:w w:val="100"/>
                <w:position w:val="0"/>
                <w:sz w:val="20"/>
                <w:szCs w:val="20"/>
              </w:rPr>
              <w:t>内部控制缺陷可能导致或导致的损失与资产管理 相关的，以资产总额指标衡量。如果该缺陷单独或连 同其他缺陷可能导致的财务报告错报金额小于资产总 额的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,则认定为一般缺陷；如果超过资产总额的</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但小于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认定为重要缺陷；如果超过资产总额</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则认定为重大缺陷。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440"/>
              <w:jc w:val="both"/>
              <w:rPr>
                <w:sz w:val="20"/>
                <w:szCs w:val="20"/>
              </w:rPr>
            </w:pPr>
            <w:r>
              <w:rPr>
                <w:color w:val="000000"/>
                <w:spacing w:val="0"/>
                <w:w w:val="100"/>
                <w:position w:val="0"/>
                <w:sz w:val="20"/>
                <w:szCs w:val="20"/>
              </w:rPr>
              <w:t>内部控制缺陷可能导致或导致的损失 与利润相关的，以营业收入指标衡量。如 果该缺陷单独或连同其他缺陷可能导致的 财务报告错报金额小于营业收入的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,则 认定为一般缺陷；如果超过营业收入的</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但小于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认定为重要缺陷；如果超过利润 营业收入的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，则认定为重大缺陷。</w:t>
            </w:r>
          </w:p>
          <w:p>
            <w:pPr>
              <w:pStyle w:val="Style6"/>
              <w:keepNext w:val="0"/>
              <w:keepLines w:val="0"/>
              <w:widowControl w:val="0"/>
              <w:shd w:val="clear" w:color="auto" w:fill="auto"/>
              <w:bidi w:val="0"/>
              <w:spacing w:before="0" w:after="0" w:line="290" w:lineRule="exact"/>
              <w:ind w:left="0" w:right="0" w:firstLine="440"/>
              <w:jc w:val="both"/>
              <w:rPr>
                <w:sz w:val="20"/>
                <w:szCs w:val="20"/>
              </w:rPr>
            </w:pPr>
            <w:r>
              <w:rPr>
                <w:color w:val="000000"/>
                <w:spacing w:val="0"/>
                <w:w w:val="100"/>
                <w:position w:val="0"/>
                <w:sz w:val="20"/>
                <w:szCs w:val="20"/>
              </w:rPr>
              <w:t>内部控制缺陷可能导致或导致的损失 与资产管理相关的，以资产总额指标衡量。 如果该缺陷单独或连同其他缺陷可能导致 的财务报告错报金额小于资产总额的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则认定为一般缺陷；如果超过资产总额</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但小于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则认定为重要缺陷；如果超过资 产总额</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，则认定为重大缺陷。</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财务报告重大缺陷</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87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非财务报告重大缺 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87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财务报告重要缺陷</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87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595"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非财务报告重要缺 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87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139" w:line="1" w:lineRule="exact"/>
      </w:pPr>
    </w:p>
    <w:p>
      <w:pPr>
        <w:pStyle w:val="Style14"/>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z w:val="24"/>
          <w:szCs w:val="24"/>
        </w:rPr>
        <w:t>十、报告期内，公司无需出具内部控制审计报告或鉴证报告。</w:t>
      </w:r>
      <w:r>
        <w:br w:type="page"/>
      </w:r>
    </w:p>
    <w:p>
      <w:pPr>
        <w:pStyle w:val="Style26"/>
        <w:keepNext/>
        <w:keepLines/>
        <w:widowControl w:val="0"/>
        <w:shd w:val="clear" w:color="auto" w:fill="auto"/>
        <w:bidi w:val="0"/>
        <w:spacing w:before="0" w:after="560" w:line="240" w:lineRule="auto"/>
        <w:ind w:left="0" w:right="0" w:firstLine="0"/>
        <w:jc w:val="center"/>
      </w:pPr>
      <w:bookmarkStart w:id="167" w:name="bookmark167"/>
      <w:bookmarkStart w:id="168" w:name="bookmark168"/>
      <w:bookmarkStart w:id="169" w:name="bookmark169"/>
      <w:bookmarkStart w:id="170" w:name="bookmark170"/>
      <w:r>
        <w:rPr>
          <w:color w:val="000000"/>
          <w:spacing w:val="0"/>
          <w:w w:val="100"/>
          <w:position w:val="0"/>
        </w:rPr>
        <w:t>第十节公司债券相关情况</w:t>
      </w:r>
      <w:bookmarkEnd w:id="168"/>
      <w:bookmarkEnd w:id="169"/>
      <w:bookmarkEnd w:id="170"/>
      <w:bookmarkEnd w:id="167"/>
    </w:p>
    <w:p>
      <w:pPr>
        <w:pStyle w:val="Style14"/>
        <w:keepNext w:val="0"/>
        <w:keepLines w:val="0"/>
        <w:widowControl w:val="0"/>
        <w:shd w:val="clear" w:color="auto" w:fill="auto"/>
        <w:bidi w:val="0"/>
        <w:spacing w:before="0" w:after="140" w:line="240" w:lineRule="auto"/>
        <w:ind w:left="1840" w:right="0" w:firstLine="0"/>
        <w:jc w:val="left"/>
      </w:pPr>
      <w:r>
        <w:rPr>
          <w:b/>
          <w:bCs/>
          <w:color w:val="000000"/>
          <w:spacing w:val="0"/>
          <w:w w:val="100"/>
          <w:position w:val="0"/>
          <w:sz w:val="24"/>
          <w:szCs w:val="24"/>
        </w:rPr>
        <w:t>、公司债券基本信息</w:t>
      </w:r>
    </w:p>
    <w:tbl>
      <w:tblPr>
        <w:tblOverlap w:val="never"/>
        <w:jc w:val="center"/>
        <w:tblLayout w:type="fixed"/>
      </w:tblPr>
      <w:tblGrid>
        <w:gridCol w:w="1771"/>
        <w:gridCol w:w="1195"/>
        <w:gridCol w:w="1195"/>
        <w:gridCol w:w="1195"/>
        <w:gridCol w:w="1195"/>
        <w:gridCol w:w="1195"/>
        <w:gridCol w:w="1200"/>
        <w:gridCol w:w="1200"/>
      </w:tblGrid>
      <w:tr>
        <w:trPr>
          <w:trHeight w:val="59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债券简称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债券代码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债券余额 （万元）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利率</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还本付息方 式</w:t>
            </w:r>
          </w:p>
        </w:tc>
      </w:tr>
      <w:tr>
        <w:trPr>
          <w:trHeight w:val="204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浙江传化股份有限 公司公开发行</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传化债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每年付息一 次，到期一 次还本，最 后一期利息 随本金的兑 付一起支 付。</w:t>
            </w:r>
          </w:p>
        </w:tc>
      </w:tr>
      <w:tr>
        <w:trPr>
          <w:trHeight w:val="590" w:hRule="exact"/>
        </w:trPr>
        <w:tc>
          <w:tcPr>
            <w:gridSpan w:val="2"/>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公司债券上市或转让的交易场 所</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深圳证券交易所</w:t>
            </w:r>
          </w:p>
        </w:tc>
      </w:tr>
      <w:tr>
        <w:trPr>
          <w:trHeight w:val="298" w:hRule="exact"/>
        </w:trPr>
        <w:tc>
          <w:tcPr>
            <w:gridSpan w:val="2"/>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投资者适当性安排</w:t>
            </w:r>
          </w:p>
        </w:tc>
        <w:tc>
          <w:tcPr>
            <w:gridSpan w:val="6"/>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88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报告期内公司债券的付息兑付 情况</w:t>
            </w:r>
          </w:p>
        </w:tc>
        <w:tc>
          <w:tcPr>
            <w:gridSpan w:val="6"/>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日公司公告披露了《</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年公司债券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年付息公告》（公 告编号：</w:t>
            </w:r>
            <w:r>
              <w:rPr>
                <w:rFonts w:ascii="Times New Roman" w:eastAsia="Times New Roman" w:hAnsi="Times New Roman" w:cs="Times New Roman"/>
                <w:color w:val="000000"/>
                <w:spacing w:val="0"/>
                <w:w w:val="100"/>
                <w:position w:val="0"/>
                <w:sz w:val="20"/>
                <w:szCs w:val="20"/>
              </w:rPr>
              <w:t>2016-012</w:t>
            </w:r>
            <w:r>
              <w:rPr>
                <w:color w:val="000000"/>
                <w:spacing w:val="0"/>
                <w:w w:val="100"/>
                <w:position w:val="0"/>
                <w:sz w:val="20"/>
                <w:szCs w:val="20"/>
              </w:rPr>
              <w:t>）</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日支付</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日期间的公司债利息。</w:t>
            </w:r>
          </w:p>
        </w:tc>
      </w:tr>
      <w:tr>
        <w:trPr>
          <w:trHeight w:val="1171" w:hRule="exact"/>
        </w:trPr>
        <w:tc>
          <w:tcPr>
            <w:gridSpan w:val="2"/>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公司债券附发行人或投资者选 择权条款、可交换条款等特殊条 款的，报告期内相关条款的执行 情况（如适用）。</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600" w:right="0" w:firstLine="0"/>
        <w:jc w:val="left"/>
      </w:pPr>
      <w:r>
        <w:rPr>
          <w:b/>
          <w:bCs/>
          <w:color w:val="000000"/>
          <w:spacing w:val="0"/>
          <w:w w:val="100"/>
          <w:position w:val="0"/>
          <w:sz w:val="24"/>
          <w:szCs w:val="24"/>
        </w:rPr>
        <w:t>二、债券受托管理人和资信评级机构信息</w:t>
      </w:r>
    </w:p>
    <w:tbl>
      <w:tblPr>
        <w:tblOverlap w:val="never"/>
        <w:jc w:val="center"/>
        <w:tblLayout w:type="fixed"/>
      </w:tblPr>
      <w:tblGrid>
        <w:gridCol w:w="1776"/>
        <w:gridCol w:w="1195"/>
        <w:gridCol w:w="797"/>
        <w:gridCol w:w="398"/>
        <w:gridCol w:w="1195"/>
        <w:gridCol w:w="1195"/>
        <w:gridCol w:w="960"/>
        <w:gridCol w:w="1138"/>
        <w:gridCol w:w="1498"/>
      </w:tblGrid>
      <w:tr>
        <w:trPr>
          <w:trHeight w:val="307" w:hRule="exact"/>
        </w:trPr>
        <w:tc>
          <w:tcPr>
            <w:gridSpan w:val="9"/>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债券受托管理人：</w:t>
            </w:r>
          </w:p>
        </w:tc>
      </w:tr>
      <w:tr>
        <w:trPr>
          <w:trHeight w:val="87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光大证券股 份有限公司</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上海市静安 区新闸路</w:t>
            </w:r>
          </w:p>
          <w:p>
            <w:pPr>
              <w:pStyle w:val="Style6"/>
              <w:keepNext w:val="0"/>
              <w:keepLines w:val="0"/>
              <w:widowControl w:val="0"/>
              <w:shd w:val="clear" w:color="auto" w:fill="auto"/>
              <w:bidi w:val="0"/>
              <w:spacing w:before="0" w:after="0" w:line="295"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1508 </w:t>
            </w:r>
            <w:r>
              <w:rPr>
                <w:color w:val="000000"/>
                <w:spacing w:val="0"/>
                <w:w w:val="100"/>
                <w:position w:val="0"/>
                <w:sz w:val="20"/>
                <w:szCs w:val="20"/>
              </w:rPr>
              <w:t>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席平健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联系人电话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021-22169286</w:t>
            </w:r>
          </w:p>
        </w:tc>
      </w:tr>
      <w:tr>
        <w:trPr>
          <w:trHeight w:val="302" w:hRule="exact"/>
        </w:trPr>
        <w:tc>
          <w:tcPr>
            <w:gridSpan w:val="9"/>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报告期内对公司债券进行跟踪评级的资信评级机构：</w:t>
            </w:r>
          </w:p>
        </w:tc>
      </w:tr>
      <w:tr>
        <w:trPr>
          <w:trHeight w:val="59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东方金诚国际信用评估有限公司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北京市西城区德胜门外大街</w:t>
            </w:r>
            <w:r>
              <w:rPr>
                <w:rFonts w:ascii="Times New Roman" w:eastAsia="Times New Roman" w:hAnsi="Times New Roman" w:cs="Times New Roman"/>
                <w:color w:val="000000"/>
                <w:spacing w:val="0"/>
                <w:w w:val="100"/>
                <w:position w:val="0"/>
                <w:sz w:val="20"/>
                <w:szCs w:val="20"/>
              </w:rPr>
              <w:t>83</w:t>
            </w:r>
            <w:r>
              <w:rPr>
                <w:color w:val="000000"/>
                <w:spacing w:val="0"/>
                <w:w w:val="100"/>
                <w:position w:val="0"/>
                <w:sz w:val="20"/>
                <w:szCs w:val="20"/>
              </w:rPr>
              <w:t>号德胜 国际中心</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层</w:t>
            </w:r>
          </w:p>
        </w:tc>
      </w:tr>
      <w:tr>
        <w:trPr>
          <w:trHeight w:val="1171" w:hRule="exact"/>
        </w:trPr>
        <w:tc>
          <w:tcPr>
            <w:gridSpan w:val="3"/>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报告期内公司聘请的债券受托管理人、资 信评级机构发生变更的，变更的原因、履 行的程序、对投资者利益的影响等（如适 用）</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600" w:right="0" w:firstLine="0"/>
        <w:jc w:val="left"/>
      </w:pPr>
      <w:r>
        <w:rPr>
          <w:b/>
          <w:bCs/>
          <w:color w:val="000000"/>
          <w:spacing w:val="0"/>
          <w:w w:val="100"/>
          <w:position w:val="0"/>
          <w:sz w:val="24"/>
          <w:szCs w:val="24"/>
        </w:rPr>
        <w:t>三、公司债券募集资金使用情况</w:t>
      </w:r>
    </w:p>
    <w:tbl>
      <w:tblPr>
        <w:tblOverlap w:val="never"/>
        <w:jc w:val="center"/>
        <w:tblLayout w:type="fixed"/>
      </w:tblPr>
      <w:tblGrid>
        <w:gridCol w:w="3763"/>
        <w:gridCol w:w="6384"/>
      </w:tblGrid>
      <w:tr>
        <w:trPr>
          <w:trHeight w:val="595"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公司债券募集资金使用情况及履行的程 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公司债券募集资金已使用完毕。</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年末余额（万元）</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募集资金专项账户运作情况</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公司不存在公司债券募集资金专项账户。</w:t>
            </w:r>
          </w:p>
        </w:tc>
      </w:tr>
      <w:tr>
        <w:trPr>
          <w:trHeight w:val="595"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1600" w:right="0" w:firstLine="0"/>
        <w:jc w:val="left"/>
      </w:pPr>
      <w:bookmarkStart w:id="171" w:name="bookmark171"/>
      <w:r>
        <w:rPr>
          <w:b/>
          <w:bCs/>
          <w:color w:val="000000"/>
          <w:spacing w:val="0"/>
          <w:w w:val="100"/>
          <w:position w:val="0"/>
          <w:sz w:val="24"/>
          <w:szCs w:val="24"/>
        </w:rPr>
        <w:t>四</w:t>
      </w:r>
      <w:bookmarkEnd w:id="171"/>
      <w:r>
        <w:rPr>
          <w:b/>
          <w:bCs/>
          <w:color w:val="000000"/>
          <w:spacing w:val="0"/>
          <w:w w:val="100"/>
          <w:position w:val="0"/>
          <w:sz w:val="24"/>
          <w:szCs w:val="24"/>
        </w:rPr>
        <w:t>、公司债券信息评级情况</w:t>
      </w:r>
    </w:p>
    <w:p>
      <w:pPr>
        <w:pStyle w:val="Style14"/>
        <w:keepNext w:val="0"/>
        <w:keepLines w:val="0"/>
        <w:widowControl w:val="0"/>
        <w:shd w:val="clear" w:color="auto" w:fill="auto"/>
        <w:bidi w:val="0"/>
        <w:spacing w:before="0" w:after="0" w:line="577" w:lineRule="exact"/>
        <w:ind w:left="1120" w:right="0" w:firstLine="480"/>
        <w:jc w:val="both"/>
      </w:pPr>
      <w:r>
        <w:rPr>
          <w:color w:val="000000"/>
          <w:spacing w:val="0"/>
          <w:w w:val="100"/>
          <w:position w:val="0"/>
          <w:sz w:val="24"/>
          <w:szCs w:val="24"/>
        </w:rPr>
        <w:t>报告期内，东方金诚国际信用评估有限公司对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年公司债券进行了跟踪 评级，本期债券信用等级维持为</w:t>
      </w:r>
      <w:r>
        <w:rPr>
          <w:rFonts w:ascii="Times New Roman" w:eastAsia="Times New Roman" w:hAnsi="Times New Roman" w:cs="Times New Roman"/>
          <w:color w:val="000000"/>
          <w:spacing w:val="0"/>
          <w:w w:val="100"/>
          <w:position w:val="0"/>
          <w:sz w:val="24"/>
          <w:szCs w:val="24"/>
        </w:rPr>
        <w:t>AA</w:t>
      </w:r>
      <w:r>
        <w:rPr>
          <w:color w:val="000000"/>
          <w:spacing w:val="0"/>
          <w:w w:val="100"/>
          <w:position w:val="0"/>
          <w:sz w:val="24"/>
          <w:szCs w:val="24"/>
        </w:rPr>
        <w:t>，</w:t>
      </w:r>
      <w:r>
        <w:rPr>
          <w:color w:val="000000"/>
          <w:spacing w:val="0"/>
          <w:w w:val="100"/>
          <w:position w:val="0"/>
          <w:sz w:val="24"/>
          <w:szCs w:val="24"/>
        </w:rPr>
        <w:t>发行主体长期信用等级维持为</w:t>
      </w:r>
      <w:r>
        <w:rPr>
          <w:rFonts w:ascii="Times New Roman" w:eastAsia="Times New Roman" w:hAnsi="Times New Roman" w:cs="Times New Roman"/>
          <w:color w:val="000000"/>
          <w:spacing w:val="0"/>
          <w:w w:val="100"/>
          <w:position w:val="0"/>
          <w:sz w:val="24"/>
          <w:szCs w:val="24"/>
        </w:rPr>
        <w:t>AA</w:t>
      </w:r>
      <w:r>
        <w:rPr>
          <w:color w:val="000000"/>
          <w:spacing w:val="0"/>
          <w:w w:val="100"/>
          <w:position w:val="0"/>
          <w:sz w:val="24"/>
          <w:szCs w:val="24"/>
        </w:rPr>
        <w:t>，</w:t>
      </w:r>
      <w:r>
        <w:rPr>
          <w:color w:val="000000"/>
          <w:spacing w:val="0"/>
          <w:w w:val="100"/>
          <w:position w:val="0"/>
          <w:sz w:val="24"/>
          <w:szCs w:val="24"/>
        </w:rPr>
        <w:t>评级 展望维持为稳定，同时公司按期支付发行的公司债利息，切实保障了债权人的利 益。</w:t>
      </w:r>
    </w:p>
    <w:p>
      <w:pPr>
        <w:pStyle w:val="Style14"/>
        <w:keepNext w:val="0"/>
        <w:keepLines w:val="0"/>
        <w:widowControl w:val="0"/>
        <w:shd w:val="clear" w:color="auto" w:fill="auto"/>
        <w:tabs>
          <w:tab w:pos="2117" w:val="left"/>
        </w:tabs>
        <w:bidi w:val="0"/>
        <w:spacing w:before="0" w:after="0" w:line="577" w:lineRule="exact"/>
        <w:ind w:left="1600" w:right="0" w:firstLine="0"/>
        <w:jc w:val="left"/>
      </w:pPr>
      <w:bookmarkStart w:id="172" w:name="bookmark172"/>
      <w:r>
        <w:rPr>
          <w:b/>
          <w:bCs/>
          <w:color w:val="000000"/>
          <w:spacing w:val="0"/>
          <w:w w:val="100"/>
          <w:position w:val="0"/>
          <w:sz w:val="24"/>
          <w:szCs w:val="24"/>
        </w:rPr>
        <w:t>五</w:t>
      </w:r>
      <w:bookmarkEnd w:id="172"/>
      <w:r>
        <w:rPr>
          <w:b/>
          <w:bCs/>
          <w:color w:val="000000"/>
          <w:spacing w:val="0"/>
          <w:w w:val="100"/>
          <w:position w:val="0"/>
          <w:sz w:val="24"/>
          <w:szCs w:val="24"/>
        </w:rPr>
        <w:t>、</w:t>
        <w:tab/>
        <w:t>报告期内，公司未有债券增信机制、偿债计划及其他偿债保障措施。</w:t>
      </w:r>
    </w:p>
    <w:p>
      <w:pPr>
        <w:pStyle w:val="Style14"/>
        <w:keepNext w:val="0"/>
        <w:keepLines w:val="0"/>
        <w:widowControl w:val="0"/>
        <w:shd w:val="clear" w:color="auto" w:fill="auto"/>
        <w:tabs>
          <w:tab w:pos="2122" w:val="left"/>
        </w:tabs>
        <w:bidi w:val="0"/>
        <w:spacing w:before="0" w:after="0" w:line="577" w:lineRule="exact"/>
        <w:ind w:left="1600" w:right="0" w:firstLine="0"/>
        <w:jc w:val="left"/>
      </w:pPr>
      <w:bookmarkStart w:id="173" w:name="bookmark173"/>
      <w:r>
        <w:rPr>
          <w:b/>
          <w:bCs/>
          <w:color w:val="000000"/>
          <w:spacing w:val="0"/>
          <w:w w:val="100"/>
          <w:position w:val="0"/>
          <w:sz w:val="24"/>
          <w:szCs w:val="24"/>
        </w:rPr>
        <w:t>六</w:t>
      </w:r>
      <w:bookmarkEnd w:id="173"/>
      <w:r>
        <w:rPr>
          <w:b/>
          <w:bCs/>
          <w:color w:val="000000"/>
          <w:spacing w:val="0"/>
          <w:w w:val="100"/>
          <w:position w:val="0"/>
          <w:sz w:val="24"/>
          <w:szCs w:val="24"/>
        </w:rPr>
        <w:t>、</w:t>
        <w:tab/>
        <w:t>报告期内，未发生召开债券持有人会议的情况。</w:t>
      </w:r>
    </w:p>
    <w:p>
      <w:pPr>
        <w:pStyle w:val="Style14"/>
        <w:keepNext w:val="0"/>
        <w:keepLines w:val="0"/>
        <w:widowControl w:val="0"/>
        <w:shd w:val="clear" w:color="auto" w:fill="auto"/>
        <w:tabs>
          <w:tab w:pos="2122" w:val="left"/>
        </w:tabs>
        <w:bidi w:val="0"/>
        <w:spacing w:before="0" w:after="0" w:line="577" w:lineRule="exact"/>
        <w:ind w:left="1600" w:right="0" w:firstLine="0"/>
        <w:jc w:val="left"/>
      </w:pPr>
      <w:bookmarkStart w:id="174" w:name="bookmark174"/>
      <w:r>
        <w:rPr>
          <w:b/>
          <w:bCs/>
          <w:color w:val="000000"/>
          <w:spacing w:val="0"/>
          <w:w w:val="100"/>
          <w:position w:val="0"/>
          <w:sz w:val="24"/>
          <w:szCs w:val="24"/>
        </w:rPr>
        <w:t>七</w:t>
      </w:r>
      <w:bookmarkEnd w:id="174"/>
      <w:r>
        <w:rPr>
          <w:b/>
          <w:bCs/>
          <w:color w:val="000000"/>
          <w:spacing w:val="0"/>
          <w:w w:val="100"/>
          <w:position w:val="0"/>
          <w:sz w:val="24"/>
          <w:szCs w:val="24"/>
        </w:rPr>
        <w:t>、</w:t>
        <w:tab/>
        <w:t>报告期内债券受托管理人履行职责的情况</w:t>
      </w:r>
    </w:p>
    <w:p>
      <w:pPr>
        <w:pStyle w:val="Style14"/>
        <w:keepNext w:val="0"/>
        <w:keepLines w:val="0"/>
        <w:widowControl w:val="0"/>
        <w:shd w:val="clear" w:color="auto" w:fill="auto"/>
        <w:bidi w:val="0"/>
        <w:spacing w:before="0" w:after="0" w:line="577" w:lineRule="exact"/>
        <w:ind w:left="1120" w:right="0" w:firstLine="480"/>
        <w:jc w:val="left"/>
      </w:pPr>
      <w:r>
        <w:rPr>
          <w:color w:val="000000"/>
          <w:spacing w:val="0"/>
          <w:w w:val="100"/>
          <w:position w:val="0"/>
          <w:sz w:val="24"/>
          <w:szCs w:val="24"/>
        </w:rPr>
        <w:t>报告期内，受托管理人对公司的资信状况进行了持续关注，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 xml:space="preserve">日，公司披露了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年公司债券受托管理事务报告（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w:t>
      </w:r>
    </w:p>
    <w:p>
      <w:pPr>
        <w:pStyle w:val="Style14"/>
        <w:keepNext w:val="0"/>
        <w:keepLines w:val="0"/>
        <w:widowControl w:val="0"/>
        <w:shd w:val="clear" w:color="auto" w:fill="auto"/>
        <w:tabs>
          <w:tab w:pos="2122" w:val="left"/>
        </w:tabs>
        <w:bidi w:val="0"/>
        <w:spacing w:before="0" w:after="160" w:line="577" w:lineRule="exact"/>
        <w:ind w:left="1600" w:right="0" w:firstLine="0"/>
        <w:jc w:val="left"/>
      </w:pPr>
      <w:bookmarkStart w:id="175" w:name="bookmark175"/>
      <w:r>
        <w:rPr>
          <w:b/>
          <w:bCs/>
          <w:color w:val="000000"/>
          <w:spacing w:val="0"/>
          <w:w w:val="100"/>
          <w:position w:val="0"/>
          <w:sz w:val="24"/>
          <w:szCs w:val="24"/>
        </w:rPr>
        <w:t>八</w:t>
      </w:r>
      <w:bookmarkEnd w:id="175"/>
      <w:r>
        <w:rPr>
          <w:b/>
          <w:bCs/>
          <w:color w:val="000000"/>
          <w:spacing w:val="0"/>
          <w:w w:val="100"/>
          <w:position w:val="0"/>
          <w:sz w:val="24"/>
          <w:szCs w:val="24"/>
        </w:rPr>
        <w:t>、</w:t>
        <w:tab/>
        <w:t>截至报告期末公司近</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年的主要会计数据和财务指标</w:t>
      </w:r>
    </w:p>
    <w:p>
      <w:pPr>
        <w:pStyle w:val="Style30"/>
        <w:keepNext w:val="0"/>
        <w:keepLines w:val="0"/>
        <w:widowControl w:val="0"/>
        <w:shd w:val="clear" w:color="auto" w:fill="auto"/>
        <w:bidi w:val="0"/>
        <w:spacing w:before="0" w:after="0" w:line="240" w:lineRule="auto"/>
        <w:ind w:left="7464"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2400"/>
        <w:gridCol w:w="2390"/>
        <w:gridCol w:w="2390"/>
        <w:gridCol w:w="2400"/>
      </w:tblGrid>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同期变动率</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1,175,309,814.83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997,974,723.98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17.77%</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-1,755,073,173.76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-2,115,226,544.85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w:t>
            </w:r>
          </w:p>
        </w:tc>
      </w:tr>
      <w:tr>
        <w:trPr>
          <w:trHeight w:val="590"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908,856,264.58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7,537,435,528.90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-87.94%</w:t>
            </w:r>
          </w:p>
        </w:tc>
      </w:tr>
      <w:tr>
        <w:trPr>
          <w:trHeight w:val="586"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期末现金及现金等价物余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5,262,800,498.03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6,504,260,855.37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-19.09%</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282.49%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592.44%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-309.94%</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31.16%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22.96%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8.20%</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242.50%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476.44%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-233.94%</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全部债务比</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14.36%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7.32%</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15.22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14.92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2.01%</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-188.19%</w:t>
            </w:r>
          </w:p>
        </w:tc>
      </w:tr>
      <w:tr>
        <w:trPr>
          <w:trHeight w:val="30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7.42%</w:t>
            </w:r>
          </w:p>
        </w:tc>
      </w:tr>
      <w:tr>
        <w:trPr>
          <w:trHeight w:val="298"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78.86%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-63.24%</w:t>
            </w:r>
          </w:p>
        </w:tc>
      </w:tr>
      <w:tr>
        <w:trPr>
          <w:trHeight w:val="307"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100.13%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99.01%</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1.12%</w:t>
            </w:r>
          </w:p>
        </w:tc>
      </w:tr>
    </w:tbl>
    <w:p>
      <w:pPr>
        <w:pStyle w:val="Style30"/>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、筹资活动产生的现金流量净额同比下降</w:t>
      </w:r>
      <w:r>
        <w:rPr>
          <w:rFonts w:ascii="Times New Roman" w:eastAsia="Times New Roman" w:hAnsi="Times New Roman" w:cs="Times New Roman"/>
          <w:color w:val="000000"/>
          <w:spacing w:val="0"/>
          <w:w w:val="100"/>
          <w:position w:val="0"/>
          <w:sz w:val="24"/>
          <w:szCs w:val="24"/>
        </w:rPr>
        <w:t>87.94%</w:t>
      </w:r>
      <w:r>
        <w:rPr>
          <w:color w:val="000000"/>
          <w:spacing w:val="0"/>
          <w:w w:val="100"/>
          <w:position w:val="0"/>
          <w:sz w:val="24"/>
          <w:szCs w:val="24"/>
        </w:rPr>
        <w:t>，主要原因系公司上年度</w:t>
      </w:r>
    </w:p>
    <w:p>
      <w:pPr>
        <w:widowControl w:val="0"/>
        <w:spacing w:after="279" w:line="1" w:lineRule="exact"/>
      </w:pPr>
    </w:p>
    <w:p>
      <w:pPr>
        <w:pStyle w:val="Style14"/>
        <w:keepNext w:val="0"/>
        <w:keepLines w:val="0"/>
        <w:widowControl w:val="0"/>
        <w:shd w:val="clear" w:color="auto" w:fill="auto"/>
        <w:bidi w:val="0"/>
        <w:spacing w:before="0" w:after="280" w:line="240" w:lineRule="auto"/>
        <w:ind w:left="1120" w:right="0" w:firstLine="0"/>
        <w:jc w:val="left"/>
      </w:pPr>
      <w:r>
        <w:rPr>
          <w:color w:val="000000"/>
          <w:spacing w:val="0"/>
          <w:w w:val="100"/>
          <w:position w:val="0"/>
          <w:sz w:val="24"/>
          <w:szCs w:val="24"/>
        </w:rPr>
        <w:t>资产重组及募集资金增发所致现金的增加；</w:t>
      </w:r>
    </w:p>
    <w:p>
      <w:pPr>
        <w:pStyle w:val="Style14"/>
        <w:keepNext w:val="0"/>
        <w:keepLines w:val="0"/>
        <w:widowControl w:val="0"/>
        <w:shd w:val="clear" w:color="auto" w:fill="auto"/>
        <w:tabs>
          <w:tab w:pos="2042" w:val="left"/>
        </w:tabs>
        <w:bidi w:val="0"/>
        <w:spacing w:before="0" w:after="280" w:line="240" w:lineRule="auto"/>
        <w:ind w:left="1600" w:right="0" w:firstLine="0"/>
        <w:jc w:val="left"/>
      </w:pPr>
      <w:bookmarkStart w:id="176" w:name="bookmark176"/>
      <w:r>
        <w:rPr>
          <w:rFonts w:ascii="Times New Roman" w:eastAsia="Times New Roman" w:hAnsi="Times New Roman" w:cs="Times New Roman"/>
          <w:color w:val="000000"/>
          <w:spacing w:val="0"/>
          <w:w w:val="100"/>
          <w:position w:val="0"/>
          <w:sz w:val="24"/>
          <w:szCs w:val="24"/>
        </w:rPr>
        <w:t>2</w:t>
      </w:r>
      <w:bookmarkEnd w:id="176"/>
      <w:r>
        <w:rPr>
          <w:color w:val="000000"/>
          <w:spacing w:val="0"/>
          <w:w w:val="100"/>
          <w:position w:val="0"/>
          <w:sz w:val="24"/>
          <w:szCs w:val="24"/>
        </w:rPr>
        <w:t>、</w:t>
        <w:tab/>
        <w:t>流动比率和速动比率下降主要是因为随着募集资金的投入导致货币资金</w:t>
      </w:r>
    </w:p>
    <w:p>
      <w:pPr>
        <w:pStyle w:val="Style14"/>
        <w:keepNext w:val="0"/>
        <w:keepLines w:val="0"/>
        <w:widowControl w:val="0"/>
        <w:shd w:val="clear" w:color="auto" w:fill="auto"/>
        <w:bidi w:val="0"/>
        <w:spacing w:before="0" w:after="280" w:line="240" w:lineRule="auto"/>
        <w:ind w:left="1120" w:right="0" w:firstLine="0"/>
        <w:jc w:val="left"/>
      </w:pPr>
      <w:r>
        <w:rPr>
          <w:color w:val="000000"/>
          <w:spacing w:val="0"/>
          <w:w w:val="100"/>
          <w:position w:val="0"/>
          <w:sz w:val="24"/>
          <w:szCs w:val="24"/>
        </w:rPr>
        <w:t>及其他流动资产大幅减少，且流动负债增加所致；</w:t>
      </w:r>
    </w:p>
    <w:p>
      <w:pPr>
        <w:pStyle w:val="Style14"/>
        <w:keepNext w:val="0"/>
        <w:keepLines w:val="0"/>
        <w:widowControl w:val="0"/>
        <w:shd w:val="clear" w:color="auto" w:fill="auto"/>
        <w:tabs>
          <w:tab w:pos="2042" w:val="left"/>
        </w:tabs>
        <w:bidi w:val="0"/>
        <w:spacing w:before="0" w:after="0" w:line="240" w:lineRule="auto"/>
        <w:ind w:left="1600" w:right="0" w:firstLine="0"/>
        <w:jc w:val="left"/>
      </w:pPr>
      <w:bookmarkStart w:id="177" w:name="bookmark177"/>
      <w:r>
        <w:rPr>
          <w:rFonts w:ascii="Times New Roman" w:eastAsia="Times New Roman" w:hAnsi="Times New Roman" w:cs="Times New Roman"/>
          <w:color w:val="000000"/>
          <w:spacing w:val="0"/>
          <w:w w:val="100"/>
          <w:position w:val="0"/>
          <w:sz w:val="24"/>
          <w:szCs w:val="24"/>
        </w:rPr>
        <w:t>3</w:t>
      </w:r>
      <w:bookmarkEnd w:id="177"/>
      <w:r>
        <w:rPr>
          <w:color w:val="000000"/>
          <w:spacing w:val="0"/>
          <w:w w:val="100"/>
          <w:position w:val="0"/>
          <w:sz w:val="24"/>
          <w:szCs w:val="24"/>
        </w:rPr>
        <w:t>、</w:t>
        <w:tab/>
        <w:t>现金利息保障倍数同比下降</w:t>
      </w:r>
      <w:r>
        <w:rPr>
          <w:rFonts w:ascii="Times New Roman" w:eastAsia="Times New Roman" w:hAnsi="Times New Roman" w:cs="Times New Roman"/>
          <w:color w:val="000000"/>
          <w:spacing w:val="0"/>
          <w:w w:val="100"/>
          <w:position w:val="0"/>
          <w:sz w:val="24"/>
          <w:szCs w:val="24"/>
        </w:rPr>
        <w:t>188</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 xml:space="preserve">%，主要原因系经营活动产生的现金 </w:t>
      </w:r>
      <w:bookmarkStart w:id="178" w:name="bookmark178"/>
      <w:r>
        <w:rPr>
          <w:color w:val="000000"/>
          <w:spacing w:val="0"/>
          <w:w w:val="100"/>
          <w:position w:val="0"/>
          <w:sz w:val="24"/>
          <w:szCs w:val="24"/>
        </w:rPr>
        <w:t>流量净额同比下降</w:t>
      </w:r>
      <w:r>
        <w:rPr>
          <w:rFonts w:ascii="Times New Roman" w:eastAsia="Times New Roman" w:hAnsi="Times New Roman" w:cs="Times New Roman"/>
          <w:color w:val="000000"/>
          <w:spacing w:val="0"/>
          <w:w w:val="100"/>
          <w:position w:val="0"/>
          <w:sz w:val="24"/>
          <w:szCs w:val="24"/>
        </w:rPr>
        <w:t>196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 一方面传化商业保理有限公司业务开展保理业务导 致经营活动现金流出有所增加；另外，公司为加强战略核心业务拓展、人员引进、 信息化投入等导致经营活动支出的增加所致；</w:t>
      </w:r>
      <w:bookmarkEnd w:id="178"/>
    </w:p>
    <w:p>
      <w:pPr>
        <w:pStyle w:val="Style14"/>
        <w:keepNext w:val="0"/>
        <w:keepLines w:val="0"/>
        <w:widowControl w:val="0"/>
        <w:shd w:val="clear" w:color="auto" w:fill="auto"/>
        <w:bidi w:val="0"/>
        <w:spacing w:before="0" w:after="0" w:line="581" w:lineRule="exact"/>
        <w:ind w:left="1120" w:right="0" w:firstLine="480"/>
        <w:jc w:val="both"/>
      </w:pPr>
      <w:bookmarkStart w:id="179" w:name="bookmark179"/>
      <w:r>
        <w:rPr>
          <w:rFonts w:ascii="Times New Roman" w:eastAsia="Times New Roman" w:hAnsi="Times New Roman" w:cs="Times New Roman"/>
          <w:color w:val="000000"/>
          <w:spacing w:val="0"/>
          <w:w w:val="100"/>
          <w:position w:val="0"/>
          <w:sz w:val="24"/>
          <w:szCs w:val="24"/>
        </w:rPr>
        <w:t>4</w:t>
      </w:r>
      <w:bookmarkEnd w:id="179"/>
      <w:r>
        <w:rPr>
          <w:color w:val="000000"/>
          <w:spacing w:val="0"/>
          <w:w w:val="100"/>
          <w:position w:val="0"/>
          <w:sz w:val="24"/>
          <w:szCs w:val="24"/>
        </w:rPr>
        <w:t>、贷款偿还率同比下降</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 xml:space="preserve">个百分点，一方面系短期借款同比增长 </w:t>
      </w:r>
      <w:r>
        <w:rPr>
          <w:rFonts w:ascii="Times New Roman" w:eastAsia="Times New Roman" w:hAnsi="Times New Roman" w:cs="Times New Roman"/>
          <w:color w:val="000000"/>
          <w:spacing w:val="0"/>
          <w:w w:val="100"/>
          <w:position w:val="0"/>
          <w:sz w:val="24"/>
          <w:szCs w:val="24"/>
        </w:rPr>
        <w:t>1293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08</w:t>
      </w:r>
      <w:r>
        <w:rPr>
          <w:color w:val="000000"/>
          <w:spacing w:val="0"/>
          <w:w w:val="100"/>
          <w:position w:val="0"/>
          <w:sz w:val="24"/>
          <w:szCs w:val="24"/>
        </w:rPr>
        <w:t>%，系经营发展所需部分流动资金导致的短期借款增加；另一方面长期借 款同比增长</w:t>
      </w:r>
      <w:r>
        <w:rPr>
          <w:rFonts w:ascii="Times New Roman" w:eastAsia="Times New Roman" w:hAnsi="Times New Roman" w:cs="Times New Roman"/>
          <w:color w:val="000000"/>
          <w:spacing w:val="0"/>
          <w:w w:val="100"/>
          <w:position w:val="0"/>
          <w:sz w:val="24"/>
          <w:szCs w:val="24"/>
        </w:rPr>
        <w:t>403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%，系公司对进出口银行本期新增</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245</w:t>
      </w:r>
      <w:r>
        <w:rPr>
          <w:color w:val="000000"/>
          <w:spacing w:val="0"/>
          <w:w w:val="100"/>
          <w:position w:val="0"/>
          <w:sz w:val="24"/>
          <w:szCs w:val="24"/>
        </w:rPr>
        <w:t>万欧元（折合人民 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4"/>
          <w:szCs w:val="24"/>
        </w:rPr>
        <w:t>亿元）及</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亿人民币长期借款及物流集团下属子公司新增长期借款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亿元（其中济南公路港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亿，温州公路港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万）；另外因收购兼并将传化荷 兰有限公司纳入合并范围，其期末长期借款余额</w:t>
      </w:r>
      <w:r>
        <w:rPr>
          <w:rFonts w:ascii="Times New Roman" w:eastAsia="Times New Roman" w:hAnsi="Times New Roman" w:cs="Times New Roman"/>
          <w:color w:val="000000"/>
          <w:spacing w:val="0"/>
          <w:w w:val="100"/>
          <w:position w:val="0"/>
          <w:sz w:val="24"/>
          <w:szCs w:val="24"/>
        </w:rPr>
        <w:t>73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万元。</w:t>
      </w:r>
    </w:p>
    <w:p>
      <w:pPr>
        <w:pStyle w:val="Style14"/>
        <w:keepNext w:val="0"/>
        <w:keepLines w:val="0"/>
        <w:widowControl w:val="0"/>
        <w:shd w:val="clear" w:color="auto" w:fill="auto"/>
        <w:bidi w:val="0"/>
        <w:spacing w:before="0" w:after="0" w:line="581" w:lineRule="exact"/>
        <w:ind w:left="1600" w:right="0" w:firstLine="0"/>
        <w:jc w:val="left"/>
      </w:pPr>
      <w:bookmarkStart w:id="180" w:name="bookmark180"/>
      <w:r>
        <w:rPr>
          <w:b/>
          <w:bCs/>
          <w:color w:val="000000"/>
          <w:spacing w:val="0"/>
          <w:w w:val="100"/>
          <w:position w:val="0"/>
          <w:sz w:val="24"/>
          <w:szCs w:val="24"/>
        </w:rPr>
        <w:t>九</w:t>
      </w:r>
      <w:bookmarkEnd w:id="180"/>
      <w:r>
        <w:rPr>
          <w:b/>
          <w:bCs/>
          <w:color w:val="000000"/>
          <w:spacing w:val="0"/>
          <w:w w:val="100"/>
          <w:position w:val="0"/>
          <w:sz w:val="24"/>
          <w:szCs w:val="24"/>
        </w:rPr>
        <w:t>、报告期内，公司不存在对其他债券和债务融资工具的付息兑付情况。</w:t>
      </w:r>
    </w:p>
    <w:p>
      <w:pPr>
        <w:pStyle w:val="Style14"/>
        <w:keepNext w:val="0"/>
        <w:keepLines w:val="0"/>
        <w:widowControl w:val="0"/>
        <w:shd w:val="clear" w:color="auto" w:fill="auto"/>
        <w:bidi w:val="0"/>
        <w:spacing w:before="0" w:after="0" w:line="581" w:lineRule="exact"/>
        <w:ind w:left="1120" w:right="0" w:firstLine="480"/>
        <w:jc w:val="both"/>
      </w:pPr>
      <w:r>
        <w:rPr>
          <w:b/>
          <w:bCs/>
          <w:color w:val="000000"/>
          <w:spacing w:val="0"/>
          <w:w w:val="100"/>
          <w:position w:val="0"/>
          <w:sz w:val="24"/>
          <w:szCs w:val="24"/>
        </w:rPr>
        <w:t>十、报告期内获得的银行授信</w:t>
      </w:r>
      <w:r>
        <w:rPr>
          <w:rFonts w:ascii="Times New Roman" w:eastAsia="Times New Roman" w:hAnsi="Times New Roman" w:cs="Times New Roman"/>
          <w:b/>
          <w:bCs/>
          <w:color w:val="000000"/>
          <w:spacing w:val="0"/>
          <w:w w:val="100"/>
          <w:position w:val="0"/>
          <w:sz w:val="24"/>
          <w:szCs w:val="24"/>
        </w:rPr>
        <w:t>43.74</w:t>
      </w:r>
      <w:r>
        <w:rPr>
          <w:b/>
          <w:bCs/>
          <w:color w:val="000000"/>
          <w:spacing w:val="0"/>
          <w:w w:val="100"/>
          <w:position w:val="0"/>
          <w:sz w:val="24"/>
          <w:szCs w:val="24"/>
        </w:rPr>
        <w:t>亿元，已使用授信额度为</w:t>
      </w:r>
      <w:r>
        <w:rPr>
          <w:rFonts w:ascii="Times New Roman" w:eastAsia="Times New Roman" w:hAnsi="Times New Roman" w:cs="Times New Roman"/>
          <w:b/>
          <w:bCs/>
          <w:color w:val="000000"/>
          <w:spacing w:val="0"/>
          <w:w w:val="100"/>
          <w:position w:val="0"/>
          <w:sz w:val="24"/>
          <w:szCs w:val="24"/>
        </w:rPr>
        <w:t>13.68</w:t>
      </w:r>
      <w:r>
        <w:rPr>
          <w:b/>
          <w:bCs/>
          <w:color w:val="000000"/>
          <w:spacing w:val="0"/>
          <w:w w:val="100"/>
          <w:position w:val="0"/>
          <w:sz w:val="24"/>
          <w:szCs w:val="24"/>
        </w:rPr>
        <w:t>亿元， 偿还银行贷款</w:t>
      </w:r>
      <w:r>
        <w:rPr>
          <w:rFonts w:ascii="Times New Roman" w:eastAsia="Times New Roman" w:hAnsi="Times New Roman" w:cs="Times New Roman"/>
          <w:b/>
          <w:bCs/>
          <w:color w:val="000000"/>
          <w:spacing w:val="0"/>
          <w:w w:val="100"/>
          <w:position w:val="0"/>
          <w:sz w:val="24"/>
          <w:szCs w:val="24"/>
        </w:rPr>
        <w:t>6.36</w:t>
      </w:r>
      <w:r>
        <w:rPr>
          <w:b/>
          <w:bCs/>
          <w:color w:val="000000"/>
          <w:spacing w:val="0"/>
          <w:w w:val="100"/>
          <w:position w:val="0"/>
          <w:sz w:val="24"/>
          <w:szCs w:val="24"/>
        </w:rPr>
        <w:t>亿元。</w:t>
      </w:r>
    </w:p>
    <w:p>
      <w:pPr>
        <w:pStyle w:val="Style14"/>
        <w:keepNext w:val="0"/>
        <w:keepLines w:val="0"/>
        <w:widowControl w:val="0"/>
        <w:shd w:val="clear" w:color="auto" w:fill="auto"/>
        <w:bidi w:val="0"/>
        <w:spacing w:before="0" w:after="0" w:line="581" w:lineRule="exact"/>
        <w:ind w:left="1600" w:right="0" w:firstLine="0"/>
        <w:jc w:val="left"/>
      </w:pPr>
      <w:r>
        <w:rPr>
          <w:b/>
          <w:bCs/>
          <w:color w:val="000000"/>
          <w:spacing w:val="0"/>
          <w:w w:val="100"/>
          <w:position w:val="0"/>
          <w:sz w:val="24"/>
          <w:szCs w:val="24"/>
        </w:rPr>
        <w:t>十一、报告期内执行公司债券募集说明书相关约定或承诺的情况</w:t>
      </w:r>
    </w:p>
    <w:p>
      <w:pPr>
        <w:pStyle w:val="Style14"/>
        <w:keepNext w:val="0"/>
        <w:keepLines w:val="0"/>
        <w:widowControl w:val="0"/>
        <w:shd w:val="clear" w:color="auto" w:fill="auto"/>
        <w:bidi w:val="0"/>
        <w:spacing w:before="0" w:after="0" w:line="581" w:lineRule="exact"/>
        <w:ind w:left="1120" w:right="0" w:firstLine="480"/>
        <w:jc w:val="both"/>
      </w:pPr>
      <w:r>
        <w:rPr>
          <w:color w:val="000000"/>
          <w:spacing w:val="0"/>
          <w:w w:val="100"/>
          <w:position w:val="0"/>
          <w:sz w:val="24"/>
          <w:szCs w:val="24"/>
        </w:rPr>
        <w:t>报告期内，公司严格按照公司债券说明书的约定，完成公司债券的付息兑付 情况，详见公司《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年公司债券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年付息公告》（公告编号：</w:t>
      </w:r>
      <w:r>
        <w:rPr>
          <w:rFonts w:ascii="Times New Roman" w:eastAsia="Times New Roman" w:hAnsi="Times New Roman" w:cs="Times New Roman"/>
          <w:color w:val="000000"/>
          <w:spacing w:val="0"/>
          <w:w w:val="100"/>
          <w:position w:val="0"/>
          <w:sz w:val="24"/>
          <w:szCs w:val="24"/>
        </w:rPr>
        <w:t>2016-012</w:t>
      </w:r>
      <w:r>
        <w:rPr>
          <w:color w:val="000000"/>
          <w:spacing w:val="0"/>
          <w:w w:val="100"/>
          <w:position w:val="0"/>
          <w:sz w:val="24"/>
          <w:szCs w:val="24"/>
        </w:rPr>
        <w:t>）</w:t>
      </w:r>
      <w:r>
        <w:rPr>
          <w:color w:val="000000"/>
          <w:spacing w:val="0"/>
          <w:w w:val="100"/>
          <w:position w:val="0"/>
          <w:sz w:val="24"/>
          <w:szCs w:val="24"/>
        </w:rPr>
        <w:t>。</w:t>
      </w:r>
    </w:p>
    <w:p>
      <w:pPr>
        <w:pStyle w:val="Style14"/>
        <w:keepNext w:val="0"/>
        <w:keepLines w:val="0"/>
        <w:widowControl w:val="0"/>
        <w:shd w:val="clear" w:color="auto" w:fill="auto"/>
        <w:bidi w:val="0"/>
        <w:spacing w:before="0" w:after="0" w:line="581" w:lineRule="exact"/>
        <w:ind w:left="1600" w:right="0" w:firstLine="0"/>
        <w:jc w:val="both"/>
      </w:pPr>
      <w:r>
        <w:rPr>
          <w:b/>
          <w:bCs/>
          <w:color w:val="000000"/>
          <w:spacing w:val="0"/>
          <w:w w:val="100"/>
          <w:position w:val="0"/>
          <w:sz w:val="24"/>
          <w:szCs w:val="24"/>
        </w:rPr>
        <w:t>十二、报告期内，公司债券未发生的重大事项。</w:t>
      </w:r>
    </w:p>
    <w:p>
      <w:pPr>
        <w:pStyle w:val="Style14"/>
        <w:keepNext w:val="0"/>
        <w:keepLines w:val="0"/>
        <w:widowControl w:val="0"/>
        <w:shd w:val="clear" w:color="auto" w:fill="auto"/>
        <w:bidi w:val="0"/>
        <w:spacing w:before="0" w:after="560" w:line="581" w:lineRule="exact"/>
        <w:ind w:left="1600" w:right="0" w:firstLine="0"/>
        <w:jc w:val="both"/>
      </w:pPr>
      <w:r>
        <w:rPr>
          <w:b/>
          <w:bCs/>
          <w:color w:val="000000"/>
          <w:spacing w:val="0"/>
          <w:w w:val="100"/>
          <w:position w:val="0"/>
          <w:sz w:val="24"/>
          <w:szCs w:val="24"/>
        </w:rPr>
        <w:t>十三、公司债券不存在保证人。</w:t>
      </w:r>
    </w:p>
    <w:p>
      <w:pPr>
        <w:pStyle w:val="Style54"/>
        <w:keepNext w:val="0"/>
        <w:keepLines w:val="0"/>
        <w:widowControl w:val="0"/>
        <w:shd w:val="clear" w:color="auto" w:fill="auto"/>
        <w:bidi w:val="0"/>
        <w:spacing w:before="0" w:line="240" w:lineRule="auto"/>
        <w:ind w:left="0" w:right="0" w:firstLine="0"/>
        <w:jc w:val="center"/>
      </w:pPr>
      <w:r>
        <w:rPr>
          <w:color w:val="000000"/>
          <w:spacing w:val="0"/>
          <w:w w:val="100"/>
          <w:position w:val="0"/>
        </w:rPr>
        <w:t>第十一节财务报告</w:t>
      </w:r>
    </w:p>
    <w:p>
      <w:pPr>
        <w:pStyle w:val="Style30"/>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sz w:val="24"/>
          <w:szCs w:val="24"/>
        </w:rPr>
        <w:t>一、审计报告</w:t>
      </w:r>
    </w:p>
    <w:tbl>
      <w:tblPr>
        <w:tblOverlap w:val="never"/>
        <w:jc w:val="right"/>
        <w:tblLayout w:type="fixed"/>
      </w:tblPr>
      <w:tblGrid>
        <w:gridCol w:w="4790"/>
        <w:gridCol w:w="4790"/>
      </w:tblGrid>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标准的无保留意见</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r>
      <w:tr>
        <w:trPr>
          <w:trHeight w:val="44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天健会计师事务所（特殊普通合伙）</w:t>
            </w:r>
          </w:p>
        </w:tc>
      </w:tr>
      <w:tr>
        <w:trPr>
          <w:trHeight w:val="44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天健审〔</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3468</w:t>
            </w:r>
            <w:r>
              <w:rPr>
                <w:color w:val="000000"/>
                <w:spacing w:val="0"/>
                <w:w w:val="100"/>
                <w:position w:val="0"/>
                <w:sz w:val="20"/>
                <w:szCs w:val="20"/>
              </w:rPr>
              <w:t>号</w:t>
            </w:r>
          </w:p>
        </w:tc>
      </w:tr>
      <w:tr>
        <w:trPr>
          <w:trHeight w:val="451"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缪志坚、张小利</w:t>
            </w:r>
          </w:p>
        </w:tc>
      </w:tr>
    </w:tbl>
    <w:p>
      <w:pPr>
        <w:pStyle w:val="Style14"/>
        <w:keepNext w:val="0"/>
        <w:keepLines w:val="0"/>
        <w:widowControl w:val="0"/>
        <w:shd w:val="clear" w:color="auto" w:fill="auto"/>
        <w:bidi w:val="0"/>
        <w:spacing w:before="0" w:after="0" w:line="580" w:lineRule="exact"/>
        <w:ind w:left="0" w:right="0" w:firstLine="0"/>
        <w:jc w:val="center"/>
      </w:pPr>
      <w:r>
        <w:rPr>
          <w:color w:val="000000"/>
          <w:spacing w:val="0"/>
          <w:w w:val="100"/>
          <w:position w:val="0"/>
          <w:sz w:val="24"/>
          <w:szCs w:val="24"/>
        </w:rPr>
        <w:t>审计报告正文</w:t>
      </w:r>
    </w:p>
    <w:p>
      <w:pPr>
        <w:pStyle w:val="Style14"/>
        <w:keepNext w:val="0"/>
        <w:keepLines w:val="0"/>
        <w:widowControl w:val="0"/>
        <w:shd w:val="clear" w:color="auto" w:fill="auto"/>
        <w:bidi w:val="0"/>
        <w:spacing w:before="0" w:after="0" w:line="580" w:lineRule="exact"/>
        <w:ind w:left="1120" w:right="0" w:firstLine="0"/>
        <w:jc w:val="left"/>
      </w:pPr>
      <w:r>
        <w:rPr>
          <w:color w:val="000000"/>
          <w:spacing w:val="0"/>
          <w:w w:val="100"/>
          <w:position w:val="0"/>
          <w:sz w:val="24"/>
          <w:szCs w:val="24"/>
        </w:rPr>
        <w:t>传化智联股份有限公司全体股东：</w:t>
      </w:r>
    </w:p>
    <w:p>
      <w:pPr>
        <w:pStyle w:val="Style14"/>
        <w:keepNext w:val="0"/>
        <w:keepLines w:val="0"/>
        <w:widowControl w:val="0"/>
        <w:shd w:val="clear" w:color="auto" w:fill="auto"/>
        <w:bidi w:val="0"/>
        <w:spacing w:before="0" w:after="0" w:line="580" w:lineRule="exact"/>
        <w:ind w:left="1120" w:right="0" w:firstLine="480"/>
        <w:jc w:val="both"/>
      </w:pPr>
      <w:r>
        <w:rPr>
          <w:color w:val="000000"/>
          <w:spacing w:val="0"/>
          <w:w w:val="100"/>
          <w:position w:val="0"/>
          <w:sz w:val="24"/>
          <w:szCs w:val="24"/>
        </w:rPr>
        <w:t>我们审计了后附的传化智联股份有限公司（以下简称传化智联公司）财务报 表，包括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年度的合并及母 公司利润表、合并及母公司现金流量表、合并及母公司所有者权益变动表，以及 财务报表附注。</w:t>
      </w:r>
    </w:p>
    <w:p>
      <w:pPr>
        <w:pStyle w:val="Style14"/>
        <w:keepNext w:val="0"/>
        <w:keepLines w:val="0"/>
        <w:widowControl w:val="0"/>
        <w:shd w:val="clear" w:color="auto" w:fill="auto"/>
        <w:tabs>
          <w:tab w:pos="2079" w:val="left"/>
        </w:tabs>
        <w:bidi w:val="0"/>
        <w:spacing w:before="0" w:after="0" w:line="580" w:lineRule="exact"/>
        <w:ind w:left="1600" w:right="0" w:firstLine="0"/>
        <w:jc w:val="left"/>
      </w:pPr>
      <w:bookmarkStart w:id="181" w:name="bookmark181"/>
      <w:r>
        <w:rPr>
          <w:color w:val="000000"/>
          <w:spacing w:val="0"/>
          <w:w w:val="100"/>
          <w:position w:val="0"/>
          <w:sz w:val="24"/>
          <w:szCs w:val="24"/>
        </w:rPr>
        <w:t>一</w:t>
      </w:r>
      <w:bookmarkEnd w:id="181"/>
      <w:r>
        <w:rPr>
          <w:color w:val="000000"/>
          <w:spacing w:val="0"/>
          <w:w w:val="100"/>
          <w:position w:val="0"/>
          <w:sz w:val="24"/>
          <w:szCs w:val="24"/>
        </w:rPr>
        <w:t>、</w:t>
        <w:tab/>
        <w:t>管理层对财务报表的责任</w:t>
      </w:r>
    </w:p>
    <w:p>
      <w:pPr>
        <w:pStyle w:val="Style14"/>
        <w:keepNext w:val="0"/>
        <w:keepLines w:val="0"/>
        <w:widowControl w:val="0"/>
        <w:shd w:val="clear" w:color="auto" w:fill="auto"/>
        <w:bidi w:val="0"/>
        <w:spacing w:before="0" w:after="0" w:line="580" w:lineRule="exact"/>
        <w:ind w:left="1120" w:right="0" w:firstLine="480"/>
        <w:jc w:val="left"/>
      </w:pPr>
      <w:r>
        <w:rPr>
          <w:color w:val="000000"/>
          <w:spacing w:val="0"/>
          <w:w w:val="100"/>
          <w:position w:val="0"/>
          <w:sz w:val="24"/>
          <w:szCs w:val="24"/>
        </w:rPr>
        <w:t>编制和公允列报财务报表是传化智联公司管理层的责任，这种责任包括：（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按照企业会计准则的规定编制财务报表，并使其实现公允反映；（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 行和维护必要的内部控制，以使财务报表不存在由于舞弊或错误导致的重大错 报。</w:t>
      </w:r>
    </w:p>
    <w:p>
      <w:pPr>
        <w:pStyle w:val="Style14"/>
        <w:keepNext w:val="0"/>
        <w:keepLines w:val="0"/>
        <w:widowControl w:val="0"/>
        <w:shd w:val="clear" w:color="auto" w:fill="auto"/>
        <w:tabs>
          <w:tab w:pos="2079" w:val="left"/>
        </w:tabs>
        <w:bidi w:val="0"/>
        <w:spacing w:before="0" w:after="0" w:line="580" w:lineRule="exact"/>
        <w:ind w:left="1600" w:right="0" w:firstLine="0"/>
        <w:jc w:val="both"/>
      </w:pPr>
      <w:bookmarkStart w:id="182" w:name="bookmark182"/>
      <w:r>
        <w:rPr>
          <w:color w:val="000000"/>
          <w:spacing w:val="0"/>
          <w:w w:val="100"/>
          <w:position w:val="0"/>
          <w:sz w:val="24"/>
          <w:szCs w:val="24"/>
        </w:rPr>
        <w:t>二</w:t>
      </w:r>
      <w:bookmarkEnd w:id="182"/>
      <w:r>
        <w:rPr>
          <w:color w:val="000000"/>
          <w:spacing w:val="0"/>
          <w:w w:val="100"/>
          <w:position w:val="0"/>
          <w:sz w:val="24"/>
          <w:szCs w:val="24"/>
        </w:rPr>
        <w:t>、</w:t>
        <w:tab/>
        <w:t>注册会计师的责任</w:t>
      </w:r>
    </w:p>
    <w:p>
      <w:pPr>
        <w:pStyle w:val="Style14"/>
        <w:keepNext w:val="0"/>
        <w:keepLines w:val="0"/>
        <w:widowControl w:val="0"/>
        <w:shd w:val="clear" w:color="auto" w:fill="auto"/>
        <w:bidi w:val="0"/>
        <w:spacing w:before="0" w:after="0" w:line="580" w:lineRule="exact"/>
        <w:ind w:left="1120" w:right="0" w:firstLine="480"/>
        <w:jc w:val="both"/>
      </w:pPr>
      <w:r>
        <w:rPr>
          <w:color w:val="000000"/>
          <w:spacing w:val="0"/>
          <w:w w:val="100"/>
          <w:position w:val="0"/>
          <w:sz w:val="24"/>
          <w:szCs w:val="24"/>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14"/>
        <w:keepNext w:val="0"/>
        <w:keepLines w:val="0"/>
        <w:widowControl w:val="0"/>
        <w:shd w:val="clear" w:color="auto" w:fill="auto"/>
        <w:bidi w:val="0"/>
        <w:spacing w:before="0" w:after="0" w:line="584" w:lineRule="exact"/>
        <w:ind w:left="1120" w:right="0" w:firstLine="480"/>
        <w:jc w:val="both"/>
      </w:pPr>
      <w:r>
        <w:rPr>
          <w:color w:val="000000"/>
          <w:spacing w:val="0"/>
          <w:w w:val="100"/>
          <w:position w:val="0"/>
          <w:sz w:val="24"/>
          <w:szCs w:val="24"/>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w:t>
      </w:r>
      <w:r>
        <w:rPr>
          <w:i/>
          <w:iCs/>
          <w:color w:val="000000"/>
          <w:spacing w:val="0"/>
          <w:w w:val="100"/>
          <w:position w:val="0"/>
          <w:sz w:val="24"/>
          <w:szCs w:val="24"/>
        </w:rPr>
        <w:t>，</w:t>
      </w:r>
      <w:r>
        <w:rPr>
          <w:color w:val="000000"/>
          <w:spacing w:val="0"/>
          <w:w w:val="100"/>
          <w:position w:val="0"/>
          <w:sz w:val="24"/>
          <w:szCs w:val="24"/>
        </w:rPr>
        <w:t>但目的并非对内部控制的有 效性发表意见。审计工作还包括评价管理层选用会计政策的恰当性和作出会计估 计的合理性，以及评价财务报表的总体列报。</w:t>
      </w:r>
    </w:p>
    <w:p>
      <w:pPr>
        <w:pStyle w:val="Style14"/>
        <w:keepNext w:val="0"/>
        <w:keepLines w:val="0"/>
        <w:widowControl w:val="0"/>
        <w:shd w:val="clear" w:color="auto" w:fill="auto"/>
        <w:bidi w:val="0"/>
        <w:spacing w:before="0" w:after="0" w:line="584" w:lineRule="exact"/>
        <w:ind w:left="1120" w:right="0" w:firstLine="480"/>
        <w:jc w:val="both"/>
      </w:pPr>
      <w:r>
        <w:rPr>
          <w:color w:val="000000"/>
          <w:spacing w:val="0"/>
          <w:w w:val="100"/>
          <w:position w:val="0"/>
          <w:sz w:val="24"/>
          <w:szCs w:val="24"/>
        </w:rPr>
        <w:t>我们相信，我们获取的审计证据是充分、适当的，为发表审计意见提供了基 础。</w:t>
      </w:r>
    </w:p>
    <w:p>
      <w:pPr>
        <w:pStyle w:val="Style14"/>
        <w:keepNext w:val="0"/>
        <w:keepLines w:val="0"/>
        <w:widowControl w:val="0"/>
        <w:shd w:val="clear" w:color="auto" w:fill="auto"/>
        <w:bidi w:val="0"/>
        <w:spacing w:before="0" w:after="0" w:line="574" w:lineRule="exact"/>
        <w:ind w:left="1600" w:right="0" w:firstLine="0"/>
        <w:jc w:val="left"/>
      </w:pPr>
      <w:bookmarkStart w:id="183" w:name="bookmark183"/>
      <w:r>
        <w:rPr>
          <w:color w:val="000000"/>
          <w:spacing w:val="0"/>
          <w:w w:val="100"/>
          <w:position w:val="0"/>
          <w:sz w:val="24"/>
          <w:szCs w:val="24"/>
        </w:rPr>
        <w:t>三</w:t>
      </w:r>
      <w:bookmarkEnd w:id="183"/>
      <w:r>
        <w:rPr>
          <w:color w:val="000000"/>
          <w:spacing w:val="0"/>
          <w:w w:val="100"/>
          <w:position w:val="0"/>
          <w:sz w:val="24"/>
          <w:szCs w:val="24"/>
        </w:rPr>
        <w:t>、审计意见</w:t>
      </w:r>
    </w:p>
    <w:p>
      <w:pPr>
        <w:pStyle w:val="Style14"/>
        <w:keepNext w:val="0"/>
        <w:keepLines w:val="0"/>
        <w:widowControl w:val="0"/>
        <w:shd w:val="clear" w:color="auto" w:fill="auto"/>
        <w:bidi w:val="0"/>
        <w:spacing w:before="0" w:after="580" w:line="574" w:lineRule="exact"/>
        <w:ind w:left="1120" w:right="0" w:firstLine="480"/>
        <w:jc w:val="left"/>
      </w:pPr>
      <w:r>
        <w:rPr>
          <w:color w:val="000000"/>
          <w:spacing w:val="0"/>
          <w:w w:val="100"/>
          <w:position w:val="0"/>
          <w:sz w:val="24"/>
          <w:szCs w:val="24"/>
        </w:rPr>
        <w:t>我们认为，传化智联公司财务报表在所有重大方面按照企业会计准则的规定 编制，公允反映了传化智联公司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 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年度的合并及母公司经营成果和现金流量。</w:t>
      </w:r>
    </w:p>
    <w:p>
      <w:pPr>
        <w:pStyle w:val="Style14"/>
        <w:keepNext w:val="0"/>
        <w:keepLines w:val="0"/>
        <w:widowControl w:val="0"/>
        <w:shd w:val="clear" w:color="auto" w:fill="auto"/>
        <w:tabs>
          <w:tab w:pos="5301" w:val="left"/>
        </w:tabs>
        <w:bidi w:val="0"/>
        <w:spacing w:before="0" w:after="580" w:line="574" w:lineRule="exact"/>
        <w:ind w:left="1120" w:right="0" w:firstLine="0"/>
        <w:jc w:val="left"/>
      </w:pPr>
      <w:r>
        <w:rPr>
          <w:color w:val="000000"/>
          <w:spacing w:val="0"/>
          <w:w w:val="100"/>
          <w:position w:val="0"/>
          <w:sz w:val="24"/>
          <w:szCs w:val="24"/>
        </w:rPr>
        <w:t>天健会计师事务所（特殊普通合伙）</w:t>
        <w:tab/>
        <w:t>中国注册会计师：缪志坚</w:t>
      </w:r>
    </w:p>
    <w:p>
      <w:pPr>
        <w:pStyle w:val="Style14"/>
        <w:keepNext w:val="0"/>
        <w:keepLines w:val="0"/>
        <w:widowControl w:val="0"/>
        <w:shd w:val="clear" w:color="auto" w:fill="auto"/>
        <w:tabs>
          <w:tab w:pos="2899" w:val="left"/>
        </w:tabs>
        <w:bidi w:val="0"/>
        <w:spacing w:before="0" w:after="580" w:line="574" w:lineRule="exact"/>
        <w:ind w:left="0" w:right="0" w:firstLine="0"/>
        <w:jc w:val="center"/>
      </w:pPr>
      <w:r>
        <w:rPr>
          <w:color w:val="000000"/>
          <w:spacing w:val="0"/>
          <w:w w:val="100"/>
          <w:position w:val="0"/>
          <w:sz w:val="24"/>
          <w:szCs w:val="24"/>
        </w:rPr>
        <w:t>中国•杭州</w:t>
        <w:tab/>
        <w:t>中国注册会计师：张小利</w:t>
      </w:r>
    </w:p>
    <w:p>
      <w:pPr>
        <w:pStyle w:val="Style14"/>
        <w:keepNext w:val="0"/>
        <w:keepLines w:val="0"/>
        <w:widowControl w:val="0"/>
        <w:shd w:val="clear" w:color="auto" w:fill="auto"/>
        <w:bidi w:val="0"/>
        <w:spacing w:before="0" w:after="6400" w:line="574" w:lineRule="exact"/>
        <w:ind w:left="5320" w:right="0" w:firstLine="0"/>
        <w:jc w:val="left"/>
      </w:pPr>
      <w:r>
        <w:rPr>
          <w:color w:val="000000"/>
          <w:spacing w:val="0"/>
          <w:w w:val="100"/>
          <w:position w:val="0"/>
          <w:sz w:val="24"/>
          <w:szCs w:val="24"/>
        </w:rPr>
        <w:t>二。一七年四月十四日</w:t>
      </w:r>
    </w:p>
    <w:p>
      <w:pPr>
        <w:pStyle w:val="Style14"/>
        <w:keepNext w:val="0"/>
        <w:keepLines w:val="0"/>
        <w:widowControl w:val="0"/>
        <w:shd w:val="clear" w:color="auto" w:fill="auto"/>
        <w:bidi w:val="0"/>
        <w:spacing w:before="0" w:after="580" w:line="240" w:lineRule="auto"/>
        <w:ind w:left="1600" w:right="0" w:firstLine="0"/>
        <w:jc w:val="left"/>
      </w:pPr>
      <w:r>
        <w:rPr>
          <w:b/>
          <w:bCs/>
          <w:color w:val="000000"/>
          <w:spacing w:val="0"/>
          <w:w w:val="100"/>
          <w:position w:val="0"/>
          <w:sz w:val="24"/>
          <w:szCs w:val="24"/>
        </w:rPr>
        <w:t>二、财务报表</w:t>
      </w:r>
      <w:r>
        <w:br w:type="page"/>
      </w: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rPr>
        <w:t>合并资产负债表</w:t>
      </w:r>
    </w:p>
    <w:p>
      <w:pPr>
        <w:pStyle w:val="Style66"/>
        <w:keepNext w:val="0"/>
        <w:keepLines w:val="0"/>
        <w:widowControl w:val="0"/>
        <w:shd w:val="clear" w:color="auto" w:fill="auto"/>
        <w:bidi w:val="0"/>
        <w:spacing w:before="0" w:line="240" w:lineRule="auto"/>
        <w:ind w:left="0" w:right="0" w:firstLine="0"/>
        <w:jc w:val="center"/>
      </w:pPr>
      <w:r>
        <w:rPr>
          <w:b/>
          <w:bCs/>
          <w:color w:val="000000"/>
          <w:spacing w:val="0"/>
          <w:w w:val="100"/>
          <w:position w:val="0"/>
          <w:sz w:val="8"/>
          <w:szCs w:val="8"/>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会合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表</w:t>
      </w:r>
    </w:p>
    <w:p>
      <w:pPr>
        <w:pStyle w:val="Style30"/>
        <w:keepNext w:val="0"/>
        <w:keepLines w:val="0"/>
        <w:widowControl w:val="0"/>
        <w:shd w:val="clear" w:color="auto" w:fill="auto"/>
        <w:tabs>
          <w:tab w:pos="9619" w:val="left"/>
        </w:tabs>
        <w:bidi w:val="0"/>
        <w:spacing w:before="0" w:after="0" w:line="240" w:lineRule="auto"/>
        <w:ind w:left="0" w:right="0" w:firstLine="0"/>
        <w:jc w:val="right"/>
        <w:rPr>
          <w:sz w:val="15"/>
          <w:szCs w:val="15"/>
        </w:rPr>
      </w:pPr>
      <w:r>
        <w:rPr>
          <w:color w:val="000000"/>
          <w:spacing w:val="0"/>
          <w:w w:val="100"/>
          <w:position w:val="0"/>
          <w:sz w:val="15"/>
          <w:szCs w:val="15"/>
        </w:rPr>
        <w:t>编制单位,传化智联股份有限公司</w:t>
        <w:tab/>
        <w:t>单位：人民币元</w:t>
      </w:r>
    </w:p>
    <w:tbl>
      <w:tblPr>
        <w:tblOverlap w:val="never"/>
        <w:jc w:val="center"/>
        <w:tblLayout w:type="fixed"/>
      </w:tblPr>
      <w:tblGrid>
        <w:gridCol w:w="2040"/>
        <w:gridCol w:w="398"/>
        <w:gridCol w:w="1445"/>
        <w:gridCol w:w="1469"/>
        <w:gridCol w:w="2059"/>
        <w:gridCol w:w="389"/>
        <w:gridCol w:w="1435"/>
        <w:gridCol w:w="1454"/>
      </w:tblGrid>
      <w:tr>
        <w:trPr>
          <w:trHeight w:val="38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魅数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负债和所有者权益（或股东权益）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40" w:firstLine="0"/>
              <w:jc w:val="right"/>
              <w:rPr>
                <w:sz w:val="15"/>
                <w:szCs w:val="15"/>
              </w:rPr>
            </w:pPr>
            <w:r>
              <w:rPr>
                <w:color w:val="000000"/>
                <w:spacing w:val="0"/>
                <w:w w:val="100"/>
                <w:position w:val="0"/>
                <w:sz w:val="15"/>
                <w:szCs w:val="15"/>
              </w:rPr>
              <w:t>胸数</w:t>
            </w:r>
          </w:p>
        </w:tc>
      </w:tr>
      <w:tr>
        <w:trPr>
          <w:trHeight w:val="22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r>
              <w:rPr>
                <w:rFonts w:ascii="Times New Roman" w:eastAsia="Times New Roman" w:hAnsi="Times New Roman" w:cs="Times New Roman"/>
                <w:color w:val="000000"/>
                <w:spacing w:val="0"/>
                <w:w w:val="100"/>
                <w:position w:val="0"/>
                <w:sz w:val="15"/>
                <w:szCs w:val="15"/>
              </w:rPr>
              <w:t>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货币资金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5,293,066,115.46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6,516, 763, </w:t>
            </w:r>
            <w:r>
              <w:rPr>
                <w:rFonts w:ascii="Times New Roman" w:eastAsia="Times New Roman" w:hAnsi="Times New Roman" w:cs="Times New Roman"/>
                <w:color w:val="000000"/>
                <w:spacing w:val="0"/>
                <w:w w:val="100"/>
                <w:position w:val="0"/>
                <w:sz w:val="15"/>
                <w:szCs w:val="15"/>
              </w:rPr>
              <w:t>371.</w:t>
            </w:r>
            <w:r>
              <w:rPr>
                <w:rFonts w:ascii="Times New Roman" w:eastAsia="Times New Roman" w:hAnsi="Times New Roman" w:cs="Times New Roman"/>
                <w:color w:val="000000"/>
                <w:spacing w:val="0"/>
                <w:w w:val="100"/>
                <w:position w:val="0"/>
                <w:sz w:val="15"/>
                <w:szCs w:val="15"/>
              </w:rPr>
              <w:t>41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瑚借款</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rPr>
              <w:t>25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652, 702,</w:t>
            </w:r>
            <w:r>
              <w:rPr>
                <w:rFonts w:ascii="Times New Roman" w:eastAsia="Times New Roman" w:hAnsi="Times New Roman" w:cs="Times New Roman"/>
                <w:color w:val="000000"/>
                <w:spacing w:val="0"/>
                <w:w w:val="100"/>
                <w:position w:val="0"/>
                <w:sz w:val="15"/>
                <w:szCs w:val="15"/>
              </w:rPr>
              <w:t xml:space="preserve">230. </w:t>
            </w:r>
            <w:r>
              <w:rPr>
                <w:rFonts w:ascii="Times New Roman" w:eastAsia="Times New Roman" w:hAnsi="Times New Roman" w:cs="Times New Roman"/>
                <w:color w:val="000000"/>
                <w:spacing w:val="0"/>
                <w:w w:val="100"/>
                <w:position w:val="0"/>
                <w:sz w:val="15"/>
                <w:szCs w:val="15"/>
              </w:rPr>
              <w:t>80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46,853,065.38</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结算狐金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向中央银行借散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拆出资金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吸收存款及同业砌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以公允价值计量且其变动计入当</w:t>
            </w:r>
          </w:p>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期损益的金瞬资产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拆入蛭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资产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176,431.11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158" w:lineRule="exact"/>
              <w:ind w:left="0" w:right="0" w:firstLine="0"/>
              <w:jc w:val="left"/>
              <w:rPr>
                <w:sz w:val="15"/>
                <w:szCs w:val="15"/>
              </w:rPr>
            </w:pPr>
            <w:r>
              <w:rPr>
                <w:color w:val="000000"/>
                <w:spacing w:val="0"/>
                <w:w w:val="100"/>
                <w:position w:val="0"/>
                <w:sz w:val="15"/>
                <w:szCs w:val="15"/>
              </w:rPr>
              <w:t>以公允价值#</w:t>
            </w:r>
            <w:r>
              <w:rPr>
                <w:rFonts w:ascii="Times New Roman" w:eastAsia="Times New Roman" w:hAnsi="Times New Roman" w:cs="Times New Roman"/>
                <w:color w:val="000000"/>
                <w:spacing w:val="0"/>
                <w:w w:val="100"/>
                <w:position w:val="0"/>
                <w:sz w:val="15"/>
                <w:szCs w:val="15"/>
              </w:rPr>
              <w:t xml:space="preserve">iM </w:t>
            </w:r>
            <w:r>
              <w:rPr>
                <w:color w:val="000000"/>
                <w:spacing w:val="0"/>
                <w:w w:val="100"/>
                <w:position w:val="0"/>
                <w:sz w:val="15"/>
                <w:szCs w:val="15"/>
              </w:rPr>
              <w:t>其变动计鸿 期损益的金融负债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应收涂</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L </w:t>
            </w:r>
            <w:r>
              <w:rPr>
                <w:rFonts w:ascii="Times New Roman" w:eastAsia="Times New Roman" w:hAnsi="Times New Roman" w:cs="Times New Roman"/>
                <w:color w:val="000000"/>
                <w:spacing w:val="0"/>
                <w:w w:val="100"/>
                <w:position w:val="0"/>
                <w:sz w:val="15"/>
                <w:szCs w:val="15"/>
              </w:rPr>
              <w:t>371, 972,</w:t>
            </w:r>
            <w:r>
              <w:rPr>
                <w:rFonts w:ascii="Times New Roman" w:eastAsia="Times New Roman" w:hAnsi="Times New Roman" w:cs="Times New Roman"/>
                <w:color w:val="000000"/>
                <w:spacing w:val="0"/>
                <w:w w:val="100"/>
                <w:position w:val="0"/>
                <w:sz w:val="15"/>
                <w:szCs w:val="15"/>
              </w:rPr>
              <w:t>686.</w:t>
            </w:r>
            <w:r>
              <w:rPr>
                <w:rFonts w:ascii="Times New Roman" w:eastAsia="Times New Roman" w:hAnsi="Times New Roman" w:cs="Times New Roman"/>
                <w:i/>
                <w:iCs/>
                <w:color w:val="000000"/>
                <w:spacing w:val="0"/>
                <w:w w:val="100"/>
                <w:position w:val="0"/>
                <w:sz w:val="15"/>
                <w:szCs w:val="15"/>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1, 235,075, </w:t>
            </w:r>
            <w:r>
              <w:rPr>
                <w:rFonts w:ascii="Times New Roman" w:eastAsia="Times New Roman" w:hAnsi="Times New Roman" w:cs="Times New Roman"/>
                <w:color w:val="000000"/>
                <w:spacing w:val="0"/>
                <w:w w:val="100"/>
                <w:position w:val="0"/>
                <w:sz w:val="15"/>
                <w:szCs w:val="15"/>
              </w:rPr>
              <w:t>072.</w:t>
            </w:r>
            <w:r>
              <w:rPr>
                <w:rFonts w:ascii="Times New Roman" w:eastAsia="Times New Roman" w:hAnsi="Times New Roman" w:cs="Times New Roman"/>
                <w:color w:val="000000"/>
                <w:spacing w:val="0"/>
                <w:w w:val="100"/>
                <w:position w:val="0"/>
                <w:sz w:val="15"/>
                <w:szCs w:val="15"/>
              </w:rPr>
              <w:t>86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衍生金融负债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921,</w:t>
            </w:r>
            <w:r>
              <w:rPr>
                <w:rFonts w:ascii="Times New Roman" w:eastAsia="Times New Roman" w:hAnsi="Times New Roman" w:cs="Times New Roman"/>
                <w:color w:val="000000"/>
                <w:spacing w:val="0"/>
                <w:w w:val="100"/>
                <w:position w:val="0"/>
                <w:sz w:val="15"/>
                <w:szCs w:val="15"/>
              </w:rPr>
              <w:t>899.</w:t>
            </w:r>
            <w:r>
              <w:rPr>
                <w:rFonts w:ascii="Times New Roman" w:eastAsia="Times New Roman" w:hAnsi="Times New Roman" w:cs="Times New Roman"/>
                <w:color w:val="000000"/>
                <w:spacing w:val="0"/>
                <w:w w:val="100"/>
                <w:position w:val="0"/>
                <w:sz w:val="15"/>
                <w:szCs w:val="15"/>
              </w:rPr>
              <w:t>32</w:t>
            </w: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应收心</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773,235,237.61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475,069,314.93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225,679,</w:t>
            </w:r>
            <w:r>
              <w:rPr>
                <w:rFonts w:ascii="Times New Roman" w:eastAsia="Times New Roman" w:hAnsi="Times New Roman" w:cs="Times New Roman"/>
                <w:color w:val="000000"/>
                <w:spacing w:val="0"/>
                <w:w w:val="100"/>
                <w:position w:val="0"/>
                <w:sz w:val="15"/>
                <w:szCs w:val="15"/>
              </w:rPr>
              <w:t xml:space="preserve">094. </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197,319,655.00</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枷靛项</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117,334,750.26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33,037, </w:t>
            </w:r>
            <w:r>
              <w:rPr>
                <w:rFonts w:ascii="Times New Roman" w:eastAsia="Times New Roman" w:hAnsi="Times New Roman" w:cs="Times New Roman"/>
                <w:color w:val="000000"/>
                <w:spacing w:val="0"/>
                <w:w w:val="100"/>
                <w:position w:val="0"/>
                <w:sz w:val="15"/>
                <w:szCs w:val="15"/>
              </w:rPr>
              <w:t>142.91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应付蹴</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1, 039, 685,</w:t>
            </w:r>
            <w:r>
              <w:rPr>
                <w:rFonts w:ascii="Times New Roman" w:eastAsia="Times New Roman" w:hAnsi="Times New Roman" w:cs="Times New Roman"/>
                <w:color w:val="000000"/>
                <w:spacing w:val="0"/>
                <w:w w:val="100"/>
                <w:position w:val="0"/>
                <w:sz w:val="15"/>
                <w:szCs w:val="15"/>
              </w:rPr>
              <w:t>663.76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570,442,596.84</w:t>
            </w:r>
          </w:p>
        </w:tc>
      </w:tr>
      <w:tr>
        <w:trPr>
          <w:trHeight w:val="21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应收保财</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253, 278,</w:t>
            </w:r>
            <w:r>
              <w:rPr>
                <w:rFonts w:ascii="Times New Roman" w:eastAsia="Times New Roman" w:hAnsi="Times New Roman" w:cs="Times New Roman"/>
                <w:color w:val="000000"/>
                <w:spacing w:val="0"/>
                <w:w w:val="100"/>
                <w:position w:val="0"/>
                <w:sz w:val="15"/>
                <w:szCs w:val="15"/>
              </w:rPr>
              <w:t>084.</w:t>
            </w:r>
            <w:r>
              <w:rPr>
                <w:rFonts w:ascii="Times New Roman" w:eastAsia="Times New Roman" w:hAnsi="Times New Roman" w:cs="Times New Roman"/>
                <w:color w:val="000000"/>
                <w:spacing w:val="0"/>
                <w:w w:val="100"/>
                <w:position w:val="0"/>
                <w:sz w:val="15"/>
                <w:szCs w:val="15"/>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预收散项</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243,613,</w:t>
            </w:r>
            <w:r>
              <w:rPr>
                <w:rFonts w:ascii="Times New Roman" w:eastAsia="Times New Roman" w:hAnsi="Times New Roman" w:cs="Times New Roman"/>
                <w:color w:val="000000"/>
                <w:spacing w:val="0"/>
                <w:w w:val="100"/>
                <w:position w:val="0"/>
                <w:sz w:val="15"/>
                <w:szCs w:val="15"/>
              </w:rPr>
              <w:t>428.</w:t>
            </w:r>
            <w:r>
              <w:rPr>
                <w:rFonts w:ascii="Times New Roman" w:eastAsia="Times New Roman" w:hAnsi="Times New Roman" w:cs="Times New Roman"/>
                <w:color w:val="000000"/>
                <w:spacing w:val="0"/>
                <w:w w:val="100"/>
                <w:position w:val="0"/>
                <w:sz w:val="15"/>
                <w:szCs w:val="15"/>
              </w:rPr>
              <w:t>43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216,006,472.51</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应收分保蟀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卖出回购金</w:t>
            </w:r>
            <w:r>
              <w:rPr>
                <w:rFonts w:ascii="Times New Roman" w:eastAsia="Times New Roman" w:hAnsi="Times New Roman" w:cs="Times New Roman"/>
                <w:color w:val="000000"/>
                <w:spacing w:val="0"/>
                <w:w w:val="100"/>
                <w:position w:val="0"/>
                <w:sz w:val="15"/>
                <w:szCs w:val="15"/>
              </w:rPr>
              <w:t>at</w:t>
            </w:r>
            <w:r>
              <w:rPr>
                <w:color w:val="000000"/>
                <w:spacing w:val="0"/>
                <w:w w:val="100"/>
                <w:position w:val="0"/>
                <w:sz w:val="15"/>
                <w:szCs w:val="15"/>
              </w:rPr>
              <w:t>资产教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应收^同准给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应付手续费及佣金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应收利息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888,311.58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应付虾薪酬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 xml:space="preserve">290, 030, </w:t>
            </w:r>
            <w:r>
              <w:rPr>
                <w:rFonts w:ascii="Times New Roman" w:eastAsia="Times New Roman" w:hAnsi="Times New Roman" w:cs="Times New Roman"/>
                <w:color w:val="000000"/>
                <w:spacing w:val="0"/>
                <w:w w:val="100"/>
                <w:position w:val="0"/>
                <w:sz w:val="15"/>
                <w:szCs w:val="15"/>
              </w:rPr>
              <w:t xml:space="preserve">700. </w:t>
            </w:r>
            <w:r>
              <w:rPr>
                <w:rFonts w:ascii="Times New Roman" w:eastAsia="Times New Roman" w:hAnsi="Times New Roman" w:cs="Times New Roman"/>
                <w:color w:val="000000"/>
                <w:spacing w:val="0"/>
                <w:w w:val="100"/>
                <w:position w:val="0"/>
                <w:sz w:val="15"/>
                <w:szCs w:val="15"/>
              </w:rPr>
              <w:t>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189,</w:t>
            </w:r>
            <w:r>
              <w:rPr>
                <w:rFonts w:ascii="Times New Roman" w:eastAsia="Times New Roman" w:hAnsi="Times New Roman" w:cs="Times New Roman"/>
                <w:color w:val="000000"/>
                <w:spacing w:val="0"/>
                <w:w w:val="100"/>
                <w:position w:val="0"/>
                <w:sz w:val="15"/>
                <w:szCs w:val="15"/>
              </w:rPr>
              <w:t>288,001.37</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应收呻</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11, </w:t>
            </w:r>
            <w:r>
              <w:rPr>
                <w:rFonts w:ascii="Times New Roman" w:eastAsia="Times New Roman" w:hAnsi="Times New Roman" w:cs="Times New Roman"/>
                <w:color w:val="000000"/>
                <w:spacing w:val="0"/>
                <w:w w:val="100"/>
                <w:position w:val="0"/>
                <w:sz w:val="15"/>
                <w:szCs w:val="15"/>
              </w:rPr>
              <w:t>718,823.34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35,035, </w:t>
            </w:r>
            <w:r>
              <w:rPr>
                <w:rFonts w:ascii="Times New Roman" w:eastAsia="Times New Roman" w:hAnsi="Times New Roman" w:cs="Times New Roman"/>
                <w:color w:val="000000"/>
                <w:spacing w:val="0"/>
                <w:w w:val="100"/>
                <w:position w:val="0"/>
                <w:sz w:val="15"/>
                <w:szCs w:val="15"/>
              </w:rPr>
              <w:t>837.</w:t>
            </w:r>
            <w:r>
              <w:rPr>
                <w:rFonts w:ascii="Times New Roman" w:eastAsia="Times New Roman" w:hAnsi="Times New Roman" w:cs="Times New Roman"/>
                <w:color w:val="000000"/>
                <w:spacing w:val="0"/>
                <w:w w:val="100"/>
                <w:position w:val="0"/>
                <w:sz w:val="15"/>
                <w:szCs w:val="15"/>
              </w:rPr>
              <w:t>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227,723,242.24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180,007,882.52</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其他应昧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90,190, </w:t>
            </w:r>
            <w:r>
              <w:rPr>
                <w:rFonts w:ascii="Times New Roman" w:eastAsia="Times New Roman" w:hAnsi="Times New Roman" w:cs="Times New Roman"/>
                <w:color w:val="000000"/>
                <w:spacing w:val="0"/>
                <w:w w:val="100"/>
                <w:position w:val="0"/>
                <w:sz w:val="15"/>
                <w:szCs w:val="15"/>
              </w:rPr>
              <w:t>764.</w:t>
            </w:r>
            <w:r>
              <w:rPr>
                <w:rFonts w:ascii="Times New Roman" w:eastAsia="Times New Roman" w:hAnsi="Times New Roman" w:cs="Times New Roman"/>
                <w:color w:val="000000"/>
                <w:spacing w:val="0"/>
                <w:w w:val="100"/>
                <w:position w:val="0"/>
                <w:sz w:val="15"/>
                <w:szCs w:val="15"/>
              </w:rPr>
              <w:t>37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127,175,805.33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应村利息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rPr>
              <w:t>32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1, 464,</w:t>
            </w:r>
            <w:r>
              <w:rPr>
                <w:rFonts w:ascii="Times New Roman" w:eastAsia="Times New Roman" w:hAnsi="Times New Roman" w:cs="Times New Roman"/>
                <w:color w:val="000000"/>
                <w:spacing w:val="0"/>
                <w:w w:val="100"/>
                <w:position w:val="0"/>
                <w:sz w:val="15"/>
                <w:szCs w:val="15"/>
              </w:rPr>
              <w:t>416.</w:t>
            </w:r>
            <w:r>
              <w:rPr>
                <w:rFonts w:ascii="Times New Roman" w:eastAsia="Times New Roman" w:hAnsi="Times New Roman" w:cs="Times New Roman"/>
                <w:color w:val="000000"/>
                <w:spacing w:val="0"/>
                <w:w w:val="100"/>
                <w:position w:val="0"/>
                <w:sz w:val="15"/>
                <w:szCs w:val="15"/>
              </w:rPr>
              <w:t>88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 xml:space="preserve">593, </w:t>
            </w:r>
            <w:r>
              <w:rPr>
                <w:rFonts w:ascii="Times New Roman" w:eastAsia="Times New Roman" w:hAnsi="Times New Roman" w:cs="Times New Roman"/>
                <w:color w:val="000000"/>
                <w:spacing w:val="0"/>
                <w:w w:val="100"/>
                <w:position w:val="0"/>
                <w:sz w:val="15"/>
                <w:szCs w:val="15"/>
              </w:rPr>
              <w:t xml:space="preserve">803. </w:t>
            </w:r>
            <w:r>
              <w:rPr>
                <w:rFonts w:ascii="Times New Roman" w:eastAsia="Times New Roman" w:hAnsi="Times New Roman" w:cs="Times New Roman"/>
                <w:color w:val="000000"/>
                <w:spacing w:val="0"/>
                <w:w w:val="100"/>
                <w:position w:val="0"/>
                <w:sz w:val="15"/>
                <w:szCs w:val="15"/>
              </w:rPr>
              <w:t>75</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实入返售金融资产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应付脚</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3,193, </w:t>
            </w:r>
            <w:r>
              <w:rPr>
                <w:rFonts w:ascii="Times New Roman" w:eastAsia="Times New Roman" w:hAnsi="Times New Roman" w:cs="Times New Roman"/>
                <w:color w:val="000000"/>
                <w:spacing w:val="0"/>
                <w:w w:val="100"/>
                <w:position w:val="0"/>
                <w:sz w:val="15"/>
                <w:szCs w:val="15"/>
              </w:rPr>
              <w:t>946.</w:t>
            </w:r>
            <w:r>
              <w:rPr>
                <w:rFonts w:ascii="Times New Roman" w:eastAsia="Times New Roman" w:hAnsi="Times New Roman" w:cs="Times New Roman"/>
                <w:color w:val="000000"/>
                <w:spacing w:val="0"/>
                <w:w w:val="100"/>
                <w:position w:val="0"/>
                <w:sz w:val="15"/>
                <w:szCs w:val="15"/>
              </w:rPr>
              <w:t>67</w:t>
            </w:r>
          </w:p>
        </w:tc>
      </w:tr>
      <w:tr>
        <w:trPr>
          <w:trHeight w:val="20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存贷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831, 640,</w:t>
            </w:r>
            <w:r>
              <w:rPr>
                <w:rFonts w:ascii="Times New Roman" w:eastAsia="Times New Roman" w:hAnsi="Times New Roman" w:cs="Times New Roman"/>
                <w:color w:val="000000"/>
                <w:spacing w:val="0"/>
                <w:w w:val="100"/>
                <w:position w:val="0"/>
                <w:sz w:val="15"/>
                <w:szCs w:val="15"/>
              </w:rPr>
              <w:t>545.</w:t>
            </w:r>
            <w:r>
              <w:rPr>
                <w:rFonts w:ascii="Times New Roman" w:eastAsia="Times New Roman" w:hAnsi="Times New Roman" w:cs="Times New Roman"/>
                <w:color w:val="000000"/>
                <w:spacing w:val="0"/>
                <w:w w:val="100"/>
                <w:position w:val="0"/>
                <w:sz w:val="15"/>
                <w:szCs w:val="15"/>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525,852,331.21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 xml:space="preserve">445, </w:t>
            </w:r>
            <w:r>
              <w:rPr>
                <w:rFonts w:ascii="Times New Roman" w:eastAsia="Times New Roman" w:hAnsi="Times New Roman" w:cs="Times New Roman"/>
                <w:color w:val="000000"/>
                <w:spacing w:val="0"/>
                <w:w w:val="100"/>
                <w:position w:val="0"/>
                <w:sz w:val="15"/>
                <w:szCs w:val="15"/>
              </w:rPr>
              <w:t>744,331.78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282,907,862.63</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划分为持有待售的资产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应付柚心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f</w:t>
            </w:r>
            <w:r>
              <w:rPr>
                <w:color w:val="000000"/>
                <w:spacing w:val="0"/>
                <w:w w:val="100"/>
                <w:position w:val="0"/>
                <w:sz w:val="15"/>
                <w:szCs w:val="15"/>
              </w:rPr>
              <w:t>内到期的愤动资产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90, 450,</w:t>
            </w:r>
            <w:r>
              <w:rPr>
                <w:rFonts w:ascii="Times New Roman" w:eastAsia="Times New Roman" w:hAnsi="Times New Roman" w:cs="Times New Roman"/>
                <w:color w:val="000000"/>
                <w:spacing w:val="0"/>
                <w:w w:val="100"/>
                <w:position w:val="0"/>
                <w:sz w:val="15"/>
                <w:szCs w:val="15"/>
              </w:rPr>
              <w:t>342.</w:t>
            </w:r>
            <w:r>
              <w:rPr>
                <w:rFonts w:ascii="Times New Roman" w:eastAsia="Times New Roman" w:hAnsi="Times New Roman" w:cs="Times New Roman"/>
                <w:i/>
                <w:iCs/>
                <w:color w:val="000000"/>
                <w:spacing w:val="0"/>
                <w:w w:val="100"/>
                <w:position w:val="0"/>
                <w:sz w:val="15"/>
                <w:szCs w:val="15"/>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保险合同推备金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其他流动资产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245, 606,</w:t>
            </w:r>
            <w:r>
              <w:rPr>
                <w:rFonts w:ascii="Times New Roman" w:eastAsia="Times New Roman" w:hAnsi="Times New Roman" w:cs="Times New Roman"/>
                <w:color w:val="000000"/>
                <w:spacing w:val="0"/>
                <w:w w:val="100"/>
                <w:position w:val="0"/>
                <w:sz w:val="15"/>
                <w:szCs w:val="15"/>
              </w:rPr>
              <w:t>868.</w:t>
            </w:r>
            <w:r>
              <w:rPr>
                <w:rFonts w:ascii="Times New Roman" w:eastAsia="Times New Roman" w:hAnsi="Times New Roman" w:cs="Times New Roman"/>
                <w:color w:val="000000"/>
                <w:spacing w:val="0"/>
                <w:w w:val="100"/>
                <w:position w:val="0"/>
                <w:sz w:val="15"/>
                <w:szCs w:val="15"/>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rFonts w:ascii="Times New Roman" w:eastAsia="Times New Roman" w:hAnsi="Times New Roman" w:cs="Times New Roman"/>
                <w:i/>
                <w:iCs/>
                <w:color w:val="000000"/>
                <w:spacing w:val="0"/>
                <w:w w:val="100"/>
                <w:position w:val="0"/>
                <w:sz w:val="15"/>
                <w:szCs w:val="15"/>
              </w:rPr>
              <w:t xml:space="preserve">483, 720, </w:t>
            </w:r>
            <w:r>
              <w:rPr>
                <w:rFonts w:ascii="Times New Roman" w:eastAsia="Times New Roman" w:hAnsi="Times New Roman" w:cs="Times New Roman"/>
                <w:i/>
                <w:iCs/>
                <w:color w:val="000000"/>
                <w:spacing w:val="0"/>
                <w:w w:val="100"/>
                <w:position w:val="0"/>
                <w:sz w:val="15"/>
                <w:szCs w:val="15"/>
              </w:rPr>
              <w:t>772.23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代理踏证弑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7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流动资产费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9,079, 382,</w:t>
            </w:r>
            <w:r>
              <w:rPr>
                <w:rFonts w:ascii="Times New Roman" w:eastAsia="Times New Roman" w:hAnsi="Times New Roman" w:cs="Times New Roman"/>
                <w:color w:val="000000"/>
                <w:spacing w:val="0"/>
                <w:w w:val="100"/>
                <w:position w:val="0"/>
                <w:sz w:val="15"/>
                <w:szCs w:val="15"/>
              </w:rPr>
              <w:t>528.</w:t>
            </w:r>
            <w:r>
              <w:rPr>
                <w:rFonts w:ascii="Times New Roman" w:eastAsia="Times New Roman" w:hAnsi="Times New Roman" w:cs="Times New Roman"/>
                <w:color w:val="000000"/>
                <w:spacing w:val="0"/>
                <w:w w:val="100"/>
                <w:position w:val="0"/>
                <w:sz w:val="15"/>
                <w:szCs w:val="15"/>
              </w:rPr>
              <w:t>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w:t>
            </w:r>
            <w:r>
              <w:rPr>
                <w:rFonts w:ascii="Times New Roman" w:eastAsia="Times New Roman" w:hAnsi="Times New Roman" w:cs="Times New Roman"/>
                <w:color w:val="000000"/>
                <w:spacing w:val="0"/>
                <w:w w:val="100"/>
                <w:position w:val="0"/>
                <w:sz w:val="15"/>
                <w:szCs w:val="15"/>
              </w:rPr>
              <w:t xml:space="preserve">431,906, </w:t>
            </w:r>
            <w:r>
              <w:rPr>
                <w:rFonts w:ascii="Times New Roman" w:eastAsia="Times New Roman" w:hAnsi="Times New Roman" w:cs="Times New Roman"/>
                <w:color w:val="000000"/>
                <w:spacing w:val="0"/>
                <w:w w:val="100"/>
                <w:position w:val="0"/>
                <w:sz w:val="15"/>
                <w:szCs w:val="15"/>
              </w:rPr>
              <w:t>079.</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代球销证券款</w:t>
            </w:r>
          </w:p>
          <w:p>
            <w:pPr>
              <w:pStyle w:val="Style6"/>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 xml:space="preserve">划分为胯有待售的负债 </w:t>
            </w:r>
            <w:r>
              <w:rPr>
                <w:color w:val="000000"/>
                <w:spacing w:val="0"/>
                <w:w w:val="100"/>
                <w:position w:val="0"/>
                <w:sz w:val="15"/>
                <w:szCs w:val="15"/>
              </w:rPr>
              <w:t>f</w:t>
            </w:r>
            <w:r>
              <w:rPr>
                <w:color w:val="000000"/>
                <w:spacing w:val="0"/>
                <w:w w:val="100"/>
                <w:position w:val="0"/>
                <w:sz w:val="15"/>
                <w:szCs w:val="15"/>
              </w:rPr>
              <w:t>内到期的非流动负债 其他流动负僮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86, 542,</w:t>
            </w:r>
            <w:r>
              <w:rPr>
                <w:rFonts w:ascii="Times New Roman" w:eastAsia="Times New Roman" w:hAnsi="Times New Roman" w:cs="Times New Roman"/>
                <w:color w:val="000000"/>
                <w:spacing w:val="0"/>
                <w:w w:val="100"/>
                <w:position w:val="0"/>
                <w:sz w:val="15"/>
                <w:szCs w:val="15"/>
              </w:rPr>
              <w:t xml:space="preserve">082. </w:t>
            </w:r>
            <w:r>
              <w:rPr>
                <w:rFonts w:ascii="Times New Roman" w:eastAsia="Times New Roman" w:hAnsi="Times New Roman" w:cs="Times New Roman"/>
                <w:color w:val="000000"/>
                <w:spacing w:val="0"/>
                <w:w w:val="100"/>
                <w:position w:val="0"/>
                <w:sz w:val="15"/>
                <w:szCs w:val="15"/>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74,228,341.60</w:t>
            </w:r>
          </w:p>
        </w:tc>
      </w:tr>
      <w:tr>
        <w:trPr>
          <w:trHeight w:val="21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3, 214,107,</w:t>
            </w:r>
            <w:r>
              <w:rPr>
                <w:rFonts w:ascii="Times New Roman" w:eastAsia="Times New Roman" w:hAnsi="Times New Roman" w:cs="Times New Roman"/>
                <w:color w:val="000000"/>
                <w:spacing w:val="0"/>
                <w:w w:val="100"/>
                <w:position w:val="0"/>
                <w:sz w:val="15"/>
                <w:szCs w:val="15"/>
              </w:rPr>
              <w:t xml:space="preserve">090. </w:t>
            </w:r>
            <w:r>
              <w:rPr>
                <w:rFonts w:ascii="Times New Roman" w:eastAsia="Times New Roman" w:hAnsi="Times New Roman" w:cs="Times New Roman"/>
                <w:color w:val="000000"/>
                <w:spacing w:val="0"/>
                <w:w w:val="100"/>
                <w:position w:val="0"/>
                <w:sz w:val="15"/>
                <w:szCs w:val="15"/>
              </w:rPr>
              <w:t>32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1, 760,841, </w:t>
            </w:r>
            <w:r>
              <w:rPr>
                <w:rFonts w:ascii="Times New Roman" w:eastAsia="Times New Roman" w:hAnsi="Times New Roman" w:cs="Times New Roman"/>
                <w:color w:val="000000"/>
                <w:spacing w:val="0"/>
                <w:w w:val="100"/>
                <w:position w:val="0"/>
                <w:sz w:val="15"/>
                <w:szCs w:val="15"/>
              </w:rPr>
              <w:t>628.27</w:t>
            </w:r>
          </w:p>
        </w:tc>
      </w:tr>
      <w:tr>
        <w:trPr>
          <w:trHeight w:val="22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rPr>
              <w:t>耗动负债: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长期借教</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606, 796,</w:t>
            </w:r>
            <w:r>
              <w:rPr>
                <w:rFonts w:ascii="Times New Roman" w:eastAsia="Times New Roman" w:hAnsi="Times New Roman" w:cs="Times New Roman"/>
                <w:color w:val="000000"/>
                <w:spacing w:val="0"/>
                <w:w w:val="100"/>
                <w:position w:val="0"/>
                <w:sz w:val="15"/>
                <w:szCs w:val="15"/>
              </w:rPr>
              <w:t xml:space="preserve">885. </w:t>
            </w:r>
            <w:r>
              <w:rPr>
                <w:rFonts w:ascii="Times New Roman" w:eastAsia="Times New Roman" w:hAnsi="Times New Roman" w:cs="Times New Roman"/>
                <w:color w:val="000000"/>
                <w:spacing w:val="0"/>
                <w:w w:val="100"/>
                <w:position w:val="0"/>
                <w:sz w:val="15"/>
                <w:szCs w:val="15"/>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120,491, </w:t>
            </w:r>
            <w:r>
              <w:rPr>
                <w:rFonts w:ascii="Times New Roman" w:eastAsia="Times New Roman" w:hAnsi="Times New Roman" w:cs="Times New Roman"/>
                <w:color w:val="000000"/>
                <w:spacing w:val="0"/>
                <w:w w:val="100"/>
                <w:position w:val="0"/>
                <w:sz w:val="15"/>
                <w:szCs w:val="15"/>
              </w:rPr>
              <w:t>759.20</w:t>
            </w:r>
          </w:p>
        </w:tc>
      </w:tr>
      <w:tr>
        <w:trPr>
          <w:trHeight w:val="20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应村幡</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 xml:space="preserve">625,060, </w:t>
            </w:r>
            <w:r>
              <w:rPr>
                <w:rFonts w:ascii="Times New Roman" w:eastAsia="Times New Roman" w:hAnsi="Times New Roman" w:cs="Times New Roman"/>
                <w:color w:val="000000"/>
                <w:spacing w:val="0"/>
                <w:w w:val="100"/>
                <w:position w:val="0"/>
                <w:sz w:val="15"/>
                <w:szCs w:val="15"/>
              </w:rPr>
              <w:t>795.</w:t>
            </w:r>
            <w:r>
              <w:rPr>
                <w:rFonts w:ascii="Times New Roman" w:eastAsia="Times New Roman" w:hAnsi="Times New Roman" w:cs="Times New Roman"/>
                <w:color w:val="000000"/>
                <w:spacing w:val="0"/>
                <w:w w:val="100"/>
                <w:position w:val="0"/>
                <w:sz w:val="15"/>
                <w:szCs w:val="15"/>
              </w:rPr>
              <w:t>25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623,859,511.17</w:t>
            </w:r>
          </w:p>
        </w:tc>
      </w:tr>
      <w:tr>
        <w:trP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其执优先股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长期应付教</w:t>
            </w:r>
          </w:p>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长期应付虹薪酬</w:t>
            </w:r>
          </w:p>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专项应付教</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646, 268,</w:t>
            </w:r>
            <w:r>
              <w:rPr>
                <w:rFonts w:ascii="Times New Roman" w:eastAsia="Times New Roman" w:hAnsi="Times New Roman" w:cs="Times New Roman"/>
                <w:color w:val="000000"/>
                <w:spacing w:val="0"/>
                <w:w w:val="100"/>
                <w:position w:val="0"/>
                <w:sz w:val="15"/>
                <w:szCs w:val="15"/>
              </w:rPr>
              <w:t>427.</w:t>
            </w:r>
            <w:r>
              <w:rPr>
                <w:rFonts w:ascii="Times New Roman" w:eastAsia="Times New Roman" w:hAnsi="Times New Roman" w:cs="Times New Roman"/>
                <w:color w:val="000000"/>
                <w:spacing w:val="0"/>
                <w:w w:val="100"/>
                <w:position w:val="0"/>
                <w:sz w:val="15"/>
                <w:szCs w:val="15"/>
              </w:rPr>
              <w:t>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570,000,000.00</w:t>
            </w:r>
          </w:p>
        </w:tc>
      </w:tr>
      <w:tr>
        <w:trP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预计负债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11, 749,</w:t>
            </w:r>
            <w:r>
              <w:rPr>
                <w:rFonts w:ascii="Times New Roman" w:eastAsia="Times New Roman" w:hAnsi="Times New Roman" w:cs="Times New Roman"/>
                <w:color w:val="000000"/>
                <w:spacing w:val="0"/>
                <w:w w:val="100"/>
                <w:position w:val="0"/>
                <w:sz w:val="15"/>
                <w:szCs w:val="15"/>
              </w:rPr>
              <w:t xml:space="preserve">382. </w:t>
            </w:r>
            <w:r>
              <w:rPr>
                <w:rFonts w:ascii="Times New Roman" w:eastAsia="Times New Roman" w:hAnsi="Times New Roman" w:cs="Times New Roman"/>
                <w:color w:val="000000"/>
                <w:spacing w:val="0"/>
                <w:w w:val="100"/>
                <w:position w:val="0"/>
                <w:sz w:val="15"/>
                <w:szCs w:val="15"/>
              </w:rPr>
              <w:t>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8, 755, </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 xml:space="preserve">194, </w:t>
            </w:r>
            <w:r>
              <w:rPr>
                <w:rFonts w:ascii="Times New Roman" w:eastAsia="Times New Roman" w:hAnsi="Times New Roman" w:cs="Times New Roman"/>
                <w:color w:val="000000"/>
                <w:spacing w:val="0"/>
                <w:w w:val="100"/>
                <w:position w:val="0"/>
                <w:sz w:val="15"/>
                <w:szCs w:val="15"/>
              </w:rPr>
              <w:t xml:space="preserve">671,130. </w:t>
            </w: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 xml:space="preserve">238,840, </w:t>
            </w:r>
            <w:r>
              <w:rPr>
                <w:rFonts w:ascii="Times New Roman" w:eastAsia="Times New Roman" w:hAnsi="Times New Roman" w:cs="Times New Roman"/>
                <w:color w:val="000000"/>
                <w:spacing w:val="0"/>
                <w:w w:val="100"/>
                <w:position w:val="0"/>
                <w:sz w:val="15"/>
                <w:szCs w:val="15"/>
              </w:rPr>
              <w:t>618.</w:t>
            </w:r>
            <w:r>
              <w:rPr>
                <w:rFonts w:ascii="Times New Roman" w:eastAsia="Times New Roman" w:hAnsi="Times New Roman" w:cs="Times New Roman"/>
                <w:color w:val="000000"/>
                <w:spacing w:val="0"/>
                <w:w w:val="100"/>
                <w:position w:val="0"/>
                <w:sz w:val="15"/>
                <w:szCs w:val="15"/>
              </w:rPr>
              <w:t>54</w:t>
            </w: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觐刎贷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递延所得税负债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4, 968,</w:t>
            </w:r>
            <w:r>
              <w:rPr>
                <w:rFonts w:ascii="Times New Roman" w:eastAsia="Times New Roman" w:hAnsi="Times New Roman" w:cs="Times New Roman"/>
                <w:color w:val="000000"/>
                <w:spacing w:val="0"/>
                <w:w w:val="100"/>
                <w:position w:val="0"/>
                <w:sz w:val="15"/>
                <w:szCs w:val="15"/>
              </w:rPr>
              <w:t xml:space="preserve">047. </w:t>
            </w:r>
            <w:r>
              <w:rPr>
                <w:rFonts w:ascii="Times New Roman" w:eastAsia="Times New Roman" w:hAnsi="Times New Roman" w:cs="Times New Roman"/>
                <w:color w:val="000000"/>
                <w:spacing w:val="0"/>
                <w:w w:val="100"/>
                <w:position w:val="0"/>
                <w:sz w:val="15"/>
                <w:szCs w:val="15"/>
              </w:rPr>
              <w:t>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2,947, </w:t>
            </w:r>
            <w:r>
              <w:rPr>
                <w:rFonts w:ascii="Times New Roman" w:eastAsia="Times New Roman" w:hAnsi="Times New Roman" w:cs="Times New Roman"/>
                <w:color w:val="000000"/>
                <w:spacing w:val="0"/>
                <w:w w:val="100"/>
                <w:position w:val="0"/>
                <w:sz w:val="15"/>
                <w:szCs w:val="15"/>
              </w:rPr>
              <w:t>752.69</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可供出售金</w:t>
            </w:r>
            <w:r>
              <w:rPr>
                <w:rFonts w:ascii="Times New Roman" w:eastAsia="Times New Roman" w:hAnsi="Times New Roman" w:cs="Times New Roman"/>
                <w:color w:val="000000"/>
                <w:spacing w:val="0"/>
                <w:w w:val="100"/>
                <w:position w:val="0"/>
                <w:sz w:val="15"/>
                <w:szCs w:val="15"/>
              </w:rPr>
              <w:t>at</w:t>
            </w:r>
            <w:r>
              <w:rPr>
                <w:color w:val="000000"/>
                <w:spacing w:val="0"/>
                <w:w w:val="100"/>
                <w:position w:val="0"/>
                <w:sz w:val="15"/>
                <w:szCs w:val="15"/>
              </w:rPr>
              <w:t>资产</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358, 482,</w:t>
            </w:r>
            <w:r>
              <w:rPr>
                <w:rFonts w:ascii="Times New Roman" w:eastAsia="Times New Roman" w:hAnsi="Times New Roman" w:cs="Times New Roman"/>
                <w:color w:val="000000"/>
                <w:spacing w:val="0"/>
                <w:w w:val="100"/>
                <w:position w:val="0"/>
                <w:sz w:val="15"/>
                <w:szCs w:val="15"/>
              </w:rPr>
              <w:t>571.</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287,482,571.00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其他』瞒动负债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非流动负债罚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i/>
                <w:iCs/>
                <w:color w:val="000000"/>
                <w:spacing w:val="0"/>
                <w:w w:val="100"/>
                <w:position w:val="0"/>
                <w:sz w:val="15"/>
                <w:szCs w:val="15"/>
              </w:rPr>
              <w:t>2,</w:t>
            </w:r>
            <w:r>
              <w:rPr>
                <w:rFonts w:ascii="Times New Roman" w:eastAsia="Times New Roman" w:hAnsi="Times New Roman" w:cs="Times New Roman"/>
                <w:color w:val="000000"/>
                <w:spacing w:val="0"/>
                <w:w w:val="100"/>
                <w:position w:val="0"/>
                <w:sz w:val="15"/>
                <w:szCs w:val="15"/>
              </w:rPr>
              <w:t>089, 514,</w:t>
            </w:r>
            <w:r>
              <w:rPr>
                <w:rFonts w:ascii="Times New Roman" w:eastAsia="Times New Roman" w:hAnsi="Times New Roman" w:cs="Times New Roman"/>
                <w:color w:val="000000"/>
                <w:spacing w:val="0"/>
                <w:w w:val="100"/>
                <w:position w:val="0"/>
                <w:sz w:val="15"/>
                <w:szCs w:val="15"/>
              </w:rPr>
              <w:t xml:space="preserve">668. </w:t>
            </w:r>
            <w:r>
              <w:rPr>
                <w:rFonts w:ascii="Times New Roman" w:eastAsia="Times New Roman" w:hAnsi="Times New Roman" w:cs="Times New Roman"/>
                <w:color w:val="000000"/>
                <w:spacing w:val="0"/>
                <w:w w:val="100"/>
                <w:position w:val="0"/>
                <w:sz w:val="15"/>
                <w:szCs w:val="15"/>
              </w:rPr>
              <w:t>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1,564,894,641.60</w:t>
            </w: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长期应收款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70,447,252.67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5,303,621,</w:t>
            </w:r>
            <w:r>
              <w:rPr>
                <w:rFonts w:ascii="Times New Roman" w:eastAsia="Times New Roman" w:hAnsi="Times New Roman" w:cs="Times New Roman"/>
                <w:color w:val="000000"/>
                <w:spacing w:val="0"/>
                <w:w w:val="100"/>
                <w:position w:val="0"/>
                <w:sz w:val="15"/>
                <w:szCs w:val="15"/>
              </w:rPr>
              <w:t>758.</w:t>
            </w:r>
            <w:r>
              <w:rPr>
                <w:rFonts w:ascii="Times New Roman" w:eastAsia="Times New Roman" w:hAnsi="Times New Roman" w:cs="Times New Roman"/>
                <w:color w:val="000000"/>
                <w:spacing w:val="0"/>
                <w:w w:val="100"/>
                <w:position w:val="0"/>
                <w:sz w:val="15"/>
                <w:szCs w:val="15"/>
              </w:rPr>
              <w:t>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3,325, 736, </w:t>
            </w:r>
            <w:r>
              <w:rPr>
                <w:rFonts w:ascii="Times New Roman" w:eastAsia="Times New Roman" w:hAnsi="Times New Roman" w:cs="Times New Roman"/>
                <w:color w:val="000000"/>
                <w:spacing w:val="0"/>
                <w:w w:val="100"/>
                <w:position w:val="0"/>
                <w:sz w:val="15"/>
                <w:szCs w:val="15"/>
              </w:rPr>
              <w:t>269.</w:t>
            </w:r>
            <w:r>
              <w:rPr>
                <w:rFonts w:ascii="Times New Roman" w:eastAsia="Times New Roman" w:hAnsi="Times New Roman" w:cs="Times New Roman"/>
                <w:color w:val="000000"/>
                <w:spacing w:val="0"/>
                <w:w w:val="100"/>
                <w:position w:val="0"/>
                <w:sz w:val="15"/>
                <w:szCs w:val="15"/>
              </w:rPr>
              <w:t>87</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长期股权投资</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698, 961,</w:t>
            </w:r>
            <w:r>
              <w:rPr>
                <w:rFonts w:ascii="Times New Roman" w:eastAsia="Times New Roman" w:hAnsi="Times New Roman" w:cs="Times New Roman"/>
                <w:color w:val="000000"/>
                <w:spacing w:val="0"/>
                <w:w w:val="100"/>
                <w:position w:val="0"/>
                <w:sz w:val="15"/>
                <w:szCs w:val="15"/>
              </w:rPr>
              <w:t>314.</w:t>
            </w:r>
            <w:r>
              <w:rPr>
                <w:rFonts w:ascii="Times New Roman" w:eastAsia="Times New Roman" w:hAnsi="Times New Roman" w:cs="Times New Roman"/>
                <w:color w:val="000000"/>
                <w:spacing w:val="0"/>
                <w:w w:val="100"/>
                <w:position w:val="0"/>
                <w:sz w:val="15"/>
                <w:szCs w:val="15"/>
              </w:rPr>
              <w:t>95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646,266, </w:t>
            </w:r>
            <w:r>
              <w:rPr>
                <w:rFonts w:ascii="Times New Roman" w:eastAsia="Times New Roman" w:hAnsi="Times New Roman" w:cs="Times New Roman"/>
                <w:color w:val="000000"/>
                <w:spacing w:val="0"/>
                <w:w w:val="100"/>
                <w:position w:val="0"/>
                <w:sz w:val="15"/>
                <w:szCs w:val="15"/>
              </w:rPr>
              <w:t>747.</w:t>
            </w:r>
            <w:r>
              <w:rPr>
                <w:rFonts w:ascii="Times New Roman" w:eastAsia="Times New Roman" w:hAnsi="Times New Roman" w:cs="Times New Roman"/>
                <w:i/>
                <w:iCs/>
                <w:color w:val="000000"/>
                <w:spacing w:val="0"/>
                <w:w w:val="100"/>
                <w:position w:val="0"/>
                <w:sz w:val="15"/>
                <w:szCs w:val="15"/>
              </w:rPr>
              <w:t>27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所有者权益（或股东权益）：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投资性房地产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L </w:t>
            </w:r>
            <w:r>
              <w:rPr>
                <w:rFonts w:ascii="Times New Roman" w:eastAsia="Times New Roman" w:hAnsi="Times New Roman" w:cs="Times New Roman"/>
                <w:color w:val="000000"/>
                <w:spacing w:val="0"/>
                <w:w w:val="100"/>
                <w:position w:val="0"/>
                <w:sz w:val="15"/>
                <w:szCs w:val="15"/>
              </w:rPr>
              <w:t xml:space="preserve">238, 891, </w:t>
            </w:r>
            <w:r>
              <w:rPr>
                <w:rFonts w:ascii="Times New Roman" w:eastAsia="Times New Roman" w:hAnsi="Times New Roman" w:cs="Times New Roman"/>
                <w:color w:val="000000"/>
                <w:spacing w:val="0"/>
                <w:w w:val="100"/>
                <w:position w:val="0"/>
                <w:sz w:val="15"/>
                <w:szCs w:val="15"/>
              </w:rPr>
              <w:t xml:space="preserve">722. </w:t>
            </w:r>
            <w:r>
              <w:rPr>
                <w:rFonts w:ascii="Times New Roman" w:eastAsia="Times New Roman" w:hAnsi="Times New Roman" w:cs="Times New Roman"/>
                <w:i/>
                <w:iCs/>
                <w:color w:val="000000"/>
                <w:spacing w:val="0"/>
                <w:w w:val="100"/>
                <w:position w:val="0"/>
                <w:sz w:val="15"/>
                <w:szCs w:val="15"/>
              </w:rPr>
              <w:t>32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428,814, </w:t>
            </w:r>
            <w:r>
              <w:rPr>
                <w:rFonts w:ascii="Times New Roman" w:eastAsia="Times New Roman" w:hAnsi="Times New Roman" w:cs="Times New Roman"/>
                <w:color w:val="000000"/>
                <w:spacing w:val="0"/>
                <w:w w:val="100"/>
                <w:position w:val="0"/>
                <w:sz w:val="15"/>
                <w:szCs w:val="15"/>
              </w:rPr>
              <w:t xml:space="preserve">845. </w:t>
            </w:r>
            <w:r>
              <w:rPr>
                <w:rFonts w:ascii="Times New Roman" w:eastAsia="Times New Roman" w:hAnsi="Times New Roman" w:cs="Times New Roman"/>
                <w:color w:val="000000"/>
                <w:spacing w:val="0"/>
                <w:w w:val="100"/>
                <w:position w:val="0"/>
                <w:sz w:val="15"/>
                <w:szCs w:val="15"/>
              </w:rPr>
              <w:t>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卖收资本（或股本）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i/>
                <w:iCs/>
                <w:color w:val="000000"/>
                <w:spacing w:val="0"/>
                <w:w w:val="100"/>
                <w:position w:val="0"/>
                <w:sz w:val="15"/>
                <w:szCs w:val="15"/>
              </w:rPr>
              <w:t>3,</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257,814,678.00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i/>
                <w:iCs/>
                <w:color w:val="000000"/>
                <w:spacing w:val="0"/>
                <w:w w:val="100"/>
                <w:position w:val="0"/>
                <w:sz w:val="15"/>
                <w:szCs w:val="15"/>
              </w:rPr>
              <w:t>3,257,</w:t>
            </w:r>
            <w:r>
              <w:rPr>
                <w:rFonts w:ascii="Times New Roman" w:eastAsia="Times New Roman" w:hAnsi="Times New Roman" w:cs="Times New Roman"/>
                <w:color w:val="000000"/>
                <w:spacing w:val="0"/>
                <w:w w:val="100"/>
                <w:position w:val="0"/>
                <w:sz w:val="15"/>
                <w:szCs w:val="15"/>
              </w:rPr>
              <w:t xml:space="preserve">8141 </w:t>
            </w:r>
            <w:r>
              <w:rPr>
                <w:rFonts w:ascii="Times New Roman" w:eastAsia="Times New Roman" w:hAnsi="Times New Roman" w:cs="Times New Roman"/>
                <w:color w:val="000000"/>
                <w:spacing w:val="0"/>
                <w:w w:val="100"/>
                <w:position w:val="0"/>
                <w:sz w:val="15"/>
                <w:szCs w:val="15"/>
              </w:rPr>
              <w:t>678.</w:t>
            </w:r>
            <w:r>
              <w:rPr>
                <w:rFonts w:ascii="Times New Roman" w:eastAsia="Times New Roman" w:hAnsi="Times New Roman" w:cs="Times New Roman"/>
                <w:color w:val="000000"/>
                <w:spacing w:val="0"/>
                <w:w w:val="100"/>
                <w:position w:val="0"/>
                <w:sz w:val="15"/>
                <w:szCs w:val="15"/>
              </w:rPr>
              <w:t>00</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固定溃产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L </w:t>
            </w:r>
            <w:r>
              <w:rPr>
                <w:rFonts w:ascii="Times New Roman" w:eastAsia="Times New Roman" w:hAnsi="Times New Roman" w:cs="Times New Roman"/>
                <w:color w:val="000000"/>
                <w:spacing w:val="0"/>
                <w:w w:val="100"/>
                <w:position w:val="0"/>
                <w:sz w:val="15"/>
                <w:szCs w:val="15"/>
              </w:rPr>
              <w:t>410, 427,</w:t>
            </w:r>
            <w:r>
              <w:rPr>
                <w:rFonts w:ascii="Times New Roman" w:eastAsia="Times New Roman" w:hAnsi="Times New Roman" w:cs="Times New Roman"/>
                <w:color w:val="000000"/>
                <w:spacing w:val="0"/>
                <w:w w:val="100"/>
                <w:position w:val="0"/>
                <w:sz w:val="15"/>
                <w:szCs w:val="15"/>
              </w:rPr>
              <w:t>147.</w:t>
            </w:r>
            <w:r>
              <w:rPr>
                <w:rFonts w:ascii="Times New Roman" w:eastAsia="Times New Roman" w:hAnsi="Times New Roman" w:cs="Times New Roman"/>
                <w:color w:val="000000"/>
                <w:spacing w:val="0"/>
                <w:w w:val="100"/>
                <w:position w:val="0"/>
                <w:sz w:val="15"/>
                <w:szCs w:val="15"/>
              </w:rPr>
              <w:t>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896,860, </w:t>
            </w:r>
            <w:r>
              <w:rPr>
                <w:rFonts w:ascii="Times New Roman" w:eastAsia="Times New Roman" w:hAnsi="Times New Roman" w:cs="Times New Roman"/>
                <w:color w:val="000000"/>
                <w:spacing w:val="0"/>
                <w:w w:val="100"/>
                <w:position w:val="0"/>
                <w:sz w:val="15"/>
                <w:szCs w:val="15"/>
              </w:rPr>
              <w:t>660.</w:t>
            </w:r>
            <w:r>
              <w:rPr>
                <w:rFonts w:ascii="Times New Roman" w:eastAsia="Times New Roman" w:hAnsi="Times New Roman" w:cs="Times New Roman"/>
                <w:color w:val="000000"/>
                <w:spacing w:val="0"/>
                <w:w w:val="100"/>
                <w:position w:val="0"/>
                <w:sz w:val="15"/>
                <w:szCs w:val="15"/>
              </w:rPr>
              <w:t>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774, 001,</w:t>
            </w:r>
            <w:r>
              <w:rPr>
                <w:rFonts w:ascii="Times New Roman" w:eastAsia="Times New Roman" w:hAnsi="Times New Roman" w:cs="Times New Roman"/>
                <w:color w:val="000000"/>
                <w:spacing w:val="0"/>
                <w:w w:val="100"/>
                <w:position w:val="0"/>
                <w:sz w:val="15"/>
                <w:szCs w:val="15"/>
              </w:rPr>
              <w:t xml:space="preserve">486. </w:t>
            </w:r>
            <w:r>
              <w:rPr>
                <w:rFonts w:ascii="Times New Roman" w:eastAsia="Times New Roman" w:hAnsi="Times New Roman" w:cs="Times New Roman"/>
                <w:i/>
                <w:iCs/>
                <w:color w:val="000000"/>
                <w:spacing w:val="0"/>
                <w:w w:val="100"/>
                <w:position w:val="0"/>
                <w:sz w:val="15"/>
                <w:szCs w:val="15"/>
              </w:rPr>
              <w:t>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237, </w:t>
            </w:r>
            <w:r>
              <w:rPr>
                <w:rFonts w:ascii="Times New Roman" w:eastAsia="Times New Roman" w:hAnsi="Times New Roman" w:cs="Times New Roman"/>
                <w:color w:val="000000"/>
                <w:spacing w:val="0"/>
                <w:w w:val="100"/>
                <w:position w:val="0"/>
                <w:sz w:val="15"/>
                <w:szCs w:val="15"/>
              </w:rPr>
              <w:t>770,916.03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其中；优先股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工^物资</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498,</w:t>
            </w:r>
            <w:r>
              <w:rPr>
                <w:rFonts w:ascii="Times New Roman" w:eastAsia="Times New Roman" w:hAnsi="Times New Roman" w:cs="Times New Roman"/>
                <w:color w:val="000000"/>
                <w:spacing w:val="0"/>
                <w:w w:val="100"/>
                <w:position w:val="0"/>
                <w:sz w:val="15"/>
                <w:szCs w:val="15"/>
              </w:rPr>
              <w:t>964.</w:t>
            </w:r>
            <w:r>
              <w:rPr>
                <w:rFonts w:ascii="Times New Roman" w:eastAsia="Times New Roman" w:hAnsi="Times New Roman" w:cs="Times New Roman"/>
                <w:color w:val="000000"/>
                <w:spacing w:val="0"/>
                <w:w w:val="100"/>
                <w:position w:val="0"/>
                <w:sz w:val="15"/>
                <w:szCs w:val="15"/>
              </w:rPr>
              <w:t>95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 xml:space="preserve">469, </w:t>
            </w:r>
            <w:r>
              <w:rPr>
                <w:rFonts w:ascii="Times New Roman" w:eastAsia="Times New Roman" w:hAnsi="Times New Roman" w:cs="Times New Roman"/>
                <w:color w:val="000000"/>
                <w:spacing w:val="0"/>
                <w:w w:val="100"/>
                <w:position w:val="0"/>
                <w:sz w:val="15"/>
                <w:szCs w:val="15"/>
              </w:rPr>
              <w:t>397.</w:t>
            </w:r>
            <w:r>
              <w:rPr>
                <w:rFonts w:ascii="Times New Roman" w:eastAsia="Times New Roman" w:hAnsi="Times New Roman" w:cs="Times New Roman"/>
                <w:color w:val="000000"/>
                <w:spacing w:val="0"/>
                <w:w w:val="100"/>
                <w:position w:val="0"/>
                <w:sz w:val="15"/>
                <w:szCs w:val="15"/>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资本公积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5,955,420,010.04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5,937,123,</w:t>
            </w:r>
            <w:r>
              <w:rPr>
                <w:rFonts w:ascii="Times New Roman" w:eastAsia="Times New Roman" w:hAnsi="Times New Roman" w:cs="Times New Roman"/>
                <w:color w:val="000000"/>
                <w:spacing w:val="0"/>
                <w:w w:val="100"/>
                <w:position w:val="0"/>
                <w:sz w:val="15"/>
                <w:szCs w:val="15"/>
              </w:rPr>
              <w:t>110.04</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油气垂产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其他混瞄</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w:t>
            </w:r>
            <w:r>
              <w:rPr>
                <w:rFonts w:ascii="Times New Roman" w:eastAsia="Times New Roman" w:hAnsi="Times New Roman" w:cs="Times New Roman"/>
                <w:color w:val="000000"/>
                <w:spacing w:val="0"/>
                <w:w w:val="100"/>
                <w:position w:val="0"/>
                <w:sz w:val="15"/>
                <w:szCs w:val="15"/>
              </w:rPr>
              <w:t>451,</w:t>
            </w:r>
            <w:r>
              <w:rPr>
                <w:rFonts w:ascii="Times New Roman" w:eastAsia="Times New Roman" w:hAnsi="Times New Roman" w:cs="Times New Roman"/>
                <w:color w:val="000000"/>
                <w:spacing w:val="0"/>
                <w:w w:val="100"/>
                <w:position w:val="0"/>
                <w:sz w:val="15"/>
                <w:szCs w:val="15"/>
              </w:rPr>
              <w:t>358.</w:t>
            </w:r>
            <w:r>
              <w:rPr>
                <w:rFonts w:ascii="Times New Roman" w:eastAsia="Times New Roman" w:hAnsi="Times New Roman" w:cs="Times New Roman"/>
                <w:color w:val="000000"/>
                <w:spacing w:val="0"/>
                <w:w w:val="100"/>
                <w:position w:val="0"/>
                <w:sz w:val="15"/>
                <w:szCs w:val="15"/>
              </w:rPr>
              <w:t>43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i/>
                <w:iCs/>
                <w:color w:val="000000"/>
                <w:spacing w:val="0"/>
                <w:w w:val="100"/>
                <w:position w:val="0"/>
                <w:sz w:val="15"/>
                <w:szCs w:val="15"/>
              </w:rPr>
              <w:t>-2,</w:t>
            </w:r>
            <w:r>
              <w:rPr>
                <w:rFonts w:ascii="Times New Roman" w:eastAsia="Times New Roman" w:hAnsi="Times New Roman" w:cs="Times New Roman"/>
                <w:color w:val="000000"/>
                <w:spacing w:val="0"/>
                <w:w w:val="100"/>
                <w:position w:val="0"/>
                <w:sz w:val="15"/>
                <w:szCs w:val="15"/>
              </w:rPr>
              <w:t>600,</w:t>
            </w:r>
            <w:r>
              <w:rPr>
                <w:rFonts w:ascii="Times New Roman" w:eastAsia="Times New Roman" w:hAnsi="Times New Roman" w:cs="Times New Roman"/>
                <w:color w:val="000000"/>
                <w:spacing w:val="0"/>
                <w:w w:val="100"/>
                <w:position w:val="0"/>
                <w:sz w:val="15"/>
                <w:szCs w:val="15"/>
              </w:rPr>
              <w:t xml:space="preserve">123. </w:t>
            </w:r>
            <w:r>
              <w:rPr>
                <w:rFonts w:ascii="Times New Roman" w:eastAsia="Times New Roman" w:hAnsi="Times New Roman" w:cs="Times New Roman"/>
                <w:color w:val="000000"/>
                <w:spacing w:val="0"/>
                <w:w w:val="100"/>
                <w:position w:val="0"/>
                <w:sz w:val="15"/>
                <w:szCs w:val="15"/>
              </w:rPr>
              <w:t>75</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无形童产</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2,317,303,579.63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1, 044,717, </w:t>
            </w:r>
            <w:r>
              <w:rPr>
                <w:rFonts w:ascii="Times New Roman" w:eastAsia="Times New Roman" w:hAnsi="Times New Roman" w:cs="Times New Roman"/>
                <w:color w:val="000000"/>
                <w:spacing w:val="0"/>
                <w:w w:val="100"/>
                <w:position w:val="0"/>
                <w:sz w:val="15"/>
                <w:szCs w:val="15"/>
              </w:rPr>
              <w:t>740.00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时公积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196,387,</w:t>
            </w:r>
            <w:r>
              <w:rPr>
                <w:rFonts w:ascii="Times New Roman" w:eastAsia="Times New Roman" w:hAnsi="Times New Roman" w:cs="Times New Roman"/>
                <w:color w:val="000000"/>
                <w:spacing w:val="0"/>
                <w:w w:val="100"/>
                <w:position w:val="0"/>
                <w:sz w:val="15"/>
                <w:szCs w:val="15"/>
              </w:rPr>
              <w:t>526.</w:t>
            </w:r>
            <w:r>
              <w:rPr>
                <w:rFonts w:ascii="Times New Roman" w:eastAsia="Times New Roman" w:hAnsi="Times New Roman" w:cs="Times New Roman"/>
                <w:color w:val="000000"/>
                <w:spacing w:val="0"/>
                <w:w w:val="100"/>
                <w:position w:val="0"/>
                <w:sz w:val="15"/>
                <w:szCs w:val="15"/>
              </w:rPr>
              <w:t>84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178,801,352.36</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商誉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193, 770,</w:t>
            </w:r>
            <w:r>
              <w:rPr>
                <w:rFonts w:ascii="Times New Roman" w:eastAsia="Times New Roman" w:hAnsi="Times New Roman" w:cs="Times New Roman"/>
                <w:color w:val="000000"/>
                <w:spacing w:val="0"/>
                <w:w w:val="100"/>
                <w:position w:val="0"/>
                <w:sz w:val="15"/>
                <w:szCs w:val="15"/>
              </w:rPr>
              <w:t>346.</w:t>
            </w:r>
            <w:r>
              <w:rPr>
                <w:rFonts w:ascii="Times New Roman" w:eastAsia="Times New Roman" w:hAnsi="Times New Roman" w:cs="Times New Roman"/>
                <w:i/>
                <w:iCs/>
                <w:color w:val="000000"/>
                <w:spacing w:val="0"/>
                <w:w w:val="100"/>
                <w:position w:val="0"/>
                <w:sz w:val="15"/>
                <w:szCs w:val="15"/>
              </w:rPr>
              <w:t>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10,052, </w:t>
            </w:r>
            <w:r>
              <w:rPr>
                <w:rFonts w:ascii="Times New Roman" w:eastAsia="Times New Roman" w:hAnsi="Times New Roman" w:cs="Times New Roman"/>
                <w:color w:val="000000"/>
                <w:spacing w:val="0"/>
                <w:w w:val="100"/>
                <w:position w:val="0"/>
                <w:sz w:val="15"/>
                <w:szCs w:val="15"/>
              </w:rPr>
              <w:t>884.</w:t>
            </w:r>
            <w:r>
              <w:rPr>
                <w:rFonts w:ascii="Times New Roman" w:eastAsia="Times New Roman" w:hAnsi="Times New Roman" w:cs="Times New Roman"/>
                <w:color w:val="000000"/>
                <w:spacing w:val="0"/>
                <w:w w:val="100"/>
                <w:position w:val="0"/>
                <w:sz w:val="15"/>
                <w:szCs w:val="15"/>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一般妙准备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长期待摊费用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78, 996,</w:t>
            </w:r>
            <w:r>
              <w:rPr>
                <w:rFonts w:ascii="Times New Roman" w:eastAsia="Times New Roman" w:hAnsi="Times New Roman" w:cs="Times New Roman"/>
                <w:color w:val="000000"/>
                <w:spacing w:val="0"/>
                <w:w w:val="100"/>
                <w:position w:val="0"/>
                <w:sz w:val="15"/>
                <w:szCs w:val="15"/>
              </w:rPr>
              <w:t>019.</w:t>
            </w:r>
            <w:r>
              <w:rPr>
                <w:rFonts w:ascii="Times New Roman" w:eastAsia="Times New Roman" w:hAnsi="Times New Roman" w:cs="Times New Roman"/>
                <w:color w:val="000000"/>
                <w:spacing w:val="0"/>
                <w:w w:val="100"/>
                <w:position w:val="0"/>
                <w:sz w:val="15"/>
                <w:szCs w:val="15"/>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11,874, </w:t>
            </w:r>
            <w:r>
              <w:rPr>
                <w:rFonts w:ascii="Times New Roman" w:eastAsia="Times New Roman" w:hAnsi="Times New Roman" w:cs="Times New Roman"/>
                <w:color w:val="000000"/>
                <w:spacing w:val="0"/>
                <w:w w:val="100"/>
                <w:position w:val="0"/>
                <w:sz w:val="15"/>
                <w:szCs w:val="15"/>
              </w:rPr>
              <w:t>033.01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1, 739, 467,</w:t>
            </w:r>
            <w:r>
              <w:rPr>
                <w:rFonts w:ascii="Times New Roman" w:eastAsia="Times New Roman" w:hAnsi="Times New Roman" w:cs="Times New Roman"/>
                <w:color w:val="000000"/>
                <w:spacing w:val="0"/>
                <w:w w:val="100"/>
                <w:position w:val="0"/>
                <w:sz w:val="15"/>
                <w:szCs w:val="15"/>
              </w:rPr>
              <w:t>435.</w:t>
            </w:r>
            <w:r>
              <w:rPr>
                <w:rFonts w:ascii="Times New Roman" w:eastAsia="Times New Roman" w:hAnsi="Times New Roman" w:cs="Times New Roman"/>
                <w:color w:val="000000"/>
                <w:spacing w:val="0"/>
                <w:w w:val="100"/>
                <w:position w:val="0"/>
                <w:sz w:val="15"/>
                <w:szCs w:val="15"/>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w:t>
            </w:r>
            <w:r>
              <w:rPr>
                <w:rFonts w:ascii="Times New Roman" w:eastAsia="Times New Roman" w:hAnsi="Times New Roman" w:cs="Times New Roman"/>
                <w:color w:val="000000"/>
                <w:spacing w:val="0"/>
                <w:w w:val="100"/>
                <w:position w:val="0"/>
                <w:sz w:val="15"/>
                <w:szCs w:val="15"/>
              </w:rPr>
              <w:t>501,849,631.50</w:t>
            </w: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解所得税资产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60, 796, </w:t>
            </w:r>
            <w:r>
              <w:rPr>
                <w:rFonts w:ascii="Times New Roman" w:eastAsia="Times New Roman" w:hAnsi="Times New Roman" w:cs="Times New Roman"/>
                <w:color w:val="000000"/>
                <w:spacing w:val="0"/>
                <w:w w:val="100"/>
                <w:position w:val="0"/>
                <w:sz w:val="15"/>
                <w:szCs w:val="15"/>
              </w:rPr>
              <w:t>781.</w:t>
            </w:r>
            <w:r>
              <w:rPr>
                <w:rFonts w:ascii="Times New Roman" w:eastAsia="Times New Roman" w:hAnsi="Times New Roman" w:cs="Times New Roman"/>
                <w:color w:val="000000"/>
                <w:spacing w:val="0"/>
                <w:w w:val="100"/>
                <w:position w:val="0"/>
                <w:sz w:val="15"/>
                <w:szCs w:val="15"/>
              </w:rPr>
              <w:t>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44,171, </w:t>
            </w:r>
            <w:r>
              <w:rPr>
                <w:rFonts w:ascii="Times New Roman" w:eastAsia="Times New Roman" w:hAnsi="Times New Roman" w:cs="Times New Roman"/>
                <w:color w:val="000000"/>
                <w:spacing w:val="0"/>
                <w:w w:val="100"/>
                <w:position w:val="0"/>
                <w:sz w:val="15"/>
                <w:szCs w:val="15"/>
              </w:rPr>
              <w:t>757.</w:t>
            </w:r>
            <w:r>
              <w:rPr>
                <w:rFonts w:ascii="Times New Roman" w:eastAsia="Times New Roman" w:hAnsi="Times New Roman" w:cs="Times New Roman"/>
                <w:color w:val="000000"/>
                <w:spacing w:val="0"/>
                <w:w w:val="100"/>
                <w:position w:val="0"/>
                <w:sz w:val="15"/>
                <w:szCs w:val="15"/>
              </w:rPr>
              <w:t>53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归属于母公司所有者权益合计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11,126,638,291.59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10,872,98&amp; </w:t>
            </w:r>
            <w:r>
              <w:rPr>
                <w:rFonts w:ascii="Times New Roman" w:eastAsia="Times New Roman" w:hAnsi="Times New Roman" w:cs="Times New Roman"/>
                <w:color w:val="000000"/>
                <w:spacing w:val="0"/>
                <w:w w:val="100"/>
                <w:position w:val="0"/>
                <w:sz w:val="15"/>
                <w:szCs w:val="15"/>
              </w:rPr>
              <w:t>648.</w:t>
            </w:r>
            <w:r>
              <w:rPr>
                <w:rFonts w:ascii="Times New Roman" w:eastAsia="Times New Roman" w:hAnsi="Times New Roman" w:cs="Times New Roman"/>
                <w:color w:val="000000"/>
                <w:spacing w:val="0"/>
                <w:w w:val="100"/>
                <w:position w:val="0"/>
                <w:sz w:val="15"/>
                <w:szCs w:val="15"/>
              </w:rPr>
              <w:t>15</w:t>
            </w: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其他非流动资产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736, 991,</w:t>
            </w:r>
            <w:r>
              <w:rPr>
                <w:rFonts w:ascii="Times New Roman" w:eastAsia="Times New Roman" w:hAnsi="Times New Roman" w:cs="Times New Roman"/>
                <w:color w:val="000000"/>
                <w:spacing w:val="0"/>
                <w:w w:val="100"/>
                <w:position w:val="0"/>
                <w:sz w:val="15"/>
                <w:szCs w:val="15"/>
              </w:rPr>
              <w:t xml:space="preserve">500. </w:t>
            </w:r>
            <w:r>
              <w:rPr>
                <w:rFonts w:ascii="Times New Roman" w:eastAsia="Times New Roman" w:hAnsi="Times New Roman" w:cs="Times New Roman"/>
                <w:color w:val="000000"/>
                <w:spacing w:val="0"/>
                <w:w w:val="100"/>
                <w:position w:val="0"/>
                <w:sz w:val="15"/>
                <w:szCs w:val="15"/>
              </w:rPr>
              <w:t>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441,940, </w:t>
            </w:r>
            <w:r>
              <w:rPr>
                <w:rFonts w:ascii="Times New Roman" w:eastAsia="Times New Roman" w:hAnsi="Times New Roman" w:cs="Times New Roman"/>
                <w:color w:val="000000"/>
                <w:spacing w:val="0"/>
                <w:w w:val="100"/>
                <w:position w:val="0"/>
                <w:sz w:val="15"/>
                <w:szCs w:val="15"/>
              </w:rPr>
              <w:t>742.38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588,</w:t>
            </w:r>
            <w:r>
              <w:rPr>
                <w:rFonts w:ascii="Times New Roman" w:eastAsia="Times New Roman" w:hAnsi="Times New Roman" w:cs="Times New Roman"/>
                <w:color w:val="000000"/>
                <w:spacing w:val="0"/>
                <w:w w:val="100"/>
                <w:position w:val="0"/>
                <w:sz w:val="15"/>
                <w:szCs w:val="15"/>
              </w:rPr>
              <w:t xml:space="preserve">691,166- </w:t>
            </w:r>
            <w:r>
              <w:rPr>
                <w:rFonts w:ascii="Times New Roman" w:eastAsia="Times New Roman" w:hAnsi="Times New Roman" w:cs="Times New Roman"/>
                <w:color w:val="000000"/>
                <w:spacing w:val="0"/>
                <w:w w:val="100"/>
                <w:position w:val="0"/>
                <w:sz w:val="15"/>
                <w:szCs w:val="15"/>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 xml:space="preserve">283,603, </w:t>
            </w:r>
            <w:r>
              <w:rPr>
                <w:rFonts w:ascii="Times New Roman" w:eastAsia="Times New Roman" w:hAnsi="Times New Roman" w:cs="Times New Roman"/>
                <w:color w:val="000000"/>
                <w:spacing w:val="0"/>
                <w:w w:val="100"/>
                <w:position w:val="0"/>
                <w:sz w:val="15"/>
                <w:szCs w:val="15"/>
              </w:rPr>
              <w:t>455.</w:t>
            </w:r>
            <w:r>
              <w:rPr>
                <w:rFonts w:ascii="Times New Roman" w:eastAsia="Times New Roman" w:hAnsi="Times New Roman" w:cs="Times New Roman"/>
                <w:color w:val="000000"/>
                <w:spacing w:val="0"/>
                <w:w w:val="100"/>
                <w:position w:val="0"/>
                <w:sz w:val="15"/>
                <w:szCs w:val="15"/>
              </w:rPr>
              <w:t>90</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日</w:t>
            </w:r>
            <w:r>
              <w:rPr>
                <w:color w:val="000000"/>
                <w:spacing w:val="0"/>
                <w:w w:val="100"/>
                <w:position w:val="0"/>
                <w:sz w:val="15"/>
                <w:szCs w:val="15"/>
              </w:rPr>
              <w:t>g</w:t>
            </w:r>
            <w:r>
              <w:rPr>
                <w:color w:val="000000"/>
                <w:spacing w:val="0"/>
                <w:w w:val="100"/>
                <w:position w:val="0"/>
                <w:sz w:val="15"/>
                <w:szCs w:val="15"/>
              </w:rPr>
              <w:t>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7,939, 568,68</w:t>
            </w:r>
            <w:r>
              <w:rPr>
                <w:color w:val="000000"/>
                <w:spacing w:val="0"/>
                <w:w w:val="100"/>
                <w:position w:val="0"/>
                <w:sz w:val="15"/>
                <w:szCs w:val="15"/>
              </w:rPr>
              <w:t xml:space="preserve">匕 </w:t>
            </w:r>
            <w:r>
              <w:rPr>
                <w:rFonts w:ascii="Times New Roman" w:eastAsia="Times New Roman" w:hAnsi="Times New Roman" w:cs="Times New Roman"/>
                <w:color w:val="000000"/>
                <w:spacing w:val="0"/>
                <w:w w:val="100"/>
                <w:position w:val="0"/>
                <w:sz w:val="15"/>
                <w:szCs w:val="15"/>
              </w:rPr>
              <w:t>92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4,050,422,294.86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11, 715, 329,</w:t>
            </w:r>
            <w:r>
              <w:rPr>
                <w:rFonts w:ascii="Times New Roman" w:eastAsia="Times New Roman" w:hAnsi="Times New Roman" w:cs="Times New Roman"/>
                <w:color w:val="000000"/>
                <w:spacing w:val="0"/>
                <w:w w:val="100"/>
                <w:position w:val="0"/>
                <w:sz w:val="15"/>
                <w:szCs w:val="15"/>
              </w:rPr>
              <w:t>457.</w:t>
            </w:r>
            <w:r>
              <w:rPr>
                <w:rFonts w:ascii="Times New Roman" w:eastAsia="Times New Roman" w:hAnsi="Times New Roman" w:cs="Times New Roman"/>
                <w:color w:val="000000"/>
                <w:spacing w:val="0"/>
                <w:w w:val="100"/>
                <w:position w:val="0"/>
                <w:sz w:val="15"/>
                <w:szCs w:val="15"/>
              </w:rPr>
              <w:t>82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11,156,592,</w:t>
            </w:r>
            <w:r>
              <w:rPr>
                <w:rFonts w:ascii="Times New Roman" w:eastAsia="Times New Roman" w:hAnsi="Times New Roman" w:cs="Times New Roman"/>
                <w:color w:val="000000"/>
                <w:spacing w:val="0"/>
                <w:w w:val="100"/>
                <w:position w:val="0"/>
                <w:sz w:val="15"/>
                <w:szCs w:val="15"/>
              </w:rPr>
              <w:t>104.05</w:t>
            </w:r>
          </w:p>
        </w:tc>
      </w:tr>
      <w:tr>
        <w:trPr>
          <w:trHeight w:val="27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17,018, 951,</w:t>
            </w:r>
            <w:r>
              <w:rPr>
                <w:rFonts w:ascii="Times New Roman" w:eastAsia="Times New Roman" w:hAnsi="Times New Roman" w:cs="Times New Roman"/>
                <w:color w:val="000000"/>
                <w:spacing w:val="0"/>
                <w:w w:val="100"/>
                <w:position w:val="0"/>
                <w:sz w:val="15"/>
                <w:szCs w:val="15"/>
              </w:rPr>
              <w:t xml:space="preserve">216. </w:t>
            </w:r>
            <w:r>
              <w:rPr>
                <w:rFonts w:ascii="Times New Roman" w:eastAsia="Times New Roman" w:hAnsi="Times New Roman" w:cs="Times New Roman"/>
                <w:i/>
                <w:iCs/>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w:t>
            </w:r>
            <w:r>
              <w:rPr>
                <w:rFonts w:ascii="Times New Roman" w:eastAsia="Times New Roman" w:hAnsi="Times New Roman" w:cs="Times New Roman"/>
                <w:color w:val="000000"/>
                <w:spacing w:val="0"/>
                <w:w w:val="100"/>
                <w:position w:val="0"/>
                <w:sz w:val="15"/>
                <w:szCs w:val="15"/>
              </w:rPr>
              <w:t>4S2,</w:t>
            </w:r>
            <w:r>
              <w:rPr>
                <w:rFonts w:ascii="Times New Roman" w:eastAsia="Times New Roman" w:hAnsi="Times New Roman" w:cs="Times New Roman"/>
                <w:color w:val="000000"/>
                <w:spacing w:val="0"/>
                <w:w w:val="100"/>
                <w:position w:val="0"/>
                <w:sz w:val="15"/>
                <w:szCs w:val="15"/>
              </w:rPr>
              <w:t xml:space="preserve">328, </w:t>
            </w:r>
            <w:r>
              <w:rPr>
                <w:rFonts w:ascii="Times New Roman" w:eastAsia="Times New Roman" w:hAnsi="Times New Roman" w:cs="Times New Roman"/>
                <w:color w:val="000000"/>
                <w:spacing w:val="0"/>
                <w:w w:val="100"/>
                <w:position w:val="0"/>
                <w:sz w:val="15"/>
                <w:szCs w:val="15"/>
              </w:rPr>
              <w:t>373.</w:t>
            </w:r>
            <w:r>
              <w:rPr>
                <w:rFonts w:ascii="Times New Roman" w:eastAsia="Times New Roman" w:hAnsi="Times New Roman" w:cs="Times New Roman"/>
                <w:color w:val="000000"/>
                <w:spacing w:val="0"/>
                <w:w w:val="100"/>
                <w:position w:val="0"/>
                <w:sz w:val="15"/>
                <w:szCs w:val="15"/>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17, 018,951,</w:t>
            </w:r>
            <w:r>
              <w:rPr>
                <w:rFonts w:ascii="Times New Roman" w:eastAsia="Times New Roman" w:hAnsi="Times New Roman" w:cs="Times New Roman"/>
                <w:color w:val="000000"/>
                <w:spacing w:val="0"/>
                <w:w w:val="100"/>
                <w:position w:val="0"/>
                <w:sz w:val="15"/>
                <w:szCs w:val="15"/>
              </w:rPr>
              <w:t xml:space="preserve">216.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141482,328, </w:t>
            </w:r>
            <w:r>
              <w:rPr>
                <w:rFonts w:ascii="Times New Roman" w:eastAsia="Times New Roman" w:hAnsi="Times New Roman" w:cs="Times New Roman"/>
                <w:color w:val="000000"/>
                <w:spacing w:val="0"/>
                <w:w w:val="100"/>
                <w:position w:val="0"/>
                <w:sz w:val="15"/>
                <w:szCs w:val="15"/>
              </w:rPr>
              <w:t>373.</w:t>
            </w:r>
            <w:r>
              <w:rPr>
                <w:rFonts w:ascii="Times New Roman" w:eastAsia="Times New Roman" w:hAnsi="Times New Roman" w:cs="Times New Roman"/>
                <w:color w:val="000000"/>
                <w:spacing w:val="0"/>
                <w:w w:val="100"/>
                <w:position w:val="0"/>
                <w:sz w:val="15"/>
                <w:szCs w:val="15"/>
              </w:rPr>
              <w:t>92</w:t>
            </w:r>
          </w:p>
        </w:tc>
      </w:tr>
      <w:tr>
        <w:trPr>
          <w:trHeight w:val="23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法定代玖勰巨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主管会计工作的负责人，徐冠巨</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会计机构负责人，杨万清</w:t>
            </w:r>
          </w:p>
        </w:tc>
      </w:tr>
    </w:tbl>
    <w:p>
      <w:pPr>
        <w:spacing w:lineRule="exact" w:line="1"/>
        <w:rPr>
          <w:sz w:val="2"/>
          <w:szCs w:val="2"/>
        </w:rPr>
      </w:pPr>
      <w:r>
        <w:br w:type="page"/>
      </w:r>
    </w:p>
    <w:p>
      <w:pPr>
        <w:pStyle w:val="Style6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母公司资产负债表</w:t>
      </w:r>
    </w:p>
    <w:p>
      <w:pPr>
        <w:pStyle w:val="Style6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76"/>
        <w:keepNext w:val="0"/>
        <w:keepLines w:val="0"/>
        <w:widowControl w:val="0"/>
        <w:shd w:val="clear" w:color="auto" w:fill="auto"/>
        <w:bidi w:val="0"/>
        <w:spacing w:before="0" w:line="240" w:lineRule="auto"/>
        <w:ind w:left="10800" w:right="0" w:firstLine="0"/>
        <w:jc w:val="left"/>
      </w:pPr>
      <w:r>
        <w:rPr>
          <w:color w:val="000000"/>
          <w:spacing w:val="0"/>
          <w:w w:val="100"/>
          <w:position w:val="0"/>
        </w:rPr>
        <w:t>会企</w:t>
      </w:r>
      <w:r>
        <w:rPr>
          <w:rFonts w:ascii="Times New Roman" w:eastAsia="Times New Roman" w:hAnsi="Times New Roman" w:cs="Times New Roman"/>
          <w:color w:val="000000"/>
          <w:spacing w:val="0"/>
          <w:w w:val="100"/>
          <w:position w:val="0"/>
        </w:rPr>
        <w:t>01</w:t>
      </w:r>
      <w:r>
        <w:rPr>
          <w:color w:val="000000"/>
          <w:spacing w:val="0"/>
          <w:w w:val="100"/>
          <w:position w:val="0"/>
        </w:rPr>
        <w:t>表</w:t>
      </w:r>
    </w:p>
    <w:p>
      <w:pPr>
        <w:pStyle w:val="Style30"/>
        <w:keepNext w:val="0"/>
        <w:keepLines w:val="0"/>
        <w:widowControl w:val="0"/>
        <w:shd w:val="clear" w:color="auto" w:fill="auto"/>
        <w:tabs>
          <w:tab w:pos="10411" w:val="left"/>
        </w:tabs>
        <w:bidi w:val="0"/>
        <w:spacing w:before="0" w:after="0" w:line="240" w:lineRule="auto"/>
        <w:ind w:left="14" w:right="0" w:firstLine="0"/>
        <w:jc w:val="left"/>
        <w:rPr>
          <w:sz w:val="15"/>
          <w:szCs w:val="15"/>
        </w:rPr>
      </w:pPr>
      <w:r>
        <w:rPr>
          <w:color w:val="000000"/>
          <w:spacing w:val="0"/>
          <w:w w:val="100"/>
          <w:position w:val="0"/>
          <w:sz w:val="14"/>
          <w:szCs w:val="14"/>
        </w:rPr>
        <w:t>编制</w:t>
      </w:r>
      <w:r>
        <w:rPr>
          <w:color w:val="000000"/>
          <w:spacing w:val="0"/>
          <w:w w:val="100"/>
          <w:position w:val="0"/>
          <w:sz w:val="15"/>
          <w:szCs w:val="15"/>
        </w:rPr>
        <w:t>单位，传化智联股份有限公司</w:t>
        <w:tab/>
        <w:t>单位:人民币元</w:t>
      </w:r>
    </w:p>
    <w:tbl>
      <w:tblPr>
        <w:tblOverlap w:val="never"/>
        <w:jc w:val="center"/>
        <w:tblLayout w:type="fixed"/>
      </w:tblPr>
      <w:tblGrid>
        <w:gridCol w:w="2074"/>
        <w:gridCol w:w="437"/>
        <w:gridCol w:w="1627"/>
        <w:gridCol w:w="1646"/>
        <w:gridCol w:w="2064"/>
        <w:gridCol w:w="427"/>
        <w:gridCol w:w="1579"/>
        <w:gridCol w:w="1603"/>
      </w:tblGrid>
      <w:tr>
        <w:trPr>
          <w:trHeight w:val="3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注释 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负债和所有者权益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注释 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期初数</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货币资金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2, 958, 394, </w:t>
            </w:r>
            <w:r>
              <w:rPr>
                <w:rFonts w:ascii="Times New Roman" w:eastAsia="Times New Roman" w:hAnsi="Times New Roman" w:cs="Times New Roman"/>
                <w:color w:val="000000"/>
                <w:spacing w:val="0"/>
                <w:w w:val="100"/>
                <w:position w:val="0"/>
                <w:sz w:val="15"/>
                <w:szCs w:val="15"/>
              </w:rPr>
              <w:t xml:space="preserve">039. </w:t>
            </w:r>
            <w:r>
              <w:rPr>
                <w:rFonts w:ascii="Times New Roman" w:eastAsia="Times New Roman" w:hAnsi="Times New Roman" w:cs="Times New Roman"/>
                <w:color w:val="000000"/>
                <w:spacing w:val="0"/>
                <w:w w:val="100"/>
                <w:position w:val="0"/>
                <w:sz w:val="15"/>
                <w:szCs w:val="15"/>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4, 481, 793, </w:t>
            </w:r>
            <w:r>
              <w:rPr>
                <w:rFonts w:ascii="Times New Roman" w:eastAsia="Times New Roman" w:hAnsi="Times New Roman" w:cs="Times New Roman"/>
                <w:color w:val="000000"/>
                <w:spacing w:val="0"/>
                <w:w w:val="100"/>
                <w:position w:val="0"/>
                <w:sz w:val="15"/>
                <w:szCs w:val="15"/>
              </w:rPr>
              <w:t xml:space="preserve">482. </w:t>
            </w: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短期借款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499, 561, </w:t>
            </w:r>
            <w:r>
              <w:rPr>
                <w:rFonts w:ascii="Times New Roman" w:eastAsia="Times New Roman" w:hAnsi="Times New Roman" w:cs="Times New Roman"/>
                <w:color w:val="000000"/>
                <w:spacing w:val="0"/>
                <w:w w:val="100"/>
                <w:position w:val="0"/>
                <w:sz w:val="15"/>
                <w:szCs w:val="15"/>
              </w:rPr>
              <w:t xml:space="preserve">433.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 xml:space="preserve">90, </w:t>
            </w:r>
            <w:r>
              <w:rPr>
                <w:rFonts w:ascii="Times New Roman" w:eastAsia="Times New Roman" w:hAnsi="Times New Roman" w:cs="Times New Roman"/>
                <w:color w:val="000000"/>
                <w:spacing w:val="0"/>
                <w:w w:val="100"/>
                <w:position w:val="0"/>
                <w:sz w:val="15"/>
                <w:szCs w:val="15"/>
              </w:rPr>
              <w:t xml:space="preserve">910. </w:t>
            </w:r>
            <w:r>
              <w:rPr>
                <w:rFonts w:ascii="Times New Roman" w:eastAsia="Times New Roman" w:hAnsi="Times New Roman" w:cs="Times New Roman"/>
                <w:color w:val="000000"/>
                <w:spacing w:val="0"/>
                <w:w w:val="100"/>
                <w:position w:val="0"/>
                <w:sz w:val="15"/>
                <w:szCs w:val="15"/>
              </w:rPr>
              <w:t>40</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以公允价值其变动 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以公允价值计瞄其变动计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入当期损益的金融资产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入当期损益的金融负债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衍生金融资产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衍生金融负债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591,579, </w:t>
            </w:r>
            <w:r>
              <w:rPr>
                <w:rFonts w:ascii="Times New Roman" w:eastAsia="Times New Roman" w:hAnsi="Times New Roman" w:cs="Times New Roman"/>
                <w:color w:val="000000"/>
                <w:spacing w:val="0"/>
                <w:w w:val="100"/>
                <w:position w:val="0"/>
                <w:sz w:val="15"/>
                <w:szCs w:val="15"/>
              </w:rPr>
              <w:t xml:space="preserve">768. </w:t>
            </w:r>
            <w:r>
              <w:rPr>
                <w:rFonts w:ascii="Times New Roman" w:eastAsia="Times New Roman" w:hAnsi="Times New Roman" w:cs="Times New Roman"/>
                <w:color w:val="000000"/>
                <w:spacing w:val="0"/>
                <w:w w:val="100"/>
                <w:position w:val="0"/>
                <w:sz w:val="15"/>
                <w:szCs w:val="15"/>
              </w:rPr>
              <w:t>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719, 608, </w:t>
            </w:r>
            <w:r>
              <w:rPr>
                <w:rFonts w:ascii="Times New Roman" w:eastAsia="Times New Roman" w:hAnsi="Times New Roman" w:cs="Times New Roman"/>
                <w:color w:val="000000"/>
                <w:spacing w:val="0"/>
                <w:w w:val="100"/>
                <w:position w:val="0"/>
                <w:sz w:val="15"/>
                <w:szCs w:val="15"/>
              </w:rPr>
              <w:t xml:space="preserve">894. </w:t>
            </w: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应付票据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179, 789,</w:t>
            </w:r>
            <w:r>
              <w:rPr>
                <w:rFonts w:ascii="Times New Roman" w:eastAsia="Times New Roman" w:hAnsi="Times New Roman" w:cs="Times New Roman"/>
                <w:color w:val="000000"/>
                <w:spacing w:val="0"/>
                <w:w w:val="100"/>
                <w:position w:val="0"/>
                <w:sz w:val="15"/>
                <w:szCs w:val="15"/>
              </w:rPr>
              <w:t xml:space="preserve">168. </w:t>
            </w:r>
            <w:r>
              <w:rPr>
                <w:rFonts w:ascii="Times New Roman" w:eastAsia="Times New Roman" w:hAnsi="Times New Roman" w:cs="Times New Roman"/>
                <w:color w:val="000000"/>
                <w:spacing w:val="0"/>
                <w:w w:val="100"/>
                <w:position w:val="0"/>
                <w:sz w:val="15"/>
                <w:szCs w:val="15"/>
              </w:rPr>
              <w:t>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148, 507,</w:t>
            </w:r>
            <w:r>
              <w:rPr>
                <w:rFonts w:ascii="Times New Roman" w:eastAsia="Times New Roman" w:hAnsi="Times New Roman" w:cs="Times New Roman"/>
                <w:color w:val="000000"/>
                <w:spacing w:val="0"/>
                <w:w w:val="100"/>
                <w:position w:val="0"/>
                <w:sz w:val="15"/>
                <w:szCs w:val="15"/>
              </w:rPr>
              <w:t>055.00</w:t>
            </w: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应收账款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194, 562, </w:t>
            </w:r>
            <w:r>
              <w:rPr>
                <w:rFonts w:ascii="Times New Roman" w:eastAsia="Times New Roman" w:hAnsi="Times New Roman" w:cs="Times New Roman"/>
                <w:color w:val="000000"/>
                <w:spacing w:val="0"/>
                <w:w w:val="100"/>
                <w:position w:val="0"/>
                <w:sz w:val="15"/>
                <w:szCs w:val="15"/>
              </w:rPr>
              <w:t xml:space="preserve">670. </w:t>
            </w:r>
            <w:r>
              <w:rPr>
                <w:rFonts w:ascii="Times New Roman" w:eastAsia="Times New Roman" w:hAnsi="Times New Roman" w:cs="Times New Roman"/>
                <w:color w:val="000000"/>
                <w:spacing w:val="0"/>
                <w:w w:val="100"/>
                <w:position w:val="0"/>
                <w:sz w:val="15"/>
                <w:szCs w:val="15"/>
              </w:rPr>
              <w:t>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136,190,</w:t>
            </w:r>
            <w:r>
              <w:rPr>
                <w:rFonts w:ascii="Times New Roman" w:eastAsia="Times New Roman" w:hAnsi="Times New Roman" w:cs="Times New Roman"/>
                <w:color w:val="000000"/>
                <w:spacing w:val="0"/>
                <w:w w:val="100"/>
                <w:position w:val="0"/>
                <w:sz w:val="15"/>
                <w:szCs w:val="15"/>
              </w:rPr>
              <w:t xml:space="preserve">165. </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应付账就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75, 673, </w:t>
            </w:r>
            <w:r>
              <w:rPr>
                <w:rFonts w:ascii="Times New Roman" w:eastAsia="Times New Roman" w:hAnsi="Times New Roman" w:cs="Times New Roman"/>
                <w:color w:val="000000"/>
                <w:spacing w:val="0"/>
                <w:w w:val="100"/>
                <w:position w:val="0"/>
                <w:sz w:val="15"/>
                <w:szCs w:val="15"/>
              </w:rPr>
              <w:t xml:space="preserve">978. </w:t>
            </w:r>
            <w:r>
              <w:rPr>
                <w:rFonts w:ascii="Times New Roman" w:eastAsia="Times New Roman" w:hAnsi="Times New Roman" w:cs="Times New Roman"/>
                <w:color w:val="000000"/>
                <w:spacing w:val="0"/>
                <w:w w:val="100"/>
                <w:position w:val="0"/>
                <w:sz w:val="15"/>
                <w:szCs w:val="15"/>
              </w:rPr>
              <w:t>99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99, 248, </w:t>
            </w:r>
            <w:r>
              <w:rPr>
                <w:rFonts w:ascii="Times New Roman" w:eastAsia="Times New Roman" w:hAnsi="Times New Roman" w:cs="Times New Roman"/>
                <w:color w:val="000000"/>
                <w:spacing w:val="0"/>
                <w:w w:val="100"/>
                <w:position w:val="0"/>
                <w:sz w:val="15"/>
                <w:szCs w:val="15"/>
              </w:rPr>
              <w:t xml:space="preserve">629. </w:t>
            </w:r>
            <w:r>
              <w:rPr>
                <w:rFonts w:ascii="Times New Roman" w:eastAsia="Times New Roman" w:hAnsi="Times New Roman" w:cs="Times New Roman"/>
                <w:color w:val="000000"/>
                <w:spacing w:val="0"/>
                <w:w w:val="100"/>
                <w:position w:val="0"/>
                <w:sz w:val="15"/>
                <w:szCs w:val="15"/>
              </w:rPr>
              <w:t>81</w:t>
            </w: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预付款项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3, 837, </w:t>
            </w:r>
            <w:r>
              <w:rPr>
                <w:rFonts w:ascii="Times New Roman" w:eastAsia="Times New Roman" w:hAnsi="Times New Roman" w:cs="Times New Roman"/>
                <w:color w:val="000000"/>
                <w:spacing w:val="0"/>
                <w:w w:val="100"/>
                <w:position w:val="0"/>
                <w:sz w:val="15"/>
                <w:szCs w:val="15"/>
              </w:rPr>
              <w:t xml:space="preserve">644. </w:t>
            </w:r>
            <w:r>
              <w:rPr>
                <w:rFonts w:ascii="Times New Roman" w:eastAsia="Times New Roman" w:hAnsi="Times New Roman" w:cs="Times New Roman"/>
                <w:color w:val="000000"/>
                <w:spacing w:val="0"/>
                <w:w w:val="100"/>
                <w:position w:val="0"/>
                <w:sz w:val="15"/>
                <w:szCs w:val="15"/>
              </w:rPr>
              <w:t>82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2, 566, </w:t>
            </w:r>
            <w:r>
              <w:rPr>
                <w:rFonts w:ascii="Times New Roman" w:eastAsia="Times New Roman" w:hAnsi="Times New Roman" w:cs="Times New Roman"/>
                <w:color w:val="000000"/>
                <w:spacing w:val="0"/>
                <w:w w:val="100"/>
                <w:position w:val="0"/>
                <w:sz w:val="15"/>
                <w:szCs w:val="15"/>
              </w:rPr>
              <w:t xml:space="preserve">802. </w:t>
            </w:r>
            <w:r>
              <w:rPr>
                <w:rFonts w:ascii="Times New Roman" w:eastAsia="Times New Roman" w:hAnsi="Times New Roman" w:cs="Times New Roman"/>
                <w:color w:val="000000"/>
                <w:spacing w:val="0"/>
                <w:w w:val="100"/>
                <w:position w:val="0"/>
                <w:sz w:val="15"/>
                <w:szCs w:val="15"/>
              </w:rPr>
              <w:t>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预收款项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17,156, </w:t>
            </w:r>
            <w:r>
              <w:rPr>
                <w:rFonts w:ascii="Times New Roman" w:eastAsia="Times New Roman" w:hAnsi="Times New Roman" w:cs="Times New Roman"/>
                <w:color w:val="000000"/>
                <w:spacing w:val="0"/>
                <w:w w:val="100"/>
                <w:position w:val="0"/>
                <w:sz w:val="15"/>
                <w:szCs w:val="15"/>
              </w:rPr>
              <w:t xml:space="preserve">680. </w:t>
            </w:r>
            <w:r>
              <w:rPr>
                <w:rFonts w:ascii="Times New Roman" w:eastAsia="Times New Roman" w:hAnsi="Times New Roman" w:cs="Times New Roman"/>
                <w:color w:val="000000"/>
                <w:spacing w:val="0"/>
                <w:w w:val="100"/>
                <w:position w:val="0"/>
                <w:sz w:val="15"/>
                <w:szCs w:val="15"/>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17,456,382. </w:t>
            </w:r>
            <w:r>
              <w:rPr>
                <w:rFonts w:ascii="Times New Roman" w:eastAsia="Times New Roman" w:hAnsi="Times New Roman" w:cs="Times New Roman"/>
                <w:color w:val="000000"/>
                <w:spacing w:val="0"/>
                <w:w w:val="100"/>
                <w:position w:val="0"/>
                <w:sz w:val="15"/>
                <w:szCs w:val="15"/>
              </w:rPr>
              <w:t>97</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应付职工薪酬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72, 887, </w:t>
            </w:r>
            <w:r>
              <w:rPr>
                <w:rFonts w:ascii="Times New Roman" w:eastAsia="Times New Roman" w:hAnsi="Times New Roman" w:cs="Times New Roman"/>
                <w:color w:val="000000"/>
                <w:spacing w:val="0"/>
                <w:w w:val="100"/>
                <w:position w:val="0"/>
                <w:sz w:val="15"/>
                <w:szCs w:val="15"/>
              </w:rPr>
              <w:t xml:space="preserve">636. </w:t>
            </w:r>
            <w:r>
              <w:rPr>
                <w:rFonts w:ascii="Times New Roman" w:eastAsia="Times New Roman" w:hAnsi="Times New Roman" w:cs="Times New Roman"/>
                <w:color w:val="000000"/>
                <w:spacing w:val="0"/>
                <w:w w:val="100"/>
                <w:position w:val="0"/>
                <w:sz w:val="15"/>
                <w:szCs w:val="15"/>
              </w:rPr>
              <w:t>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65, 456, </w:t>
            </w:r>
            <w:r>
              <w:rPr>
                <w:rFonts w:ascii="Times New Roman" w:eastAsia="Times New Roman" w:hAnsi="Times New Roman" w:cs="Times New Roman"/>
                <w:color w:val="000000"/>
                <w:spacing w:val="0"/>
                <w:w w:val="100"/>
                <w:position w:val="0"/>
                <w:sz w:val="15"/>
                <w:szCs w:val="15"/>
              </w:rPr>
              <w:t xml:space="preserve">867. </w:t>
            </w:r>
            <w:r>
              <w:rPr>
                <w:rFonts w:ascii="Times New Roman" w:eastAsia="Times New Roman" w:hAnsi="Times New Roman" w:cs="Times New Roman"/>
                <w:color w:val="000000"/>
                <w:spacing w:val="0"/>
                <w:w w:val="100"/>
                <w:position w:val="0"/>
                <w:sz w:val="15"/>
                <w:szCs w:val="15"/>
              </w:rPr>
              <w:t>31</w:t>
            </w: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11, 718, </w:t>
            </w:r>
            <w:r>
              <w:rPr>
                <w:rFonts w:ascii="Times New Roman" w:eastAsia="Times New Roman" w:hAnsi="Times New Roman" w:cs="Times New Roman"/>
                <w:color w:val="000000"/>
                <w:spacing w:val="0"/>
                <w:w w:val="100"/>
                <w:position w:val="0"/>
                <w:sz w:val="15"/>
                <w:szCs w:val="15"/>
              </w:rPr>
              <w:t xml:space="preserve">823. </w:t>
            </w:r>
            <w:r>
              <w:rPr>
                <w:rFonts w:ascii="Times New Roman" w:eastAsia="Times New Roman" w:hAnsi="Times New Roman" w:cs="Times New Roman"/>
                <w:color w:val="000000"/>
                <w:spacing w:val="0"/>
                <w:w w:val="100"/>
                <w:position w:val="0"/>
                <w:sz w:val="15"/>
                <w:szCs w:val="15"/>
              </w:rPr>
              <w:t>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35, 035, </w:t>
            </w:r>
            <w:r>
              <w:rPr>
                <w:rFonts w:ascii="Times New Roman" w:eastAsia="Times New Roman" w:hAnsi="Times New Roman" w:cs="Times New Roman"/>
                <w:color w:val="000000"/>
                <w:spacing w:val="0"/>
                <w:w w:val="100"/>
                <w:position w:val="0"/>
                <w:sz w:val="15"/>
                <w:szCs w:val="15"/>
              </w:rPr>
              <w:t xml:space="preserve">837. </w:t>
            </w:r>
            <w:r>
              <w:rPr>
                <w:rFonts w:ascii="Times New Roman" w:eastAsia="Times New Roman" w:hAnsi="Times New Roman" w:cs="Times New Roman"/>
                <w:color w:val="000000"/>
                <w:spacing w:val="0"/>
                <w:w w:val="100"/>
                <w:position w:val="0"/>
                <w:sz w:val="15"/>
                <w:szCs w:val="15"/>
              </w:rPr>
              <w:t>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应交税费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10, 903, </w:t>
            </w:r>
            <w:r>
              <w:rPr>
                <w:rFonts w:ascii="Times New Roman" w:eastAsia="Times New Roman" w:hAnsi="Times New Roman" w:cs="Times New Roman"/>
                <w:color w:val="000000"/>
                <w:spacing w:val="0"/>
                <w:w w:val="100"/>
                <w:position w:val="0"/>
                <w:sz w:val="15"/>
                <w:szCs w:val="15"/>
              </w:rPr>
              <w:t xml:space="preserve">161. </w:t>
            </w:r>
            <w:r>
              <w:rPr>
                <w:rFonts w:ascii="Times New Roman" w:eastAsia="Times New Roman" w:hAnsi="Times New Roman" w:cs="Times New Roman"/>
                <w:i/>
                <w:iCs/>
                <w:color w:val="000000"/>
                <w:spacing w:val="0"/>
                <w:w w:val="100"/>
                <w:position w:val="0"/>
                <w:sz w:val="15"/>
                <w:szCs w:val="15"/>
              </w:rPr>
              <w:t>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67, 535, </w:t>
            </w:r>
            <w:r>
              <w:rPr>
                <w:rFonts w:ascii="Times New Roman" w:eastAsia="Times New Roman" w:hAnsi="Times New Roman" w:cs="Times New Roman"/>
                <w:color w:val="000000"/>
                <w:spacing w:val="0"/>
                <w:w w:val="100"/>
                <w:position w:val="0"/>
                <w:sz w:val="15"/>
                <w:szCs w:val="15"/>
              </w:rPr>
              <w:t xml:space="preserve">042. </w:t>
            </w:r>
            <w:r>
              <w:rPr>
                <w:rFonts w:ascii="Times New Roman" w:eastAsia="Times New Roman" w:hAnsi="Times New Roman" w:cs="Times New Roman"/>
                <w:color w:val="000000"/>
                <w:spacing w:val="0"/>
                <w:w w:val="100"/>
                <w:position w:val="0"/>
                <w:sz w:val="15"/>
                <w:szCs w:val="15"/>
              </w:rPr>
              <w:t>75</w:t>
            </w: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其愈谯</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599, 066,</w:t>
            </w:r>
            <w:r>
              <w:rPr>
                <w:rFonts w:ascii="Times New Roman" w:eastAsia="Times New Roman" w:hAnsi="Times New Roman" w:cs="Times New Roman"/>
                <w:color w:val="000000"/>
                <w:spacing w:val="0"/>
                <w:w w:val="100"/>
                <w:position w:val="0"/>
                <w:sz w:val="15"/>
                <w:szCs w:val="15"/>
              </w:rPr>
              <w:t xml:space="preserve">147. </w:t>
            </w:r>
            <w:r>
              <w:rPr>
                <w:rFonts w:ascii="Times New Roman" w:eastAsia="Times New Roman" w:hAnsi="Times New Roman" w:cs="Times New Roman"/>
                <w:color w:val="000000"/>
                <w:spacing w:val="0"/>
                <w:w w:val="100"/>
                <w:position w:val="0"/>
                <w:sz w:val="15"/>
                <w:szCs w:val="15"/>
              </w:rPr>
              <w:t>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722, 686, </w:t>
            </w:r>
            <w:r>
              <w:rPr>
                <w:rFonts w:ascii="Times New Roman" w:eastAsia="Times New Roman" w:hAnsi="Times New Roman" w:cs="Times New Roman"/>
                <w:color w:val="000000"/>
                <w:spacing w:val="0"/>
                <w:w w:val="100"/>
                <w:position w:val="0"/>
                <w:sz w:val="15"/>
                <w:szCs w:val="15"/>
              </w:rPr>
              <w:t xml:space="preserve">826. </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应付利息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925,327. </w:t>
            </w:r>
            <w:r>
              <w:rPr>
                <w:rFonts w:ascii="Times New Roman" w:eastAsia="Times New Roman" w:hAnsi="Times New Roman" w:cs="Times New Roman"/>
                <w:i/>
                <w:iCs/>
                <w:color w:val="000000"/>
                <w:spacing w:val="0"/>
                <w:w w:val="100"/>
                <w:position w:val="0"/>
                <w:sz w:val="15"/>
                <w:szCs w:val="15"/>
              </w:rPr>
              <w:t>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6,181. </w:t>
            </w:r>
            <w:r>
              <w:rPr>
                <w:rFonts w:ascii="Times New Roman" w:eastAsia="Times New Roman" w:hAnsi="Times New Roman" w:cs="Times New Roman"/>
                <w:color w:val="000000"/>
                <w:spacing w:val="0"/>
                <w:w w:val="100"/>
                <w:position w:val="0"/>
                <w:sz w:val="15"/>
                <w:szCs w:val="15"/>
              </w:rPr>
              <w:t>18</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存贷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168, 857, </w:t>
            </w:r>
            <w:r>
              <w:rPr>
                <w:rFonts w:ascii="Times New Roman" w:eastAsia="Times New Roman" w:hAnsi="Times New Roman" w:cs="Times New Roman"/>
                <w:color w:val="000000"/>
                <w:spacing w:val="0"/>
                <w:w w:val="100"/>
                <w:position w:val="0"/>
                <w:sz w:val="15"/>
                <w:szCs w:val="15"/>
              </w:rPr>
              <w:t xml:space="preserve">208. </w:t>
            </w:r>
            <w:r>
              <w:rPr>
                <w:rFonts w:ascii="Times New Roman" w:eastAsia="Times New Roman" w:hAnsi="Times New Roman" w:cs="Times New Roman"/>
                <w:color w:val="000000"/>
                <w:spacing w:val="0"/>
                <w:w w:val="100"/>
                <w:position w:val="0"/>
                <w:sz w:val="15"/>
                <w:szCs w:val="15"/>
              </w:rPr>
              <w:t>04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153, 634, </w:t>
            </w:r>
            <w:r>
              <w:rPr>
                <w:rFonts w:ascii="Times New Roman" w:eastAsia="Times New Roman" w:hAnsi="Times New Roman" w:cs="Times New Roman"/>
                <w:color w:val="000000"/>
                <w:spacing w:val="0"/>
                <w:w w:val="100"/>
                <w:position w:val="0"/>
                <w:sz w:val="15"/>
                <w:szCs w:val="15"/>
              </w:rPr>
              <w:t xml:space="preserve">973. </w:t>
            </w:r>
            <w:r>
              <w:rPr>
                <w:rFonts w:ascii="Times New Roman" w:eastAsia="Times New Roman" w:hAnsi="Times New Roman" w:cs="Times New Roman"/>
                <w:color w:val="000000"/>
                <w:spacing w:val="0"/>
                <w:w w:val="100"/>
                <w:position w:val="0"/>
                <w:sz w:val="15"/>
                <w:szCs w:val="15"/>
              </w:rPr>
              <w:t>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应付股利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划分为持有待售的资产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其球付款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395, 053, </w:t>
            </w:r>
            <w:r>
              <w:rPr>
                <w:rFonts w:ascii="Times New Roman" w:eastAsia="Times New Roman" w:hAnsi="Times New Roman" w:cs="Times New Roman"/>
                <w:color w:val="000000"/>
                <w:spacing w:val="0"/>
                <w:w w:val="100"/>
                <w:position w:val="0"/>
                <w:sz w:val="15"/>
                <w:szCs w:val="15"/>
              </w:rPr>
              <w:t xml:space="preserve">701. </w:t>
            </w:r>
            <w:r>
              <w:rPr>
                <w:rFonts w:ascii="Times New Roman" w:eastAsia="Times New Roman" w:hAnsi="Times New Roman" w:cs="Times New Roman"/>
                <w:color w:val="000000"/>
                <w:spacing w:val="0"/>
                <w:w w:val="100"/>
                <w:position w:val="0"/>
                <w:sz w:val="15"/>
                <w:szCs w:val="15"/>
              </w:rPr>
              <w:t>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261,840, </w:t>
            </w:r>
            <w:r>
              <w:rPr>
                <w:rFonts w:ascii="Times New Roman" w:eastAsia="Times New Roman" w:hAnsi="Times New Roman" w:cs="Times New Roman"/>
                <w:color w:val="000000"/>
                <w:spacing w:val="0"/>
                <w:w w:val="100"/>
                <w:position w:val="0"/>
                <w:sz w:val="15"/>
                <w:szCs w:val="15"/>
              </w:rPr>
              <w:t>305.42</w:t>
            </w:r>
          </w:p>
        </w:tc>
      </w:tr>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一年内到期的</w:t>
            </w:r>
            <w:r>
              <w:rPr>
                <w:color w:val="000000"/>
                <w:spacing w:val="0"/>
                <w:w w:val="100"/>
                <w:position w:val="0"/>
                <w:sz w:val="15"/>
                <w:szCs w:val="15"/>
              </w:rPr>
              <w:t>m</w:t>
            </w:r>
            <w:r>
              <w:rPr>
                <w:color w:val="000000"/>
                <w:spacing w:val="0"/>
                <w:w w:val="100"/>
                <w:position w:val="0"/>
                <w:sz w:val="15"/>
                <w:szCs w:val="15"/>
              </w:rPr>
              <w:t>瞬动资产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划分为持有待售的负债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97, </w:t>
            </w:r>
            <w:r>
              <w:rPr>
                <w:rFonts w:ascii="Times New Roman" w:eastAsia="Times New Roman" w:hAnsi="Times New Roman" w:cs="Times New Roman"/>
                <w:color w:val="000000"/>
                <w:spacing w:val="0"/>
                <w:w w:val="100"/>
                <w:position w:val="0"/>
                <w:sz w:val="15"/>
                <w:szCs w:val="15"/>
              </w:rPr>
              <w:t xml:space="preserve">909,281. </w:t>
            </w:r>
            <w:r>
              <w:rPr>
                <w:rFonts w:ascii="Times New Roman" w:eastAsia="Times New Roman" w:hAnsi="Times New Roman" w:cs="Times New Roman"/>
                <w:color w:val="000000"/>
                <w:spacing w:val="0"/>
                <w:w w:val="100"/>
                <w:position w:val="0"/>
                <w:sz w:val="15"/>
                <w:szCs w:val="15"/>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8,165, </w:t>
            </w:r>
            <w:r>
              <w:rPr>
                <w:rFonts w:ascii="Times New Roman" w:eastAsia="Times New Roman" w:hAnsi="Times New Roman" w:cs="Times New Roman"/>
                <w:color w:val="000000"/>
                <w:spacing w:val="0"/>
                <w:w w:val="100"/>
                <w:position w:val="0"/>
                <w:sz w:val="15"/>
                <w:szCs w:val="15"/>
              </w:rPr>
              <w:t xml:space="preserve">627. </w:t>
            </w:r>
            <w:r>
              <w:rPr>
                <w:rFonts w:ascii="Times New Roman" w:eastAsia="Times New Roman" w:hAnsi="Times New Roman" w:cs="Times New Roman"/>
                <w:color w:val="000000"/>
                <w:spacing w:val="0"/>
                <w:w w:val="100"/>
                <w:position w:val="0"/>
                <w:sz w:val="15"/>
                <w:szCs w:val="15"/>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一年内到期的耳瞒动负债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40, 250, </w:t>
            </w:r>
            <w:r>
              <w:rPr>
                <w:rFonts w:ascii="Times New Roman" w:eastAsia="Times New Roman" w:hAnsi="Times New Roman" w:cs="Times New Roman"/>
                <w:color w:val="000000"/>
                <w:spacing w:val="0"/>
                <w:w w:val="100"/>
                <w:position w:val="0"/>
                <w:sz w:val="15"/>
                <w:szCs w:val="15"/>
              </w:rPr>
              <w:t xml:space="preserve">067.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74, 228,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60</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4, 625,925, </w:t>
            </w:r>
            <w:r>
              <w:rPr>
                <w:rFonts w:ascii="Times New Roman" w:eastAsia="Times New Roman" w:hAnsi="Times New Roman" w:cs="Times New Roman"/>
                <w:color w:val="000000"/>
                <w:spacing w:val="0"/>
                <w:w w:val="100"/>
                <w:position w:val="0"/>
                <w:sz w:val="15"/>
                <w:szCs w:val="15"/>
              </w:rPr>
              <w:t xml:space="preserve">584. </w:t>
            </w:r>
            <w:r>
              <w:rPr>
                <w:rFonts w:ascii="Times New Roman" w:eastAsia="Times New Roman" w:hAnsi="Times New Roman" w:cs="Times New Roman"/>
                <w:color w:val="000000"/>
                <w:spacing w:val="0"/>
                <w:w w:val="100"/>
                <w:position w:val="0"/>
                <w:sz w:val="15"/>
                <w:szCs w:val="15"/>
              </w:rPr>
              <w:t>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6, 259, 682, </w:t>
            </w:r>
            <w:r>
              <w:rPr>
                <w:rFonts w:ascii="Times New Roman" w:eastAsia="Times New Roman" w:hAnsi="Times New Roman" w:cs="Times New Roman"/>
                <w:color w:val="000000"/>
                <w:spacing w:val="0"/>
                <w:w w:val="100"/>
                <w:position w:val="0"/>
                <w:sz w:val="15"/>
                <w:szCs w:val="15"/>
              </w:rPr>
              <w:t xml:space="preserve">608. </w:t>
            </w:r>
            <w:r>
              <w:rPr>
                <w:rFonts w:ascii="Times New Roman" w:eastAsia="Times New Roman" w:hAnsi="Times New Roman" w:cs="Times New Roman"/>
                <w:color w:val="000000"/>
                <w:spacing w:val="0"/>
                <w:w w:val="100"/>
                <w:position w:val="0"/>
                <w:sz w:val="15"/>
                <w:szCs w:val="15"/>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1, 292, 201, </w:t>
            </w:r>
            <w:r>
              <w:rPr>
                <w:rFonts w:ascii="Times New Roman" w:eastAsia="Times New Roman" w:hAnsi="Times New Roman" w:cs="Times New Roman"/>
                <w:color w:val="000000"/>
                <w:spacing w:val="0"/>
                <w:w w:val="100"/>
                <w:position w:val="0"/>
                <w:sz w:val="15"/>
                <w:szCs w:val="15"/>
              </w:rPr>
              <w:t xml:space="preserve">154. </w:t>
            </w:r>
            <w:r>
              <w:rPr>
                <w:rFonts w:ascii="Times New Roman" w:eastAsia="Times New Roman" w:hAnsi="Times New Roman" w:cs="Times New Roman"/>
                <w:color w:val="000000"/>
                <w:spacing w:val="0"/>
                <w:w w:val="100"/>
                <w:position w:val="0"/>
                <w:sz w:val="15"/>
                <w:szCs w:val="15"/>
              </w:rPr>
              <w:t>87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734, 369, </w:t>
            </w:r>
            <w:r>
              <w:rPr>
                <w:rFonts w:ascii="Times New Roman" w:eastAsia="Times New Roman" w:hAnsi="Times New Roman" w:cs="Times New Roman"/>
                <w:color w:val="000000"/>
                <w:spacing w:val="0"/>
                <w:w w:val="100"/>
                <w:position w:val="0"/>
                <w:sz w:val="15"/>
                <w:szCs w:val="15"/>
              </w:rPr>
              <w:t xml:space="preserve">716. </w:t>
            </w:r>
            <w:r>
              <w:rPr>
                <w:rFonts w:ascii="Times New Roman" w:eastAsia="Times New Roman" w:hAnsi="Times New Roman" w:cs="Times New Roman"/>
                <w:i/>
                <w:iCs/>
                <w:color w:val="000000"/>
                <w:spacing w:val="0"/>
                <w:w w:val="100"/>
                <w:position w:val="0"/>
                <w:sz w:val="15"/>
                <w:szCs w:val="15"/>
              </w:rPr>
              <w:t>44</w:t>
            </w: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林动负债：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长期借款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369, 004, </w:t>
            </w:r>
            <w:r>
              <w:rPr>
                <w:rFonts w:ascii="Times New Roman" w:eastAsia="Times New Roman" w:hAnsi="Times New Roman" w:cs="Times New Roman"/>
                <w:color w:val="000000"/>
                <w:spacing w:val="0"/>
                <w:w w:val="100"/>
                <w:position w:val="0"/>
                <w:sz w:val="15"/>
                <w:szCs w:val="15"/>
              </w:rPr>
              <w:t xml:space="preserve">552.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13, 941, </w:t>
            </w:r>
            <w:r>
              <w:rPr>
                <w:rFonts w:ascii="Times New Roman" w:eastAsia="Times New Roman" w:hAnsi="Times New Roman" w:cs="Times New Roman"/>
                <w:color w:val="000000"/>
                <w:spacing w:val="0"/>
                <w:w w:val="100"/>
                <w:position w:val="0"/>
                <w:sz w:val="15"/>
                <w:szCs w:val="15"/>
              </w:rPr>
              <w:t xml:space="preserve">759. </w:t>
            </w:r>
            <w:r>
              <w:rPr>
                <w:rFonts w:ascii="Times New Roman" w:eastAsia="Times New Roman" w:hAnsi="Times New Roman" w:cs="Times New Roman"/>
                <w:color w:val="000000"/>
                <w:spacing w:val="0"/>
                <w:w w:val="100"/>
                <w:position w:val="0"/>
                <w:sz w:val="15"/>
                <w:szCs w:val="15"/>
              </w:rPr>
              <w:t>20</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应付债券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625, 060, </w:t>
            </w:r>
            <w:r>
              <w:rPr>
                <w:rFonts w:ascii="Times New Roman" w:eastAsia="Times New Roman" w:hAnsi="Times New Roman" w:cs="Times New Roman"/>
                <w:color w:val="000000"/>
                <w:spacing w:val="0"/>
                <w:w w:val="100"/>
                <w:position w:val="0"/>
                <w:sz w:val="15"/>
                <w:szCs w:val="15"/>
              </w:rPr>
              <w:t xml:space="preserve">795. </w:t>
            </w:r>
            <w:r>
              <w:rPr>
                <w:rFonts w:ascii="Times New Roman" w:eastAsia="Times New Roman" w:hAnsi="Times New Roman" w:cs="Times New Roman"/>
                <w:color w:val="000000"/>
                <w:spacing w:val="0"/>
                <w:w w:val="100"/>
                <w:position w:val="0"/>
                <w:sz w:val="15"/>
                <w:szCs w:val="15"/>
              </w:rPr>
              <w:t>25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623, </w:t>
            </w:r>
            <w:r>
              <w:rPr>
                <w:rFonts w:ascii="Times New Roman" w:eastAsia="Times New Roman" w:hAnsi="Times New Roman" w:cs="Times New Roman"/>
                <w:color w:val="000000"/>
                <w:spacing w:val="0"/>
                <w:w w:val="100"/>
                <w:position w:val="0"/>
                <w:sz w:val="15"/>
                <w:szCs w:val="15"/>
              </w:rPr>
              <w:t xml:space="preserve">859,511. </w:t>
            </w:r>
            <w:r>
              <w:rPr>
                <w:rFonts w:ascii="Times New Roman" w:eastAsia="Times New Roman" w:hAnsi="Times New Roman" w:cs="Times New Roman"/>
                <w:color w:val="000000"/>
                <w:spacing w:val="0"/>
                <w:w w:val="100"/>
                <w:position w:val="0"/>
                <w:sz w:val="15"/>
                <w:szCs w:val="15"/>
              </w:rPr>
              <w:t>17</w:t>
            </w: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其中：优先股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永续债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558, 446, </w:t>
            </w:r>
            <w:r>
              <w:rPr>
                <w:rFonts w:ascii="Times New Roman" w:eastAsia="Times New Roman" w:hAnsi="Times New Roman" w:cs="Times New Roman"/>
                <w:color w:val="000000"/>
                <w:spacing w:val="0"/>
                <w:w w:val="100"/>
                <w:position w:val="0"/>
                <w:sz w:val="15"/>
                <w:szCs w:val="15"/>
              </w:rPr>
              <w:t xml:space="preserve">372.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497,</w:t>
            </w:r>
            <w:r>
              <w:rPr>
                <w:rFonts w:ascii="Times New Roman" w:eastAsia="Times New Roman" w:hAnsi="Times New Roman" w:cs="Times New Roman"/>
                <w:color w:val="000000"/>
                <w:spacing w:val="0"/>
                <w:w w:val="100"/>
                <w:position w:val="0"/>
                <w:sz w:val="15"/>
                <w:szCs w:val="15"/>
              </w:rPr>
              <w:t xml:space="preserve">119,917. </w:t>
            </w:r>
            <w:r>
              <w:rPr>
                <w:rFonts w:ascii="Times New Roman" w:eastAsia="Times New Roman" w:hAnsi="Times New Roman" w:cs="Times New Roman"/>
                <w:color w:val="000000"/>
                <w:spacing w:val="0"/>
                <w:w w:val="100"/>
                <w:position w:val="0"/>
                <w:sz w:val="15"/>
                <w:szCs w:val="15"/>
              </w:rPr>
              <w:t>88</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长期应付</w:t>
            </w:r>
            <w:r>
              <w:rPr>
                <w:rFonts w:ascii="Times New Roman" w:eastAsia="Times New Roman" w:hAnsi="Times New Roman" w:cs="Times New Roman"/>
                <w:color w:val="000000"/>
                <w:spacing w:val="0"/>
                <w:w w:val="100"/>
                <w:position w:val="0"/>
                <w:sz w:val="18"/>
                <w:szCs w:val="18"/>
              </w:rPr>
              <w:t>WC</w:t>
            </w:r>
            <w:r>
              <w:rPr>
                <w:color w:val="000000"/>
                <w:spacing w:val="0"/>
                <w:w w:val="100"/>
                <w:position w:val="0"/>
                <w:sz w:val="15"/>
                <w:szCs w:val="15"/>
              </w:rPr>
              <w:t>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司瓢动资产：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可供出售金融资产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199,282,571.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199, 282, </w:t>
            </w:r>
            <w:r>
              <w:rPr>
                <w:rFonts w:ascii="Times New Roman" w:eastAsia="Times New Roman" w:hAnsi="Times New Roman" w:cs="Times New Roman"/>
                <w:color w:val="000000"/>
                <w:spacing w:val="0"/>
                <w:w w:val="100"/>
                <w:position w:val="0"/>
                <w:sz w:val="15"/>
                <w:szCs w:val="15"/>
              </w:rPr>
              <w:t xml:space="preserve">571.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递延收益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8, 117, </w:t>
            </w:r>
            <w:r>
              <w:rPr>
                <w:rFonts w:ascii="Times New Roman" w:eastAsia="Times New Roman" w:hAnsi="Times New Roman" w:cs="Times New Roman"/>
                <w:color w:val="000000"/>
                <w:spacing w:val="0"/>
                <w:w w:val="100"/>
                <w:position w:val="0"/>
                <w:sz w:val="15"/>
                <w:szCs w:val="15"/>
              </w:rPr>
              <w:t xml:space="preserve">751. </w:t>
            </w:r>
            <w:r>
              <w:rPr>
                <w:rFonts w:ascii="Times New Roman" w:eastAsia="Times New Roman" w:hAnsi="Times New Roman" w:cs="Times New Roman"/>
                <w:color w:val="000000"/>
                <w:spacing w:val="0"/>
                <w:w w:val="100"/>
                <w:position w:val="0"/>
                <w:sz w:val="15"/>
                <w:szCs w:val="15"/>
              </w:rPr>
              <w:t>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9,048, </w:t>
            </w:r>
            <w:r>
              <w:rPr>
                <w:rFonts w:ascii="Times New Roman" w:eastAsia="Times New Roman" w:hAnsi="Times New Roman" w:cs="Times New Roman"/>
                <w:color w:val="000000"/>
                <w:spacing w:val="0"/>
                <w:w w:val="100"/>
                <w:position w:val="0"/>
                <w:sz w:val="15"/>
                <w:szCs w:val="15"/>
              </w:rPr>
              <w:t>441.87</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递延所得税负债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1,193, </w:t>
            </w:r>
            <w:r>
              <w:rPr>
                <w:rFonts w:ascii="Times New Roman" w:eastAsia="Times New Roman" w:hAnsi="Times New Roman" w:cs="Times New Roman"/>
                <w:color w:val="000000"/>
                <w:spacing w:val="0"/>
                <w:w w:val="100"/>
                <w:position w:val="0"/>
                <w:sz w:val="15"/>
                <w:szCs w:val="15"/>
              </w:rPr>
              <w:t xml:space="preserve">496. </w:t>
            </w:r>
            <w:r>
              <w:rPr>
                <w:rFonts w:ascii="Times New Roman" w:eastAsia="Times New Roman" w:hAnsi="Times New Roman" w:cs="Times New Roman"/>
                <w:color w:val="000000"/>
                <w:spacing w:val="0"/>
                <w:w w:val="100"/>
                <w:position w:val="0"/>
                <w:sz w:val="15"/>
                <w:szCs w:val="15"/>
              </w:rPr>
              <w:t>82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1,193,</w:t>
            </w:r>
            <w:r>
              <w:rPr>
                <w:rFonts w:ascii="Times New Roman" w:eastAsia="Times New Roman" w:hAnsi="Times New Roman" w:cs="Times New Roman"/>
                <w:color w:val="000000"/>
                <w:spacing w:val="0"/>
                <w:w w:val="100"/>
                <w:position w:val="0"/>
                <w:sz w:val="15"/>
                <w:szCs w:val="15"/>
              </w:rPr>
              <w:t xml:space="preserve">496. </w:t>
            </w:r>
            <w:r>
              <w:rPr>
                <w:rFonts w:ascii="Times New Roman" w:eastAsia="Times New Roman" w:hAnsi="Times New Roman" w:cs="Times New Roman"/>
                <w:color w:val="000000"/>
                <w:spacing w:val="0"/>
                <w:w w:val="100"/>
                <w:position w:val="0"/>
                <w:sz w:val="15"/>
                <w:szCs w:val="15"/>
              </w:rPr>
              <w:t>82</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长期股权投资</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11, 431, 410, </w:t>
            </w:r>
            <w:r>
              <w:rPr>
                <w:rFonts w:ascii="Times New Roman" w:eastAsia="Times New Roman" w:hAnsi="Times New Roman" w:cs="Times New Roman"/>
                <w:color w:val="000000"/>
                <w:spacing w:val="0"/>
                <w:w w:val="100"/>
                <w:position w:val="0"/>
                <w:sz w:val="15"/>
                <w:szCs w:val="15"/>
              </w:rPr>
              <w:t xml:space="preserve">973. </w:t>
            </w:r>
            <w:r>
              <w:rPr>
                <w:rFonts w:ascii="Times New Roman" w:eastAsia="Times New Roman" w:hAnsi="Times New Roman" w:cs="Times New Roman"/>
                <w:color w:val="000000"/>
                <w:spacing w:val="0"/>
                <w:w w:val="100"/>
                <w:position w:val="0"/>
                <w:sz w:val="15"/>
                <w:szCs w:val="15"/>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8,985, 882, </w:t>
            </w:r>
            <w:r>
              <w:rPr>
                <w:rFonts w:ascii="Times New Roman" w:eastAsia="Times New Roman" w:hAnsi="Times New Roman" w:cs="Times New Roman"/>
                <w:color w:val="000000"/>
                <w:spacing w:val="0"/>
                <w:w w:val="100"/>
                <w:position w:val="0"/>
                <w:sz w:val="15"/>
                <w:szCs w:val="15"/>
              </w:rPr>
              <w:t xml:space="preserve">673. </w:t>
            </w:r>
            <w:r>
              <w:rPr>
                <w:rFonts w:ascii="Times New Roman" w:eastAsia="Times New Roman" w:hAnsi="Times New Roman" w:cs="Times New Roman"/>
                <w:color w:val="000000"/>
                <w:spacing w:val="0"/>
                <w:w w:val="100"/>
                <w:position w:val="0"/>
                <w:sz w:val="15"/>
                <w:szCs w:val="15"/>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投渣性房地产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非流动负债合计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1, 561, 822, </w:t>
            </w:r>
            <w:r>
              <w:rPr>
                <w:rFonts w:ascii="Times New Roman" w:eastAsia="Times New Roman" w:hAnsi="Times New Roman" w:cs="Times New Roman"/>
                <w:color w:val="000000"/>
                <w:spacing w:val="0"/>
                <w:w w:val="100"/>
                <w:position w:val="0"/>
                <w:sz w:val="15"/>
                <w:szCs w:val="15"/>
              </w:rPr>
              <w:t xml:space="preserve">967. </w:t>
            </w:r>
            <w:r>
              <w:rPr>
                <w:rFonts w:ascii="Times New Roman" w:eastAsia="Times New Roman" w:hAnsi="Times New Roman" w:cs="Times New Roman"/>
                <w:color w:val="000000"/>
                <w:spacing w:val="0"/>
                <w:w w:val="100"/>
                <w:position w:val="0"/>
                <w:sz w:val="15"/>
                <w:szCs w:val="15"/>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1, 145,163,</w:t>
            </w:r>
            <w:r>
              <w:rPr>
                <w:rFonts w:ascii="Times New Roman" w:eastAsia="Times New Roman" w:hAnsi="Times New Roman" w:cs="Times New Roman"/>
                <w:color w:val="000000"/>
                <w:spacing w:val="0"/>
                <w:w w:val="100"/>
                <w:position w:val="0"/>
                <w:sz w:val="15"/>
                <w:szCs w:val="15"/>
              </w:rPr>
              <w:t xml:space="preserve">126. </w:t>
            </w:r>
            <w:r>
              <w:rPr>
                <w:rFonts w:ascii="Times New Roman" w:eastAsia="Times New Roman" w:hAnsi="Times New Roman" w:cs="Times New Roman"/>
                <w:color w:val="000000"/>
                <w:spacing w:val="0"/>
                <w:w w:val="100"/>
                <w:position w:val="0"/>
                <w:sz w:val="15"/>
                <w:szCs w:val="15"/>
              </w:rPr>
              <w:t>94</w:t>
            </w: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固定资产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42, 738, </w:t>
            </w:r>
            <w:r>
              <w:rPr>
                <w:rFonts w:ascii="Times New Roman" w:eastAsia="Times New Roman" w:hAnsi="Times New Roman" w:cs="Times New Roman"/>
                <w:color w:val="000000"/>
                <w:spacing w:val="0"/>
                <w:w w:val="100"/>
                <w:position w:val="0"/>
                <w:sz w:val="15"/>
                <w:szCs w:val="15"/>
              </w:rPr>
              <w:t xml:space="preserve">452. </w:t>
            </w:r>
            <w:r>
              <w:rPr>
                <w:rFonts w:ascii="Times New Roman" w:eastAsia="Times New Roman" w:hAnsi="Times New Roman" w:cs="Times New Roman"/>
                <w:color w:val="000000"/>
                <w:spacing w:val="0"/>
                <w:w w:val="100"/>
                <w:position w:val="0"/>
                <w:sz w:val="15"/>
                <w:szCs w:val="15"/>
              </w:rPr>
              <w:t>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36, 316, </w:t>
            </w:r>
            <w:r>
              <w:rPr>
                <w:rFonts w:ascii="Times New Roman" w:eastAsia="Times New Roman" w:hAnsi="Times New Roman" w:cs="Times New Roman"/>
                <w:color w:val="000000"/>
                <w:spacing w:val="0"/>
                <w:w w:val="100"/>
                <w:position w:val="0"/>
                <w:sz w:val="15"/>
                <w:szCs w:val="15"/>
              </w:rPr>
              <w:t xml:space="preserve">909. </w:t>
            </w:r>
            <w:r>
              <w:rPr>
                <w:rFonts w:ascii="Times New Roman" w:eastAsia="Times New Roman" w:hAnsi="Times New Roman" w:cs="Times New Roman"/>
                <w:color w:val="000000"/>
                <w:spacing w:val="0"/>
                <w:w w:val="100"/>
                <w:position w:val="0"/>
                <w:sz w:val="15"/>
                <w:szCs w:val="15"/>
              </w:rPr>
              <w:t>59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2, 854, 024, </w:t>
            </w:r>
            <w:r>
              <w:rPr>
                <w:rFonts w:ascii="Times New Roman" w:eastAsia="Times New Roman" w:hAnsi="Times New Roman" w:cs="Times New Roman"/>
                <w:color w:val="000000"/>
                <w:spacing w:val="0"/>
                <w:w w:val="100"/>
                <w:position w:val="0"/>
                <w:sz w:val="15"/>
                <w:szCs w:val="15"/>
              </w:rPr>
              <w:t xml:space="preserve">122. </w:t>
            </w:r>
            <w:r>
              <w:rPr>
                <w:rFonts w:ascii="Times New Roman" w:eastAsia="Times New Roman" w:hAnsi="Times New Roman" w:cs="Times New Roman"/>
                <w:color w:val="000000"/>
                <w:spacing w:val="0"/>
                <w:w w:val="100"/>
                <w:position w:val="0"/>
                <w:sz w:val="15"/>
                <w:szCs w:val="15"/>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1, 879, </w:t>
            </w:r>
            <w:r>
              <w:rPr>
                <w:rFonts w:ascii="Times New Roman" w:eastAsia="Times New Roman" w:hAnsi="Times New Roman" w:cs="Times New Roman"/>
                <w:color w:val="000000"/>
                <w:spacing w:val="0"/>
                <w:w w:val="100"/>
                <w:position w:val="0"/>
                <w:sz w:val="15"/>
                <w:szCs w:val="15"/>
              </w:rPr>
              <w:t xml:space="preserve">532,843. </w:t>
            </w:r>
            <w:r>
              <w:rPr>
                <w:rFonts w:ascii="Times New Roman" w:eastAsia="Times New Roman" w:hAnsi="Times New Roman" w:cs="Times New Roman"/>
                <w:color w:val="000000"/>
                <w:spacing w:val="0"/>
                <w:w w:val="100"/>
                <w:position w:val="0"/>
                <w:sz w:val="15"/>
                <w:szCs w:val="15"/>
              </w:rPr>
              <w:t>38</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在建工程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34, 038, </w:t>
            </w:r>
            <w:r>
              <w:rPr>
                <w:rFonts w:ascii="Times New Roman" w:eastAsia="Times New Roman" w:hAnsi="Times New Roman" w:cs="Times New Roman"/>
                <w:color w:val="000000"/>
                <w:spacing w:val="0"/>
                <w:w w:val="100"/>
                <w:position w:val="0"/>
                <w:sz w:val="15"/>
                <w:szCs w:val="15"/>
              </w:rPr>
              <w:t xml:space="preserve">492. </w:t>
            </w:r>
            <w:r>
              <w:rPr>
                <w:rFonts w:ascii="Times New Roman" w:eastAsia="Times New Roman" w:hAnsi="Times New Roman" w:cs="Times New Roman"/>
                <w:color w:val="000000"/>
                <w:spacing w:val="0"/>
                <w:w w:val="100"/>
                <w:position w:val="0"/>
                <w:sz w:val="15"/>
                <w:szCs w:val="15"/>
              </w:rPr>
              <w:t>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8, 442, </w:t>
            </w:r>
            <w:r>
              <w:rPr>
                <w:rFonts w:ascii="Times New Roman" w:eastAsia="Times New Roman" w:hAnsi="Times New Roman" w:cs="Times New Roman"/>
                <w:color w:val="000000"/>
                <w:spacing w:val="0"/>
                <w:w w:val="100"/>
                <w:position w:val="0"/>
                <w:sz w:val="15"/>
                <w:szCs w:val="15"/>
              </w:rPr>
              <w:t xml:space="preserve">658. </w:t>
            </w:r>
            <w:r>
              <w:rPr>
                <w:rFonts w:ascii="Times New Roman" w:eastAsia="Times New Roman" w:hAnsi="Times New Roman" w:cs="Times New Roman"/>
                <w:color w:val="000000"/>
                <w:spacing w:val="0"/>
                <w:w w:val="100"/>
                <w:position w:val="0"/>
                <w:sz w:val="15"/>
                <w:szCs w:val="15"/>
              </w:rPr>
              <w:t>82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所有者权益（或股东权益）：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实收资本（或股本）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3, 257, 814, </w:t>
            </w:r>
            <w:r>
              <w:rPr>
                <w:rFonts w:ascii="Times New Roman" w:eastAsia="Times New Roman" w:hAnsi="Times New Roman" w:cs="Times New Roman"/>
                <w:color w:val="000000"/>
                <w:spacing w:val="0"/>
                <w:w w:val="100"/>
                <w:position w:val="0"/>
                <w:sz w:val="15"/>
                <w:szCs w:val="15"/>
              </w:rPr>
              <w:t xml:space="preserve">678.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3,257,814, </w:t>
            </w:r>
            <w:r>
              <w:rPr>
                <w:rFonts w:ascii="Times New Roman" w:eastAsia="Times New Roman" w:hAnsi="Times New Roman" w:cs="Times New Roman"/>
                <w:color w:val="000000"/>
                <w:spacing w:val="0"/>
                <w:w w:val="100"/>
                <w:position w:val="0"/>
                <w:sz w:val="15"/>
                <w:szCs w:val="15"/>
              </w:rPr>
              <w:t xml:space="preserve">678. </w:t>
            </w:r>
            <w:r>
              <w:rPr>
                <w:rFonts w:ascii="Times New Roman" w:eastAsia="Times New Roman" w:hAnsi="Times New Roman" w:cs="Times New Roman"/>
                <w:color w:val="000000"/>
                <w:spacing w:val="0"/>
                <w:w w:val="100"/>
                <w:position w:val="0"/>
                <w:sz w:val="15"/>
                <w:szCs w:val="15"/>
              </w:rPr>
              <w:t>00</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其他权益工具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生产性生物资产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其中：优先股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2"/>
                <w:szCs w:val="22"/>
              </w:rPr>
            </w:pPr>
            <w:r>
              <w:rPr>
                <w:i/>
                <w:iCs/>
                <w:color w:val="000000"/>
                <w:spacing w:val="0"/>
                <w:w w:val="100"/>
                <w:position w:val="0"/>
                <w:sz w:val="22"/>
                <w:szCs w:val="22"/>
              </w:rPr>
              <w:t>油气资产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永续债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无形资产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59,222, </w:t>
            </w:r>
            <w:r>
              <w:rPr>
                <w:rFonts w:ascii="Times New Roman" w:eastAsia="Times New Roman" w:hAnsi="Times New Roman" w:cs="Times New Roman"/>
                <w:color w:val="000000"/>
                <w:spacing w:val="0"/>
                <w:w w:val="100"/>
                <w:position w:val="0"/>
                <w:sz w:val="15"/>
                <w:szCs w:val="15"/>
              </w:rPr>
              <w:t xml:space="preserve">246. </w:t>
            </w:r>
            <w:r>
              <w:rPr>
                <w:rFonts w:ascii="Times New Roman" w:eastAsia="Times New Roman" w:hAnsi="Times New Roman" w:cs="Times New Roman"/>
                <w:color w:val="000000"/>
                <w:spacing w:val="0"/>
                <w:w w:val="100"/>
                <w:position w:val="0"/>
                <w:sz w:val="15"/>
                <w:szCs w:val="15"/>
              </w:rPr>
              <w:t>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52, </w:t>
            </w:r>
            <w:r>
              <w:rPr>
                <w:rFonts w:ascii="Times New Roman" w:eastAsia="Times New Roman" w:hAnsi="Times New Roman" w:cs="Times New Roman"/>
                <w:color w:val="000000"/>
                <w:spacing w:val="0"/>
                <w:w w:val="100"/>
                <w:position w:val="0"/>
                <w:sz w:val="15"/>
                <w:szCs w:val="15"/>
              </w:rPr>
              <w:t xml:space="preserve">731,146. </w:t>
            </w:r>
            <w:r>
              <w:rPr>
                <w:rFonts w:ascii="Times New Roman" w:eastAsia="Times New Roman" w:hAnsi="Times New Roman" w:cs="Times New Roman"/>
                <w:color w:val="000000"/>
                <w:spacing w:val="0"/>
                <w:w w:val="100"/>
                <w:position w:val="0"/>
                <w:sz w:val="15"/>
                <w:szCs w:val="15"/>
              </w:rPr>
              <w:t>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资本公积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9, 214, 546, </w:t>
            </w:r>
            <w:r>
              <w:rPr>
                <w:rFonts w:ascii="Times New Roman" w:eastAsia="Times New Roman" w:hAnsi="Times New Roman" w:cs="Times New Roman"/>
                <w:color w:val="000000"/>
                <w:spacing w:val="0"/>
                <w:w w:val="100"/>
                <w:position w:val="0"/>
                <w:sz w:val="15"/>
                <w:szCs w:val="15"/>
              </w:rPr>
              <w:t xml:space="preserve">528. </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9, 196, 249, </w:t>
            </w:r>
            <w:r>
              <w:rPr>
                <w:rFonts w:ascii="Times New Roman" w:eastAsia="Times New Roman" w:hAnsi="Times New Roman" w:cs="Times New Roman"/>
                <w:color w:val="000000"/>
                <w:spacing w:val="0"/>
                <w:w w:val="100"/>
                <w:position w:val="0"/>
                <w:sz w:val="15"/>
                <w:szCs w:val="15"/>
              </w:rPr>
              <w:t xml:space="preserve">628. </w:t>
            </w:r>
            <w:r>
              <w:rPr>
                <w:rFonts w:ascii="Times New Roman" w:eastAsia="Times New Roman" w:hAnsi="Times New Roman" w:cs="Times New Roman"/>
                <w:color w:val="000000"/>
                <w:spacing w:val="0"/>
                <w:w w:val="100"/>
                <w:position w:val="0"/>
                <w:sz w:val="15"/>
                <w:szCs w:val="15"/>
              </w:rPr>
              <w:t>06</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长期待摊费用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3, 479, </w:t>
            </w:r>
            <w:r>
              <w:rPr>
                <w:rFonts w:ascii="Times New Roman" w:eastAsia="Times New Roman" w:hAnsi="Times New Roman" w:cs="Times New Roman"/>
                <w:color w:val="000000"/>
                <w:spacing w:val="0"/>
                <w:w w:val="100"/>
                <w:position w:val="0"/>
                <w:sz w:val="15"/>
                <w:szCs w:val="15"/>
              </w:rPr>
              <w:t xml:space="preserve">438. </w:t>
            </w:r>
            <w:r>
              <w:rPr>
                <w:rFonts w:ascii="Times New Roman" w:eastAsia="Times New Roman" w:hAnsi="Times New Roman" w:cs="Times New Roman"/>
                <w:color w:val="000000"/>
                <w:spacing w:val="0"/>
                <w:w w:val="100"/>
                <w:position w:val="0"/>
                <w:sz w:val="15"/>
                <w:szCs w:val="15"/>
              </w:rPr>
              <w:t>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3, 166, </w:t>
            </w:r>
            <w:r>
              <w:rPr>
                <w:rFonts w:ascii="Times New Roman" w:eastAsia="Times New Roman" w:hAnsi="Times New Roman" w:cs="Times New Roman"/>
                <w:color w:val="000000"/>
                <w:spacing w:val="0"/>
                <w:w w:val="100"/>
                <w:position w:val="0"/>
                <w:sz w:val="15"/>
                <w:szCs w:val="15"/>
              </w:rPr>
              <w:t xml:space="preserve">040. </w:t>
            </w:r>
            <w:r>
              <w:rPr>
                <w:rFonts w:ascii="Times New Roman" w:eastAsia="Times New Roman" w:hAnsi="Times New Roman" w:cs="Times New Roman"/>
                <w:color w:val="000000"/>
                <w:spacing w:val="0"/>
                <w:w w:val="100"/>
                <w:position w:val="0"/>
                <w:sz w:val="15"/>
                <w:szCs w:val="15"/>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专项储备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递延所得税资产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12, 829, </w:t>
            </w:r>
            <w:r>
              <w:rPr>
                <w:rFonts w:ascii="Times New Roman" w:eastAsia="Times New Roman" w:hAnsi="Times New Roman" w:cs="Times New Roman"/>
                <w:color w:val="000000"/>
                <w:spacing w:val="0"/>
                <w:w w:val="100"/>
                <w:position w:val="0"/>
                <w:sz w:val="15"/>
                <w:szCs w:val="15"/>
              </w:rPr>
              <w:t xml:space="preserve">900. </w:t>
            </w:r>
            <w:r>
              <w:rPr>
                <w:rFonts w:ascii="Times New Roman" w:eastAsia="Times New Roman" w:hAnsi="Times New Roman" w:cs="Times New Roman"/>
                <w:color w:val="000000"/>
                <w:spacing w:val="0"/>
                <w:w w:val="100"/>
                <w:position w:val="0"/>
                <w:sz w:val="15"/>
                <w:szCs w:val="15"/>
              </w:rPr>
              <w:t>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22, 369, </w:t>
            </w:r>
            <w:r>
              <w:rPr>
                <w:rFonts w:ascii="Times New Roman" w:eastAsia="Times New Roman" w:hAnsi="Times New Roman" w:cs="Times New Roman"/>
                <w:color w:val="000000"/>
                <w:spacing w:val="0"/>
                <w:w w:val="100"/>
                <w:position w:val="0"/>
                <w:sz w:val="15"/>
                <w:szCs w:val="15"/>
              </w:rPr>
              <w:t xml:space="preserve">994. </w:t>
            </w:r>
            <w:r>
              <w:rPr>
                <w:rFonts w:ascii="Times New Roman" w:eastAsia="Times New Roman" w:hAnsi="Times New Roman" w:cs="Times New Roman"/>
                <w:color w:val="000000"/>
                <w:spacing w:val="0"/>
                <w:w w:val="100"/>
                <w:position w:val="0"/>
                <w:sz w:val="15"/>
                <w:szCs w:val="15"/>
              </w:rPr>
              <w:t>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185, 942, </w:t>
            </w:r>
            <w:r>
              <w:rPr>
                <w:rFonts w:ascii="Times New Roman" w:eastAsia="Times New Roman" w:hAnsi="Times New Roman" w:cs="Times New Roman"/>
                <w:color w:val="000000"/>
                <w:spacing w:val="0"/>
                <w:w w:val="100"/>
                <w:position w:val="0"/>
                <w:sz w:val="15"/>
                <w:szCs w:val="15"/>
              </w:rPr>
              <w:t xml:space="preserve">921. </w:t>
            </w:r>
            <w:r>
              <w:rPr>
                <w:rFonts w:ascii="Times New Roman" w:eastAsia="Times New Roman" w:hAnsi="Times New Roman" w:cs="Times New Roman"/>
                <w:i/>
                <w:iCs/>
                <w:color w:val="000000"/>
                <w:spacing w:val="0"/>
                <w:w w:val="100"/>
                <w:position w:val="0"/>
                <w:sz w:val="15"/>
                <w:szCs w:val="15"/>
              </w:rPr>
              <w:t>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168, 356, </w:t>
            </w:r>
            <w:r>
              <w:rPr>
                <w:rFonts w:ascii="Times New Roman" w:eastAsia="Times New Roman" w:hAnsi="Times New Roman" w:cs="Times New Roman"/>
                <w:color w:val="000000"/>
                <w:spacing w:val="0"/>
                <w:w w:val="100"/>
                <w:position w:val="0"/>
                <w:sz w:val="15"/>
                <w:szCs w:val="15"/>
              </w:rPr>
              <w:t xml:space="preserve">747. </w:t>
            </w:r>
            <w:r>
              <w:rPr>
                <w:rFonts w:ascii="Times New Roman" w:eastAsia="Times New Roman" w:hAnsi="Times New Roman" w:cs="Times New Roman"/>
                <w:color w:val="000000"/>
                <w:spacing w:val="0"/>
                <w:w w:val="100"/>
                <w:position w:val="0"/>
                <w:sz w:val="15"/>
                <w:szCs w:val="15"/>
              </w:rPr>
              <w:t>04</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2, 067, </w:t>
            </w:r>
            <w:r>
              <w:rPr>
                <w:rFonts w:ascii="Times New Roman" w:eastAsia="Times New Roman" w:hAnsi="Times New Roman" w:cs="Times New Roman"/>
                <w:color w:val="000000"/>
                <w:spacing w:val="0"/>
                <w:w w:val="100"/>
                <w:position w:val="0"/>
                <w:sz w:val="15"/>
                <w:szCs w:val="15"/>
              </w:rPr>
              <w:t xml:space="preserve">840. </w:t>
            </w:r>
            <w:r>
              <w:rPr>
                <w:rFonts w:ascii="Times New Roman" w:eastAsia="Times New Roman" w:hAnsi="Times New Roman" w:cs="Times New Roman"/>
                <w:color w:val="000000"/>
                <w:spacing w:val="0"/>
                <w:w w:val="100"/>
                <w:position w:val="0"/>
                <w:sz w:val="15"/>
                <w:szCs w:val="15"/>
              </w:rPr>
              <w:t>99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 xml:space="preserve">252, </w:t>
            </w:r>
            <w:r>
              <w:rPr>
                <w:rFonts w:ascii="Times New Roman" w:eastAsia="Times New Roman" w:hAnsi="Times New Roman" w:cs="Times New Roman"/>
                <w:color w:val="000000"/>
                <w:spacing w:val="0"/>
                <w:w w:val="100"/>
                <w:position w:val="0"/>
                <w:sz w:val="15"/>
                <w:szCs w:val="15"/>
              </w:rPr>
              <w:t xml:space="preserve">442. </w:t>
            </w:r>
            <w:r>
              <w:rPr>
                <w:rFonts w:ascii="Times New Roman" w:eastAsia="Times New Roman" w:hAnsi="Times New Roman" w:cs="Times New Roman"/>
                <w:color w:val="000000"/>
                <w:spacing w:val="0"/>
                <w:w w:val="100"/>
                <w:position w:val="0"/>
                <w:sz w:val="15"/>
                <w:szCs w:val="15"/>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未分配利润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898, 667, </w:t>
            </w:r>
            <w:r>
              <w:rPr>
                <w:rFonts w:ascii="Times New Roman" w:eastAsia="Times New Roman" w:hAnsi="Times New Roman" w:cs="Times New Roman"/>
                <w:color w:val="000000"/>
                <w:spacing w:val="0"/>
                <w:w w:val="100"/>
                <w:position w:val="0"/>
                <w:sz w:val="15"/>
                <w:szCs w:val="15"/>
              </w:rPr>
              <w:t xml:space="preserve">250. </w:t>
            </w:r>
            <w:r>
              <w:rPr>
                <w:rFonts w:ascii="Times New Roman" w:eastAsia="Times New Roman" w:hAnsi="Times New Roman" w:cs="Times New Roman"/>
                <w:color w:val="000000"/>
                <w:spacing w:val="0"/>
                <w:w w:val="100"/>
                <w:position w:val="0"/>
                <w:sz w:val="15"/>
                <w:szCs w:val="15"/>
              </w:rPr>
              <w:t>23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1,066, 173, </w:t>
            </w:r>
            <w:r>
              <w:rPr>
                <w:rFonts w:ascii="Times New Roman" w:eastAsia="Times New Roman" w:hAnsi="Times New Roman" w:cs="Times New Roman"/>
                <w:color w:val="000000"/>
                <w:spacing w:val="0"/>
                <w:w w:val="100"/>
                <w:position w:val="0"/>
                <w:sz w:val="15"/>
                <w:szCs w:val="15"/>
              </w:rPr>
              <w:t xml:space="preserve">147. </w:t>
            </w:r>
            <w:r>
              <w:rPr>
                <w:rFonts w:ascii="Times New Roman" w:eastAsia="Times New Roman" w:hAnsi="Times New Roman" w:cs="Times New Roman"/>
                <w:color w:val="000000"/>
                <w:spacing w:val="0"/>
                <w:w w:val="100"/>
                <w:position w:val="0"/>
                <w:sz w:val="15"/>
                <w:szCs w:val="15"/>
              </w:rPr>
              <w:t>69</w:t>
            </w:r>
          </w:p>
        </w:tc>
      </w:tr>
      <w:tr>
        <w:trPr>
          <w:trHeight w:val="26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m</w:t>
            </w:r>
            <w:r>
              <w:rPr>
                <w:color w:val="000000"/>
                <w:spacing w:val="0"/>
                <w:w w:val="100"/>
                <w:position w:val="0"/>
                <w:sz w:val="15"/>
                <w:szCs w:val="15"/>
              </w:rPr>
              <w:t>豚动资产合计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11, 785, 069, </w:t>
            </w:r>
            <w:r>
              <w:rPr>
                <w:rFonts w:ascii="Times New Roman" w:eastAsia="Times New Roman" w:hAnsi="Times New Roman" w:cs="Times New Roman"/>
                <w:color w:val="000000"/>
                <w:spacing w:val="0"/>
                <w:w w:val="100"/>
                <w:position w:val="0"/>
                <w:sz w:val="15"/>
                <w:szCs w:val="15"/>
              </w:rPr>
              <w:t>915.89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9, 308, 444, </w:t>
            </w:r>
            <w:r>
              <w:rPr>
                <w:rFonts w:ascii="Times New Roman" w:eastAsia="Times New Roman" w:hAnsi="Times New Roman" w:cs="Times New Roman"/>
                <w:color w:val="000000"/>
                <w:spacing w:val="0"/>
                <w:w w:val="100"/>
                <w:position w:val="0"/>
                <w:sz w:val="15"/>
                <w:szCs w:val="15"/>
              </w:rPr>
              <w:t xml:space="preserve">435. </w:t>
            </w:r>
            <w:r>
              <w:rPr>
                <w:rFonts w:ascii="Times New Roman" w:eastAsia="Times New Roman" w:hAnsi="Times New Roman" w:cs="Times New Roman"/>
                <w:color w:val="000000"/>
                <w:spacing w:val="0"/>
                <w:w w:val="100"/>
                <w:position w:val="0"/>
                <w:sz w:val="15"/>
                <w:szCs w:val="15"/>
              </w:rPr>
              <w:t>99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13,556,971,377. </w:t>
            </w:r>
            <w:r>
              <w:rPr>
                <w:rFonts w:ascii="Times New Roman" w:eastAsia="Times New Roman" w:hAnsi="Times New Roman" w:cs="Times New Roman"/>
                <w:color w:val="000000"/>
                <w:spacing w:val="0"/>
                <w:w w:val="100"/>
                <w:position w:val="0"/>
                <w:sz w:val="15"/>
                <w:szCs w:val="15"/>
              </w:rPr>
              <w:t>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13, 688, 594,</w:t>
            </w:r>
            <w:r>
              <w:rPr>
                <w:rFonts w:ascii="Times New Roman" w:eastAsia="Times New Roman" w:hAnsi="Times New Roman" w:cs="Times New Roman"/>
                <w:color w:val="000000"/>
                <w:spacing w:val="0"/>
                <w:w w:val="100"/>
                <w:position w:val="0"/>
                <w:sz w:val="15"/>
                <w:szCs w:val="15"/>
              </w:rPr>
              <w:t xml:space="preserve">200. </w:t>
            </w:r>
            <w:r>
              <w:rPr>
                <w:rFonts w:ascii="Times New Roman" w:eastAsia="Times New Roman" w:hAnsi="Times New Roman" w:cs="Times New Roman"/>
                <w:color w:val="000000"/>
                <w:spacing w:val="0"/>
                <w:w w:val="100"/>
                <w:position w:val="0"/>
                <w:sz w:val="15"/>
                <w:szCs w:val="15"/>
              </w:rPr>
              <w:t>79</w:t>
            </w:r>
          </w:p>
        </w:tc>
      </w:tr>
      <w:tr>
        <w:trPr>
          <w:trHeight w:val="29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16, 410, 995, </w:t>
            </w:r>
            <w:r>
              <w:rPr>
                <w:rFonts w:ascii="Times New Roman" w:eastAsia="Times New Roman" w:hAnsi="Times New Roman" w:cs="Times New Roman"/>
                <w:color w:val="000000"/>
                <w:spacing w:val="0"/>
                <w:w w:val="100"/>
                <w:position w:val="0"/>
                <w:sz w:val="15"/>
                <w:szCs w:val="15"/>
              </w:rPr>
              <w:t xml:space="preserve">499. </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15, 568, 127, </w:t>
            </w:r>
            <w:r>
              <w:rPr>
                <w:rFonts w:ascii="Times New Roman" w:eastAsia="Times New Roman" w:hAnsi="Times New Roman" w:cs="Times New Roman"/>
                <w:color w:val="000000"/>
                <w:spacing w:val="0"/>
                <w:w w:val="100"/>
                <w:position w:val="0"/>
                <w:sz w:val="15"/>
                <w:szCs w:val="15"/>
              </w:rPr>
              <w:t xml:space="preserve">044. </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负债和所有者瞄总计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16, 410, 995, </w:t>
            </w:r>
            <w:r>
              <w:rPr>
                <w:rFonts w:ascii="Times New Roman" w:eastAsia="Times New Roman" w:hAnsi="Times New Roman" w:cs="Times New Roman"/>
                <w:color w:val="000000"/>
                <w:spacing w:val="0"/>
                <w:w w:val="100"/>
                <w:position w:val="0"/>
                <w:sz w:val="15"/>
                <w:szCs w:val="15"/>
              </w:rPr>
              <w:t xml:space="preserve">499. </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15, 568,127,</w:t>
            </w:r>
            <w:r>
              <w:rPr>
                <w:rFonts w:ascii="Times New Roman" w:eastAsia="Times New Roman" w:hAnsi="Times New Roman" w:cs="Times New Roman"/>
                <w:color w:val="000000"/>
                <w:spacing w:val="0"/>
                <w:w w:val="100"/>
                <w:position w:val="0"/>
                <w:sz w:val="15"/>
                <w:szCs w:val="15"/>
              </w:rPr>
              <w:t xml:space="preserve">044. </w:t>
            </w:r>
            <w:r>
              <w:rPr>
                <w:rFonts w:ascii="Times New Roman" w:eastAsia="Times New Roman" w:hAnsi="Times New Roman" w:cs="Times New Roman"/>
                <w:color w:val="000000"/>
                <w:spacing w:val="0"/>
                <w:w w:val="100"/>
                <w:position w:val="0"/>
                <w:sz w:val="15"/>
                <w:szCs w:val="15"/>
              </w:rPr>
              <w:t>17</w:t>
            </w:r>
          </w:p>
        </w:tc>
      </w:tr>
    </w:tbl>
    <w:p>
      <w:pPr>
        <w:pStyle w:val="Style30"/>
        <w:keepNext w:val="0"/>
        <w:keepLines w:val="0"/>
        <w:widowControl w:val="0"/>
        <w:shd w:val="clear" w:color="auto" w:fill="auto"/>
        <w:tabs>
          <w:tab w:pos="4061" w:val="left"/>
          <w:tab w:pos="8213" w:val="left"/>
        </w:tabs>
        <w:bidi w:val="0"/>
        <w:spacing w:before="0" w:after="0" w:line="240" w:lineRule="auto"/>
        <w:ind w:left="14" w:right="0" w:firstLine="0"/>
        <w:jc w:val="left"/>
        <w:rPr>
          <w:sz w:val="15"/>
          <w:szCs w:val="15"/>
        </w:rPr>
      </w:pPr>
      <w:r>
        <w:rPr>
          <w:color w:val="000000"/>
          <w:spacing w:val="0"/>
          <w:w w:val="100"/>
          <w:position w:val="0"/>
          <w:sz w:val="15"/>
          <w:szCs w:val="15"/>
        </w:rPr>
        <w:t>法定代表人：徐冠巨</w:t>
        <w:tab/>
        <w:t>主管会计工作的负责人。徐冠巨</w:t>
        <w:tab/>
        <w:t>会计机构负责人.杨万清</w:t>
      </w:r>
      <w:r>
        <w:br w:type="page"/>
      </w:r>
    </w:p>
    <w:p>
      <w:pPr>
        <w:pStyle w:val="Style64"/>
        <w:keepNext w:val="0"/>
        <w:keepLines w:val="0"/>
        <w:widowControl w:val="0"/>
        <w:shd w:val="clear" w:color="auto" w:fill="auto"/>
        <w:bidi w:val="0"/>
        <w:spacing w:before="0" w:after="0" w:line="240" w:lineRule="auto"/>
        <w:ind w:left="4660" w:right="0" w:firstLine="0"/>
        <w:jc w:val="left"/>
      </w:pPr>
      <w:r>
        <w:rPr>
          <w:color w:val="000000"/>
          <w:spacing w:val="0"/>
          <w:w w:val="100"/>
          <w:position w:val="0"/>
        </w:rPr>
        <w:t>合并利润表</w:t>
      </w:r>
    </w:p>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76"/>
        <w:keepNext w:val="0"/>
        <w:keepLines w:val="0"/>
        <w:widowControl w:val="0"/>
        <w:shd w:val="clear" w:color="auto" w:fill="auto"/>
        <w:bidi w:val="0"/>
        <w:spacing w:before="0" w:line="240" w:lineRule="auto"/>
        <w:ind w:left="10100" w:right="0" w:firstLine="0"/>
        <w:jc w:val="left"/>
      </w:pPr>
      <w:r>
        <w:rPr>
          <w:color w:val="000000"/>
          <w:spacing w:val="0"/>
          <w:w w:val="100"/>
          <w:position w:val="0"/>
        </w:rPr>
        <w:t>会合</w:t>
      </w:r>
      <w:r>
        <w:rPr>
          <w:rFonts w:ascii="Times New Roman" w:eastAsia="Times New Roman" w:hAnsi="Times New Roman" w:cs="Times New Roman"/>
          <w:color w:val="000000"/>
          <w:spacing w:val="0"/>
          <w:w w:val="100"/>
          <w:position w:val="0"/>
        </w:rPr>
        <w:t>02</w:t>
      </w:r>
      <w:r>
        <w:rPr>
          <w:color w:val="000000"/>
          <w:spacing w:val="0"/>
          <w:w w:val="100"/>
          <w:position w:val="0"/>
        </w:rPr>
        <w:t>表</w:t>
      </w:r>
    </w:p>
    <w:p>
      <w:pPr>
        <w:pStyle w:val="Style30"/>
        <w:keepNext w:val="0"/>
        <w:keepLines w:val="0"/>
        <w:widowControl w:val="0"/>
        <w:shd w:val="clear" w:color="auto" w:fill="auto"/>
        <w:tabs>
          <w:tab w:pos="8707" w:val="left"/>
        </w:tabs>
        <w:bidi w:val="0"/>
        <w:spacing w:before="0" w:after="0" w:line="240" w:lineRule="auto"/>
        <w:ind w:left="38" w:right="0" w:firstLine="0"/>
        <w:jc w:val="left"/>
        <w:rPr>
          <w:sz w:val="15"/>
          <w:szCs w:val="15"/>
        </w:rPr>
      </w:pPr>
      <w:r>
        <w:rPr>
          <w:color w:val="000000"/>
          <w:spacing w:val="0"/>
          <w:w w:val="100"/>
          <w:position w:val="0"/>
          <w:sz w:val="14"/>
          <w:szCs w:val="14"/>
          <w:u w:val="single"/>
        </w:rPr>
        <w:t>编制</w:t>
      </w:r>
      <w:r>
        <w:rPr>
          <w:color w:val="000000"/>
          <w:spacing w:val="0"/>
          <w:w w:val="100"/>
          <w:position w:val="0"/>
          <w:sz w:val="15"/>
          <w:szCs w:val="15"/>
          <w:u w:val="single"/>
        </w:rPr>
        <w:t>单位：传化智联股份有限公司</w:t>
        <w:tab/>
        <w:t>单位：人民币元</w:t>
      </w:r>
    </w:p>
    <w:tbl>
      <w:tblPr>
        <w:tblOverlap w:val="never"/>
        <w:jc w:val="center"/>
        <w:tblLayout w:type="fixed"/>
      </w:tblPr>
      <w:tblGrid>
        <w:gridCol w:w="4666"/>
        <w:gridCol w:w="490"/>
        <w:gridCol w:w="2352"/>
        <w:gridCol w:w="2395"/>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本期薮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24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 xml:space="preserve">8, 180, 757, </w:t>
            </w:r>
            <w:r>
              <w:rPr>
                <w:rFonts w:ascii="Times New Roman" w:eastAsia="Times New Roman" w:hAnsi="Times New Roman" w:cs="Times New Roman"/>
                <w:color w:val="000000"/>
                <w:spacing w:val="0"/>
                <w:w w:val="100"/>
                <w:position w:val="0"/>
                <w:sz w:val="15"/>
                <w:szCs w:val="15"/>
              </w:rPr>
              <w:t xml:space="preserve">123. </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 xml:space="preserve">5, 340, 340, </w:t>
            </w:r>
            <w:r>
              <w:rPr>
                <w:rFonts w:ascii="Times New Roman" w:eastAsia="Times New Roman" w:hAnsi="Times New Roman" w:cs="Times New Roman"/>
                <w:color w:val="000000"/>
                <w:spacing w:val="0"/>
                <w:w w:val="100"/>
                <w:position w:val="0"/>
                <w:sz w:val="15"/>
                <w:szCs w:val="15"/>
              </w:rPr>
              <w:t xml:space="preserve">367. </w:t>
            </w:r>
            <w:r>
              <w:rPr>
                <w:rFonts w:ascii="Times New Roman" w:eastAsia="Times New Roman" w:hAnsi="Times New Roman" w:cs="Times New Roman"/>
                <w:color w:val="000000"/>
                <w:spacing w:val="0"/>
                <w:w w:val="100"/>
                <w:position w:val="0"/>
                <w:sz w:val="15"/>
                <w:szCs w:val="15"/>
              </w:rPr>
              <w:t>78</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其中；营业收入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 xml:space="preserve">8, 166, 726, </w:t>
            </w:r>
            <w:r>
              <w:rPr>
                <w:rFonts w:ascii="Times New Roman" w:eastAsia="Times New Roman" w:hAnsi="Times New Roman" w:cs="Times New Roman"/>
                <w:color w:val="000000"/>
                <w:spacing w:val="0"/>
                <w:w w:val="100"/>
                <w:position w:val="0"/>
                <w:sz w:val="15"/>
                <w:szCs w:val="15"/>
              </w:rPr>
              <w:t xml:space="preserve">777. </w:t>
            </w:r>
            <w:r>
              <w:rPr>
                <w:rFonts w:ascii="Times New Roman" w:eastAsia="Times New Roman" w:hAnsi="Times New Roman" w:cs="Times New Roman"/>
                <w:color w:val="000000"/>
                <w:spacing w:val="0"/>
                <w:w w:val="100"/>
                <w:position w:val="0"/>
                <w:sz w:val="15"/>
                <w:szCs w:val="15"/>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 xml:space="preserve">5, 340, 340, </w:t>
            </w:r>
            <w:r>
              <w:rPr>
                <w:rFonts w:ascii="Times New Roman" w:eastAsia="Times New Roman" w:hAnsi="Times New Roman" w:cs="Times New Roman"/>
                <w:color w:val="000000"/>
                <w:spacing w:val="0"/>
                <w:w w:val="100"/>
                <w:position w:val="0"/>
                <w:sz w:val="15"/>
                <w:szCs w:val="15"/>
              </w:rPr>
              <w:t xml:space="preserve">367. </w:t>
            </w:r>
            <w:r>
              <w:rPr>
                <w:rFonts w:ascii="Times New Roman" w:eastAsia="Times New Roman" w:hAnsi="Times New Roman" w:cs="Times New Roman"/>
                <w:color w:val="000000"/>
                <w:spacing w:val="0"/>
                <w:w w:val="100"/>
                <w:position w:val="0"/>
                <w:sz w:val="15"/>
                <w:szCs w:val="15"/>
              </w:rPr>
              <w:t>78</w:t>
            </w:r>
          </w:p>
        </w:tc>
      </w:tr>
      <w:tr>
        <w:trPr>
          <w:trHeight w:val="677" w:hRule="exact"/>
        </w:trPr>
        <w:tc>
          <w:tcPr>
            <w:tcBorders/>
            <w:shd w:val="clear" w:color="auto" w:fill="FFFFFF"/>
            <w:vAlign w:val="top"/>
          </w:tcPr>
          <w:p>
            <w:pPr>
              <w:pStyle w:val="Style6"/>
              <w:keepNext w:val="0"/>
              <w:keepLines w:val="0"/>
              <w:widowControl w:val="0"/>
              <w:shd w:val="clear" w:color="auto" w:fill="auto"/>
              <w:bidi w:val="0"/>
              <w:spacing w:before="0" w:after="0" w:line="221" w:lineRule="exact"/>
              <w:ind w:left="0" w:right="0" w:firstLine="680"/>
              <w:jc w:val="left"/>
              <w:rPr>
                <w:sz w:val="15"/>
                <w:szCs w:val="15"/>
              </w:rPr>
            </w:pPr>
            <w:r>
              <w:rPr>
                <w:color w:val="000000"/>
                <w:spacing w:val="0"/>
                <w:w w:val="100"/>
                <w:position w:val="0"/>
                <w:sz w:val="15"/>
                <w:szCs w:val="15"/>
              </w:rPr>
              <w:t>利息收入</w:t>
            </w:r>
          </w:p>
          <w:p>
            <w:pPr>
              <w:pStyle w:val="Style6"/>
              <w:keepNext w:val="0"/>
              <w:keepLines w:val="0"/>
              <w:widowControl w:val="0"/>
              <w:shd w:val="clear" w:color="auto" w:fill="auto"/>
              <w:bidi w:val="0"/>
              <w:spacing w:before="0" w:after="0" w:line="221" w:lineRule="exact"/>
              <w:ind w:left="680" w:right="0" w:firstLine="0"/>
              <w:jc w:val="left"/>
              <w:rPr>
                <w:sz w:val="15"/>
                <w:szCs w:val="15"/>
              </w:rPr>
            </w:pPr>
            <w:r>
              <w:rPr>
                <w:color w:val="000000"/>
                <w:spacing w:val="0"/>
                <w:w w:val="100"/>
                <w:position w:val="0"/>
                <w:sz w:val="15"/>
                <w:szCs w:val="15"/>
              </w:rPr>
              <w:t>已嫌保费 手续费及佣金收入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14, 030, </w:t>
            </w:r>
            <w:r>
              <w:rPr>
                <w:rFonts w:ascii="Times New Roman" w:eastAsia="Times New Roman" w:hAnsi="Times New Roman" w:cs="Times New Roman"/>
                <w:color w:val="000000"/>
                <w:spacing w:val="0"/>
                <w:w w:val="100"/>
                <w:position w:val="0"/>
                <w:sz w:val="15"/>
                <w:szCs w:val="15"/>
              </w:rPr>
              <w:t xml:space="preserve">346. </w:t>
            </w:r>
            <w:r>
              <w:rPr>
                <w:rFonts w:ascii="Times New Roman" w:eastAsia="Times New Roman" w:hAnsi="Times New Roman" w:cs="Times New Roman"/>
                <w:color w:val="000000"/>
                <w:spacing w:val="0"/>
                <w:w w:val="100"/>
                <w:position w:val="0"/>
                <w:sz w:val="15"/>
                <w:szCs w:val="15"/>
              </w:rPr>
              <w:t>61</w:t>
            </w: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二、营业总成本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 xml:space="preserve">8,421,903, </w:t>
            </w:r>
            <w:r>
              <w:rPr>
                <w:rFonts w:ascii="Times New Roman" w:eastAsia="Times New Roman" w:hAnsi="Times New Roman" w:cs="Times New Roman"/>
                <w:color w:val="000000"/>
                <w:spacing w:val="0"/>
                <w:w w:val="100"/>
                <w:position w:val="0"/>
                <w:sz w:val="15"/>
                <w:szCs w:val="15"/>
              </w:rPr>
              <w:t xml:space="preserve">817. </w:t>
            </w:r>
            <w:r>
              <w:rPr>
                <w:rFonts w:ascii="Times New Roman" w:eastAsia="Times New Roman" w:hAnsi="Times New Roman" w:cs="Times New Roman"/>
                <w:color w:val="000000"/>
                <w:spacing w:val="0"/>
                <w:w w:val="100"/>
                <w:position w:val="0"/>
                <w:sz w:val="15"/>
                <w:szCs w:val="15"/>
              </w:rPr>
              <w:t>14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 xml:space="preserve">5, 203, 471, </w:t>
            </w:r>
            <w:r>
              <w:rPr>
                <w:rFonts w:ascii="Times New Roman" w:eastAsia="Times New Roman" w:hAnsi="Times New Roman" w:cs="Times New Roman"/>
                <w:color w:val="000000"/>
                <w:spacing w:val="0"/>
                <w:w w:val="100"/>
                <w:position w:val="0"/>
                <w:sz w:val="15"/>
                <w:szCs w:val="15"/>
              </w:rPr>
              <w:t xml:space="preserve">538. </w:t>
            </w:r>
            <w:r>
              <w:rPr>
                <w:rFonts w:ascii="Times New Roman" w:eastAsia="Times New Roman" w:hAnsi="Times New Roman" w:cs="Times New Roman"/>
                <w:color w:val="000000"/>
                <w:spacing w:val="0"/>
                <w:w w:val="100"/>
                <w:position w:val="0"/>
                <w:sz w:val="15"/>
                <w:szCs w:val="15"/>
              </w:rPr>
              <w:t>57</w:t>
            </w:r>
          </w:p>
        </w:tc>
      </w:tr>
      <w:tr>
        <w:trPr>
          <w:trHeight w:val="1819" w:hRule="exact"/>
        </w:trPr>
        <w:tc>
          <w:tcPr>
            <w:tcBorders/>
            <w:shd w:val="clear" w:color="auto" w:fill="FFFFFF"/>
            <w:vAlign w:val="top"/>
          </w:tcPr>
          <w:p>
            <w:pPr>
              <w:pStyle w:val="Style6"/>
              <w:keepNext w:val="0"/>
              <w:keepLines w:val="0"/>
              <w:widowControl w:val="0"/>
              <w:shd w:val="clear" w:color="auto" w:fill="auto"/>
              <w:bidi w:val="0"/>
              <w:spacing w:before="0" w:after="0" w:line="227" w:lineRule="exact"/>
              <w:ind w:left="0" w:right="0" w:firstLine="200"/>
              <w:jc w:val="left"/>
              <w:rPr>
                <w:sz w:val="15"/>
                <w:szCs w:val="15"/>
              </w:rPr>
            </w:pPr>
            <w:r>
              <w:rPr>
                <w:color w:val="000000"/>
                <w:spacing w:val="0"/>
                <w:w w:val="100"/>
                <w:position w:val="0"/>
                <w:sz w:val="15"/>
                <w:szCs w:val="15"/>
              </w:rPr>
              <w:t>其中；营业成本</w:t>
            </w:r>
          </w:p>
          <w:p>
            <w:pPr>
              <w:pStyle w:val="Style6"/>
              <w:keepNext w:val="0"/>
              <w:keepLines w:val="0"/>
              <w:widowControl w:val="0"/>
              <w:shd w:val="clear" w:color="auto" w:fill="auto"/>
              <w:bidi w:val="0"/>
              <w:spacing w:before="0" w:after="0" w:line="227" w:lineRule="exact"/>
              <w:ind w:left="680" w:right="0" w:firstLine="0"/>
              <w:jc w:val="left"/>
              <w:rPr>
                <w:sz w:val="15"/>
                <w:szCs w:val="15"/>
              </w:rPr>
            </w:pPr>
            <w:r>
              <w:rPr>
                <w:color w:val="000000"/>
                <w:spacing w:val="0"/>
                <w:w w:val="100"/>
                <w:position w:val="0"/>
                <w:sz w:val="15"/>
                <w:szCs w:val="15"/>
              </w:rPr>
              <w:t>利息支出 手续费及佣金支出 退保金</w:t>
            </w:r>
          </w:p>
          <w:p>
            <w:pPr>
              <w:pStyle w:val="Style6"/>
              <w:keepNext w:val="0"/>
              <w:keepLines w:val="0"/>
              <w:widowControl w:val="0"/>
              <w:shd w:val="clear" w:color="auto" w:fill="auto"/>
              <w:bidi w:val="0"/>
              <w:spacing w:before="0" w:after="0" w:line="227" w:lineRule="exact"/>
              <w:ind w:left="680" w:right="0" w:firstLine="0"/>
              <w:jc w:val="left"/>
              <w:rPr>
                <w:sz w:val="15"/>
                <w:szCs w:val="15"/>
              </w:rPr>
            </w:pPr>
            <w:r>
              <w:rPr>
                <w:color w:val="000000"/>
                <w:spacing w:val="0"/>
                <w:w w:val="100"/>
                <w:position w:val="0"/>
                <w:sz w:val="15"/>
                <w:szCs w:val="15"/>
              </w:rPr>
              <w:t>赔付支出净额 提取保险合同准备金净额 保单红利支出</w:t>
            </w:r>
          </w:p>
          <w:p>
            <w:pPr>
              <w:pStyle w:val="Style6"/>
              <w:keepNext w:val="0"/>
              <w:keepLines w:val="0"/>
              <w:widowControl w:val="0"/>
              <w:shd w:val="clear" w:color="auto" w:fill="auto"/>
              <w:bidi w:val="0"/>
              <w:spacing w:before="0" w:after="0" w:line="227" w:lineRule="exact"/>
              <w:ind w:left="0" w:right="0" w:firstLine="680"/>
              <w:jc w:val="left"/>
              <w:rPr>
                <w:sz w:val="15"/>
                <w:szCs w:val="15"/>
              </w:rPr>
            </w:pPr>
            <w:r>
              <w:rPr>
                <w:color w:val="000000"/>
                <w:spacing w:val="0"/>
                <w:w w:val="100"/>
                <w:position w:val="0"/>
                <w:sz w:val="15"/>
                <w:szCs w:val="15"/>
              </w:rPr>
              <w:t>分保费用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 xml:space="preserve">6, 933, 767,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 xml:space="preserve">4, 038, 867, </w:t>
            </w:r>
            <w:r>
              <w:rPr>
                <w:rFonts w:ascii="Times New Roman" w:eastAsia="Times New Roman" w:hAnsi="Times New Roman" w:cs="Times New Roman"/>
                <w:color w:val="000000"/>
                <w:spacing w:val="0"/>
                <w:w w:val="100"/>
                <w:position w:val="0"/>
                <w:sz w:val="15"/>
                <w:szCs w:val="15"/>
              </w:rPr>
              <w:t xml:space="preserve">376. </w:t>
            </w:r>
            <w:r>
              <w:rPr>
                <w:rFonts w:ascii="Times New Roman" w:eastAsia="Times New Roman" w:hAnsi="Times New Roman" w:cs="Times New Roman"/>
                <w:color w:val="000000"/>
                <w:spacing w:val="0"/>
                <w:w w:val="100"/>
                <w:position w:val="0"/>
                <w:sz w:val="15"/>
                <w:szCs w:val="15"/>
              </w:rPr>
              <w:t>15</w:t>
            </w:r>
          </w:p>
        </w:tc>
      </w:tr>
      <w:tr>
        <w:trP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圈及聊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55,615,966. </w:t>
            </w:r>
            <w:r>
              <w:rPr>
                <w:rFonts w:ascii="Times New Roman" w:eastAsia="Times New Roman" w:hAnsi="Times New Roman" w:cs="Times New Roman"/>
                <w:color w:val="000000"/>
                <w:spacing w:val="0"/>
                <w:w w:val="100"/>
                <w:position w:val="0"/>
                <w:sz w:val="15"/>
                <w:szCs w:val="15"/>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39, 248, </w:t>
            </w:r>
            <w:r>
              <w:rPr>
                <w:rFonts w:ascii="Times New Roman" w:eastAsia="Times New Roman" w:hAnsi="Times New Roman" w:cs="Times New Roman"/>
                <w:color w:val="000000"/>
                <w:spacing w:val="0"/>
                <w:w w:val="100"/>
                <w:position w:val="0"/>
                <w:sz w:val="15"/>
                <w:szCs w:val="15"/>
              </w:rPr>
              <w:t xml:space="preserve">419. </w:t>
            </w:r>
            <w:r>
              <w:rPr>
                <w:rFonts w:ascii="Times New Roman" w:eastAsia="Times New Roman" w:hAnsi="Times New Roman" w:cs="Times New Roman"/>
                <w:color w:val="000000"/>
                <w:spacing w:val="0"/>
                <w:w w:val="100"/>
                <w:position w:val="0"/>
                <w:sz w:val="15"/>
                <w:szCs w:val="15"/>
              </w:rPr>
              <w:t>58</w:t>
            </w:r>
          </w:p>
        </w:tc>
      </w:tr>
      <w:tr>
        <w:trP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销售费用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587, 847, </w:t>
            </w:r>
            <w:r>
              <w:rPr>
                <w:rFonts w:ascii="Times New Roman" w:eastAsia="Times New Roman" w:hAnsi="Times New Roman" w:cs="Times New Roman"/>
                <w:color w:val="000000"/>
                <w:spacing w:val="0"/>
                <w:w w:val="100"/>
                <w:position w:val="0"/>
                <w:sz w:val="15"/>
                <w:szCs w:val="15"/>
              </w:rPr>
              <w:t xml:space="preserve">703. </w:t>
            </w:r>
            <w:r>
              <w:rPr>
                <w:rFonts w:ascii="Times New Roman" w:eastAsia="Times New Roman" w:hAnsi="Times New Roman" w:cs="Times New Roman"/>
                <w:color w:val="000000"/>
                <w:spacing w:val="0"/>
                <w:w w:val="100"/>
                <w:position w:val="0"/>
                <w:sz w:val="15"/>
                <w:szCs w:val="15"/>
              </w:rPr>
              <w:t>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347, 267, </w:t>
            </w:r>
            <w:r>
              <w:rPr>
                <w:rFonts w:ascii="Times New Roman" w:eastAsia="Times New Roman" w:hAnsi="Times New Roman" w:cs="Times New Roman"/>
                <w:color w:val="000000"/>
                <w:spacing w:val="0"/>
                <w:w w:val="100"/>
                <w:position w:val="0"/>
                <w:sz w:val="15"/>
                <w:szCs w:val="15"/>
              </w:rPr>
              <w:t xml:space="preserve">047. </w:t>
            </w:r>
            <w:r>
              <w:rPr>
                <w:rFonts w:ascii="Times New Roman" w:eastAsia="Times New Roman" w:hAnsi="Times New Roman" w:cs="Times New Roman"/>
                <w:color w:val="000000"/>
                <w:spacing w:val="0"/>
                <w:w w:val="100"/>
                <w:position w:val="0"/>
                <w:sz w:val="15"/>
                <w:szCs w:val="15"/>
              </w:rPr>
              <w:t>87</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管理费用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910, 472, </w:t>
            </w:r>
            <w:r>
              <w:rPr>
                <w:rFonts w:ascii="Times New Roman" w:eastAsia="Times New Roman" w:hAnsi="Times New Roman" w:cs="Times New Roman"/>
                <w:color w:val="000000"/>
                <w:spacing w:val="0"/>
                <w:w w:val="100"/>
                <w:position w:val="0"/>
                <w:sz w:val="15"/>
                <w:szCs w:val="15"/>
              </w:rPr>
              <w:t xml:space="preserve">956. </w:t>
            </w:r>
            <w:r>
              <w:rPr>
                <w:rFonts w:ascii="Times New Roman" w:eastAsia="Times New Roman" w:hAnsi="Times New Roman" w:cs="Times New Roman"/>
                <w:color w:val="000000"/>
                <w:spacing w:val="0"/>
                <w:w w:val="100"/>
                <w:position w:val="0"/>
                <w:sz w:val="15"/>
                <w:szCs w:val="15"/>
              </w:rPr>
              <w:t>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700,212, </w:t>
            </w:r>
            <w:r>
              <w:rPr>
                <w:rFonts w:ascii="Times New Roman" w:eastAsia="Times New Roman" w:hAnsi="Times New Roman" w:cs="Times New Roman"/>
                <w:color w:val="000000"/>
                <w:spacing w:val="0"/>
                <w:w w:val="100"/>
                <w:position w:val="0"/>
                <w:sz w:val="15"/>
                <w:szCs w:val="15"/>
              </w:rPr>
              <w:t xml:space="preserve">896. </w:t>
            </w:r>
            <w:r>
              <w:rPr>
                <w:rFonts w:ascii="Times New Roman" w:eastAsia="Times New Roman" w:hAnsi="Times New Roman" w:cs="Times New Roman"/>
                <w:color w:val="000000"/>
                <w:spacing w:val="0"/>
                <w:w w:val="100"/>
                <w:position w:val="0"/>
                <w:sz w:val="15"/>
                <w:szCs w:val="15"/>
              </w:rPr>
              <w:t>34</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财务费用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-119, </w:t>
            </w:r>
            <w:r>
              <w:rPr>
                <w:rFonts w:ascii="Times New Roman" w:eastAsia="Times New Roman" w:hAnsi="Times New Roman" w:cs="Times New Roman"/>
                <w:color w:val="000000"/>
                <w:spacing w:val="0"/>
                <w:w w:val="100"/>
                <w:position w:val="0"/>
                <w:sz w:val="15"/>
                <w:szCs w:val="15"/>
              </w:rPr>
              <w:t xml:space="preserve">575, </w:t>
            </w:r>
            <w:r>
              <w:rPr>
                <w:rFonts w:ascii="Times New Roman" w:eastAsia="Times New Roman" w:hAnsi="Times New Roman" w:cs="Times New Roman"/>
                <w:color w:val="000000"/>
                <w:spacing w:val="0"/>
                <w:w w:val="100"/>
                <w:position w:val="0"/>
                <w:sz w:val="15"/>
                <w:szCs w:val="15"/>
              </w:rPr>
              <w:t xml:space="preserve">335. </w:t>
            </w:r>
            <w:r>
              <w:rPr>
                <w:rFonts w:ascii="Times New Roman" w:eastAsia="Times New Roman" w:hAnsi="Times New Roman" w:cs="Times New Roman"/>
                <w:color w:val="000000"/>
                <w:spacing w:val="0"/>
                <w:w w:val="100"/>
                <w:position w:val="0"/>
                <w:sz w:val="15"/>
                <w:szCs w:val="15"/>
              </w:rPr>
              <w:t>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52,419. 940. </w:t>
            </w:r>
            <w:r>
              <w:rPr>
                <w:rFonts w:ascii="Times New Roman" w:eastAsia="Times New Roman" w:hAnsi="Times New Roman" w:cs="Times New Roman"/>
                <w:color w:val="000000"/>
                <w:spacing w:val="0"/>
                <w:w w:val="100"/>
                <w:position w:val="0"/>
                <w:sz w:val="15"/>
                <w:szCs w:val="15"/>
              </w:rPr>
              <w:t>31</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资产减值损失</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53, 775, </w:t>
            </w:r>
            <w:r>
              <w:rPr>
                <w:rFonts w:ascii="Times New Roman" w:eastAsia="Times New Roman" w:hAnsi="Times New Roman" w:cs="Times New Roman"/>
                <w:color w:val="000000"/>
                <w:spacing w:val="0"/>
                <w:w w:val="100"/>
                <w:position w:val="0"/>
                <w:sz w:val="15"/>
                <w:szCs w:val="15"/>
              </w:rPr>
              <w:t xml:space="preserve">184. </w:t>
            </w:r>
            <w:r>
              <w:rPr>
                <w:rFonts w:ascii="Times New Roman" w:eastAsia="Times New Roman" w:hAnsi="Times New Roman" w:cs="Times New Roman"/>
                <w:color w:val="000000"/>
                <w:spacing w:val="0"/>
                <w:w w:val="100"/>
                <w:position w:val="0"/>
                <w:sz w:val="15"/>
                <w:szCs w:val="15"/>
              </w:rPr>
              <w:t>72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25, 455, </w:t>
            </w:r>
            <w:r>
              <w:rPr>
                <w:rFonts w:ascii="Times New Roman" w:eastAsia="Times New Roman" w:hAnsi="Times New Roman" w:cs="Times New Roman"/>
                <w:color w:val="000000"/>
                <w:spacing w:val="0"/>
                <w:w w:val="100"/>
                <w:position w:val="0"/>
                <w:sz w:val="15"/>
                <w:szCs w:val="15"/>
              </w:rPr>
              <w:t xml:space="preserve">858. </w:t>
            </w:r>
            <w:r>
              <w:rPr>
                <w:rFonts w:ascii="Times New Roman" w:eastAsia="Times New Roman" w:hAnsi="Times New Roman" w:cs="Times New Roman"/>
                <w:color w:val="000000"/>
                <w:spacing w:val="0"/>
                <w:w w:val="100"/>
                <w:position w:val="0"/>
                <w:sz w:val="15"/>
                <w:szCs w:val="15"/>
              </w:rPr>
              <w:t>32</w:t>
            </w:r>
          </w:p>
        </w:tc>
      </w:tr>
      <w:tr>
        <w:trPr>
          <w:trHeight w:val="461" w:hRule="exact"/>
        </w:trPr>
        <w:tc>
          <w:tcPr>
            <w:tcBorders/>
            <w:shd w:val="clear" w:color="auto" w:fill="FFFFFF"/>
            <w:vAlign w:val="bottom"/>
          </w:tcPr>
          <w:p>
            <w:pPr>
              <w:pStyle w:val="Style6"/>
              <w:keepNext w:val="0"/>
              <w:keepLines w:val="0"/>
              <w:widowControl w:val="0"/>
              <w:shd w:val="clear" w:color="auto" w:fill="auto"/>
              <w:bidi w:val="0"/>
              <w:spacing w:before="0" w:after="0" w:line="226" w:lineRule="exact"/>
              <w:ind w:left="520" w:right="0" w:hanging="320"/>
              <w:jc w:val="left"/>
              <w:rPr>
                <w:sz w:val="15"/>
                <w:szCs w:val="15"/>
              </w:rPr>
            </w:pPr>
            <w:r>
              <w:rPr>
                <w:color w:val="000000"/>
                <w:spacing w:val="0"/>
                <w:w w:val="100"/>
                <w:position w:val="0"/>
                <w:sz w:val="15"/>
                <w:szCs w:val="15"/>
              </w:rPr>
              <w:t xml:space="preserve">加：公允价值变动收益（损失以 </w:t>
            </w:r>
            <w:r>
              <w:rPr>
                <w:color w:val="000000"/>
                <w:spacing w:val="0"/>
                <w:w w:val="100"/>
                <w:position w:val="0"/>
                <w:sz w:val="15"/>
                <w:szCs w:val="15"/>
              </w:rPr>
              <w:t xml:space="preserve">J </w:t>
            </w:r>
            <w:r>
              <w:rPr>
                <w:color w:val="000000"/>
                <w:spacing w:val="0"/>
                <w:w w:val="100"/>
                <w:position w:val="0"/>
                <w:sz w:val="15"/>
                <w:szCs w:val="15"/>
              </w:rPr>
              <w:t xml:space="preserve">号填列） 净敞口套期损益（损失以 </w:t>
            </w:r>
            <w:r>
              <w:rPr>
                <w:color w:val="000000"/>
                <w:spacing w:val="0"/>
                <w:w w:val="100"/>
                <w:position w:val="0"/>
                <w:sz w:val="15"/>
                <w:szCs w:val="15"/>
              </w:rPr>
              <w:t xml:space="preserve">J </w:t>
            </w:r>
            <w:r>
              <w:rPr>
                <w:color w:val="000000"/>
                <w:spacing w:val="0"/>
                <w:w w:val="100"/>
                <w:position w:val="0"/>
                <w:sz w:val="15"/>
                <w:szCs w:val="15"/>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119, </w:t>
            </w:r>
            <w:r>
              <w:rPr>
                <w:rFonts w:ascii="Times New Roman" w:eastAsia="Times New Roman" w:hAnsi="Times New Roman" w:cs="Times New Roman"/>
                <w:color w:val="000000"/>
                <w:spacing w:val="0"/>
                <w:w w:val="100"/>
                <w:position w:val="0"/>
                <w:sz w:val="15"/>
                <w:szCs w:val="15"/>
              </w:rPr>
              <w:t xml:space="preserve">990. </w:t>
            </w:r>
            <w:r>
              <w:rPr>
                <w:rFonts w:ascii="Times New Roman" w:eastAsia="Times New Roman" w:hAnsi="Times New Roman" w:cs="Times New Roman"/>
                <w:color w:val="000000"/>
                <w:spacing w:val="0"/>
                <w:w w:val="100"/>
                <w:position w:val="0"/>
                <w:sz w:val="15"/>
                <w:szCs w:val="15"/>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176,431. </w:t>
            </w:r>
            <w:r>
              <w:rPr>
                <w:rFonts w:ascii="Times New Roman" w:eastAsia="Times New Roman" w:hAnsi="Times New Roman" w:cs="Times New Roman"/>
                <w:color w:val="000000"/>
                <w:spacing w:val="0"/>
                <w:w w:val="100"/>
                <w:position w:val="0"/>
                <w:sz w:val="15"/>
                <w:szCs w:val="15"/>
              </w:rPr>
              <w:t>11</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投资收益（损失以</w:t>
            </w:r>
            <w:r>
              <w:rPr>
                <w:color w:val="000000"/>
                <w:spacing w:val="0"/>
                <w:w w:val="100"/>
                <w:position w:val="0"/>
                <w:sz w:val="15"/>
                <w:szCs w:val="15"/>
              </w:rPr>
              <w:t>J</w:t>
            </w:r>
            <w:r>
              <w:rPr>
                <w:color w:val="000000"/>
                <w:spacing w:val="0"/>
                <w:w w:val="100"/>
                <w:position w:val="0"/>
                <w:sz w:val="15"/>
                <w:szCs w:val="15"/>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97, 822, </w:t>
            </w:r>
            <w:r>
              <w:rPr>
                <w:rFonts w:ascii="Times New Roman" w:eastAsia="Times New Roman" w:hAnsi="Times New Roman" w:cs="Times New Roman"/>
                <w:color w:val="000000"/>
                <w:spacing w:val="0"/>
                <w:w w:val="100"/>
                <w:position w:val="0"/>
                <w:sz w:val="15"/>
                <w:szCs w:val="15"/>
              </w:rPr>
              <w:t xml:space="preserve">310. </w:t>
            </w:r>
            <w:r>
              <w:rPr>
                <w:rFonts w:ascii="Times New Roman" w:eastAsia="Times New Roman" w:hAnsi="Times New Roman" w:cs="Times New Roman"/>
                <w:color w:val="000000"/>
                <w:spacing w:val="0"/>
                <w:w w:val="100"/>
                <w:position w:val="0"/>
                <w:sz w:val="15"/>
                <w:szCs w:val="15"/>
              </w:rPr>
              <w:t>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286,925,418. </w:t>
            </w:r>
            <w:r>
              <w:rPr>
                <w:rFonts w:ascii="Times New Roman" w:eastAsia="Times New Roman" w:hAnsi="Times New Roman" w:cs="Times New Roman"/>
                <w:color w:val="000000"/>
                <w:spacing w:val="0"/>
                <w:w w:val="100"/>
                <w:position w:val="0"/>
                <w:sz w:val="15"/>
                <w:szCs w:val="15"/>
              </w:rPr>
              <w:t>98</w:t>
            </w:r>
          </w:p>
        </w:tc>
      </w:tr>
      <w:tr>
        <w:trPr>
          <w:trHeight w:val="451" w:hRule="exact"/>
        </w:trPr>
        <w:tc>
          <w:tcPr>
            <w:tcBorders/>
            <w:shd w:val="clear" w:color="auto" w:fill="FFFFFF"/>
            <w:vAlign w:val="top"/>
          </w:tcPr>
          <w:p>
            <w:pPr>
              <w:pStyle w:val="Style6"/>
              <w:keepNext w:val="0"/>
              <w:keepLines w:val="0"/>
              <w:widowControl w:val="0"/>
              <w:shd w:val="clear" w:color="auto" w:fill="auto"/>
              <w:bidi w:val="0"/>
              <w:spacing w:before="0" w:after="0" w:line="226" w:lineRule="exact"/>
              <w:ind w:left="520" w:right="0" w:firstLine="160"/>
              <w:jc w:val="left"/>
              <w:rPr>
                <w:sz w:val="15"/>
                <w:szCs w:val="15"/>
              </w:rPr>
            </w:pPr>
            <w:r>
              <w:rPr>
                <w:color w:val="000000"/>
                <w:spacing w:val="0"/>
                <w:w w:val="100"/>
                <w:position w:val="0"/>
                <w:sz w:val="15"/>
                <w:szCs w:val="15"/>
              </w:rPr>
              <w:t>其中；对联营企业和合营企业的投资收益 汇兑收益（损失以</w:t>
            </w:r>
            <w:r>
              <w:rPr>
                <w:color w:val="000000"/>
                <w:spacing w:val="0"/>
                <w:w w:val="100"/>
                <w:position w:val="0"/>
                <w:sz w:val="15"/>
                <w:szCs w:val="15"/>
              </w:rPr>
              <w:t>J</w:t>
            </w:r>
            <w:r>
              <w:rPr>
                <w:color w:val="000000"/>
                <w:spacing w:val="0"/>
                <w:w w:val="100"/>
                <w:position w:val="0"/>
                <w:sz w:val="15"/>
                <w:szCs w:val="15"/>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50, 444, </w:t>
            </w:r>
            <w:r>
              <w:rPr>
                <w:rFonts w:ascii="Times New Roman" w:eastAsia="Times New Roman" w:hAnsi="Times New Roman" w:cs="Times New Roman"/>
                <w:color w:val="000000"/>
                <w:spacing w:val="0"/>
                <w:w w:val="100"/>
                <w:position w:val="0"/>
                <w:sz w:val="15"/>
                <w:szCs w:val="15"/>
              </w:rPr>
              <w:t xml:space="preserve">567. </w:t>
            </w:r>
            <w:r>
              <w:rPr>
                <w:rFonts w:ascii="Times New Roman" w:eastAsia="Times New Roman" w:hAnsi="Times New Roman" w:cs="Times New Roman"/>
                <w:color w:val="000000"/>
                <w:spacing w:val="0"/>
                <w:w w:val="100"/>
                <w:position w:val="0"/>
                <w:sz w:val="15"/>
                <w:szCs w:val="15"/>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6, 624, </w:t>
            </w:r>
            <w:r>
              <w:rPr>
                <w:rFonts w:ascii="Times New Roman" w:eastAsia="Times New Roman" w:hAnsi="Times New Roman" w:cs="Times New Roman"/>
                <w:color w:val="000000"/>
                <w:spacing w:val="0"/>
                <w:w w:val="100"/>
                <w:position w:val="0"/>
                <w:sz w:val="15"/>
                <w:szCs w:val="15"/>
              </w:rPr>
              <w:t xml:space="preserve">676. </w:t>
            </w:r>
            <w:r>
              <w:rPr>
                <w:rFonts w:ascii="Times New Roman" w:eastAsia="Times New Roman" w:hAnsi="Times New Roman" w:cs="Times New Roman"/>
                <w:color w:val="000000"/>
                <w:spacing w:val="0"/>
                <w:w w:val="100"/>
                <w:position w:val="0"/>
                <w:sz w:val="15"/>
                <w:szCs w:val="15"/>
              </w:rPr>
              <w:t>64</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三、营业利润（亏损以 </w:t>
            </w:r>
            <w:r>
              <w:rPr>
                <w:color w:val="000000"/>
                <w:spacing w:val="0"/>
                <w:w w:val="100"/>
                <w:position w:val="0"/>
                <w:sz w:val="15"/>
                <w:szCs w:val="15"/>
              </w:rPr>
              <w:t xml:space="preserve">J </w:t>
            </w:r>
            <w:r>
              <w:rPr>
                <w:color w:val="000000"/>
                <w:spacing w:val="0"/>
                <w:w w:val="100"/>
                <w:position w:val="0"/>
                <w:sz w:val="15"/>
                <w:szCs w:val="15"/>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-143, </w:t>
            </w:r>
            <w:r>
              <w:rPr>
                <w:rFonts w:ascii="Times New Roman" w:eastAsia="Times New Roman" w:hAnsi="Times New Roman" w:cs="Times New Roman"/>
                <w:color w:val="000000"/>
                <w:spacing w:val="0"/>
                <w:w w:val="100"/>
                <w:position w:val="0"/>
                <w:sz w:val="15"/>
                <w:szCs w:val="15"/>
              </w:rPr>
              <w:t xml:space="preserve">204, </w:t>
            </w:r>
            <w:r>
              <w:rPr>
                <w:rFonts w:ascii="Times New Roman" w:eastAsia="Times New Roman" w:hAnsi="Times New Roman" w:cs="Times New Roman"/>
                <w:color w:val="000000"/>
                <w:spacing w:val="0"/>
                <w:w w:val="100"/>
                <w:position w:val="0"/>
                <w:sz w:val="15"/>
                <w:szCs w:val="15"/>
              </w:rPr>
              <w:t xml:space="preserve">392. </w:t>
            </w:r>
            <w:r>
              <w:rPr>
                <w:rFonts w:ascii="Times New Roman" w:eastAsia="Times New Roman" w:hAnsi="Times New Roman" w:cs="Times New Roman"/>
                <w:color w:val="000000"/>
                <w:spacing w:val="0"/>
                <w:w w:val="100"/>
                <w:position w:val="0"/>
                <w:sz w:val="15"/>
                <w:szCs w:val="15"/>
              </w:rPr>
              <w:t>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423, 970, </w:t>
            </w:r>
            <w:r>
              <w:rPr>
                <w:rFonts w:ascii="Times New Roman" w:eastAsia="Times New Roman" w:hAnsi="Times New Roman" w:cs="Times New Roman"/>
                <w:color w:val="000000"/>
                <w:spacing w:val="0"/>
                <w:w w:val="100"/>
                <w:position w:val="0"/>
                <w:sz w:val="15"/>
                <w:szCs w:val="15"/>
              </w:rPr>
              <w:t xml:space="preserve">679. </w:t>
            </w:r>
            <w:r>
              <w:rPr>
                <w:rFonts w:ascii="Times New Roman" w:eastAsia="Times New Roman" w:hAnsi="Times New Roman" w:cs="Times New Roman"/>
                <w:color w:val="000000"/>
                <w:spacing w:val="0"/>
                <w:w w:val="100"/>
                <w:position w:val="0"/>
                <w:sz w:val="15"/>
                <w:szCs w:val="15"/>
              </w:rPr>
              <w:t>30</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加：营业外收入</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 xml:space="preserve">1, 064, 670, </w:t>
            </w:r>
            <w:r>
              <w:rPr>
                <w:rFonts w:ascii="Times New Roman" w:eastAsia="Times New Roman" w:hAnsi="Times New Roman" w:cs="Times New Roman"/>
                <w:color w:val="000000"/>
                <w:spacing w:val="0"/>
                <w:w w:val="100"/>
                <w:position w:val="0"/>
                <w:sz w:val="15"/>
                <w:szCs w:val="15"/>
              </w:rPr>
              <w:t xml:space="preserve">934. </w:t>
            </w:r>
            <w:r>
              <w:rPr>
                <w:rFonts w:ascii="Times New Roman" w:eastAsia="Times New Roman" w:hAnsi="Times New Roman" w:cs="Times New Roman"/>
                <w:color w:val="000000"/>
                <w:spacing w:val="0"/>
                <w:w w:val="100"/>
                <w:position w:val="0"/>
                <w:sz w:val="15"/>
                <w:szCs w:val="15"/>
              </w:rPr>
              <w:t>12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408, </w:t>
            </w:r>
            <w:r>
              <w:rPr>
                <w:rFonts w:ascii="Times New Roman" w:eastAsia="Times New Roman" w:hAnsi="Times New Roman" w:cs="Times New Roman"/>
                <w:color w:val="000000"/>
                <w:spacing w:val="0"/>
                <w:w w:val="100"/>
                <w:position w:val="0"/>
                <w:sz w:val="15"/>
                <w:szCs w:val="15"/>
              </w:rPr>
              <w:t xml:space="preserve">711,619. </w:t>
            </w:r>
            <w:r>
              <w:rPr>
                <w:rFonts w:ascii="Times New Roman" w:eastAsia="Times New Roman" w:hAnsi="Times New Roman" w:cs="Times New Roman"/>
                <w:color w:val="000000"/>
                <w:spacing w:val="0"/>
                <w:w w:val="100"/>
                <w:position w:val="0"/>
                <w:sz w:val="15"/>
                <w:szCs w:val="15"/>
              </w:rPr>
              <w:t>12</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其中，非流动资产处置利得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9, 830, </w:t>
            </w:r>
            <w:r>
              <w:rPr>
                <w:rFonts w:ascii="Times New Roman" w:eastAsia="Times New Roman" w:hAnsi="Times New Roman" w:cs="Times New Roman"/>
                <w:color w:val="000000"/>
                <w:spacing w:val="0"/>
                <w:w w:val="100"/>
                <w:position w:val="0"/>
                <w:sz w:val="15"/>
                <w:szCs w:val="15"/>
              </w:rPr>
              <w:t xml:space="preserve">029. </w:t>
            </w:r>
            <w:r>
              <w:rPr>
                <w:rFonts w:ascii="Times New Roman" w:eastAsia="Times New Roman" w:hAnsi="Times New Roman" w:cs="Times New Roman"/>
                <w:color w:val="000000"/>
                <w:spacing w:val="0"/>
                <w:w w:val="100"/>
                <w:position w:val="0"/>
                <w:sz w:val="15"/>
                <w:szCs w:val="15"/>
              </w:rPr>
              <w:t>99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35, </w:t>
            </w:r>
            <w:r>
              <w:rPr>
                <w:rFonts w:ascii="Times New Roman" w:eastAsia="Times New Roman" w:hAnsi="Times New Roman" w:cs="Times New Roman"/>
                <w:color w:val="000000"/>
                <w:spacing w:val="0"/>
                <w:w w:val="100"/>
                <w:position w:val="0"/>
                <w:sz w:val="15"/>
                <w:szCs w:val="15"/>
              </w:rPr>
              <w:t xml:space="preserve">587. </w:t>
            </w:r>
            <w:r>
              <w:rPr>
                <w:rFonts w:ascii="Times New Roman" w:eastAsia="Times New Roman" w:hAnsi="Times New Roman" w:cs="Times New Roman"/>
                <w:color w:val="000000"/>
                <w:spacing w:val="0"/>
                <w:w w:val="100"/>
                <w:position w:val="0"/>
                <w:sz w:val="15"/>
                <w:szCs w:val="15"/>
              </w:rPr>
              <w:t>99</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减：营业外支出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12, 347, </w:t>
            </w:r>
            <w:r>
              <w:rPr>
                <w:rFonts w:ascii="Times New Roman" w:eastAsia="Times New Roman" w:hAnsi="Times New Roman" w:cs="Times New Roman"/>
                <w:color w:val="000000"/>
                <w:spacing w:val="0"/>
                <w:w w:val="100"/>
                <w:position w:val="0"/>
                <w:sz w:val="15"/>
                <w:szCs w:val="15"/>
              </w:rPr>
              <w:t xml:space="preserve">655. </w:t>
            </w:r>
            <w:r>
              <w:rPr>
                <w:rFonts w:ascii="Times New Roman" w:eastAsia="Times New Roman" w:hAnsi="Times New Roman" w:cs="Times New Roman"/>
                <w:color w:val="000000"/>
                <w:spacing w:val="0"/>
                <w:w w:val="100"/>
                <w:position w:val="0"/>
                <w:sz w:val="15"/>
                <w:szCs w:val="15"/>
              </w:rPr>
              <w:t>66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21, 446, </w:t>
            </w:r>
            <w:r>
              <w:rPr>
                <w:rFonts w:ascii="Times New Roman" w:eastAsia="Times New Roman" w:hAnsi="Times New Roman" w:cs="Times New Roman"/>
                <w:color w:val="000000"/>
                <w:spacing w:val="0"/>
                <w:w w:val="100"/>
                <w:position w:val="0"/>
                <w:sz w:val="15"/>
                <w:szCs w:val="15"/>
              </w:rPr>
              <w:t xml:space="preserve">380. </w:t>
            </w:r>
            <w:r>
              <w:rPr>
                <w:rFonts w:ascii="Times New Roman" w:eastAsia="Times New Roman" w:hAnsi="Times New Roman" w:cs="Times New Roman"/>
                <w:color w:val="000000"/>
                <w:spacing w:val="0"/>
                <w:w w:val="100"/>
                <w:position w:val="0"/>
                <w:sz w:val="15"/>
                <w:szCs w:val="15"/>
              </w:rPr>
              <w:t>37</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其中：日晞动资产处置损失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4, 482, </w:t>
            </w:r>
            <w:r>
              <w:rPr>
                <w:rFonts w:ascii="Times New Roman" w:eastAsia="Times New Roman" w:hAnsi="Times New Roman" w:cs="Times New Roman"/>
                <w:color w:val="000000"/>
                <w:spacing w:val="0"/>
                <w:w w:val="100"/>
                <w:position w:val="0"/>
                <w:sz w:val="15"/>
                <w:szCs w:val="15"/>
              </w:rPr>
              <w:t xml:space="preserve">350. </w:t>
            </w:r>
            <w:r>
              <w:rPr>
                <w:rFonts w:ascii="Times New Roman" w:eastAsia="Times New Roman" w:hAnsi="Times New Roman" w:cs="Times New Roman"/>
                <w:color w:val="000000"/>
                <w:spacing w:val="0"/>
                <w:w w:val="100"/>
                <w:position w:val="0"/>
                <w:sz w:val="15"/>
                <w:szCs w:val="15"/>
              </w:rPr>
              <w:t>60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2, 952, </w:t>
            </w:r>
            <w:r>
              <w:rPr>
                <w:rFonts w:ascii="Times New Roman" w:eastAsia="Times New Roman" w:hAnsi="Times New Roman" w:cs="Times New Roman"/>
                <w:color w:val="000000"/>
                <w:spacing w:val="0"/>
                <w:w w:val="100"/>
                <w:position w:val="0"/>
                <w:sz w:val="15"/>
                <w:szCs w:val="15"/>
              </w:rPr>
              <w:t xml:space="preserve">153. </w:t>
            </w:r>
            <w:r>
              <w:rPr>
                <w:rFonts w:ascii="Times New Roman" w:eastAsia="Times New Roman" w:hAnsi="Times New Roman" w:cs="Times New Roman"/>
                <w:color w:val="000000"/>
                <w:spacing w:val="0"/>
                <w:w w:val="100"/>
                <w:position w:val="0"/>
                <w:sz w:val="15"/>
                <w:szCs w:val="15"/>
              </w:rPr>
              <w:t>43</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四、利润总额（亏损总额以“盘 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909, 118, </w:t>
            </w:r>
            <w:r>
              <w:rPr>
                <w:rFonts w:ascii="Times New Roman" w:eastAsia="Times New Roman" w:hAnsi="Times New Roman" w:cs="Times New Roman"/>
                <w:color w:val="000000"/>
                <w:spacing w:val="0"/>
                <w:w w:val="100"/>
                <w:position w:val="0"/>
                <w:sz w:val="15"/>
                <w:szCs w:val="15"/>
              </w:rPr>
              <w:t xml:space="preserve">885. </w:t>
            </w:r>
            <w:r>
              <w:rPr>
                <w:rFonts w:ascii="Times New Roman" w:eastAsia="Times New Roman" w:hAnsi="Times New Roman" w:cs="Times New Roman"/>
                <w:color w:val="000000"/>
                <w:spacing w:val="0"/>
                <w:w w:val="100"/>
                <w:position w:val="0"/>
                <w:sz w:val="15"/>
                <w:szCs w:val="15"/>
              </w:rPr>
              <w:t>47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811, </w:t>
            </w:r>
            <w:r>
              <w:rPr>
                <w:rFonts w:ascii="Times New Roman" w:eastAsia="Times New Roman" w:hAnsi="Times New Roman" w:cs="Times New Roman"/>
                <w:color w:val="000000"/>
                <w:spacing w:val="0"/>
                <w:w w:val="100"/>
                <w:position w:val="0"/>
                <w:sz w:val="15"/>
                <w:szCs w:val="15"/>
              </w:rPr>
              <w:t xml:space="preserve">235,918. </w:t>
            </w:r>
            <w:r>
              <w:rPr>
                <w:rFonts w:ascii="Times New Roman" w:eastAsia="Times New Roman" w:hAnsi="Times New Roman" w:cs="Times New Roman"/>
                <w:color w:val="000000"/>
                <w:spacing w:val="0"/>
                <w:w w:val="100"/>
                <w:position w:val="0"/>
                <w:sz w:val="15"/>
                <w:szCs w:val="15"/>
              </w:rPr>
              <w:t>05</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减：所得税费用</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258, 575, </w:t>
            </w:r>
            <w:r>
              <w:rPr>
                <w:rFonts w:ascii="Times New Roman" w:eastAsia="Times New Roman" w:hAnsi="Times New Roman" w:cs="Times New Roman"/>
                <w:color w:val="000000"/>
                <w:spacing w:val="0"/>
                <w:w w:val="100"/>
                <w:position w:val="0"/>
                <w:sz w:val="15"/>
                <w:szCs w:val="15"/>
              </w:rPr>
              <w:t xml:space="preserve">811. </w:t>
            </w:r>
            <w:r>
              <w:rPr>
                <w:rFonts w:ascii="Times New Roman" w:eastAsia="Times New Roman" w:hAnsi="Times New Roman" w:cs="Times New Roman"/>
                <w:color w:val="000000"/>
                <w:spacing w:val="0"/>
                <w:w w:val="100"/>
                <w:position w:val="0"/>
                <w:sz w:val="15"/>
                <w:szCs w:val="15"/>
              </w:rPr>
              <w:t>72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192, 824, </w:t>
            </w:r>
            <w:r>
              <w:rPr>
                <w:rFonts w:ascii="Times New Roman" w:eastAsia="Times New Roman" w:hAnsi="Times New Roman" w:cs="Times New Roman"/>
                <w:color w:val="000000"/>
                <w:spacing w:val="0"/>
                <w:w w:val="100"/>
                <w:position w:val="0"/>
                <w:sz w:val="15"/>
                <w:szCs w:val="15"/>
              </w:rPr>
              <w:t xml:space="preserve">491. </w:t>
            </w:r>
            <w:r>
              <w:rPr>
                <w:rFonts w:ascii="Times New Roman" w:eastAsia="Times New Roman" w:hAnsi="Times New Roman" w:cs="Times New Roman"/>
                <w:color w:val="000000"/>
                <w:spacing w:val="0"/>
                <w:w w:val="100"/>
                <w:position w:val="0"/>
                <w:sz w:val="15"/>
                <w:szCs w:val="15"/>
              </w:rPr>
              <w:t>23</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五、净利润（净亏损以 </w:t>
            </w:r>
            <w:r>
              <w:rPr>
                <w:color w:val="000000"/>
                <w:spacing w:val="0"/>
                <w:w w:val="100"/>
                <w:position w:val="0"/>
                <w:sz w:val="15"/>
                <w:szCs w:val="15"/>
              </w:rPr>
              <w:t xml:space="preserve">J </w:t>
            </w:r>
            <w:r>
              <w:rPr>
                <w:color w:val="000000"/>
                <w:spacing w:val="0"/>
                <w:w w:val="100"/>
                <w:position w:val="0"/>
                <w:sz w:val="15"/>
                <w:szCs w:val="15"/>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650, 543, </w:t>
            </w:r>
            <w:r>
              <w:rPr>
                <w:rFonts w:ascii="Times New Roman" w:eastAsia="Times New Roman" w:hAnsi="Times New Roman" w:cs="Times New Roman"/>
                <w:color w:val="000000"/>
                <w:spacing w:val="0"/>
                <w:w w:val="100"/>
                <w:position w:val="0"/>
                <w:sz w:val="15"/>
                <w:szCs w:val="15"/>
              </w:rPr>
              <w:t xml:space="preserve">073. </w:t>
            </w:r>
            <w:r>
              <w:rPr>
                <w:rFonts w:ascii="Times New Roman" w:eastAsia="Times New Roman" w:hAnsi="Times New Roman" w:cs="Times New Roman"/>
                <w:color w:val="000000"/>
                <w:spacing w:val="0"/>
                <w:w w:val="100"/>
                <w:position w:val="0"/>
                <w:sz w:val="15"/>
                <w:szCs w:val="15"/>
              </w:rPr>
              <w:t>75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618,411, </w:t>
            </w:r>
            <w:r>
              <w:rPr>
                <w:rFonts w:ascii="Times New Roman" w:eastAsia="Times New Roman" w:hAnsi="Times New Roman" w:cs="Times New Roman"/>
                <w:color w:val="000000"/>
                <w:spacing w:val="0"/>
                <w:w w:val="100"/>
                <w:position w:val="0"/>
                <w:sz w:val="15"/>
                <w:szCs w:val="15"/>
              </w:rPr>
              <w:t xml:space="preserve">426. </w:t>
            </w:r>
            <w:r>
              <w:rPr>
                <w:rFonts w:ascii="Times New Roman" w:eastAsia="Times New Roman" w:hAnsi="Times New Roman" w:cs="Times New Roman"/>
                <w:color w:val="000000"/>
                <w:spacing w:val="0"/>
                <w:w w:val="100"/>
                <w:position w:val="0"/>
                <w:sz w:val="15"/>
                <w:szCs w:val="15"/>
              </w:rPr>
              <w:t>82</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归属于母公司所有者的净利润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580, 985, </w:t>
            </w:r>
            <w:r>
              <w:rPr>
                <w:rFonts w:ascii="Times New Roman" w:eastAsia="Times New Roman" w:hAnsi="Times New Roman" w:cs="Times New Roman"/>
                <w:color w:val="000000"/>
                <w:spacing w:val="0"/>
                <w:w w:val="100"/>
                <w:position w:val="0"/>
                <w:sz w:val="15"/>
                <w:szCs w:val="15"/>
              </w:rPr>
              <w:t xml:space="preserve">445. </w:t>
            </w:r>
            <w:r>
              <w:rPr>
                <w:rFonts w:ascii="Times New Roman" w:eastAsia="Times New Roman" w:hAnsi="Times New Roman" w:cs="Times New Roman"/>
                <w:color w:val="000000"/>
                <w:spacing w:val="0"/>
                <w:w w:val="100"/>
                <w:position w:val="0"/>
                <w:sz w:val="15"/>
                <w:szCs w:val="15"/>
              </w:rPr>
              <w:t>92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550, 629, </w:t>
            </w:r>
            <w:r>
              <w:rPr>
                <w:rFonts w:ascii="Times New Roman" w:eastAsia="Times New Roman" w:hAnsi="Times New Roman" w:cs="Times New Roman"/>
                <w:color w:val="000000"/>
                <w:spacing w:val="0"/>
                <w:w w:val="100"/>
                <w:position w:val="0"/>
                <w:sz w:val="15"/>
                <w:szCs w:val="15"/>
              </w:rPr>
              <w:t xml:space="preserve">090. </w:t>
            </w:r>
            <w:r>
              <w:rPr>
                <w:rFonts w:ascii="Times New Roman" w:eastAsia="Times New Roman" w:hAnsi="Times New Roman" w:cs="Times New Roman"/>
                <w:color w:val="000000"/>
                <w:spacing w:val="0"/>
                <w:w w:val="100"/>
                <w:position w:val="0"/>
                <w:sz w:val="15"/>
                <w:szCs w:val="15"/>
              </w:rPr>
              <w:t>92</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少数股东损益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69, 557, </w:t>
            </w:r>
            <w:r>
              <w:rPr>
                <w:rFonts w:ascii="Times New Roman" w:eastAsia="Times New Roman" w:hAnsi="Times New Roman" w:cs="Times New Roman"/>
                <w:color w:val="000000"/>
                <w:spacing w:val="0"/>
                <w:w w:val="100"/>
                <w:position w:val="0"/>
                <w:sz w:val="15"/>
                <w:szCs w:val="15"/>
              </w:rPr>
              <w:t xml:space="preserve">627. </w:t>
            </w:r>
            <w:r>
              <w:rPr>
                <w:rFonts w:ascii="Times New Roman" w:eastAsia="Times New Roman" w:hAnsi="Times New Roman" w:cs="Times New Roman"/>
                <w:color w:val="000000"/>
                <w:spacing w:val="0"/>
                <w:w w:val="100"/>
                <w:position w:val="0"/>
                <w:sz w:val="15"/>
                <w:szCs w:val="15"/>
              </w:rPr>
              <w:t>83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67, 782, </w:t>
            </w:r>
            <w:r>
              <w:rPr>
                <w:rFonts w:ascii="Times New Roman" w:eastAsia="Times New Roman" w:hAnsi="Times New Roman" w:cs="Times New Roman"/>
                <w:color w:val="000000"/>
                <w:spacing w:val="0"/>
                <w:w w:val="100"/>
                <w:position w:val="0"/>
                <w:sz w:val="15"/>
                <w:szCs w:val="15"/>
              </w:rPr>
              <w:t xml:space="preserve">335. </w:t>
            </w:r>
            <w:r>
              <w:rPr>
                <w:rFonts w:ascii="Times New Roman" w:eastAsia="Times New Roman" w:hAnsi="Times New Roman" w:cs="Times New Roman"/>
                <w:color w:val="000000"/>
                <w:spacing w:val="0"/>
                <w:w w:val="100"/>
                <w:position w:val="0"/>
                <w:sz w:val="15"/>
                <w:szCs w:val="15"/>
              </w:rPr>
              <w:t>90</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六、其他综合收益的税后净额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 xml:space="preserve">851, </w:t>
            </w:r>
            <w:r>
              <w:rPr>
                <w:rFonts w:ascii="Times New Roman" w:eastAsia="Times New Roman" w:hAnsi="Times New Roman" w:cs="Times New Roman"/>
                <w:color w:val="000000"/>
                <w:spacing w:val="0"/>
                <w:w w:val="100"/>
                <w:position w:val="0"/>
                <w:sz w:val="15"/>
                <w:szCs w:val="15"/>
              </w:rPr>
              <w:t xml:space="preserve">234. </w:t>
            </w:r>
            <w:r>
              <w:rPr>
                <w:rFonts w:ascii="Times New Roman" w:eastAsia="Times New Roman" w:hAnsi="Times New Roman" w:cs="Times New Roman"/>
                <w:color w:val="000000"/>
                <w:spacing w:val="0"/>
                <w:w w:val="100"/>
                <w:position w:val="0"/>
                <w:sz w:val="15"/>
                <w:szCs w:val="15"/>
              </w:rPr>
              <w:t>68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 xml:space="preserve">452, </w:t>
            </w:r>
            <w:r>
              <w:rPr>
                <w:rFonts w:ascii="Times New Roman" w:eastAsia="Times New Roman" w:hAnsi="Times New Roman" w:cs="Times New Roman"/>
                <w:color w:val="000000"/>
                <w:spacing w:val="0"/>
                <w:w w:val="100"/>
                <w:position w:val="0"/>
                <w:sz w:val="15"/>
                <w:szCs w:val="15"/>
              </w:rPr>
              <w:t xml:space="preserve">345. </w:t>
            </w:r>
            <w:r>
              <w:rPr>
                <w:rFonts w:ascii="Times New Roman" w:eastAsia="Times New Roman" w:hAnsi="Times New Roman" w:cs="Times New Roman"/>
                <w:color w:val="000000"/>
                <w:spacing w:val="0"/>
                <w:w w:val="100"/>
                <w:position w:val="0"/>
                <w:sz w:val="15"/>
                <w:szCs w:val="15"/>
              </w:rPr>
              <w:t>80</w:t>
            </w:r>
          </w:p>
        </w:tc>
      </w:tr>
      <w:tr>
        <w:trPr>
          <w:trHeight w:val="1114" w:hRule="exact"/>
        </w:trPr>
        <w:tc>
          <w:tcPr>
            <w:tcBorders/>
            <w:shd w:val="clear" w:color="auto" w:fill="FFFFFF"/>
            <w:vAlign w:val="top"/>
          </w:tcPr>
          <w:p>
            <w:pPr>
              <w:pStyle w:val="Style6"/>
              <w:keepNext w:val="0"/>
              <w:keepLines w:val="0"/>
              <w:widowControl w:val="0"/>
              <w:shd w:val="clear" w:color="auto" w:fill="auto"/>
              <w:bidi w:val="0"/>
              <w:spacing w:before="0" w:after="40" w:line="182" w:lineRule="exact"/>
              <w:ind w:left="0" w:right="0" w:firstLine="280"/>
              <w:jc w:val="left"/>
              <w:rPr>
                <w:sz w:val="15"/>
                <w:szCs w:val="15"/>
              </w:rPr>
            </w:pPr>
            <w:r>
              <w:rPr>
                <w:color w:val="000000"/>
                <w:spacing w:val="0"/>
                <w:w w:val="100"/>
                <w:position w:val="0"/>
                <w:sz w:val="15"/>
                <w:szCs w:val="15"/>
              </w:rPr>
              <w:t>归属母公司所有者的其他综合收益的税后净额</w:t>
            </w:r>
          </w:p>
          <w:p>
            <w:pPr>
              <w:pStyle w:val="Style6"/>
              <w:keepNext w:val="0"/>
              <w:keepLines w:val="0"/>
              <w:widowControl w:val="0"/>
              <w:shd w:val="clear" w:color="auto" w:fill="auto"/>
              <w:bidi w:val="0"/>
              <w:spacing w:before="0" w:after="40" w:line="182" w:lineRule="exact"/>
              <w:ind w:left="0" w:right="0" w:firstLine="280"/>
              <w:jc w:val="left"/>
              <w:rPr>
                <w:sz w:val="15"/>
                <w:szCs w:val="15"/>
              </w:rPr>
            </w:pPr>
            <w:r>
              <w:rPr>
                <w:color w:val="000000"/>
                <w:spacing w:val="0"/>
                <w:w w:val="100"/>
                <w:position w:val="0"/>
                <w:sz w:val="15"/>
                <w:szCs w:val="15"/>
              </w:rPr>
              <w:t>（一）以后不能重分类进损益的其他综合收益</w:t>
            </w:r>
          </w:p>
          <w:p>
            <w:pPr>
              <w:pStyle w:val="Style6"/>
              <w:keepNext w:val="0"/>
              <w:keepLines w:val="0"/>
              <w:widowControl w:val="0"/>
              <w:numPr>
                <w:ilvl w:val="0"/>
                <w:numId w:val="13"/>
              </w:numPr>
              <w:shd w:val="clear" w:color="auto" w:fill="auto"/>
              <w:tabs>
                <w:tab w:pos="664" w:val="left"/>
              </w:tabs>
              <w:bidi w:val="0"/>
              <w:spacing w:before="0" w:after="40" w:line="254" w:lineRule="auto"/>
              <w:ind w:left="0" w:right="0" w:firstLine="520"/>
              <w:jc w:val="left"/>
              <w:rPr>
                <w:sz w:val="15"/>
                <w:szCs w:val="15"/>
              </w:rPr>
            </w:pPr>
            <w:r>
              <w:rPr>
                <w:color w:val="000000"/>
                <w:spacing w:val="0"/>
                <w:w w:val="100"/>
                <w:position w:val="0"/>
                <w:sz w:val="15"/>
                <w:szCs w:val="15"/>
              </w:rPr>
              <w:t>重新计量设定受益计划净负债或净资产导致的变动</w:t>
            </w:r>
          </w:p>
          <w:p>
            <w:pPr>
              <w:pStyle w:val="Style6"/>
              <w:keepNext w:val="0"/>
              <w:keepLines w:val="0"/>
              <w:widowControl w:val="0"/>
              <w:numPr>
                <w:ilvl w:val="0"/>
                <w:numId w:val="13"/>
              </w:numPr>
              <w:shd w:val="clear" w:color="auto" w:fill="auto"/>
              <w:tabs>
                <w:tab w:pos="629" w:val="left"/>
              </w:tabs>
              <w:bidi w:val="0"/>
              <w:spacing w:before="0" w:after="40" w:line="182" w:lineRule="exact"/>
              <w:ind w:left="0" w:right="0" w:firstLine="520"/>
              <w:jc w:val="left"/>
              <w:rPr>
                <w:sz w:val="15"/>
                <w:szCs w:val="15"/>
              </w:rPr>
            </w:pPr>
            <w:r>
              <w:rPr>
                <w:color w:val="000000"/>
                <w:spacing w:val="0"/>
                <w:w w:val="100"/>
                <w:position w:val="0"/>
                <w:sz w:val="15"/>
                <w:szCs w:val="15"/>
              </w:rPr>
              <w:t>权益法下在被投资单位不能重分类进损益的其他综合收 益中所享有的份额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 xml:space="preserve">851, </w:t>
            </w:r>
            <w:r>
              <w:rPr>
                <w:rFonts w:ascii="Times New Roman" w:eastAsia="Times New Roman" w:hAnsi="Times New Roman" w:cs="Times New Roman"/>
                <w:color w:val="000000"/>
                <w:spacing w:val="0"/>
                <w:w w:val="100"/>
                <w:position w:val="0"/>
                <w:sz w:val="15"/>
                <w:szCs w:val="15"/>
              </w:rPr>
              <w:t xml:space="preserve">234. </w:t>
            </w:r>
            <w:r>
              <w:rPr>
                <w:rFonts w:ascii="Times New Roman" w:eastAsia="Times New Roman" w:hAnsi="Times New Roman" w:cs="Times New Roman"/>
                <w:color w:val="000000"/>
                <w:spacing w:val="0"/>
                <w:w w:val="100"/>
                <w:position w:val="0"/>
                <w:sz w:val="15"/>
                <w:szCs w:val="15"/>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 xml:space="preserve">452, </w:t>
            </w:r>
            <w:r>
              <w:rPr>
                <w:rFonts w:ascii="Times New Roman" w:eastAsia="Times New Roman" w:hAnsi="Times New Roman" w:cs="Times New Roman"/>
                <w:color w:val="000000"/>
                <w:spacing w:val="0"/>
                <w:w w:val="100"/>
                <w:position w:val="0"/>
                <w:sz w:val="15"/>
                <w:szCs w:val="15"/>
              </w:rPr>
              <w:t xml:space="preserve">345. </w:t>
            </w:r>
            <w:r>
              <w:rPr>
                <w:rFonts w:ascii="Times New Roman" w:eastAsia="Times New Roman" w:hAnsi="Times New Roman" w:cs="Times New Roman"/>
                <w:color w:val="000000"/>
                <w:spacing w:val="0"/>
                <w:w w:val="100"/>
                <w:position w:val="0"/>
                <w:sz w:val="15"/>
                <w:szCs w:val="15"/>
              </w:rPr>
              <w:t>80</w:t>
            </w:r>
          </w:p>
        </w:tc>
      </w:tr>
      <w:tr>
        <w:trPr>
          <w:trHeight w:val="1368" w:hRule="exact"/>
        </w:trPr>
        <w:tc>
          <w:tcPr>
            <w:tcBorders/>
            <w:shd w:val="clear" w:color="auto" w:fill="FFFFFF"/>
            <w:vAlign w:val="bottom"/>
          </w:tcPr>
          <w:p>
            <w:pPr>
              <w:pStyle w:val="Style6"/>
              <w:keepNext w:val="0"/>
              <w:keepLines w:val="0"/>
              <w:widowControl w:val="0"/>
              <w:shd w:val="clear" w:color="auto" w:fill="auto"/>
              <w:bidi w:val="0"/>
              <w:spacing w:before="0" w:after="80" w:line="154" w:lineRule="exact"/>
              <w:ind w:left="0" w:right="0" w:firstLine="280"/>
              <w:jc w:val="left"/>
              <w:rPr>
                <w:sz w:val="15"/>
                <w:szCs w:val="15"/>
              </w:rPr>
            </w:pPr>
            <w:r>
              <w:rPr>
                <w:color w:val="000000"/>
                <w:spacing w:val="0"/>
                <w:w w:val="100"/>
                <w:position w:val="0"/>
                <w:sz w:val="15"/>
                <w:szCs w:val="15"/>
              </w:rPr>
              <w:t>（二）以后将重分类进损益的其他综合收益</w:t>
            </w:r>
          </w:p>
          <w:p>
            <w:pPr>
              <w:pStyle w:val="Style6"/>
              <w:keepNext w:val="0"/>
              <w:keepLines w:val="0"/>
              <w:widowControl w:val="0"/>
              <w:shd w:val="clear" w:color="auto" w:fill="auto"/>
              <w:bidi w:val="0"/>
              <w:spacing w:before="0" w:after="80" w:line="154" w:lineRule="exact"/>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权益法下在被投资单位以后将重分类进损益的其他综合 收益中所享有的份额</w:t>
            </w:r>
          </w:p>
          <w:p>
            <w:pPr>
              <w:pStyle w:val="Style6"/>
              <w:keepNext w:val="0"/>
              <w:keepLines w:val="0"/>
              <w:widowControl w:val="0"/>
              <w:shd w:val="clear" w:color="auto" w:fill="auto"/>
              <w:bidi w:val="0"/>
              <w:spacing w:before="0" w:after="80" w:line="214"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可供出售金融资产公允价值变动损益</w:t>
            </w:r>
          </w:p>
          <w:p>
            <w:pPr>
              <w:pStyle w:val="Style6"/>
              <w:keepNext w:val="0"/>
              <w:keepLines w:val="0"/>
              <w:widowControl w:val="0"/>
              <w:shd w:val="clear" w:color="auto" w:fill="auto"/>
              <w:bidi w:val="0"/>
              <w:spacing w:before="0" w:after="80" w:line="154" w:lineRule="exact"/>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一持有至到期投资重分类为可供出售金融资产损益</w:t>
            </w:r>
          </w:p>
          <w:p>
            <w:pPr>
              <w:pStyle w:val="Style6"/>
              <w:keepNext w:val="0"/>
              <w:keepLines w:val="0"/>
              <w:widowControl w:val="0"/>
              <w:shd w:val="clear" w:color="auto" w:fill="auto"/>
              <w:bidi w:val="0"/>
              <w:spacing w:before="0" w:after="80" w:line="214"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畦流量套期损益的有效部分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 xml:space="preserve">851, </w:t>
            </w:r>
            <w:r>
              <w:rPr>
                <w:rFonts w:ascii="Times New Roman" w:eastAsia="Times New Roman" w:hAnsi="Times New Roman" w:cs="Times New Roman"/>
                <w:color w:val="000000"/>
                <w:spacing w:val="0"/>
                <w:w w:val="100"/>
                <w:position w:val="0"/>
                <w:sz w:val="15"/>
                <w:szCs w:val="15"/>
              </w:rPr>
              <w:t xml:space="preserve">234. </w:t>
            </w:r>
            <w:r>
              <w:rPr>
                <w:rFonts w:ascii="Times New Roman" w:eastAsia="Times New Roman" w:hAnsi="Times New Roman" w:cs="Times New Roman"/>
                <w:color w:val="000000"/>
                <w:spacing w:val="0"/>
                <w:w w:val="100"/>
                <w:position w:val="0"/>
                <w:sz w:val="15"/>
                <w:szCs w:val="15"/>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 xml:space="preserve">452, </w:t>
            </w:r>
            <w:r>
              <w:rPr>
                <w:rFonts w:ascii="Times New Roman" w:eastAsia="Times New Roman" w:hAnsi="Times New Roman" w:cs="Times New Roman"/>
                <w:color w:val="000000"/>
                <w:spacing w:val="0"/>
                <w:w w:val="100"/>
                <w:position w:val="0"/>
                <w:sz w:val="15"/>
                <w:szCs w:val="15"/>
              </w:rPr>
              <w:t xml:space="preserve">345. </w:t>
            </w:r>
            <w:r>
              <w:rPr>
                <w:rFonts w:ascii="Times New Roman" w:eastAsia="Times New Roman" w:hAnsi="Times New Roman" w:cs="Times New Roman"/>
                <w:color w:val="000000"/>
                <w:spacing w:val="0"/>
                <w:w w:val="100"/>
                <w:position w:val="0"/>
                <w:sz w:val="15"/>
                <w:szCs w:val="15"/>
              </w:rPr>
              <w:t>80</w:t>
            </w:r>
          </w:p>
        </w:tc>
      </w:tr>
      <w:tr>
        <w:trPr>
          <w:trHeight w:val="682" w:hRule="exact"/>
        </w:trPr>
        <w:tc>
          <w:tcPr>
            <w:tcBorders/>
            <w:shd w:val="clear" w:color="auto" w:fill="FFFFFF"/>
            <w:vAlign w:val="top"/>
          </w:tcPr>
          <w:p>
            <w:pPr>
              <w:pStyle w:val="Style6"/>
              <w:keepNext w:val="0"/>
              <w:keepLines w:val="0"/>
              <w:widowControl w:val="0"/>
              <w:numPr>
                <w:ilvl w:val="0"/>
                <w:numId w:val="15"/>
              </w:numPr>
              <w:shd w:val="clear" w:color="auto" w:fill="auto"/>
              <w:tabs>
                <w:tab w:pos="678" w:val="left"/>
              </w:tabs>
              <w:bidi w:val="0"/>
              <w:spacing w:before="0" w:after="40" w:line="240" w:lineRule="auto"/>
              <w:ind w:left="0" w:right="0" w:firstLine="520"/>
              <w:jc w:val="left"/>
              <w:rPr>
                <w:sz w:val="15"/>
                <w:szCs w:val="15"/>
              </w:rPr>
            </w:pPr>
            <w:r>
              <w:rPr>
                <w:color w:val="000000"/>
                <w:spacing w:val="0"/>
                <w:w w:val="100"/>
                <w:position w:val="0"/>
                <w:sz w:val="15"/>
                <w:szCs w:val="15"/>
              </w:rPr>
              <w:t>外币财务报表折算差额</w:t>
            </w:r>
          </w:p>
          <w:p>
            <w:pPr>
              <w:pStyle w:val="Style6"/>
              <w:keepNext w:val="0"/>
              <w:keepLines w:val="0"/>
              <w:widowControl w:val="0"/>
              <w:numPr>
                <w:ilvl w:val="0"/>
                <w:numId w:val="15"/>
              </w:numPr>
              <w:shd w:val="clear" w:color="auto" w:fill="auto"/>
              <w:tabs>
                <w:tab w:pos="674" w:val="left"/>
              </w:tabs>
              <w:bidi w:val="0"/>
              <w:spacing w:before="0" w:after="40" w:line="240" w:lineRule="auto"/>
              <w:ind w:left="0" w:right="0" w:firstLine="520"/>
              <w:jc w:val="left"/>
              <w:rPr>
                <w:sz w:val="15"/>
                <w:szCs w:val="15"/>
              </w:rPr>
            </w:pPr>
            <w:r>
              <w:rPr>
                <w:color w:val="000000"/>
                <w:spacing w:val="0"/>
                <w:w w:val="100"/>
                <w:position w:val="0"/>
                <w:sz w:val="15"/>
                <w:szCs w:val="15"/>
              </w:rPr>
              <w:t>其他</w:t>
            </w:r>
          </w:p>
          <w:p>
            <w:pPr>
              <w:pStyle w:val="Style6"/>
              <w:keepNext w:val="0"/>
              <w:keepLines w:val="0"/>
              <w:widowControl w:val="0"/>
              <w:shd w:val="clear" w:color="auto" w:fill="auto"/>
              <w:bidi w:val="0"/>
              <w:spacing w:before="0" w:after="40" w:line="240" w:lineRule="auto"/>
              <w:ind w:left="0" w:right="0" w:firstLine="280"/>
              <w:jc w:val="left"/>
              <w:rPr>
                <w:sz w:val="15"/>
                <w:szCs w:val="15"/>
              </w:rPr>
            </w:pPr>
            <w:r>
              <w:rPr>
                <w:color w:val="000000"/>
                <w:spacing w:val="0"/>
                <w:w w:val="100"/>
                <w:position w:val="0"/>
                <w:sz w:val="15"/>
                <w:szCs w:val="15"/>
              </w:rPr>
              <w:t>归属于少数股东的其他综合收益的税后净额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 xml:space="preserve">851, </w:t>
            </w:r>
            <w:r>
              <w:rPr>
                <w:rFonts w:ascii="Times New Roman" w:eastAsia="Times New Roman" w:hAnsi="Times New Roman" w:cs="Times New Roman"/>
                <w:color w:val="000000"/>
                <w:spacing w:val="0"/>
                <w:w w:val="100"/>
                <w:position w:val="0"/>
                <w:sz w:val="15"/>
                <w:szCs w:val="15"/>
              </w:rPr>
              <w:t xml:space="preserve">234. </w:t>
            </w:r>
            <w:r>
              <w:rPr>
                <w:rFonts w:ascii="Times New Roman" w:eastAsia="Times New Roman" w:hAnsi="Times New Roman" w:cs="Times New Roman"/>
                <w:color w:val="000000"/>
                <w:spacing w:val="0"/>
                <w:w w:val="100"/>
                <w:position w:val="0"/>
                <w:sz w:val="15"/>
                <w:szCs w:val="15"/>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 xml:space="preserve">452, </w:t>
            </w:r>
            <w:r>
              <w:rPr>
                <w:rFonts w:ascii="Times New Roman" w:eastAsia="Times New Roman" w:hAnsi="Times New Roman" w:cs="Times New Roman"/>
                <w:color w:val="000000"/>
                <w:spacing w:val="0"/>
                <w:w w:val="100"/>
                <w:position w:val="0"/>
                <w:sz w:val="15"/>
                <w:szCs w:val="15"/>
              </w:rPr>
              <w:t xml:space="preserve">345. </w:t>
            </w:r>
            <w:r>
              <w:rPr>
                <w:rFonts w:ascii="Times New Roman" w:eastAsia="Times New Roman" w:hAnsi="Times New Roman" w:cs="Times New Roman"/>
                <w:color w:val="000000"/>
                <w:spacing w:val="0"/>
                <w:w w:val="100"/>
                <w:position w:val="0"/>
                <w:sz w:val="15"/>
                <w:szCs w:val="15"/>
              </w:rPr>
              <w:t>80</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630,691, </w:t>
            </w:r>
            <w:r>
              <w:rPr>
                <w:rFonts w:ascii="Times New Roman" w:eastAsia="Times New Roman" w:hAnsi="Times New Roman" w:cs="Times New Roman"/>
                <w:color w:val="000000"/>
                <w:spacing w:val="0"/>
                <w:w w:val="100"/>
                <w:position w:val="0"/>
                <w:sz w:val="15"/>
                <w:szCs w:val="15"/>
              </w:rPr>
              <w:t xml:space="preserve">839. </w:t>
            </w:r>
            <w:r>
              <w:rPr>
                <w:rFonts w:ascii="Times New Roman" w:eastAsia="Times New Roman" w:hAnsi="Times New Roman" w:cs="Times New Roman"/>
                <w:color w:val="000000"/>
                <w:spacing w:val="0"/>
                <w:w w:val="100"/>
                <w:position w:val="0"/>
                <w:sz w:val="15"/>
                <w:szCs w:val="15"/>
              </w:rPr>
              <w:t>07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615, 959, </w:t>
            </w:r>
            <w:r>
              <w:rPr>
                <w:rFonts w:ascii="Times New Roman" w:eastAsia="Times New Roman" w:hAnsi="Times New Roman" w:cs="Times New Roman"/>
                <w:color w:val="000000"/>
                <w:spacing w:val="0"/>
                <w:w w:val="100"/>
                <w:position w:val="0"/>
                <w:sz w:val="15"/>
                <w:szCs w:val="15"/>
              </w:rPr>
              <w:t>081.02</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归属于母公司所有者的综合收益总额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561, 134, </w:t>
            </w:r>
            <w:r>
              <w:rPr>
                <w:rFonts w:ascii="Times New Roman" w:eastAsia="Times New Roman" w:hAnsi="Times New Roman" w:cs="Times New Roman"/>
                <w:color w:val="000000"/>
                <w:spacing w:val="0"/>
                <w:w w:val="100"/>
                <w:position w:val="0"/>
                <w:sz w:val="15"/>
                <w:szCs w:val="15"/>
              </w:rPr>
              <w:t xml:space="preserve">211. </w:t>
            </w:r>
            <w:r>
              <w:rPr>
                <w:rFonts w:ascii="Times New Roman" w:eastAsia="Times New Roman" w:hAnsi="Times New Roman" w:cs="Times New Roman"/>
                <w:color w:val="000000"/>
                <w:spacing w:val="0"/>
                <w:w w:val="100"/>
                <w:position w:val="0"/>
                <w:sz w:val="15"/>
                <w:szCs w:val="15"/>
              </w:rPr>
              <w:t>24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548, 176, </w:t>
            </w:r>
            <w:r>
              <w:rPr>
                <w:rFonts w:ascii="Times New Roman" w:eastAsia="Times New Roman" w:hAnsi="Times New Roman" w:cs="Times New Roman"/>
                <w:color w:val="000000"/>
                <w:spacing w:val="0"/>
                <w:w w:val="100"/>
                <w:position w:val="0"/>
                <w:sz w:val="15"/>
                <w:szCs w:val="15"/>
              </w:rPr>
              <w:t xml:space="preserve">745. </w:t>
            </w:r>
            <w:r>
              <w:rPr>
                <w:rFonts w:ascii="Times New Roman" w:eastAsia="Times New Roman" w:hAnsi="Times New Roman" w:cs="Times New Roman"/>
                <w:color w:val="000000"/>
                <w:spacing w:val="0"/>
                <w:w w:val="100"/>
                <w:position w:val="0"/>
                <w:sz w:val="15"/>
                <w:szCs w:val="15"/>
              </w:rPr>
              <w:t>12</w:t>
            </w:r>
          </w:p>
        </w:tc>
      </w:tr>
      <w:tr>
        <w:trPr>
          <w:trHeight w:val="456" w:hRule="exact"/>
        </w:trPr>
        <w:tc>
          <w:tcPr>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360"/>
              <w:jc w:val="left"/>
              <w:rPr>
                <w:sz w:val="15"/>
                <w:szCs w:val="15"/>
              </w:rPr>
            </w:pPr>
            <w:r>
              <w:rPr>
                <w:color w:val="000000"/>
                <w:spacing w:val="0"/>
                <w:w w:val="100"/>
                <w:position w:val="0"/>
                <w:sz w:val="15"/>
                <w:szCs w:val="15"/>
              </w:rPr>
              <w:t>归属于少数股东的综合收益总额</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69, 557, </w:t>
            </w:r>
            <w:r>
              <w:rPr>
                <w:rFonts w:ascii="Times New Roman" w:eastAsia="Times New Roman" w:hAnsi="Times New Roman" w:cs="Times New Roman"/>
                <w:color w:val="000000"/>
                <w:spacing w:val="0"/>
                <w:w w:val="100"/>
                <w:position w:val="0"/>
                <w:sz w:val="15"/>
                <w:szCs w:val="15"/>
              </w:rPr>
              <w:t xml:space="preserve">627. </w:t>
            </w:r>
            <w:r>
              <w:rPr>
                <w:rFonts w:ascii="Times New Roman" w:eastAsia="Times New Roman" w:hAnsi="Times New Roman" w:cs="Times New Roman"/>
                <w:color w:val="000000"/>
                <w:spacing w:val="0"/>
                <w:w w:val="100"/>
                <w:position w:val="0"/>
                <w:sz w:val="15"/>
                <w:szCs w:val="15"/>
              </w:rPr>
              <w:t>83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67, 782, </w:t>
            </w:r>
            <w:r>
              <w:rPr>
                <w:rFonts w:ascii="Times New Roman" w:eastAsia="Times New Roman" w:hAnsi="Times New Roman" w:cs="Times New Roman"/>
                <w:color w:val="000000"/>
                <w:spacing w:val="0"/>
                <w:w w:val="100"/>
                <w:position w:val="0"/>
                <w:sz w:val="15"/>
                <w:szCs w:val="15"/>
              </w:rPr>
              <w:t xml:space="preserve">335. </w:t>
            </w:r>
            <w:r>
              <w:rPr>
                <w:rFonts w:ascii="Times New Roman" w:eastAsia="Times New Roman" w:hAnsi="Times New Roman" w:cs="Times New Roman"/>
                <w:color w:val="000000"/>
                <w:spacing w:val="0"/>
                <w:w w:val="100"/>
                <w:position w:val="0"/>
                <w:sz w:val="15"/>
                <w:szCs w:val="15"/>
              </w:rPr>
              <w:t>90</w:t>
            </w:r>
          </w:p>
        </w:tc>
      </w:tr>
      <w:tr>
        <w:trPr>
          <w:trHeight w:val="22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（一）基本每股收益（元/股）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90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20</w:t>
            </w:r>
          </w:p>
        </w:tc>
      </w:tr>
      <w:tr>
        <w:trPr>
          <w:trHeight w:val="230"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（二）稀释每股收益（元/股）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18</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20</w:t>
            </w:r>
          </w:p>
        </w:tc>
      </w:tr>
    </w:tbl>
    <w:p>
      <w:pPr>
        <w:pStyle w:val="Style30"/>
        <w:keepNext w:val="0"/>
        <w:keepLines w:val="0"/>
        <w:widowControl w:val="0"/>
        <w:shd w:val="clear" w:color="auto" w:fill="auto"/>
        <w:tabs>
          <w:tab w:pos="3202" w:val="left"/>
          <w:tab w:pos="6797" w:val="left"/>
        </w:tabs>
        <w:bidi w:val="0"/>
        <w:spacing w:before="0" w:after="0" w:line="240" w:lineRule="auto"/>
        <w:ind w:left="38" w:right="0" w:firstLine="0"/>
        <w:jc w:val="left"/>
        <w:rPr>
          <w:sz w:val="15"/>
          <w:szCs w:val="15"/>
        </w:rPr>
      </w:pPr>
      <w:r>
        <w:rPr>
          <w:color w:val="000000"/>
          <w:spacing w:val="0"/>
          <w:w w:val="100"/>
          <w:position w:val="0"/>
          <w:sz w:val="15"/>
          <w:szCs w:val="15"/>
        </w:rPr>
        <w:t>法定代表人；徐冠巨</w:t>
        <w:tab/>
        <w:t>主管会计工作的负责人；徐冠巨</w:t>
        <w:tab/>
        <w:t>会计机构负责人：杨万清</w:t>
      </w:r>
      <w:r>
        <w:br w:type="page"/>
      </w:r>
    </w:p>
    <w:p>
      <w:pPr>
        <w:pStyle w:val="Style6"/>
        <w:keepNext w:val="0"/>
        <w:keepLines w:val="0"/>
        <w:widowControl w:val="0"/>
        <w:shd w:val="clear" w:color="auto" w:fill="auto"/>
        <w:bidi w:val="0"/>
        <w:spacing w:before="0" w:after="80" w:line="240" w:lineRule="auto"/>
        <w:ind w:left="0" w:right="0" w:firstLine="0"/>
        <w:jc w:val="center"/>
        <w:rPr>
          <w:sz w:val="38"/>
          <w:szCs w:val="38"/>
        </w:rPr>
      </w:pPr>
      <w:r>
        <w:rPr>
          <w:rFonts w:ascii="SimHei" w:eastAsia="SimHei" w:hAnsi="SimHei" w:cs="SimHei"/>
          <w:color w:val="000000"/>
          <w:spacing w:val="0"/>
          <w:w w:val="100"/>
          <w:position w:val="0"/>
          <w:sz w:val="38"/>
          <w:szCs w:val="38"/>
        </w:rPr>
        <w:t>母公司利润表</w:t>
      </w:r>
    </w:p>
    <w:p>
      <w:pPr>
        <w:pStyle w:val="Style76"/>
        <w:keepNext w:val="0"/>
        <w:keepLines w:val="0"/>
        <w:widowControl w:val="0"/>
        <w:shd w:val="clear" w:color="auto" w:fill="auto"/>
        <w:bidi w:val="0"/>
        <w:spacing w:before="0" w:after="80" w:line="240" w:lineRule="auto"/>
        <w:ind w:left="0" w:right="0" w:firstLine="0"/>
        <w:jc w:val="center"/>
        <w:rPr>
          <w:sz w:val="22"/>
          <w:szCs w:val="22"/>
        </w:rPr>
      </w:pPr>
      <w:r>
        <w:rPr>
          <w:color w:val="000000"/>
          <w:spacing w:val="0"/>
          <w:w w:val="100"/>
          <w:position w:val="0"/>
          <w:sz w:val="15"/>
          <w:szCs w:val="15"/>
        </w:rPr>
        <w:t>2016</w:t>
      </w:r>
      <w:r>
        <w:rPr>
          <w:color w:val="000000"/>
          <w:spacing w:val="0"/>
          <w:w w:val="100"/>
          <w:position w:val="0"/>
          <w:sz w:val="22"/>
          <w:szCs w:val="22"/>
        </w:rPr>
        <w:t>年度</w:t>
      </w:r>
    </w:p>
    <w:tbl>
      <w:tblPr>
        <w:tblOverlap w:val="never"/>
        <w:jc w:val="left"/>
        <w:tblLayout w:type="fixed"/>
      </w:tblPr>
      <w:tblGrid>
        <w:gridCol w:w="5381"/>
        <w:gridCol w:w="509"/>
        <w:gridCol w:w="2309"/>
        <w:gridCol w:w="2342"/>
      </w:tblGrid>
      <w:tr>
        <w:trPr>
          <w:trHeight w:val="518" w:hRule="exact"/>
        </w:trPr>
        <w:tc>
          <w:tcPr>
            <w:tcBorders>
              <w:top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注释</w:t>
            </w:r>
          </w:p>
        </w:tc>
        <w:tc>
          <w:tcPr>
            <w:tcBorders>
              <w:top w:val="single" w:sz="4"/>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上年同期数</w:t>
            </w:r>
          </w:p>
        </w:tc>
      </w:tr>
      <w:tr>
        <w:trPr>
          <w:trHeight w:val="379" w:hRule="exact"/>
        </w:trPr>
        <w:tc>
          <w:tcPr>
            <w:tcBorders>
              <w:top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_、营业炒</w:t>
            </w:r>
          </w:p>
        </w:tc>
        <w:tc>
          <w:tcPr>
            <w:tcBorders>
              <w:top w:val="single" w:sz="4"/>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p>
        </w:tc>
        <w:tc>
          <w:tcPr>
            <w:tcBorders>
              <w:top w:val="single" w:sz="4"/>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1, 881,617, </w:t>
            </w:r>
            <w:r>
              <w:rPr>
                <w:color w:val="000000"/>
                <w:spacing w:val="0"/>
                <w:w w:val="100"/>
                <w:position w:val="0"/>
                <w:sz w:val="15"/>
                <w:szCs w:val="15"/>
              </w:rPr>
              <w:t xml:space="preserve">528. </w:t>
            </w:r>
            <w:r>
              <w:rPr>
                <w:color w:val="000000"/>
                <w:spacing w:val="0"/>
                <w:w w:val="100"/>
                <w:position w:val="0"/>
                <w:sz w:val="15"/>
                <w:szCs w:val="15"/>
              </w:rPr>
              <w:t>76</w:t>
            </w:r>
          </w:p>
        </w:tc>
        <w:tc>
          <w:tcPr>
            <w:tcBorders>
              <w:top w:val="single" w:sz="4"/>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1,730,849, </w:t>
            </w:r>
            <w:r>
              <w:rPr>
                <w:color w:val="000000"/>
                <w:spacing w:val="0"/>
                <w:w w:val="100"/>
                <w:position w:val="0"/>
                <w:sz w:val="15"/>
                <w:szCs w:val="15"/>
              </w:rPr>
              <w:t xml:space="preserve">617. </w:t>
            </w:r>
            <w:r>
              <w:rPr>
                <w:color w:val="000000"/>
                <w:spacing w:val="0"/>
                <w:w w:val="100"/>
                <w:position w:val="0"/>
                <w:sz w:val="15"/>
                <w:szCs w:val="15"/>
              </w:rPr>
              <w:t>32</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减：营业成本</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1, 350, </w:t>
            </w:r>
            <w:r>
              <w:rPr>
                <w:color w:val="000000"/>
                <w:spacing w:val="0"/>
                <w:w w:val="100"/>
                <w:position w:val="0"/>
                <w:sz w:val="15"/>
                <w:szCs w:val="15"/>
              </w:rPr>
              <w:t xml:space="preserve">328,403. </w:t>
            </w:r>
            <w:r>
              <w:rPr>
                <w:color w:val="000000"/>
                <w:spacing w:val="0"/>
                <w:w w:val="100"/>
                <w:position w:val="0"/>
                <w:sz w:val="15"/>
                <w:szCs w:val="15"/>
              </w:rPr>
              <w:t>03</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1,206,624, </w:t>
            </w:r>
            <w:r>
              <w:rPr>
                <w:color w:val="000000"/>
                <w:spacing w:val="0"/>
                <w:w w:val="100"/>
                <w:position w:val="0"/>
                <w:sz w:val="15"/>
                <w:szCs w:val="15"/>
              </w:rPr>
              <w:t xml:space="preserve">090. </w:t>
            </w:r>
            <w:r>
              <w:rPr>
                <w:color w:val="000000"/>
                <w:spacing w:val="0"/>
                <w:w w:val="100"/>
                <w:position w:val="0"/>
                <w:sz w:val="15"/>
                <w:szCs w:val="15"/>
              </w:rPr>
              <w:t>09</w:t>
            </w: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税金及附加</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9,912,687. </w:t>
            </w:r>
            <w:r>
              <w:rPr>
                <w:color w:val="000000"/>
                <w:spacing w:val="0"/>
                <w:w w:val="100"/>
                <w:position w:val="0"/>
                <w:sz w:val="15"/>
                <w:szCs w:val="15"/>
              </w:rPr>
              <w:t>99</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9, 249, </w:t>
            </w:r>
            <w:r>
              <w:rPr>
                <w:color w:val="000000"/>
                <w:spacing w:val="0"/>
                <w:w w:val="100"/>
                <w:position w:val="0"/>
                <w:sz w:val="15"/>
                <w:szCs w:val="15"/>
              </w:rPr>
              <w:t xml:space="preserve">002. </w:t>
            </w:r>
            <w:r>
              <w:rPr>
                <w:color w:val="000000"/>
                <w:spacing w:val="0"/>
                <w:w w:val="100"/>
                <w:position w:val="0"/>
                <w:sz w:val="15"/>
                <w:szCs w:val="15"/>
              </w:rPr>
              <w:t>05</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销售费用</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191, 888, </w:t>
            </w:r>
            <w:r>
              <w:rPr>
                <w:color w:val="000000"/>
                <w:spacing w:val="0"/>
                <w:w w:val="100"/>
                <w:position w:val="0"/>
                <w:sz w:val="15"/>
                <w:szCs w:val="15"/>
              </w:rPr>
              <w:t xml:space="preserve">169. </w:t>
            </w:r>
            <w:r>
              <w:rPr>
                <w:color w:val="000000"/>
                <w:spacing w:val="0"/>
                <w:w w:val="100"/>
                <w:position w:val="0"/>
                <w:sz w:val="15"/>
                <w:szCs w:val="15"/>
              </w:rPr>
              <w:t>91</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156,932,924. </w:t>
            </w:r>
            <w:r>
              <w:rPr>
                <w:color w:val="000000"/>
                <w:spacing w:val="0"/>
                <w:w w:val="100"/>
                <w:position w:val="0"/>
                <w:sz w:val="15"/>
                <w:szCs w:val="15"/>
              </w:rPr>
              <w:t>29</w:t>
            </w:r>
          </w:p>
        </w:tc>
      </w:tr>
      <w:tr>
        <w:trPr>
          <w:trHeight w:val="35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管理费用</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219, 842,</w:t>
            </w:r>
            <w:r>
              <w:rPr>
                <w:color w:val="000000"/>
                <w:spacing w:val="0"/>
                <w:w w:val="100"/>
                <w:position w:val="0"/>
                <w:sz w:val="15"/>
                <w:szCs w:val="15"/>
              </w:rPr>
              <w:t xml:space="preserve">919. </w:t>
            </w:r>
            <w:r>
              <w:rPr>
                <w:color w:val="000000"/>
                <w:spacing w:val="0"/>
                <w:w w:val="100"/>
                <w:position w:val="0"/>
                <w:sz w:val="15"/>
                <w:szCs w:val="15"/>
              </w:rPr>
              <w:t>01</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191,194, </w:t>
            </w:r>
            <w:r>
              <w:rPr>
                <w:color w:val="000000"/>
                <w:spacing w:val="0"/>
                <w:w w:val="100"/>
                <w:position w:val="0"/>
                <w:sz w:val="15"/>
                <w:szCs w:val="15"/>
              </w:rPr>
              <w:t>356.21</w:t>
            </w:r>
          </w:p>
        </w:tc>
      </w:tr>
      <w:tr>
        <w:trPr>
          <w:trHeight w:val="36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财务费用</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 xml:space="preserve">19, 542, </w:t>
            </w:r>
            <w:r>
              <w:rPr>
                <w:color w:val="000000"/>
                <w:spacing w:val="0"/>
                <w:w w:val="100"/>
                <w:position w:val="0"/>
                <w:sz w:val="15"/>
                <w:szCs w:val="15"/>
              </w:rPr>
              <w:t>580.</w:t>
            </w:r>
            <w:r>
              <w:rPr>
                <w:color w:val="000000"/>
                <w:spacing w:val="0"/>
                <w:w w:val="100"/>
                <w:position w:val="0"/>
                <w:sz w:val="15"/>
                <w:szCs w:val="15"/>
              </w:rPr>
              <w:t>51</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12,299,</w:t>
            </w:r>
            <w:r>
              <w:rPr>
                <w:color w:val="000000"/>
                <w:spacing w:val="0"/>
                <w:w w:val="100"/>
                <w:position w:val="0"/>
                <w:sz w:val="15"/>
                <w:szCs w:val="15"/>
              </w:rPr>
              <w:t>739.</w:t>
            </w:r>
            <w:r>
              <w:rPr>
                <w:color w:val="000000"/>
                <w:spacing w:val="0"/>
                <w:w w:val="100"/>
                <w:position w:val="0"/>
                <w:sz w:val="15"/>
                <w:szCs w:val="15"/>
              </w:rPr>
              <w:t>82</w:t>
            </w: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资产减值损失</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4, 204,</w:t>
            </w:r>
            <w:r>
              <w:rPr>
                <w:color w:val="000000"/>
                <w:spacing w:val="0"/>
                <w:w w:val="100"/>
                <w:position w:val="0"/>
                <w:sz w:val="15"/>
                <w:szCs w:val="15"/>
              </w:rPr>
              <w:t>124.</w:t>
            </w:r>
            <w:r>
              <w:rPr>
                <w:color w:val="000000"/>
                <w:spacing w:val="0"/>
                <w:w w:val="100"/>
                <w:position w:val="0"/>
                <w:sz w:val="15"/>
                <w:szCs w:val="15"/>
              </w:rPr>
              <w:t>49</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23,916,</w:t>
            </w:r>
            <w:r>
              <w:rPr>
                <w:color w:val="000000"/>
                <w:spacing w:val="0"/>
                <w:w w:val="100"/>
                <w:position w:val="0"/>
                <w:sz w:val="15"/>
                <w:szCs w:val="15"/>
              </w:rPr>
              <w:t xml:space="preserve">728. </w:t>
            </w:r>
            <w:r>
              <w:rPr>
                <w:color w:val="000000"/>
                <w:spacing w:val="0"/>
                <w:w w:val="100"/>
                <w:position w:val="0"/>
                <w:sz w:val="15"/>
                <w:szCs w:val="15"/>
              </w:rPr>
              <w:t>88</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 xml:space="preserve">加：公允价值变动收益（损失以 </w:t>
            </w:r>
            <w:r>
              <w:rPr>
                <w:color w:val="000000"/>
                <w:spacing w:val="0"/>
                <w:w w:val="100"/>
                <w:position w:val="0"/>
                <w:sz w:val="22"/>
                <w:szCs w:val="22"/>
              </w:rPr>
              <w:t xml:space="preserve">J </w:t>
            </w:r>
            <w:r>
              <w:rPr>
                <w:color w:val="000000"/>
                <w:spacing w:val="0"/>
                <w:w w:val="100"/>
                <w:position w:val="0"/>
                <w:sz w:val="22"/>
                <w:szCs w:val="22"/>
              </w:rPr>
              <w:t>号填列）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净敞口套期损益（损失以</w:t>
            </w:r>
            <w:r>
              <w:rPr>
                <w:color w:val="000000"/>
                <w:spacing w:val="0"/>
                <w:w w:val="100"/>
                <w:position w:val="0"/>
                <w:sz w:val="22"/>
                <w:szCs w:val="22"/>
              </w:rPr>
              <w:t>J</w:t>
            </w:r>
            <w:r>
              <w:rPr>
                <w:color w:val="000000"/>
                <w:spacing w:val="0"/>
                <w:w w:val="100"/>
                <w:position w:val="0"/>
                <w:sz w:val="22"/>
                <w:szCs w:val="22"/>
              </w:rPr>
              <w:t>号填列）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投资收益（损失以</w:t>
            </w:r>
            <w:r>
              <w:rPr>
                <w:color w:val="000000"/>
                <w:spacing w:val="0"/>
                <w:w w:val="100"/>
                <w:position w:val="0"/>
                <w:sz w:val="22"/>
                <w:szCs w:val="22"/>
              </w:rPr>
              <w:t>J</w:t>
            </w:r>
            <w:r>
              <w:rPr>
                <w:color w:val="000000"/>
                <w:spacing w:val="0"/>
                <w:w w:val="100"/>
                <w:position w:val="0"/>
                <w:sz w:val="22"/>
                <w:szCs w:val="22"/>
              </w:rPr>
              <w:t>号填列）</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94, 138,</w:t>
            </w:r>
            <w:r>
              <w:rPr>
                <w:color w:val="000000"/>
                <w:spacing w:val="0"/>
                <w:w w:val="100"/>
                <w:position w:val="0"/>
                <w:sz w:val="15"/>
                <w:szCs w:val="15"/>
              </w:rPr>
              <w:t>134.</w:t>
            </w:r>
            <w:r>
              <w:rPr>
                <w:color w:val="000000"/>
                <w:spacing w:val="0"/>
                <w:w w:val="100"/>
                <w:position w:val="0"/>
                <w:sz w:val="15"/>
                <w:szCs w:val="15"/>
              </w:rPr>
              <w:t>04</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343,441,930. </w:t>
            </w:r>
            <w:r>
              <w:rPr>
                <w:color w:val="000000"/>
                <w:spacing w:val="0"/>
                <w:w w:val="100"/>
                <w:position w:val="0"/>
                <w:sz w:val="15"/>
                <w:szCs w:val="15"/>
              </w:rPr>
              <w:t>20</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其中：对联营企业和合营企业的投资收益</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 xml:space="preserve">-5, 040,657. </w:t>
            </w:r>
            <w:r>
              <w:rPr>
                <w:color w:val="000000"/>
                <w:spacing w:val="0"/>
                <w:w w:val="100"/>
                <w:position w:val="0"/>
                <w:sz w:val="15"/>
                <w:szCs w:val="15"/>
              </w:rPr>
              <w:t>53</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20,500,</w:t>
            </w:r>
            <w:r>
              <w:rPr>
                <w:color w:val="000000"/>
                <w:spacing w:val="0"/>
                <w:w w:val="100"/>
                <w:position w:val="0"/>
                <w:sz w:val="15"/>
                <w:szCs w:val="15"/>
              </w:rPr>
              <w:t>642.</w:t>
            </w:r>
            <w:r>
              <w:rPr>
                <w:color w:val="000000"/>
                <w:spacing w:val="0"/>
                <w:w w:val="100"/>
                <w:position w:val="0"/>
                <w:sz w:val="15"/>
                <w:szCs w:val="15"/>
              </w:rPr>
              <w:t>57</w:t>
            </w: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二、营业利润（亏损以</w:t>
            </w:r>
            <w:r>
              <w:rPr>
                <w:color w:val="000000"/>
                <w:spacing w:val="0"/>
                <w:w w:val="100"/>
                <w:position w:val="0"/>
                <w:sz w:val="22"/>
                <w:szCs w:val="22"/>
              </w:rPr>
              <w:t>J</w:t>
            </w:r>
            <w:r>
              <w:rPr>
                <w:color w:val="000000"/>
                <w:spacing w:val="0"/>
                <w:w w:val="100"/>
                <w:position w:val="0"/>
                <w:sz w:val="22"/>
                <w:szCs w:val="22"/>
              </w:rPr>
              <w:t>号填列）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180,036, </w:t>
            </w:r>
            <w:r>
              <w:rPr>
                <w:color w:val="000000"/>
                <w:spacing w:val="0"/>
                <w:w w:val="100"/>
                <w:position w:val="0"/>
                <w:sz w:val="15"/>
                <w:szCs w:val="15"/>
              </w:rPr>
              <w:t xml:space="preserve">777. </w:t>
            </w:r>
            <w:r>
              <w:rPr>
                <w:color w:val="000000"/>
                <w:spacing w:val="0"/>
                <w:w w:val="100"/>
                <w:position w:val="0"/>
                <w:sz w:val="15"/>
                <w:szCs w:val="15"/>
              </w:rPr>
              <w:t>86</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474,074, </w:t>
            </w:r>
            <w:r>
              <w:rPr>
                <w:color w:val="000000"/>
                <w:spacing w:val="0"/>
                <w:w w:val="100"/>
                <w:position w:val="0"/>
                <w:sz w:val="15"/>
                <w:szCs w:val="15"/>
              </w:rPr>
              <w:t xml:space="preserve">706. </w:t>
            </w:r>
            <w:r>
              <w:rPr>
                <w:color w:val="000000"/>
                <w:spacing w:val="0"/>
                <w:w w:val="100"/>
                <w:position w:val="0"/>
                <w:sz w:val="15"/>
                <w:szCs w:val="15"/>
              </w:rPr>
              <w:t>18</w:t>
            </w:r>
          </w:p>
        </w:tc>
      </w:tr>
      <w:tr>
        <w:trPr>
          <w:trHeight w:val="35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加：营业外收入</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 xml:space="preserve">11, </w:t>
            </w:r>
            <w:r>
              <w:rPr>
                <w:color w:val="000000"/>
                <w:spacing w:val="0"/>
                <w:w w:val="100"/>
                <w:position w:val="0"/>
                <w:sz w:val="15"/>
                <w:szCs w:val="15"/>
              </w:rPr>
              <w:t xml:space="preserve">102,643. </w:t>
            </w:r>
            <w:r>
              <w:rPr>
                <w:color w:val="000000"/>
                <w:spacing w:val="0"/>
                <w:w w:val="100"/>
                <w:position w:val="0"/>
                <w:sz w:val="15"/>
                <w:szCs w:val="15"/>
              </w:rPr>
              <w:t>80</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5, 448, </w:t>
            </w:r>
            <w:r>
              <w:rPr>
                <w:color w:val="000000"/>
                <w:spacing w:val="0"/>
                <w:w w:val="100"/>
                <w:position w:val="0"/>
                <w:sz w:val="15"/>
                <w:szCs w:val="15"/>
              </w:rPr>
              <w:t xml:space="preserve">875. </w:t>
            </w:r>
            <w:r>
              <w:rPr>
                <w:color w:val="000000"/>
                <w:spacing w:val="0"/>
                <w:w w:val="100"/>
                <w:position w:val="0"/>
                <w:sz w:val="15"/>
                <w:szCs w:val="15"/>
              </w:rPr>
              <w:t>89</w:t>
            </w:r>
          </w:p>
        </w:tc>
      </w:tr>
      <w:tr>
        <w:trPr>
          <w:trHeight w:val="374"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其中：非流动资产处置利得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466. </w:t>
            </w:r>
            <w:r>
              <w:rPr>
                <w:color w:val="000000"/>
                <w:spacing w:val="0"/>
                <w:w w:val="100"/>
                <w:position w:val="0"/>
                <w:sz w:val="15"/>
                <w:szCs w:val="15"/>
              </w:rPr>
              <w:t>93</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 xml:space="preserve">185. </w:t>
            </w:r>
            <w:r>
              <w:rPr>
                <w:color w:val="000000"/>
                <w:spacing w:val="0"/>
                <w:w w:val="100"/>
                <w:position w:val="0"/>
                <w:sz w:val="15"/>
                <w:szCs w:val="15"/>
              </w:rPr>
              <w:t>98</w:t>
            </w:r>
          </w:p>
        </w:tc>
      </w:tr>
      <w:tr>
        <w:trPr>
          <w:trHeight w:val="36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减：营业外支出</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1, 519, </w:t>
            </w:r>
            <w:r>
              <w:rPr>
                <w:color w:val="000000"/>
                <w:spacing w:val="0"/>
                <w:w w:val="100"/>
                <w:position w:val="0"/>
                <w:sz w:val="15"/>
                <w:szCs w:val="15"/>
              </w:rPr>
              <w:t xml:space="preserve">787. </w:t>
            </w:r>
            <w:r>
              <w:rPr>
                <w:color w:val="000000"/>
                <w:spacing w:val="0"/>
                <w:w w:val="100"/>
                <w:position w:val="0"/>
                <w:sz w:val="15"/>
                <w:szCs w:val="15"/>
              </w:rPr>
              <w:t>19</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2, 083, </w:t>
            </w:r>
            <w:r>
              <w:rPr>
                <w:color w:val="000000"/>
                <w:spacing w:val="0"/>
                <w:w w:val="100"/>
                <w:position w:val="0"/>
                <w:sz w:val="15"/>
                <w:szCs w:val="15"/>
              </w:rPr>
              <w:t xml:space="preserve">401. </w:t>
            </w:r>
            <w:r>
              <w:rPr>
                <w:color w:val="000000"/>
                <w:spacing w:val="0"/>
                <w:w w:val="100"/>
                <w:position w:val="0"/>
                <w:sz w:val="15"/>
                <w:szCs w:val="15"/>
              </w:rPr>
              <w:t>33</w:t>
            </w:r>
          </w:p>
        </w:tc>
      </w:tr>
      <w:tr>
        <w:trPr>
          <w:trHeight w:val="374"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其中：非流动资产处置损失</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145,687.44</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 xml:space="preserve">190, </w:t>
            </w:r>
            <w:r>
              <w:rPr>
                <w:color w:val="000000"/>
                <w:spacing w:val="0"/>
                <w:w w:val="100"/>
                <w:position w:val="0"/>
                <w:sz w:val="15"/>
                <w:szCs w:val="15"/>
              </w:rPr>
              <w:t xml:space="preserve">924. </w:t>
            </w:r>
            <w:r>
              <w:rPr>
                <w:color w:val="000000"/>
                <w:spacing w:val="0"/>
                <w:w w:val="100"/>
                <w:position w:val="0"/>
                <w:sz w:val="15"/>
                <w:szCs w:val="15"/>
              </w:rPr>
              <w:t>32</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三、利润总额（亏损总额以”号填列）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189,619,634. </w:t>
            </w:r>
            <w:r>
              <w:rPr>
                <w:color w:val="000000"/>
                <w:spacing w:val="0"/>
                <w:w w:val="100"/>
                <w:position w:val="0"/>
                <w:sz w:val="15"/>
                <w:szCs w:val="15"/>
              </w:rPr>
              <w:t>47</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477,440, </w:t>
            </w:r>
            <w:r>
              <w:rPr>
                <w:color w:val="000000"/>
                <w:spacing w:val="0"/>
                <w:w w:val="100"/>
                <w:position w:val="0"/>
                <w:sz w:val="15"/>
                <w:szCs w:val="15"/>
              </w:rPr>
              <w:t xml:space="preserve">180. </w:t>
            </w:r>
            <w:r>
              <w:rPr>
                <w:color w:val="000000"/>
                <w:spacing w:val="0"/>
                <w:w w:val="100"/>
                <w:position w:val="0"/>
                <w:sz w:val="15"/>
                <w:szCs w:val="15"/>
              </w:rPr>
              <w:t>74</w:t>
            </w: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减：所得税费用</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 xml:space="preserve">13,757,889. </w:t>
            </w:r>
            <w:r>
              <w:rPr>
                <w:color w:val="000000"/>
                <w:spacing w:val="0"/>
                <w:w w:val="100"/>
                <w:position w:val="0"/>
                <w:sz w:val="15"/>
                <w:szCs w:val="15"/>
              </w:rPr>
              <w:t>65</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45,993,841.21</w:t>
            </w:r>
          </w:p>
        </w:tc>
      </w:tr>
      <w:tr>
        <w:trPr>
          <w:trHeight w:val="35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四、净利润（净亏损以</w:t>
            </w:r>
            <w:r>
              <w:rPr>
                <w:color w:val="000000"/>
                <w:spacing w:val="0"/>
                <w:w w:val="100"/>
                <w:position w:val="0"/>
                <w:sz w:val="22"/>
                <w:szCs w:val="22"/>
              </w:rPr>
              <w:t>J</w:t>
            </w:r>
            <w:r>
              <w:rPr>
                <w:color w:val="000000"/>
                <w:spacing w:val="0"/>
                <w:w w:val="100"/>
                <w:position w:val="0"/>
                <w:sz w:val="22"/>
                <w:szCs w:val="22"/>
              </w:rPr>
              <w:t>号填列）</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175,861, </w:t>
            </w:r>
            <w:r>
              <w:rPr>
                <w:color w:val="000000"/>
                <w:spacing w:val="0"/>
                <w:w w:val="100"/>
                <w:position w:val="0"/>
                <w:sz w:val="15"/>
                <w:szCs w:val="15"/>
              </w:rPr>
              <w:t xml:space="preserve">744. </w:t>
            </w:r>
            <w:r>
              <w:rPr>
                <w:color w:val="000000"/>
                <w:spacing w:val="0"/>
                <w:w w:val="100"/>
                <w:position w:val="0"/>
                <w:sz w:val="15"/>
                <w:szCs w:val="15"/>
              </w:rPr>
              <w:t>82</w:t>
            </w:r>
          </w:p>
        </w:tc>
        <w:tc>
          <w:tcPr>
            <w:tcBorders>
              <w:left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431,446, </w:t>
            </w:r>
            <w:r>
              <w:rPr>
                <w:color w:val="000000"/>
                <w:spacing w:val="0"/>
                <w:w w:val="100"/>
                <w:position w:val="0"/>
                <w:sz w:val="15"/>
                <w:szCs w:val="15"/>
              </w:rPr>
              <w:t xml:space="preserve">339. </w:t>
            </w:r>
            <w:r>
              <w:rPr>
                <w:color w:val="000000"/>
                <w:spacing w:val="0"/>
                <w:w w:val="100"/>
                <w:position w:val="0"/>
                <w:sz w:val="15"/>
                <w:szCs w:val="15"/>
              </w:rPr>
              <w:t>53</w:t>
            </w: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五、其他综合收益的税后净额</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（_）以后不能重分类进损益的其他综合收益</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1.</w:t>
            </w:r>
            <w:r>
              <w:rPr>
                <w:color w:val="000000"/>
                <w:spacing w:val="0"/>
                <w:w w:val="100"/>
                <w:position w:val="0"/>
                <w:sz w:val="22"/>
                <w:szCs w:val="22"/>
              </w:rPr>
              <w:t>重新计量设定受益计划净负债或净资产的变动</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288" w:hRule="exact"/>
        </w:trPr>
        <w:tc>
          <w:tcPr>
            <w:tcBorders/>
            <w:shd w:val="clear" w:color="auto" w:fill="FFFFFF"/>
            <w:vAlign w:val="bottom"/>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2.</w:t>
            </w:r>
            <w:r>
              <w:rPr>
                <w:color w:val="000000"/>
                <w:spacing w:val="0"/>
                <w:w w:val="100"/>
                <w:position w:val="0"/>
                <w:sz w:val="22"/>
                <w:szCs w:val="22"/>
              </w:rPr>
              <w:t>权益法下在被投资单位不能重分类进损益的其他</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283" w:hRule="exact"/>
        </w:trPr>
        <w:tc>
          <w:tcPr>
            <w:tcBorders/>
            <w:shd w:val="clear" w:color="auto" w:fill="FFFFFF"/>
            <w:vAlign w:val="top"/>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综合收益中享有的份额</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（二）以后将重分类进损益的其他综合收益</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298" w:hRule="exact"/>
        </w:trPr>
        <w:tc>
          <w:tcPr>
            <w:tcBorders/>
            <w:shd w:val="clear" w:color="auto" w:fill="FFFFFF"/>
            <w:vAlign w:val="bottom"/>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1.</w:t>
            </w:r>
            <w:r>
              <w:rPr>
                <w:color w:val="000000"/>
                <w:spacing w:val="0"/>
                <w:w w:val="100"/>
                <w:position w:val="0"/>
                <w:sz w:val="22"/>
                <w:szCs w:val="22"/>
              </w:rPr>
              <w:t>权益法下在被投资单位以后将重分类进损益的其</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288" w:hRule="exact"/>
        </w:trPr>
        <w:tc>
          <w:tcPr>
            <w:tcBorders/>
            <w:shd w:val="clear" w:color="auto" w:fill="FFFFFF"/>
            <w:vAlign w:val="top"/>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他综合收益中享有的份额</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2.</w:t>
            </w:r>
            <w:r>
              <w:rPr>
                <w:color w:val="000000"/>
                <w:spacing w:val="0"/>
                <w:w w:val="100"/>
                <w:position w:val="0"/>
                <w:sz w:val="22"/>
                <w:szCs w:val="22"/>
              </w:rPr>
              <w:t>可供出售金融资产公允价值变动损益</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3.</w:t>
            </w:r>
            <w:r>
              <w:rPr>
                <w:color w:val="000000"/>
                <w:spacing w:val="0"/>
                <w:w w:val="100"/>
                <w:position w:val="0"/>
                <w:sz w:val="22"/>
                <w:szCs w:val="22"/>
              </w:rPr>
              <w:t>持有至到期投资重分类为可供出售金融资产损益</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70"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4.</w:t>
            </w:r>
            <w:r>
              <w:rPr>
                <w:color w:val="000000"/>
                <w:spacing w:val="0"/>
                <w:w w:val="100"/>
                <w:position w:val="0"/>
                <w:sz w:val="22"/>
                <w:szCs w:val="22"/>
              </w:rPr>
              <w:t>现金流量套期损益的有效部分</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5"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5.</w:t>
            </w:r>
            <w:r>
              <w:rPr>
                <w:color w:val="000000"/>
                <w:spacing w:val="0"/>
                <w:w w:val="100"/>
                <w:position w:val="0"/>
                <w:sz w:val="22"/>
                <w:szCs w:val="22"/>
              </w:rPr>
              <w:t>外币财务报表折算差额</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74" w:hRule="exact"/>
        </w:trPr>
        <w:tc>
          <w:tcPr>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15"/>
                <w:szCs w:val="15"/>
              </w:rPr>
              <w:t>6</w:t>
            </w:r>
            <w:r>
              <w:rPr>
                <w:color w:val="000000"/>
                <w:spacing w:val="0"/>
                <w:w w:val="100"/>
                <w:position w:val="0"/>
                <w:sz w:val="22"/>
                <w:szCs w:val="22"/>
              </w:rPr>
              <w:t>.其他</w:t>
            </w: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tcBorders>
            <w:shd w:val="clear" w:color="auto" w:fill="FFFFFF"/>
            <w:vAlign w:val="top"/>
          </w:tcPr>
          <w:p>
            <w:pPr>
              <w:framePr w:w="10541" w:h="12293" w:vSpace="312" w:wrap="notBeside" w:vAnchor="text" w:hAnchor="text" w:x="459" w:y="601"/>
              <w:widowControl w:val="0"/>
              <w:rPr>
                <w:sz w:val="10"/>
                <w:szCs w:val="10"/>
              </w:rPr>
            </w:pPr>
          </w:p>
        </w:tc>
      </w:tr>
      <w:tr>
        <w:trPr>
          <w:trHeight w:val="365" w:hRule="exact"/>
        </w:trPr>
        <w:tc>
          <w:tcPr>
            <w:tcBorders>
              <w:bottom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rPr>
              <w:t>六、</w:t>
            </w:r>
            <w:r>
              <w:rPr>
                <w:color w:val="000000"/>
                <w:spacing w:val="0"/>
                <w:w w:val="100"/>
                <w:position w:val="0"/>
                <w:sz w:val="22"/>
                <w:szCs w:val="22"/>
              </w:rPr>
              <w:t>综合收益总额</w:t>
            </w:r>
          </w:p>
        </w:tc>
        <w:tc>
          <w:tcPr>
            <w:tcBorders>
              <w:left w:val="single" w:sz="4"/>
              <w:bottom w:val="single" w:sz="4"/>
            </w:tcBorders>
            <w:shd w:val="clear" w:color="auto" w:fill="FFFFFF"/>
            <w:vAlign w:val="top"/>
          </w:tcPr>
          <w:p>
            <w:pPr>
              <w:framePr w:w="10541" w:h="12293" w:vSpace="312" w:wrap="notBeside" w:vAnchor="text" w:hAnchor="text" w:x="459" w:y="601"/>
              <w:widowControl w:val="0"/>
              <w:rPr>
                <w:sz w:val="10"/>
                <w:szCs w:val="10"/>
              </w:rPr>
            </w:pPr>
          </w:p>
        </w:tc>
        <w:tc>
          <w:tcPr>
            <w:tcBorders>
              <w:left w:val="single" w:sz="4"/>
              <w:bottom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175,861» </w:t>
            </w:r>
            <w:r>
              <w:rPr>
                <w:color w:val="000000"/>
                <w:spacing w:val="0"/>
                <w:w w:val="100"/>
                <w:position w:val="0"/>
                <w:sz w:val="15"/>
                <w:szCs w:val="15"/>
              </w:rPr>
              <w:t xml:space="preserve">744. </w:t>
            </w:r>
            <w:r>
              <w:rPr>
                <w:color w:val="000000"/>
                <w:spacing w:val="0"/>
                <w:w w:val="100"/>
                <w:position w:val="0"/>
                <w:sz w:val="15"/>
                <w:szCs w:val="15"/>
              </w:rPr>
              <w:t>82</w:t>
            </w:r>
          </w:p>
        </w:tc>
        <w:tc>
          <w:tcPr>
            <w:tcBorders>
              <w:left w:val="single" w:sz="4"/>
              <w:bottom w:val="single" w:sz="4"/>
            </w:tcBorders>
            <w:shd w:val="clear" w:color="auto" w:fill="FFFFFF"/>
            <w:vAlign w:val="center"/>
          </w:tcPr>
          <w:p>
            <w:pPr>
              <w:pStyle w:val="Style6"/>
              <w:keepNext w:val="0"/>
              <w:keepLines w:val="0"/>
              <w:framePr w:w="10541" w:h="12293" w:vSpace="312" w:wrap="notBeside" w:vAnchor="text" w:hAnchor="text" w:x="459" w:y="601"/>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431,446, </w:t>
            </w:r>
            <w:r>
              <w:rPr>
                <w:color w:val="000000"/>
                <w:spacing w:val="0"/>
                <w:w w:val="100"/>
                <w:position w:val="0"/>
                <w:sz w:val="15"/>
                <w:szCs w:val="15"/>
              </w:rPr>
              <w:t xml:space="preserve">339. </w:t>
            </w:r>
            <w:r>
              <w:rPr>
                <w:color w:val="000000"/>
                <w:spacing w:val="0"/>
                <w:w w:val="100"/>
                <w:position w:val="0"/>
                <w:sz w:val="15"/>
                <w:szCs w:val="15"/>
              </w:rPr>
              <w:t>53</w:t>
            </w:r>
          </w:p>
        </w:tc>
      </w:tr>
    </w:tbl>
    <w:p>
      <w:pPr>
        <w:pStyle w:val="Style30"/>
        <w:keepNext w:val="0"/>
        <w:keepLines w:val="0"/>
        <w:framePr w:w="2674" w:h="269" w:hSpace="458" w:wrap="notBeside" w:vAnchor="text" w:hAnchor="text" w:x="507" w:y="327"/>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编制单位：传化智联股份有限公司</w:t>
      </w:r>
    </w:p>
    <w:p>
      <w:pPr>
        <w:pStyle w:val="Style30"/>
        <w:keepNext w:val="0"/>
        <w:keepLines w:val="0"/>
        <w:framePr w:w="1632" w:h="269" w:hSpace="458" w:wrap="notBeside" w:vAnchor="text" w:hAnchor="text" w:x="502" w:y="12937"/>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法定代表人：徐冠巨</w:t>
      </w:r>
    </w:p>
    <w:p>
      <w:pPr>
        <w:pStyle w:val="Style30"/>
        <w:keepNext w:val="0"/>
        <w:keepLines w:val="0"/>
        <w:framePr w:w="2515" w:h="269" w:hSpace="458" w:wrap="notBeside" w:vAnchor="text" w:hAnchor="text" w:x="3891" w:y="1292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主管会计工作的负责人：徐冠巨</w:t>
      </w:r>
    </w:p>
    <w:p>
      <w:pPr>
        <w:pStyle w:val="Style30"/>
        <w:keepNext w:val="0"/>
        <w:keepLines w:val="0"/>
        <w:framePr w:w="1987" w:h="269" w:hSpace="458" w:wrap="notBeside" w:vAnchor="text" w:hAnchor="text" w:x="7875" w:y="12937"/>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会计机构负责人：杨万清</w:t>
      </w:r>
    </w:p>
    <w:p>
      <w:pPr>
        <w:pStyle w:val="Style30"/>
        <w:keepNext w:val="0"/>
        <w:keepLines w:val="0"/>
        <w:framePr w:w="1291" w:h="595" w:hSpace="458" w:wrap="notBeside" w:vAnchor="text" w:hAnchor="text" w:x="9665" w:y="1"/>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rPr>
        <w:t>会企</w:t>
      </w:r>
      <w:r>
        <w:rPr>
          <w:color w:val="000000"/>
          <w:spacing w:val="0"/>
          <w:w w:val="100"/>
          <w:position w:val="0"/>
          <w:sz w:val="15"/>
          <w:szCs w:val="15"/>
        </w:rPr>
        <w:t>02</w:t>
      </w:r>
      <w:r>
        <w:rPr>
          <w:color w:val="000000"/>
          <w:spacing w:val="0"/>
          <w:w w:val="100"/>
          <w:position w:val="0"/>
          <w:sz w:val="22"/>
          <w:szCs w:val="22"/>
        </w:rPr>
        <w:t>表</w:t>
      </w:r>
    </w:p>
    <w:p>
      <w:pPr>
        <w:pStyle w:val="Style30"/>
        <w:keepNext w:val="0"/>
        <w:keepLines w:val="0"/>
        <w:framePr w:w="1291" w:h="595" w:hSpace="458" w:wrap="notBeside" w:vAnchor="text" w:hAnchor="text" w:x="9665" w:y="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单位：人民币元</w:t>
      </w:r>
    </w:p>
    <w:p>
      <w:pPr>
        <w:widowControl w:val="0"/>
        <w:spacing w:line="1" w:lineRule="exact"/>
      </w:pPr>
      <w:r>
        <w:br w:type="page"/>
      </w:r>
    </w:p>
    <w:p>
      <w:pPr>
        <w:pStyle w:val="Style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b/>
          <w:bCs/>
          <w:color w:val="000000"/>
          <w:spacing w:val="0"/>
          <w:w w:val="100"/>
          <w:position w:val="0"/>
          <w:sz w:val="28"/>
          <w:szCs w:val="28"/>
        </w:rPr>
        <w:t>合并现金流量表</w:t>
      </w:r>
    </w:p>
    <w:p>
      <w:pPr>
        <w:pStyle w:val="Style14"/>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15"/>
          <w:szCs w:val="15"/>
        </w:rPr>
        <w:t>201</w:t>
      </w:r>
      <w:r>
        <w:rPr>
          <w:color w:val="000000"/>
          <w:spacing w:val="0"/>
          <w:w w:val="100"/>
          <w:position w:val="0"/>
          <w:sz w:val="22"/>
          <w:szCs w:val="22"/>
        </w:rPr>
        <w:t>伊牟度</w:t>
      </w:r>
    </w:p>
    <w:tbl>
      <w:tblPr>
        <w:tblOverlap w:val="never"/>
        <w:jc w:val="left"/>
        <w:tblLayout w:type="fixed"/>
      </w:tblPr>
      <w:tblGrid>
        <w:gridCol w:w="6000"/>
        <w:gridCol w:w="610"/>
        <w:gridCol w:w="2347"/>
        <w:gridCol w:w="2381"/>
      </w:tblGrid>
      <w:tr>
        <w:trPr>
          <w:trHeight w:val="336" w:hRule="exact"/>
        </w:trPr>
        <w:tc>
          <w:tcPr>
            <w:tcBorders>
              <w:top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注释号</w:t>
            </w:r>
          </w:p>
        </w:tc>
        <w:tc>
          <w:tcPr>
            <w:tcBorders>
              <w:top w:val="single" w:sz="4"/>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上年同期数</w:t>
            </w:r>
          </w:p>
        </w:tc>
      </w:tr>
      <w:tr>
        <w:trPr>
          <w:trHeight w:val="235" w:hRule="exact"/>
        </w:trPr>
        <w:tc>
          <w:tcPr>
            <w:tcBorders>
              <w:top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both"/>
              <w:rPr>
                <w:sz w:val="22"/>
                <w:szCs w:val="22"/>
              </w:rPr>
            </w:pPr>
            <w:r>
              <w:rPr>
                <w:i/>
                <w:iCs/>
                <w:color w:val="000000"/>
                <w:spacing w:val="0"/>
                <w:w w:val="100"/>
                <w:position w:val="0"/>
                <w:sz w:val="22"/>
                <w:szCs w:val="22"/>
              </w:rPr>
              <w:t>一、</w:t>
            </w:r>
            <w:r>
              <w:rPr>
                <w:color w:val="000000"/>
                <w:spacing w:val="0"/>
                <w:w w:val="100"/>
                <w:position w:val="0"/>
                <w:sz w:val="22"/>
                <w:szCs w:val="22"/>
              </w:rPr>
              <w:t>经营活动产生的现金流鼻</w:t>
            </w:r>
          </w:p>
        </w:tc>
        <w:tc>
          <w:tcPr>
            <w:tcBorders>
              <w:top w:val="single" w:sz="4"/>
              <w:left w:val="single" w:sz="4"/>
            </w:tcBorders>
            <w:shd w:val="clear" w:color="auto" w:fill="FFFFFF"/>
            <w:vAlign w:val="top"/>
          </w:tcPr>
          <w:p>
            <w:pPr>
              <w:framePr w:w="11338" w:h="12643" w:vSpace="278" w:wrap="notBeside" w:vAnchor="text" w:hAnchor="text" w:x="61" w:y="476"/>
              <w:widowControl w:val="0"/>
              <w:rPr>
                <w:sz w:val="10"/>
                <w:szCs w:val="10"/>
              </w:rPr>
            </w:pPr>
          </w:p>
        </w:tc>
        <w:tc>
          <w:tcPr>
            <w:tcBorders>
              <w:top w:val="single" w:sz="4"/>
              <w:left w:val="single" w:sz="4"/>
            </w:tcBorders>
            <w:shd w:val="clear" w:color="auto" w:fill="FFFFFF"/>
            <w:vAlign w:val="top"/>
          </w:tcPr>
          <w:p>
            <w:pPr>
              <w:framePr w:w="11338" w:h="12643" w:vSpace="278" w:wrap="notBeside" w:vAnchor="text" w:hAnchor="text" w:x="61" w:y="476"/>
              <w:widowControl w:val="0"/>
              <w:rPr>
                <w:sz w:val="10"/>
                <w:szCs w:val="10"/>
              </w:rPr>
            </w:pPr>
          </w:p>
        </w:tc>
        <w:tc>
          <w:tcPr>
            <w:tcBorders>
              <w:top w:val="single" w:sz="4"/>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销售商品、提供劳务收到的现金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8, 239, 631, </w:t>
            </w:r>
            <w:r>
              <w:rPr>
                <w:color w:val="000000"/>
                <w:spacing w:val="0"/>
                <w:w w:val="100"/>
                <w:position w:val="0"/>
                <w:sz w:val="15"/>
                <w:szCs w:val="15"/>
              </w:rPr>
              <w:t>127.42</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4,495, </w:t>
            </w:r>
            <w:r>
              <w:rPr>
                <w:color w:val="000000"/>
                <w:spacing w:val="0"/>
                <w:w w:val="100"/>
                <w:position w:val="0"/>
                <w:sz w:val="15"/>
                <w:szCs w:val="15"/>
              </w:rPr>
              <w:t>684,211.27</w:t>
            </w: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客户存款和同业存放款项净增加额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向中央银行借款净增加额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向其他金融机构拆入资金净增加额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收到原保险合同保费取得的现金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2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收到再保觐务现金净额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保户储金及投资款净增加额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处置以公允价值计量且其变动计入当期损益的金融资产净增加额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收取利息、手续费及佣金的现金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16, </w:t>
            </w:r>
            <w:r>
              <w:rPr>
                <w:color w:val="000000"/>
                <w:spacing w:val="0"/>
                <w:w w:val="100"/>
                <w:position w:val="0"/>
                <w:sz w:val="15"/>
                <w:szCs w:val="15"/>
              </w:rPr>
              <w:t>996,453.40</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拆入资金净增加额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2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回购业务资金净增加额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收到的税费返还</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21, </w:t>
            </w:r>
            <w:r>
              <w:rPr>
                <w:color w:val="000000"/>
                <w:spacing w:val="0"/>
                <w:w w:val="100"/>
                <w:position w:val="0"/>
                <w:sz w:val="15"/>
                <w:szCs w:val="15"/>
              </w:rPr>
              <w:t>489,743.93</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4, 789, </w:t>
            </w:r>
            <w:r>
              <w:rPr>
                <w:color w:val="000000"/>
                <w:spacing w:val="0"/>
                <w:w w:val="100"/>
                <w:position w:val="0"/>
                <w:sz w:val="15"/>
                <w:szCs w:val="15"/>
              </w:rPr>
              <w:t xml:space="preserve">572. </w:t>
            </w:r>
            <w:r>
              <w:rPr>
                <w:color w:val="000000"/>
                <w:spacing w:val="0"/>
                <w:w w:val="100"/>
                <w:position w:val="0"/>
                <w:sz w:val="15"/>
                <w:szCs w:val="15"/>
              </w:rPr>
              <w:t>03</w:t>
            </w: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收到其他与经营活动有关的现金</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1,009,608,954.16</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409, 489,</w:t>
            </w:r>
            <w:r>
              <w:rPr>
                <w:color w:val="000000"/>
                <w:spacing w:val="0"/>
                <w:w w:val="100"/>
                <w:position w:val="0"/>
                <w:sz w:val="15"/>
                <w:szCs w:val="15"/>
              </w:rPr>
              <w:t>542.</w:t>
            </w:r>
            <w:r>
              <w:rPr>
                <w:color w:val="000000"/>
                <w:spacing w:val="0"/>
                <w:w w:val="100"/>
                <w:position w:val="0"/>
                <w:sz w:val="15"/>
                <w:szCs w:val="15"/>
              </w:rPr>
              <w:t>93</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经营活动现金流入小计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9, 287, 726, </w:t>
            </w:r>
            <w:r>
              <w:rPr>
                <w:color w:val="000000"/>
                <w:spacing w:val="0"/>
                <w:w w:val="100"/>
                <w:position w:val="0"/>
                <w:sz w:val="15"/>
                <w:szCs w:val="15"/>
              </w:rPr>
              <w:t>278.91</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4, 909, 963, </w:t>
            </w:r>
            <w:r>
              <w:rPr>
                <w:color w:val="000000"/>
                <w:spacing w:val="0"/>
                <w:w w:val="100"/>
                <w:position w:val="0"/>
                <w:sz w:val="15"/>
                <w:szCs w:val="15"/>
              </w:rPr>
              <w:t xml:space="preserve">326. </w:t>
            </w:r>
            <w:r>
              <w:rPr>
                <w:color w:val="000000"/>
                <w:spacing w:val="0"/>
                <w:w w:val="100"/>
                <w:position w:val="0"/>
                <w:sz w:val="15"/>
                <w:szCs w:val="15"/>
              </w:rPr>
              <w:t>23</w:t>
            </w:r>
          </w:p>
        </w:tc>
      </w:tr>
      <w:tr>
        <w:trPr>
          <w:trHeight w:val="20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购买商品、接受劳务支付的现金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7,261, 603, </w:t>
            </w:r>
            <w:r>
              <w:rPr>
                <w:color w:val="000000"/>
                <w:spacing w:val="0"/>
                <w:w w:val="100"/>
                <w:position w:val="0"/>
                <w:sz w:val="15"/>
                <w:szCs w:val="15"/>
              </w:rPr>
              <w:t>400.61</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3,226, </w:t>
            </w:r>
            <w:r>
              <w:rPr>
                <w:color w:val="000000"/>
                <w:spacing w:val="0"/>
                <w:w w:val="100"/>
                <w:position w:val="0"/>
                <w:sz w:val="15"/>
                <w:szCs w:val="15"/>
              </w:rPr>
              <w:t>500, 311.21</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客户贷款及垫款净增加额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433, 759,</w:t>
            </w:r>
            <w:r>
              <w:rPr>
                <w:color w:val="000000"/>
                <w:spacing w:val="0"/>
                <w:w w:val="100"/>
                <w:position w:val="0"/>
                <w:sz w:val="15"/>
                <w:szCs w:val="15"/>
              </w:rPr>
              <w:t>139.</w:t>
            </w:r>
            <w:r>
              <w:rPr>
                <w:color w:val="000000"/>
                <w:spacing w:val="0"/>
                <w:w w:val="100"/>
                <w:position w:val="0"/>
                <w:sz w:val="15"/>
                <w:szCs w:val="15"/>
              </w:rPr>
              <w:t>92</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存放中央银行和同业款项净增加额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支付原保险合同赔付款项的现金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支付利息、手续费及佣金的现金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2,513. </w:t>
            </w:r>
            <w:r>
              <w:rPr>
                <w:color w:val="000000"/>
                <w:spacing w:val="0"/>
                <w:w w:val="100"/>
                <w:position w:val="0"/>
                <w:sz w:val="15"/>
                <w:szCs w:val="15"/>
              </w:rPr>
              <w:t>88</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支付保单红利的现金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支付给职工以及为职工支付的现金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850, 389, </w:t>
            </w:r>
            <w:r>
              <w:rPr>
                <w:color w:val="000000"/>
                <w:spacing w:val="0"/>
                <w:w w:val="100"/>
                <w:position w:val="0"/>
                <w:sz w:val="15"/>
                <w:szCs w:val="15"/>
              </w:rPr>
              <w:t xml:space="preserve">053. </w:t>
            </w:r>
            <w:r>
              <w:rPr>
                <w:color w:val="000000"/>
                <w:spacing w:val="0"/>
                <w:w w:val="100"/>
                <w:position w:val="0"/>
                <w:sz w:val="15"/>
                <w:szCs w:val="15"/>
              </w:rPr>
              <w:t>09</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569, 125,</w:t>
            </w:r>
            <w:r>
              <w:rPr>
                <w:color w:val="000000"/>
                <w:spacing w:val="0"/>
                <w:w w:val="100"/>
                <w:position w:val="0"/>
                <w:sz w:val="15"/>
                <w:szCs w:val="15"/>
              </w:rPr>
              <w:t xml:space="preserve">188. </w:t>
            </w:r>
            <w:r>
              <w:rPr>
                <w:color w:val="000000"/>
                <w:spacing w:val="0"/>
                <w:w w:val="100"/>
                <w:position w:val="0"/>
                <w:sz w:val="15"/>
                <w:szCs w:val="15"/>
              </w:rPr>
              <w:t>32</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支付的各项税费</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461, </w:t>
            </w:r>
            <w:r>
              <w:rPr>
                <w:color w:val="000000"/>
                <w:spacing w:val="0"/>
                <w:w w:val="100"/>
                <w:position w:val="0"/>
                <w:sz w:val="15"/>
                <w:szCs w:val="15"/>
              </w:rPr>
              <w:t>727,551.45</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358, </w:t>
            </w:r>
            <w:r>
              <w:rPr>
                <w:color w:val="000000"/>
                <w:spacing w:val="0"/>
                <w:w w:val="100"/>
                <w:position w:val="0"/>
                <w:sz w:val="15"/>
                <w:szCs w:val="15"/>
              </w:rPr>
              <w:t>735,467.62</w:t>
            </w: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支付其他与经营活动有关的现金</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680, 945, </w:t>
            </w:r>
            <w:r>
              <w:rPr>
                <w:color w:val="000000"/>
                <w:spacing w:val="0"/>
                <w:w w:val="100"/>
                <w:position w:val="0"/>
                <w:sz w:val="15"/>
                <w:szCs w:val="15"/>
              </w:rPr>
              <w:t xml:space="preserve">094. </w:t>
            </w:r>
            <w:r>
              <w:rPr>
                <w:color w:val="000000"/>
                <w:spacing w:val="0"/>
                <w:w w:val="100"/>
                <w:position w:val="0"/>
                <w:sz w:val="15"/>
                <w:szCs w:val="15"/>
              </w:rPr>
              <w:t>25</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341, </w:t>
            </w:r>
            <w:r>
              <w:rPr>
                <w:color w:val="000000"/>
                <w:spacing w:val="0"/>
                <w:w w:val="100"/>
                <w:position w:val="0"/>
                <w:sz w:val="15"/>
                <w:szCs w:val="15"/>
              </w:rPr>
              <w:t>411,843.96</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经营活动现金流出小计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9, 688, 426, </w:t>
            </w:r>
            <w:r>
              <w:rPr>
                <w:color w:val="000000"/>
                <w:spacing w:val="0"/>
                <w:w w:val="100"/>
                <w:position w:val="0"/>
                <w:sz w:val="15"/>
                <w:szCs w:val="15"/>
              </w:rPr>
              <w:t>753.</w:t>
            </w:r>
            <w:r>
              <w:rPr>
                <w:color w:val="000000"/>
                <w:spacing w:val="0"/>
                <w:w w:val="100"/>
                <w:position w:val="0"/>
                <w:sz w:val="15"/>
                <w:szCs w:val="15"/>
              </w:rPr>
              <w:t>20</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4, 495, </w:t>
            </w:r>
            <w:r>
              <w:rPr>
                <w:color w:val="000000"/>
                <w:spacing w:val="0"/>
                <w:w w:val="100"/>
                <w:position w:val="0"/>
                <w:sz w:val="15"/>
                <w:szCs w:val="15"/>
              </w:rPr>
              <w:t>772,811.</w:t>
            </w:r>
            <w:r>
              <w:rPr>
                <w:color w:val="000000"/>
                <w:spacing w:val="0"/>
                <w:w w:val="100"/>
                <w:position w:val="0"/>
                <w:sz w:val="15"/>
                <w:szCs w:val="15"/>
              </w:rPr>
              <w:t>11</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经营活动产生的现金流量净额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-400, 700,474. </w:t>
            </w:r>
            <w:r>
              <w:rPr>
                <w:color w:val="000000"/>
                <w:spacing w:val="0"/>
                <w:w w:val="100"/>
                <w:position w:val="0"/>
                <w:sz w:val="15"/>
                <w:szCs w:val="15"/>
              </w:rPr>
              <w:t>29</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414, </w:t>
            </w:r>
            <w:r>
              <w:rPr>
                <w:color w:val="000000"/>
                <w:spacing w:val="0"/>
                <w:w w:val="100"/>
                <w:position w:val="0"/>
                <w:sz w:val="15"/>
                <w:szCs w:val="15"/>
              </w:rPr>
              <w:t>190,515.</w:t>
            </w:r>
            <w:r>
              <w:rPr>
                <w:color w:val="000000"/>
                <w:spacing w:val="0"/>
                <w:w w:val="100"/>
                <w:position w:val="0"/>
                <w:sz w:val="15"/>
                <w:szCs w:val="15"/>
              </w:rPr>
              <w:t>12</w:t>
            </w:r>
          </w:p>
        </w:tc>
      </w:tr>
      <w:tr>
        <w:trPr>
          <w:trHeight w:val="22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二、投资活动产生的现金流量：</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收回投资收到的现金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1,410, 900, </w:t>
            </w:r>
            <w:r>
              <w:rPr>
                <w:color w:val="000000"/>
                <w:spacing w:val="0"/>
                <w:w w:val="100"/>
                <w:position w:val="0"/>
                <w:sz w:val="15"/>
                <w:szCs w:val="15"/>
              </w:rPr>
              <w:t xml:space="preserve">000. </w:t>
            </w:r>
            <w:r>
              <w:rPr>
                <w:color w:val="000000"/>
                <w:spacing w:val="0"/>
                <w:w w:val="100"/>
                <w:position w:val="0"/>
                <w:sz w:val="15"/>
                <w:szCs w:val="15"/>
              </w:rPr>
              <w:t>00</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42, </w:t>
            </w:r>
            <w:r>
              <w:rPr>
                <w:color w:val="000000"/>
                <w:spacing w:val="0"/>
                <w:w w:val="100"/>
                <w:position w:val="0"/>
                <w:sz w:val="15"/>
                <w:szCs w:val="15"/>
              </w:rPr>
              <w:t>820,581.51</w:t>
            </w:r>
          </w:p>
        </w:tc>
      </w:tr>
      <w:tr>
        <w:trPr>
          <w:trHeight w:val="21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取础资瞄购的畦</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70,709,475.81</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142, 482, </w:t>
            </w:r>
            <w:r>
              <w:rPr>
                <w:color w:val="000000"/>
                <w:spacing w:val="0"/>
                <w:w w:val="100"/>
                <w:position w:val="0"/>
                <w:sz w:val="15"/>
                <w:szCs w:val="15"/>
              </w:rPr>
              <w:t xml:space="preserve">041. </w:t>
            </w:r>
            <w:r>
              <w:rPr>
                <w:color w:val="000000"/>
                <w:spacing w:val="0"/>
                <w:w w:val="100"/>
                <w:position w:val="0"/>
                <w:sz w:val="15"/>
                <w:szCs w:val="15"/>
              </w:rPr>
              <w:t>66</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处置固定资产、无形资产和其他长期资产收回的现金净额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34, </w:t>
            </w:r>
            <w:r>
              <w:rPr>
                <w:color w:val="000000"/>
                <w:spacing w:val="0"/>
                <w:w w:val="100"/>
                <w:position w:val="0"/>
                <w:sz w:val="15"/>
                <w:szCs w:val="15"/>
              </w:rPr>
              <w:t xml:space="preserve">117,369. </w:t>
            </w:r>
            <w:r>
              <w:rPr>
                <w:color w:val="000000"/>
                <w:spacing w:val="0"/>
                <w:w w:val="100"/>
                <w:position w:val="0"/>
                <w:sz w:val="15"/>
                <w:szCs w:val="15"/>
              </w:rPr>
              <w:t>65</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357,767. </w:t>
            </w:r>
            <w:r>
              <w:rPr>
                <w:color w:val="000000"/>
                <w:spacing w:val="0"/>
                <w:w w:val="100"/>
                <w:position w:val="0"/>
                <w:sz w:val="15"/>
                <w:szCs w:val="15"/>
              </w:rPr>
              <w:t>09</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处置子公司及其他营业单位收到的现金净额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26, 250, </w:t>
            </w:r>
            <w:r>
              <w:rPr>
                <w:color w:val="000000"/>
                <w:spacing w:val="0"/>
                <w:w w:val="100"/>
                <w:position w:val="0"/>
                <w:sz w:val="15"/>
                <w:szCs w:val="15"/>
              </w:rPr>
              <w:t xml:space="preserve">000. </w:t>
            </w:r>
            <w:r>
              <w:rPr>
                <w:color w:val="000000"/>
                <w:spacing w:val="0"/>
                <w:w w:val="100"/>
                <w:position w:val="0"/>
                <w:sz w:val="15"/>
                <w:szCs w:val="15"/>
              </w:rPr>
              <w:t>00</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187, 624, </w:t>
            </w:r>
            <w:r>
              <w:rPr>
                <w:color w:val="000000"/>
                <w:spacing w:val="0"/>
                <w:w w:val="100"/>
                <w:position w:val="0"/>
                <w:sz w:val="15"/>
                <w:szCs w:val="15"/>
              </w:rPr>
              <w:t>060.</w:t>
            </w:r>
            <w:r>
              <w:rPr>
                <w:color w:val="000000"/>
                <w:spacing w:val="0"/>
                <w:w w:val="100"/>
                <w:position w:val="0"/>
                <w:sz w:val="15"/>
                <w:szCs w:val="15"/>
              </w:rPr>
              <w:t>15</w:t>
            </w:r>
          </w:p>
        </w:tc>
      </w:tr>
      <w:tr>
        <w:trPr>
          <w:trHeight w:val="22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收到其他与投资活动有关的现金</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363, </w:t>
            </w:r>
            <w:r>
              <w:rPr>
                <w:color w:val="000000"/>
                <w:spacing w:val="0"/>
                <w:w w:val="100"/>
                <w:position w:val="0"/>
                <w:sz w:val="15"/>
                <w:szCs w:val="15"/>
              </w:rPr>
              <w:t>521,846.62</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298, 826,143, 05</w:t>
            </w:r>
          </w:p>
        </w:tc>
      </w:tr>
      <w:tr>
        <w:trPr>
          <w:trHeight w:val="20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投资活动畛流入小计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1,905,498, </w:t>
            </w:r>
            <w:r>
              <w:rPr>
                <w:color w:val="000000"/>
                <w:spacing w:val="0"/>
                <w:w w:val="100"/>
                <w:position w:val="0"/>
                <w:sz w:val="15"/>
                <w:szCs w:val="15"/>
              </w:rPr>
              <w:t xml:space="preserve">692. </w:t>
            </w:r>
            <w:r>
              <w:rPr>
                <w:color w:val="000000"/>
                <w:spacing w:val="0"/>
                <w:w w:val="100"/>
                <w:position w:val="0"/>
                <w:sz w:val="15"/>
                <w:szCs w:val="15"/>
              </w:rPr>
              <w:t>08</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673, 110, </w:t>
            </w:r>
            <w:r>
              <w:rPr>
                <w:color w:val="000000"/>
                <w:spacing w:val="0"/>
                <w:w w:val="100"/>
                <w:position w:val="0"/>
                <w:sz w:val="15"/>
                <w:szCs w:val="15"/>
              </w:rPr>
              <w:t xml:space="preserve">593. </w:t>
            </w:r>
            <w:r>
              <w:rPr>
                <w:color w:val="000000"/>
                <w:spacing w:val="0"/>
                <w:w w:val="100"/>
                <w:position w:val="0"/>
                <w:sz w:val="15"/>
                <w:szCs w:val="15"/>
              </w:rPr>
              <w:t>46</w:t>
            </w: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购建固定资产、无形资产和其他长期资产支付的畦</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2,534, 279, </w:t>
            </w:r>
            <w:r>
              <w:rPr>
                <w:color w:val="000000"/>
                <w:spacing w:val="0"/>
                <w:w w:val="100"/>
                <w:position w:val="0"/>
                <w:sz w:val="15"/>
                <w:szCs w:val="15"/>
              </w:rPr>
              <w:t xml:space="preserve">220. </w:t>
            </w:r>
            <w:r>
              <w:rPr>
                <w:color w:val="000000"/>
                <w:spacing w:val="0"/>
                <w:w w:val="100"/>
                <w:position w:val="0"/>
                <w:sz w:val="15"/>
                <w:szCs w:val="15"/>
              </w:rPr>
              <w:t>75</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1,214,938, </w:t>
            </w:r>
            <w:r>
              <w:rPr>
                <w:color w:val="000000"/>
                <w:spacing w:val="0"/>
                <w:w w:val="100"/>
                <w:position w:val="0"/>
                <w:sz w:val="15"/>
                <w:szCs w:val="15"/>
              </w:rPr>
              <w:t xml:space="preserve">856. </w:t>
            </w:r>
            <w:r>
              <w:rPr>
                <w:color w:val="000000"/>
                <w:spacing w:val="0"/>
                <w:w w:val="100"/>
                <w:position w:val="0"/>
                <w:sz w:val="15"/>
                <w:szCs w:val="15"/>
              </w:rPr>
              <w:t>97</w:t>
            </w:r>
          </w:p>
        </w:tc>
      </w:tr>
      <w:tr>
        <w:trPr>
          <w:trHeight w:val="20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投资支付的现金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181, </w:t>
            </w:r>
            <w:r>
              <w:rPr>
                <w:color w:val="000000"/>
                <w:spacing w:val="0"/>
                <w:w w:val="100"/>
                <w:position w:val="0"/>
                <w:sz w:val="15"/>
                <w:szCs w:val="15"/>
              </w:rPr>
              <w:t xml:space="preserve">500,000. </w:t>
            </w:r>
            <w:r>
              <w:rPr>
                <w:color w:val="000000"/>
                <w:spacing w:val="0"/>
                <w:w w:val="100"/>
                <w:position w:val="0"/>
                <w:sz w:val="15"/>
                <w:szCs w:val="15"/>
              </w:rPr>
              <w:t>00</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1,458, 900, </w:t>
            </w:r>
            <w:r>
              <w:rPr>
                <w:color w:val="000000"/>
                <w:spacing w:val="0"/>
                <w:w w:val="100"/>
                <w:position w:val="0"/>
                <w:sz w:val="15"/>
                <w:szCs w:val="15"/>
              </w:rPr>
              <w:t>000.00</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质押贷款净增加额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取得子公司及其他营业单位支付的现金净额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929, </w:t>
            </w:r>
            <w:r>
              <w:rPr>
                <w:color w:val="000000"/>
                <w:spacing w:val="0"/>
                <w:w w:val="100"/>
                <w:position w:val="0"/>
                <w:sz w:val="15"/>
                <w:szCs w:val="15"/>
              </w:rPr>
              <w:t xml:space="preserve">412,325. </w:t>
            </w:r>
            <w:r>
              <w:rPr>
                <w:color w:val="000000"/>
                <w:spacing w:val="0"/>
                <w:w w:val="100"/>
                <w:position w:val="0"/>
                <w:sz w:val="15"/>
                <w:szCs w:val="15"/>
              </w:rPr>
              <w:t>09</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 </w:t>
            </w:r>
            <w:r>
              <w:rPr>
                <w:color w:val="000000"/>
                <w:spacing w:val="0"/>
                <w:w w:val="100"/>
                <w:position w:val="0"/>
                <w:sz w:val="15"/>
                <w:szCs w:val="15"/>
              </w:rPr>
              <w:t>948,281.34</w:t>
            </w: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支付其他与投资活动有关的现金</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15, </w:t>
            </w:r>
            <w:r>
              <w:rPr>
                <w:color w:val="000000"/>
                <w:spacing w:val="0"/>
                <w:w w:val="100"/>
                <w:position w:val="0"/>
                <w:sz w:val="15"/>
                <w:szCs w:val="15"/>
              </w:rPr>
              <w:t xml:space="preserve">380,320. </w:t>
            </w:r>
            <w:r>
              <w:rPr>
                <w:color w:val="000000"/>
                <w:spacing w:val="0"/>
                <w:w w:val="100"/>
                <w:position w:val="0"/>
                <w:sz w:val="15"/>
                <w:szCs w:val="15"/>
              </w:rPr>
              <w:t>00</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75, </w:t>
            </w:r>
            <w:r>
              <w:rPr>
                <w:color w:val="000000"/>
                <w:spacing w:val="0"/>
                <w:w w:val="100"/>
                <w:position w:val="0"/>
                <w:sz w:val="15"/>
                <w:szCs w:val="15"/>
              </w:rPr>
              <w:t>550,000. 00</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投资活动谿流出小计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3,660, 571, </w:t>
            </w:r>
            <w:r>
              <w:rPr>
                <w:color w:val="000000"/>
                <w:spacing w:val="0"/>
                <w:w w:val="100"/>
                <w:position w:val="0"/>
                <w:sz w:val="15"/>
                <w:szCs w:val="15"/>
              </w:rPr>
              <w:t>865.84</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2, 788, 337, </w:t>
            </w:r>
            <w:r>
              <w:rPr>
                <w:color w:val="000000"/>
                <w:spacing w:val="0"/>
                <w:w w:val="100"/>
                <w:position w:val="0"/>
                <w:sz w:val="15"/>
                <w:szCs w:val="15"/>
              </w:rPr>
              <w:t>138.31</w:t>
            </w:r>
          </w:p>
        </w:tc>
      </w:tr>
      <w:tr>
        <w:trPr>
          <w:trHeight w:val="21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投资明产生的现金流量净额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755, 073, </w:t>
            </w:r>
            <w:r>
              <w:rPr>
                <w:color w:val="000000"/>
                <w:spacing w:val="0"/>
                <w:w w:val="100"/>
                <w:position w:val="0"/>
                <w:sz w:val="15"/>
                <w:szCs w:val="15"/>
              </w:rPr>
              <w:t>173.76</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w:t>
            </w:r>
            <w:r>
              <w:rPr>
                <w:color w:val="000000"/>
                <w:spacing w:val="0"/>
                <w:w w:val="100"/>
                <w:position w:val="0"/>
                <w:sz w:val="15"/>
                <w:szCs w:val="15"/>
              </w:rPr>
              <w:t xml:space="preserve">115, 226, </w:t>
            </w:r>
            <w:r>
              <w:rPr>
                <w:color w:val="000000"/>
                <w:spacing w:val="0"/>
                <w:w w:val="100"/>
                <w:position w:val="0"/>
                <w:sz w:val="15"/>
                <w:szCs w:val="15"/>
              </w:rPr>
              <w:t>544.</w:t>
            </w:r>
            <w:r>
              <w:rPr>
                <w:color w:val="000000"/>
                <w:spacing w:val="0"/>
                <w:w w:val="100"/>
                <w:position w:val="0"/>
                <w:sz w:val="15"/>
                <w:szCs w:val="15"/>
              </w:rPr>
              <w:t>85</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三、筹资活动产生的现金流量：</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吸收投资收到的现金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210, </w:t>
            </w:r>
            <w:r>
              <w:rPr>
                <w:color w:val="000000"/>
                <w:spacing w:val="0"/>
                <w:w w:val="100"/>
                <w:position w:val="0"/>
                <w:sz w:val="15"/>
                <w:szCs w:val="15"/>
              </w:rPr>
              <w:t>350,000.00</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8, </w:t>
            </w:r>
            <w:r>
              <w:rPr>
                <w:color w:val="000000"/>
                <w:spacing w:val="0"/>
                <w:w w:val="100"/>
                <w:position w:val="0"/>
                <w:sz w:val="15"/>
                <w:szCs w:val="15"/>
              </w:rPr>
              <w:t>598,435,831.94</w:t>
            </w:r>
          </w:p>
        </w:tc>
      </w:tr>
      <w:tr>
        <w:trPr>
          <w:trHeight w:val="22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其中：子公司吸收少数股东投资收到的现金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210, </w:t>
            </w:r>
            <w:r>
              <w:rPr>
                <w:color w:val="000000"/>
                <w:spacing w:val="0"/>
                <w:w w:val="100"/>
                <w:position w:val="0"/>
                <w:sz w:val="15"/>
                <w:szCs w:val="15"/>
              </w:rPr>
              <w:t xml:space="preserve">350,000. </w:t>
            </w:r>
            <w:r>
              <w:rPr>
                <w:color w:val="000000"/>
                <w:spacing w:val="0"/>
                <w:w w:val="100"/>
                <w:position w:val="0"/>
                <w:sz w:val="15"/>
                <w:szCs w:val="15"/>
              </w:rPr>
              <w:t>00</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3, 699, 147, </w:t>
            </w:r>
            <w:r>
              <w:rPr>
                <w:color w:val="000000"/>
                <w:spacing w:val="0"/>
                <w:w w:val="100"/>
                <w:position w:val="0"/>
                <w:sz w:val="15"/>
                <w:szCs w:val="15"/>
              </w:rPr>
              <w:t xml:space="preserve">600. </w:t>
            </w:r>
            <w:r>
              <w:rPr>
                <w:color w:val="000000"/>
                <w:spacing w:val="0"/>
                <w:w w:val="100"/>
                <w:position w:val="0"/>
                <w:sz w:val="15"/>
                <w:szCs w:val="15"/>
              </w:rPr>
              <w:t>00</w:t>
            </w:r>
          </w:p>
        </w:tc>
      </w:tr>
      <w:tr>
        <w:trPr>
          <w:trHeight w:val="21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取得借款收到的现金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1,241, </w:t>
            </w:r>
            <w:r>
              <w:rPr>
                <w:color w:val="000000"/>
                <w:spacing w:val="0"/>
                <w:w w:val="100"/>
                <w:position w:val="0"/>
                <w:sz w:val="15"/>
                <w:szCs w:val="15"/>
              </w:rPr>
              <w:t>447,962.46</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329, 208, </w:t>
            </w:r>
            <w:r>
              <w:rPr>
                <w:color w:val="000000"/>
                <w:spacing w:val="0"/>
                <w:w w:val="100"/>
                <w:position w:val="0"/>
                <w:sz w:val="15"/>
                <w:szCs w:val="15"/>
              </w:rPr>
              <w:t xml:space="preserve">052. </w:t>
            </w:r>
            <w:r>
              <w:rPr>
                <w:color w:val="000000"/>
                <w:spacing w:val="0"/>
                <w:w w:val="100"/>
                <w:position w:val="0"/>
                <w:sz w:val="15"/>
                <w:szCs w:val="15"/>
              </w:rPr>
              <w:t>64</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发行债券收到的现金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收到其他与筹资活动有关的现金</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136, </w:t>
            </w:r>
            <w:r>
              <w:rPr>
                <w:color w:val="000000"/>
                <w:spacing w:val="0"/>
                <w:w w:val="100"/>
                <w:position w:val="0"/>
                <w:sz w:val="15"/>
                <w:szCs w:val="15"/>
              </w:rPr>
              <w:t>117,641.51</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20, 920, </w:t>
            </w:r>
            <w:r>
              <w:rPr>
                <w:color w:val="000000"/>
                <w:spacing w:val="0"/>
                <w:w w:val="100"/>
                <w:position w:val="0"/>
                <w:sz w:val="15"/>
                <w:szCs w:val="15"/>
              </w:rPr>
              <w:t xml:space="preserve">000. </w:t>
            </w:r>
            <w:r>
              <w:rPr>
                <w:color w:val="000000"/>
                <w:spacing w:val="0"/>
                <w:w w:val="100"/>
                <w:position w:val="0"/>
                <w:sz w:val="15"/>
                <w:szCs w:val="15"/>
              </w:rPr>
              <w:t>00</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筹资活动现金流入小计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1,587,915, </w:t>
            </w:r>
            <w:r>
              <w:rPr>
                <w:color w:val="000000"/>
                <w:spacing w:val="0"/>
                <w:w w:val="100"/>
                <w:position w:val="0"/>
                <w:sz w:val="15"/>
                <w:szCs w:val="15"/>
              </w:rPr>
              <w:t>603.97</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8,948, 563, </w:t>
            </w:r>
            <w:r>
              <w:rPr>
                <w:color w:val="000000"/>
                <w:spacing w:val="0"/>
                <w:w w:val="100"/>
                <w:position w:val="0"/>
                <w:sz w:val="15"/>
                <w:szCs w:val="15"/>
              </w:rPr>
              <w:t xml:space="preserve">884. </w:t>
            </w:r>
            <w:r>
              <w:rPr>
                <w:color w:val="000000"/>
                <w:spacing w:val="0"/>
                <w:w w:val="100"/>
                <w:position w:val="0"/>
                <w:sz w:val="15"/>
                <w:szCs w:val="15"/>
              </w:rPr>
              <w:t>58</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偿还债务支付的现金</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231, </w:t>
            </w:r>
            <w:r>
              <w:rPr>
                <w:color w:val="000000"/>
                <w:spacing w:val="0"/>
                <w:w w:val="100"/>
                <w:position w:val="0"/>
                <w:sz w:val="15"/>
                <w:szCs w:val="15"/>
              </w:rPr>
              <w:t>601,330.72</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887, 443, </w:t>
            </w:r>
            <w:r>
              <w:rPr>
                <w:color w:val="000000"/>
                <w:spacing w:val="0"/>
                <w:w w:val="100"/>
                <w:position w:val="0"/>
                <w:sz w:val="15"/>
                <w:szCs w:val="15"/>
              </w:rPr>
              <w:t xml:space="preserve">236. </w:t>
            </w:r>
            <w:r>
              <w:rPr>
                <w:color w:val="000000"/>
                <w:spacing w:val="0"/>
                <w:w w:val="100"/>
                <w:position w:val="0"/>
                <w:sz w:val="15"/>
                <w:szCs w:val="15"/>
              </w:rPr>
              <w:t>66</w:t>
            </w:r>
          </w:p>
        </w:tc>
      </w:tr>
      <w:tr>
        <w:trPr>
          <w:trHeight w:val="216"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分配利润或</w:t>
            </w:r>
            <w:r>
              <w:rPr>
                <w:color w:val="000000"/>
                <w:spacing w:val="0"/>
                <w:w w:val="100"/>
                <w:position w:val="0"/>
                <w:sz w:val="15"/>
                <w:szCs w:val="15"/>
              </w:rPr>
              <w:t>mw</w:t>
            </w:r>
            <w:r>
              <w:rPr>
                <w:color w:val="000000"/>
                <w:spacing w:val="0"/>
                <w:w w:val="100"/>
                <w:position w:val="0"/>
                <w:sz w:val="22"/>
                <w:szCs w:val="22"/>
              </w:rPr>
              <w:t>息支付的赡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404,831,402.70</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155, 393,384, 85</w:t>
            </w:r>
          </w:p>
        </w:tc>
      </w:tr>
      <w:tr>
        <w:trPr>
          <w:trHeight w:val="21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其中：子公司支付给少数股东的股利、利润</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i/>
                <w:iCs/>
                <w:color w:val="000000"/>
                <w:spacing w:val="0"/>
                <w:w w:val="100"/>
                <w:position w:val="0"/>
                <w:sz w:val="15"/>
                <w:szCs w:val="15"/>
              </w:rPr>
              <w:t>22,</w:t>
            </w:r>
            <w:r>
              <w:rPr>
                <w:color w:val="000000"/>
                <w:spacing w:val="0"/>
                <w:w w:val="100"/>
                <w:position w:val="0"/>
                <w:sz w:val="15"/>
                <w:szCs w:val="15"/>
              </w:rPr>
              <w:t xml:space="preserve"> </w:t>
            </w:r>
            <w:r>
              <w:rPr>
                <w:color w:val="000000"/>
                <w:spacing w:val="0"/>
                <w:w w:val="100"/>
                <w:position w:val="0"/>
                <w:sz w:val="15"/>
                <w:szCs w:val="15"/>
              </w:rPr>
              <w:t xml:space="preserve">535,508. </w:t>
            </w:r>
            <w:r>
              <w:rPr>
                <w:color w:val="000000"/>
                <w:spacing w:val="0"/>
                <w:w w:val="100"/>
                <w:position w:val="0"/>
                <w:sz w:val="15"/>
                <w:szCs w:val="15"/>
              </w:rPr>
              <w:t>69</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23, 339, </w:t>
            </w:r>
            <w:r>
              <w:rPr>
                <w:color w:val="000000"/>
                <w:spacing w:val="0"/>
                <w:w w:val="100"/>
                <w:position w:val="0"/>
                <w:sz w:val="15"/>
                <w:szCs w:val="15"/>
              </w:rPr>
              <w:t xml:space="preserve">649. </w:t>
            </w:r>
            <w:r>
              <w:rPr>
                <w:color w:val="000000"/>
                <w:spacing w:val="0"/>
                <w:w w:val="100"/>
                <w:position w:val="0"/>
                <w:sz w:val="15"/>
                <w:szCs w:val="15"/>
              </w:rPr>
              <w:t>49</w:t>
            </w:r>
          </w:p>
        </w:tc>
      </w:tr>
      <w:tr>
        <w:trPr>
          <w:trHeight w:val="221"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支付其他与筹资活动有关的现金</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42, 626, </w:t>
            </w:r>
            <w:r>
              <w:rPr>
                <w:color w:val="000000"/>
                <w:spacing w:val="0"/>
                <w:w w:val="100"/>
                <w:position w:val="0"/>
                <w:sz w:val="15"/>
                <w:szCs w:val="15"/>
              </w:rPr>
              <w:t xml:space="preserve">605. </w:t>
            </w:r>
            <w:r>
              <w:rPr>
                <w:color w:val="000000"/>
                <w:spacing w:val="0"/>
                <w:w w:val="100"/>
                <w:position w:val="0"/>
                <w:sz w:val="15"/>
                <w:szCs w:val="15"/>
              </w:rPr>
              <w:t>97</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368, </w:t>
            </w:r>
            <w:r>
              <w:rPr>
                <w:color w:val="000000"/>
                <w:spacing w:val="0"/>
                <w:w w:val="100"/>
                <w:position w:val="0"/>
                <w:sz w:val="15"/>
                <w:szCs w:val="15"/>
              </w:rPr>
              <w:t>291,734.17</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筹资活动现金流出小计</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679, 059,</w:t>
            </w:r>
            <w:r>
              <w:rPr>
                <w:color w:val="000000"/>
                <w:spacing w:val="0"/>
                <w:w w:val="100"/>
                <w:position w:val="0"/>
                <w:sz w:val="15"/>
                <w:szCs w:val="15"/>
              </w:rPr>
              <w:t>339.</w:t>
            </w:r>
            <w:r>
              <w:rPr>
                <w:color w:val="000000"/>
                <w:spacing w:val="0"/>
                <w:w w:val="100"/>
                <w:position w:val="0"/>
                <w:sz w:val="15"/>
                <w:szCs w:val="15"/>
              </w:rPr>
              <w:t>39</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1,411, </w:t>
            </w:r>
            <w:r>
              <w:rPr>
                <w:color w:val="000000"/>
                <w:spacing w:val="0"/>
                <w:w w:val="100"/>
                <w:position w:val="0"/>
                <w:sz w:val="15"/>
                <w:szCs w:val="15"/>
              </w:rPr>
              <w:t xml:space="preserve">128,355. </w:t>
            </w:r>
            <w:r>
              <w:rPr>
                <w:color w:val="000000"/>
                <w:spacing w:val="0"/>
                <w:w w:val="100"/>
                <w:position w:val="0"/>
                <w:sz w:val="15"/>
                <w:szCs w:val="15"/>
              </w:rPr>
              <w:t>68</w:t>
            </w:r>
          </w:p>
        </w:tc>
      </w:tr>
      <w:tr>
        <w:trPr>
          <w:trHeight w:val="211" w:hRule="exact"/>
        </w:trPr>
        <w:tc>
          <w:tcPr>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筹资活动产生的现金流量净额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908, 856, </w:t>
            </w:r>
            <w:r>
              <w:rPr>
                <w:color w:val="000000"/>
                <w:spacing w:val="0"/>
                <w:w w:val="100"/>
                <w:position w:val="0"/>
                <w:sz w:val="15"/>
                <w:szCs w:val="15"/>
              </w:rPr>
              <w:t xml:space="preserve">264. </w:t>
            </w:r>
            <w:r>
              <w:rPr>
                <w:color w:val="000000"/>
                <w:spacing w:val="0"/>
                <w:w w:val="100"/>
                <w:position w:val="0"/>
                <w:sz w:val="15"/>
                <w:szCs w:val="15"/>
              </w:rPr>
              <w:t>58</w:t>
            </w:r>
          </w:p>
        </w:tc>
        <w:tc>
          <w:tcPr>
            <w:tcBorders>
              <w:left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7, 537, 435, </w:t>
            </w:r>
            <w:r>
              <w:rPr>
                <w:color w:val="000000"/>
                <w:spacing w:val="0"/>
                <w:w w:val="100"/>
                <w:position w:val="0"/>
                <w:sz w:val="15"/>
                <w:szCs w:val="15"/>
              </w:rPr>
              <w:t xml:space="preserve">528. </w:t>
            </w:r>
            <w:r>
              <w:rPr>
                <w:color w:val="000000"/>
                <w:spacing w:val="0"/>
                <w:w w:val="100"/>
                <w:position w:val="0"/>
                <w:sz w:val="15"/>
                <w:szCs w:val="15"/>
              </w:rPr>
              <w:t>90</w:t>
            </w:r>
          </w:p>
        </w:tc>
      </w:tr>
      <w:tr>
        <w:trPr>
          <w:trHeight w:val="216" w:hRule="exact"/>
        </w:trPr>
        <w:tc>
          <w:tcPr>
            <w:tcBorders>
              <w:top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四、汇率变动对现金及现金等价物的影响</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w:t>
            </w:r>
            <w:r>
              <w:rPr>
                <w:color w:val="000000"/>
                <w:spacing w:val="0"/>
                <w:w w:val="100"/>
                <w:position w:val="0"/>
                <w:sz w:val="15"/>
                <w:szCs w:val="15"/>
              </w:rPr>
              <w:t xml:space="preserve">457,026. </w:t>
            </w:r>
            <w:r>
              <w:rPr>
                <w:color w:val="000000"/>
                <w:spacing w:val="0"/>
                <w:w w:val="100"/>
                <w:position w:val="0"/>
                <w:sz w:val="15"/>
                <w:szCs w:val="15"/>
              </w:rPr>
              <w:t>13</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787,503. </w:t>
            </w:r>
            <w:r>
              <w:rPr>
                <w:color w:val="000000"/>
                <w:spacing w:val="0"/>
                <w:w w:val="100"/>
                <w:position w:val="0"/>
                <w:sz w:val="15"/>
                <w:szCs w:val="15"/>
              </w:rPr>
              <w:t>10</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五、现金及现金等价物净增加额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241, 460, </w:t>
            </w:r>
            <w:r>
              <w:rPr>
                <w:color w:val="000000"/>
                <w:spacing w:val="0"/>
                <w:w w:val="100"/>
                <w:position w:val="0"/>
                <w:sz w:val="15"/>
                <w:szCs w:val="15"/>
              </w:rPr>
              <w:t xml:space="preserve">357. </w:t>
            </w:r>
            <w:r>
              <w:rPr>
                <w:color w:val="000000"/>
                <w:spacing w:val="0"/>
                <w:w w:val="100"/>
                <w:position w:val="0"/>
                <w:sz w:val="15"/>
                <w:szCs w:val="15"/>
              </w:rPr>
              <w:t>34</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5, 837, 187, </w:t>
            </w:r>
            <w:r>
              <w:rPr>
                <w:color w:val="000000"/>
                <w:spacing w:val="0"/>
                <w:w w:val="100"/>
                <w:position w:val="0"/>
                <w:sz w:val="15"/>
                <w:szCs w:val="15"/>
              </w:rPr>
              <w:t xml:space="preserve">002. </w:t>
            </w:r>
            <w:r>
              <w:rPr>
                <w:color w:val="000000"/>
                <w:spacing w:val="0"/>
                <w:w w:val="100"/>
                <w:position w:val="0"/>
                <w:sz w:val="15"/>
                <w:szCs w:val="15"/>
              </w:rPr>
              <w:t>27</w:t>
            </w:r>
          </w:p>
        </w:tc>
      </w:tr>
      <w:tr>
        <w:trPr>
          <w:trHeight w:val="216" w:hRule="exact"/>
        </w:trPr>
        <w:tc>
          <w:tcPr>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加,期初现金及现金等价物余额</w:t>
            </w:r>
          </w:p>
        </w:tc>
        <w:tc>
          <w:tcPr>
            <w:tcBorders>
              <w:left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6, 504, 260, </w:t>
            </w:r>
            <w:r>
              <w:rPr>
                <w:color w:val="000000"/>
                <w:spacing w:val="0"/>
                <w:w w:val="100"/>
                <w:position w:val="0"/>
                <w:sz w:val="15"/>
                <w:szCs w:val="15"/>
              </w:rPr>
              <w:t xml:space="preserve">855. </w:t>
            </w:r>
            <w:r>
              <w:rPr>
                <w:color w:val="000000"/>
                <w:spacing w:val="0"/>
                <w:w w:val="100"/>
                <w:position w:val="0"/>
                <w:sz w:val="15"/>
                <w:szCs w:val="15"/>
              </w:rPr>
              <w:t>37</w:t>
            </w:r>
          </w:p>
        </w:tc>
        <w:tc>
          <w:tcPr>
            <w:tcBorders>
              <w:left w:val="single" w:sz="4"/>
            </w:tcBorders>
            <w:shd w:val="clear" w:color="auto" w:fill="FFFFFF"/>
            <w:vAlign w:val="bottom"/>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1000"/>
              <w:jc w:val="both"/>
              <w:rPr>
                <w:sz w:val="15"/>
                <w:szCs w:val="15"/>
              </w:rPr>
            </w:pPr>
            <w:r>
              <w:rPr>
                <w:color w:val="000000"/>
                <w:spacing w:val="0"/>
                <w:w w:val="100"/>
                <w:position w:val="0"/>
                <w:sz w:val="15"/>
                <w:szCs w:val="15"/>
              </w:rPr>
              <w:t xml:space="preserve">667, </w:t>
            </w:r>
            <w:r>
              <w:rPr>
                <w:color w:val="000000"/>
                <w:spacing w:val="0"/>
                <w:w w:val="100"/>
                <w:position w:val="0"/>
                <w:sz w:val="15"/>
                <w:szCs w:val="15"/>
              </w:rPr>
              <w:t xml:space="preserve">073,853. </w:t>
            </w:r>
            <w:r>
              <w:rPr>
                <w:color w:val="000000"/>
                <w:spacing w:val="0"/>
                <w:w w:val="100"/>
                <w:position w:val="0"/>
                <w:sz w:val="15"/>
                <w:szCs w:val="15"/>
              </w:rPr>
              <w:t>10</w:t>
            </w:r>
          </w:p>
        </w:tc>
      </w:tr>
      <w:tr>
        <w:trPr>
          <w:trHeight w:val="211" w:hRule="exact"/>
        </w:trPr>
        <w:tc>
          <w:tcPr>
            <w:tcBorders>
              <w:bottom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六、期末现金及现金等价物余额</w:t>
            </w:r>
          </w:p>
        </w:tc>
        <w:tc>
          <w:tcPr>
            <w:tcBorders>
              <w:left w:val="single" w:sz="4"/>
              <w:bottom w:val="single" w:sz="4"/>
            </w:tcBorders>
            <w:shd w:val="clear" w:color="auto" w:fill="FFFFFF"/>
            <w:vAlign w:val="top"/>
          </w:tcPr>
          <w:p>
            <w:pPr>
              <w:framePr w:w="11338" w:h="12643" w:vSpace="278" w:wrap="notBeside" w:vAnchor="text" w:hAnchor="text" w:x="61" w:y="476"/>
              <w:widowControl w:val="0"/>
              <w:rPr>
                <w:sz w:val="10"/>
                <w:szCs w:val="10"/>
              </w:rPr>
            </w:pPr>
          </w:p>
        </w:tc>
        <w:tc>
          <w:tcPr>
            <w:tcBorders>
              <w:left w:val="single" w:sz="4"/>
              <w:bottom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5, 262, 800, </w:t>
            </w:r>
            <w:r>
              <w:rPr>
                <w:color w:val="000000"/>
                <w:spacing w:val="0"/>
                <w:w w:val="100"/>
                <w:position w:val="0"/>
                <w:sz w:val="15"/>
                <w:szCs w:val="15"/>
              </w:rPr>
              <w:t xml:space="preserve">498. </w:t>
            </w:r>
            <w:r>
              <w:rPr>
                <w:color w:val="000000"/>
                <w:spacing w:val="0"/>
                <w:w w:val="100"/>
                <w:position w:val="0"/>
                <w:sz w:val="15"/>
                <w:szCs w:val="15"/>
              </w:rPr>
              <w:t>03</w:t>
            </w:r>
          </w:p>
        </w:tc>
        <w:tc>
          <w:tcPr>
            <w:tcBorders>
              <w:left w:val="single" w:sz="4"/>
              <w:bottom w:val="single" w:sz="4"/>
            </w:tcBorders>
            <w:shd w:val="clear" w:color="auto" w:fill="FFFFFF"/>
            <w:vAlign w:val="top"/>
          </w:tcPr>
          <w:p>
            <w:pPr>
              <w:pStyle w:val="Style6"/>
              <w:keepNext w:val="0"/>
              <w:keepLines w:val="0"/>
              <w:framePr w:w="11338" w:h="12643" w:vSpace="278" w:wrap="notBeside" w:vAnchor="text" w:hAnchor="text" w:x="61" w:y="476"/>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6, 504, 260, </w:t>
            </w:r>
            <w:r>
              <w:rPr>
                <w:color w:val="000000"/>
                <w:spacing w:val="0"/>
                <w:w w:val="100"/>
                <w:position w:val="0"/>
                <w:sz w:val="15"/>
                <w:szCs w:val="15"/>
              </w:rPr>
              <w:t xml:space="preserve">855. </w:t>
            </w:r>
            <w:r>
              <w:rPr>
                <w:color w:val="000000"/>
                <w:spacing w:val="0"/>
                <w:w w:val="100"/>
                <w:position w:val="0"/>
                <w:sz w:val="15"/>
                <w:szCs w:val="15"/>
              </w:rPr>
              <w:t>37</w:t>
            </w:r>
          </w:p>
        </w:tc>
      </w:tr>
    </w:tbl>
    <w:p>
      <w:pPr>
        <w:pStyle w:val="Style30"/>
        <w:keepNext w:val="0"/>
        <w:keepLines w:val="0"/>
        <w:framePr w:w="2664" w:h="269" w:hSpace="60" w:wrap="notBeside" w:vAnchor="text" w:hAnchor="text" w:x="90" w:y="22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编制单位：传化智联股份有限公司</w:t>
      </w:r>
    </w:p>
    <w:p>
      <w:pPr>
        <w:pStyle w:val="Style30"/>
        <w:keepNext w:val="0"/>
        <w:keepLines w:val="0"/>
        <w:framePr w:w="1637" w:h="269" w:hSpace="60" w:wrap="notBeside" w:vAnchor="text" w:hAnchor="text" w:x="80" w:y="1312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法定代表人：徐冠巨</w:t>
      </w:r>
    </w:p>
    <w:p>
      <w:pPr>
        <w:pStyle w:val="Style30"/>
        <w:keepNext w:val="0"/>
        <w:keepLines w:val="0"/>
        <w:framePr w:w="2506" w:h="269" w:hSpace="60" w:wrap="notBeside" w:vAnchor="text" w:hAnchor="text" w:x="3632" w:y="1312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主管会计工作的负责人：徐冠巨</w:t>
      </w:r>
    </w:p>
    <w:p>
      <w:pPr>
        <w:pStyle w:val="Style30"/>
        <w:keepNext w:val="0"/>
        <w:keepLines w:val="0"/>
        <w:framePr w:w="1987" w:h="269" w:hSpace="60" w:wrap="notBeside" w:vAnchor="text" w:hAnchor="text" w:x="7957" w:y="1312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罚机构负责人：杨万清</w:t>
      </w:r>
    </w:p>
    <w:p>
      <w:pPr>
        <w:pStyle w:val="Style30"/>
        <w:keepNext w:val="0"/>
        <w:keepLines w:val="0"/>
        <w:framePr w:w="1286" w:h="557" w:hSpace="60" w:wrap="notBeside" w:vAnchor="text" w:hAnchor="text" w:x="10079" w:y="1"/>
        <w:widowControl w:val="0"/>
        <w:shd w:val="clear" w:color="auto" w:fill="auto"/>
        <w:bidi w:val="0"/>
        <w:spacing w:before="0" w:after="0" w:line="269" w:lineRule="exact"/>
        <w:ind w:left="0" w:right="0" w:firstLine="0"/>
        <w:jc w:val="right"/>
        <w:rPr>
          <w:sz w:val="22"/>
          <w:szCs w:val="22"/>
        </w:rPr>
      </w:pPr>
      <w:r>
        <w:rPr>
          <w:color w:val="000000"/>
          <w:spacing w:val="0"/>
          <w:w w:val="100"/>
          <w:position w:val="0"/>
          <w:sz w:val="22"/>
          <w:szCs w:val="22"/>
        </w:rPr>
        <w:t>会劄</w:t>
      </w:r>
      <w:r>
        <w:rPr>
          <w:color w:val="000000"/>
          <w:spacing w:val="0"/>
          <w:w w:val="100"/>
          <w:position w:val="0"/>
          <w:sz w:val="15"/>
          <w:szCs w:val="15"/>
        </w:rPr>
        <w:t>3</w:t>
      </w:r>
      <w:r>
        <w:rPr>
          <w:color w:val="000000"/>
          <w:spacing w:val="0"/>
          <w:w w:val="100"/>
          <w:position w:val="0"/>
          <w:sz w:val="22"/>
          <w:szCs w:val="22"/>
        </w:rPr>
        <w:t>表 单位：人民币元</w:t>
      </w:r>
    </w:p>
    <w:p>
      <w:pPr>
        <w:widowControl w:val="0"/>
        <w:spacing w:line="1" w:lineRule="exact"/>
      </w:pPr>
      <w:r>
        <w:br w:type="page"/>
      </w:r>
    </w:p>
    <w:p>
      <w:pPr>
        <w:pStyle w:val="Style14"/>
        <w:keepNext w:val="0"/>
        <w:keepLines w:val="0"/>
        <w:widowControl w:val="0"/>
        <w:shd w:val="clear" w:color="auto" w:fill="auto"/>
        <w:bidi w:val="0"/>
        <w:spacing w:before="0" w:after="120" w:line="240" w:lineRule="auto"/>
        <w:ind w:left="0" w:right="0" w:firstLine="0"/>
        <w:jc w:val="center"/>
        <w:rPr>
          <w:sz w:val="26"/>
          <w:szCs w:val="26"/>
        </w:rPr>
      </w:pPr>
      <w:r>
        <w:rPr>
          <w:b/>
          <w:bCs/>
          <w:color w:val="000000"/>
          <w:spacing w:val="0"/>
          <w:w w:val="100"/>
          <w:position w:val="0"/>
          <w:sz w:val="26"/>
          <w:szCs w:val="26"/>
        </w:rPr>
        <w:t>母公司现金流量表</w:t>
      </w:r>
    </w:p>
    <w:p>
      <w:pPr>
        <w:pStyle w:val="Style6"/>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7"/>
          <w:szCs w:val="17"/>
        </w:rPr>
        <w:t>2016</w:t>
      </w:r>
      <w:r>
        <w:rPr>
          <w:color w:val="000000"/>
          <w:spacing w:val="0"/>
          <w:w w:val="100"/>
          <w:position w:val="0"/>
          <w:sz w:val="15"/>
          <w:szCs w:val="15"/>
        </w:rPr>
        <w:t>年度</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会企</w:t>
      </w:r>
      <w:r>
        <w:rPr>
          <w:rFonts w:ascii="Times New Roman" w:eastAsia="Times New Roman" w:hAnsi="Times New Roman" w:cs="Times New Roman"/>
          <w:b/>
          <w:bCs/>
          <w:color w:val="000000"/>
          <w:spacing w:val="0"/>
          <w:w w:val="100"/>
          <w:position w:val="0"/>
          <w:sz w:val="17"/>
          <w:szCs w:val="17"/>
        </w:rPr>
        <w:t>03</w:t>
      </w:r>
      <w:r>
        <w:rPr>
          <w:color w:val="000000"/>
          <w:spacing w:val="0"/>
          <w:w w:val="100"/>
          <w:position w:val="0"/>
          <w:sz w:val="15"/>
          <w:szCs w:val="15"/>
        </w:rPr>
        <w:t>表</w:t>
      </w:r>
    </w:p>
    <w:p>
      <w:pPr>
        <w:pStyle w:val="Style30"/>
        <w:keepNext w:val="0"/>
        <w:keepLines w:val="0"/>
        <w:widowControl w:val="0"/>
        <w:shd w:val="clear" w:color="auto" w:fill="auto"/>
        <w:tabs>
          <w:tab w:pos="7992" w:val="left"/>
        </w:tabs>
        <w:bidi w:val="0"/>
        <w:spacing w:before="0" w:after="0" w:line="240" w:lineRule="auto"/>
        <w:ind w:left="43" w:right="0" w:firstLine="0"/>
        <w:jc w:val="left"/>
        <w:rPr>
          <w:sz w:val="15"/>
          <w:szCs w:val="15"/>
        </w:rPr>
      </w:pPr>
      <w:r>
        <w:rPr>
          <w:color w:val="000000"/>
          <w:spacing w:val="0"/>
          <w:w w:val="100"/>
          <w:position w:val="0"/>
          <w:sz w:val="15"/>
          <w:szCs w:val="15"/>
        </w:rPr>
        <w:t>编制单位：传化智联股份有限公司</w:t>
        <w:tab/>
        <w:t>单位：人民币元</w:t>
      </w:r>
    </w:p>
    <w:tbl>
      <w:tblPr>
        <w:tblOverlap w:val="never"/>
        <w:jc w:val="center"/>
        <w:tblLayout w:type="fixed"/>
      </w:tblPr>
      <w:tblGrid>
        <w:gridCol w:w="4915"/>
        <w:gridCol w:w="2131"/>
        <w:gridCol w:w="2170"/>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上年同期数</w:t>
            </w:r>
          </w:p>
        </w:tc>
      </w:tr>
      <w:tr>
        <w:trPr>
          <w:trHeight w:val="3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销售商品、提供劳务收到的现金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1, 608, 770, </w:t>
            </w:r>
            <w:r>
              <w:rPr>
                <w:color w:val="000000"/>
                <w:spacing w:val="0"/>
                <w:w w:val="100"/>
                <w:position w:val="0"/>
                <w:sz w:val="15"/>
                <w:szCs w:val="15"/>
              </w:rPr>
              <w:t xml:space="preserve">395. </w:t>
            </w:r>
            <w:r>
              <w:rPr>
                <w:color w:val="000000"/>
                <w:spacing w:val="0"/>
                <w:w w:val="100"/>
                <w:position w:val="0"/>
                <w:sz w:val="15"/>
                <w:szCs w:val="15"/>
              </w:rPr>
              <w:t>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1, 371, 931, </w:t>
            </w:r>
            <w:r>
              <w:rPr>
                <w:color w:val="000000"/>
                <w:spacing w:val="0"/>
                <w:w w:val="100"/>
                <w:position w:val="0"/>
                <w:sz w:val="15"/>
                <w:szCs w:val="15"/>
              </w:rPr>
              <w:t xml:space="preserve">720. </w:t>
            </w:r>
            <w:r>
              <w:rPr>
                <w:color w:val="000000"/>
                <w:spacing w:val="0"/>
                <w:w w:val="100"/>
                <w:position w:val="0"/>
                <w:sz w:val="15"/>
                <w:szCs w:val="15"/>
              </w:rPr>
              <w:t>35</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收到的税鬓返还</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 xml:space="preserve">8, 102, </w:t>
            </w:r>
            <w:r>
              <w:rPr>
                <w:color w:val="000000"/>
                <w:spacing w:val="0"/>
                <w:w w:val="100"/>
                <w:position w:val="0"/>
                <w:sz w:val="15"/>
                <w:szCs w:val="15"/>
              </w:rPr>
              <w:t xml:space="preserve">605. </w:t>
            </w:r>
            <w:r>
              <w:rPr>
                <w:color w:val="000000"/>
                <w:spacing w:val="0"/>
                <w:w w:val="100"/>
                <w:position w:val="0"/>
                <w:sz w:val="15"/>
                <w:szCs w:val="15"/>
              </w:rPr>
              <w:t>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5"/>
                <w:szCs w:val="15"/>
              </w:rPr>
            </w:pPr>
            <w:r>
              <w:rPr>
                <w:color w:val="000000"/>
                <w:spacing w:val="0"/>
                <w:w w:val="100"/>
                <w:position w:val="0"/>
                <w:sz w:val="15"/>
                <w:szCs w:val="15"/>
              </w:rPr>
              <w:t>873,</w:t>
            </w:r>
            <w:r>
              <w:rPr>
                <w:color w:val="000000"/>
                <w:spacing w:val="0"/>
                <w:w w:val="100"/>
                <w:position w:val="0"/>
                <w:sz w:val="15"/>
                <w:szCs w:val="15"/>
              </w:rPr>
              <w:t xml:space="preserve">034. </w:t>
            </w:r>
            <w:r>
              <w:rPr>
                <w:color w:val="000000"/>
                <w:spacing w:val="0"/>
                <w:w w:val="100"/>
                <w:position w:val="0"/>
                <w:sz w:val="15"/>
                <w:szCs w:val="15"/>
              </w:rPr>
              <w:t>66</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收到其他与经营活动有关的现金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 xml:space="preserve">36, 496, </w:t>
            </w:r>
            <w:r>
              <w:rPr>
                <w:color w:val="000000"/>
                <w:spacing w:val="0"/>
                <w:w w:val="100"/>
                <w:position w:val="0"/>
                <w:sz w:val="15"/>
                <w:szCs w:val="15"/>
              </w:rPr>
              <w:t xml:space="preserve">094. </w:t>
            </w:r>
            <w:r>
              <w:rPr>
                <w:color w:val="000000"/>
                <w:spacing w:val="0"/>
                <w:w w:val="100"/>
                <w:position w:val="0"/>
                <w:sz w:val="15"/>
                <w:szCs w:val="15"/>
              </w:rPr>
              <w:t>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21, 146, </w:t>
            </w:r>
            <w:r>
              <w:rPr>
                <w:color w:val="000000"/>
                <w:spacing w:val="0"/>
                <w:w w:val="100"/>
                <w:position w:val="0"/>
                <w:sz w:val="15"/>
                <w:szCs w:val="15"/>
              </w:rPr>
              <w:t xml:space="preserve">791. </w:t>
            </w:r>
            <w:r>
              <w:rPr>
                <w:color w:val="000000"/>
                <w:spacing w:val="0"/>
                <w:w w:val="100"/>
                <w:position w:val="0"/>
                <w:sz w:val="15"/>
                <w:szCs w:val="15"/>
              </w:rPr>
              <w:t>10</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经营活动现金流入小计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1, 653, 369, </w:t>
            </w:r>
            <w:r>
              <w:rPr>
                <w:color w:val="000000"/>
                <w:spacing w:val="0"/>
                <w:w w:val="100"/>
                <w:position w:val="0"/>
                <w:sz w:val="15"/>
                <w:szCs w:val="15"/>
              </w:rPr>
              <w:t xml:space="preserve">095. </w:t>
            </w:r>
            <w:r>
              <w:rPr>
                <w:color w:val="000000"/>
                <w:spacing w:val="0"/>
                <w:w w:val="100"/>
                <w:position w:val="0"/>
                <w:sz w:val="15"/>
                <w:szCs w:val="15"/>
              </w:rPr>
              <w:t>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1, 393, 951, </w:t>
            </w:r>
            <w:r>
              <w:rPr>
                <w:color w:val="000000"/>
                <w:spacing w:val="0"/>
                <w:w w:val="100"/>
                <w:position w:val="0"/>
                <w:sz w:val="15"/>
                <w:szCs w:val="15"/>
              </w:rPr>
              <w:t xml:space="preserve">546. </w:t>
            </w:r>
            <w:r>
              <w:rPr>
                <w:color w:val="000000"/>
                <w:spacing w:val="0"/>
                <w:w w:val="100"/>
                <w:position w:val="0"/>
                <w:sz w:val="15"/>
                <w:szCs w:val="15"/>
              </w:rPr>
              <w:t>11</w:t>
            </w: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购买商品、接受劳务支付的现金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1,020, 960, </w:t>
            </w:r>
            <w:r>
              <w:rPr>
                <w:color w:val="000000"/>
                <w:spacing w:val="0"/>
                <w:w w:val="100"/>
                <w:position w:val="0"/>
                <w:sz w:val="15"/>
                <w:szCs w:val="15"/>
              </w:rPr>
              <w:t xml:space="preserve">692. </w:t>
            </w:r>
            <w:r>
              <w:rPr>
                <w:color w:val="000000"/>
                <w:spacing w:val="0"/>
                <w:w w:val="100"/>
                <w:position w:val="0"/>
                <w:sz w:val="15"/>
                <w:szCs w:val="15"/>
              </w:rPr>
              <w:t>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893, 859, </w:t>
            </w:r>
            <w:r>
              <w:rPr>
                <w:color w:val="000000"/>
                <w:spacing w:val="0"/>
                <w:w w:val="100"/>
                <w:position w:val="0"/>
                <w:sz w:val="15"/>
                <w:szCs w:val="15"/>
              </w:rPr>
              <w:t xml:space="preserve">442. </w:t>
            </w:r>
            <w:r>
              <w:rPr>
                <w:color w:val="000000"/>
                <w:spacing w:val="0"/>
                <w:w w:val="100"/>
                <w:position w:val="0"/>
                <w:sz w:val="15"/>
                <w:szCs w:val="15"/>
              </w:rPr>
              <w:t>84</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支付给职工以及为职工支付的现金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195,</w:t>
            </w:r>
            <w:r>
              <w:rPr>
                <w:color w:val="000000"/>
                <w:spacing w:val="0"/>
                <w:w w:val="100"/>
                <w:position w:val="0"/>
                <w:sz w:val="15"/>
                <w:szCs w:val="15"/>
              </w:rPr>
              <w:t>297,911.95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166, 673,</w:t>
            </w:r>
            <w:r>
              <w:rPr>
                <w:color w:val="000000"/>
                <w:spacing w:val="0"/>
                <w:w w:val="100"/>
                <w:position w:val="0"/>
                <w:sz w:val="15"/>
                <w:szCs w:val="15"/>
              </w:rPr>
              <w:t>053.</w:t>
            </w:r>
            <w:r>
              <w:rPr>
                <w:color w:val="000000"/>
                <w:spacing w:val="0"/>
                <w:w w:val="100"/>
                <w:position w:val="0"/>
                <w:sz w:val="15"/>
                <w:szCs w:val="15"/>
              </w:rPr>
              <w:t>49</w:t>
            </w: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支付的各项税费</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130, 139, </w:t>
            </w:r>
            <w:r>
              <w:rPr>
                <w:color w:val="000000"/>
                <w:spacing w:val="0"/>
                <w:w w:val="100"/>
                <w:position w:val="0"/>
                <w:sz w:val="15"/>
                <w:szCs w:val="15"/>
              </w:rPr>
              <w:t xml:space="preserve">485. </w:t>
            </w:r>
            <w:r>
              <w:rPr>
                <w:color w:val="000000"/>
                <w:spacing w:val="0"/>
                <w:w w:val="100"/>
                <w:position w:val="0"/>
                <w:sz w:val="15"/>
                <w:szCs w:val="15"/>
              </w:rPr>
              <w:t>51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106, 026, </w:t>
            </w:r>
            <w:r>
              <w:rPr>
                <w:color w:val="000000"/>
                <w:spacing w:val="0"/>
                <w:w w:val="100"/>
                <w:position w:val="0"/>
                <w:sz w:val="15"/>
                <w:szCs w:val="15"/>
              </w:rPr>
              <w:t xml:space="preserve">508. </w:t>
            </w:r>
            <w:r>
              <w:rPr>
                <w:color w:val="000000"/>
                <w:spacing w:val="0"/>
                <w:w w:val="100"/>
                <w:position w:val="0"/>
                <w:sz w:val="15"/>
                <w:szCs w:val="15"/>
              </w:rPr>
              <w:t>66</w:t>
            </w:r>
          </w:p>
        </w:tc>
      </w:tr>
      <w:tr>
        <w:trPr>
          <w:trHeight w:val="30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支付其他与经营活动有关的现金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179,405,</w:t>
            </w:r>
            <w:r>
              <w:rPr>
                <w:color w:val="000000"/>
                <w:spacing w:val="0"/>
                <w:w w:val="100"/>
                <w:position w:val="0"/>
                <w:sz w:val="15"/>
                <w:szCs w:val="15"/>
              </w:rPr>
              <w:t>114.</w:t>
            </w:r>
            <w:r>
              <w:rPr>
                <w:color w:val="000000"/>
                <w:spacing w:val="0"/>
                <w:w w:val="100"/>
                <w:position w:val="0"/>
                <w:sz w:val="15"/>
                <w:szCs w:val="15"/>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93,402,</w:t>
            </w:r>
            <w:r>
              <w:rPr>
                <w:color w:val="000000"/>
                <w:spacing w:val="0"/>
                <w:w w:val="100"/>
                <w:position w:val="0"/>
                <w:sz w:val="15"/>
                <w:szCs w:val="15"/>
              </w:rPr>
              <w:t xml:space="preserve">945. </w:t>
            </w:r>
            <w:r>
              <w:rPr>
                <w:color w:val="000000"/>
                <w:spacing w:val="0"/>
                <w:w w:val="100"/>
                <w:position w:val="0"/>
                <w:sz w:val="15"/>
                <w:szCs w:val="15"/>
              </w:rPr>
              <w:t>84</w:t>
            </w: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经营活动现金流出小计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1, 525,803, </w:t>
            </w:r>
            <w:r>
              <w:rPr>
                <w:color w:val="000000"/>
                <w:spacing w:val="0"/>
                <w:w w:val="100"/>
                <w:position w:val="0"/>
                <w:sz w:val="15"/>
                <w:szCs w:val="15"/>
              </w:rPr>
              <w:t xml:space="preserve">203. </w:t>
            </w:r>
            <w:r>
              <w:rPr>
                <w:color w:val="000000"/>
                <w:spacing w:val="0"/>
                <w:w w:val="100"/>
                <w:position w:val="0"/>
                <w:sz w:val="15"/>
                <w:szCs w:val="15"/>
              </w:rPr>
              <w:t>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1, 259, 961, </w:t>
            </w:r>
            <w:r>
              <w:rPr>
                <w:color w:val="000000"/>
                <w:spacing w:val="0"/>
                <w:w w:val="100"/>
                <w:position w:val="0"/>
                <w:sz w:val="15"/>
                <w:szCs w:val="15"/>
              </w:rPr>
              <w:t xml:space="preserve">950. </w:t>
            </w:r>
            <w:r>
              <w:rPr>
                <w:color w:val="000000"/>
                <w:spacing w:val="0"/>
                <w:w w:val="100"/>
                <w:position w:val="0"/>
                <w:sz w:val="15"/>
                <w:szCs w:val="15"/>
              </w:rPr>
              <w:t>83</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经营时产生的现金流量净额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127, 565, </w:t>
            </w:r>
            <w:r>
              <w:rPr>
                <w:color w:val="000000"/>
                <w:spacing w:val="0"/>
                <w:w w:val="100"/>
                <w:position w:val="0"/>
                <w:sz w:val="15"/>
                <w:szCs w:val="15"/>
              </w:rPr>
              <w:t xml:space="preserve">891. </w:t>
            </w:r>
            <w:r>
              <w:rPr>
                <w:rFonts w:ascii="Times New Roman" w:eastAsia="Times New Roman" w:hAnsi="Times New Roman" w:cs="Times New Roman"/>
                <w:i/>
                <w:iCs/>
                <w:color w:val="000000"/>
                <w:spacing w:val="0"/>
                <w:w w:val="100"/>
                <w:position w:val="0"/>
                <w:sz w:val="15"/>
                <w:szCs w:val="15"/>
              </w:rPr>
              <w:t>42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133, </w:t>
            </w:r>
            <w:r>
              <w:rPr>
                <w:color w:val="000000"/>
                <w:spacing w:val="0"/>
                <w:w w:val="100"/>
                <w:position w:val="0"/>
                <w:sz w:val="15"/>
                <w:szCs w:val="15"/>
              </w:rPr>
              <w:t>989,595.</w:t>
            </w:r>
            <w:r>
              <w:rPr>
                <w:rFonts w:ascii="Times New Roman" w:eastAsia="Times New Roman" w:hAnsi="Times New Roman" w:cs="Times New Roman"/>
                <w:i/>
                <w:iCs/>
                <w:color w:val="000000"/>
                <w:spacing w:val="0"/>
                <w:w w:val="100"/>
                <w:position w:val="0"/>
                <w:sz w:val="15"/>
                <w:szCs w:val="15"/>
              </w:rPr>
              <w:t>28</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二、投资活动产生的现金流量：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收回投资收到的现金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 xml:space="preserve">26,250, </w:t>
            </w:r>
            <w:r>
              <w:rPr>
                <w:color w:val="000000"/>
                <w:spacing w:val="0"/>
                <w:w w:val="100"/>
                <w:position w:val="0"/>
                <w:sz w:val="15"/>
                <w:szCs w:val="15"/>
              </w:rPr>
              <w:t xml:space="preserve">000. </w:t>
            </w:r>
            <w:r>
              <w:rPr>
                <w:color w:val="000000"/>
                <w:spacing w:val="0"/>
                <w:w w:val="100"/>
                <w:position w:val="0"/>
                <w:sz w:val="15"/>
                <w:szCs w:val="15"/>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236, 250, </w:t>
            </w:r>
            <w:r>
              <w:rPr>
                <w:color w:val="000000"/>
                <w:spacing w:val="0"/>
                <w:w w:val="100"/>
                <w:position w:val="0"/>
                <w:sz w:val="15"/>
                <w:szCs w:val="15"/>
              </w:rPr>
              <w:t xml:space="preserve">000. </w:t>
            </w:r>
            <w:r>
              <w:rPr>
                <w:color w:val="000000"/>
                <w:spacing w:val="0"/>
                <w:w w:val="100"/>
                <w:position w:val="0"/>
                <w:sz w:val="15"/>
                <w:szCs w:val="15"/>
              </w:rPr>
              <w:t>00</w:t>
            </w:r>
          </w:p>
        </w:tc>
      </w:tr>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取得投资收益收到的现金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122, 495, </w:t>
            </w:r>
            <w:r>
              <w:rPr>
                <w:color w:val="000000"/>
                <w:spacing w:val="0"/>
                <w:w w:val="100"/>
                <w:position w:val="0"/>
                <w:sz w:val="15"/>
                <w:szCs w:val="15"/>
              </w:rPr>
              <w:t xml:space="preserve">805. </w:t>
            </w:r>
            <w:r>
              <w:rPr>
                <w:color w:val="000000"/>
                <w:spacing w:val="0"/>
                <w:w w:val="100"/>
                <w:position w:val="0"/>
                <w:sz w:val="15"/>
                <w:szCs w:val="15"/>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94, 807, </w:t>
            </w:r>
            <w:r>
              <w:rPr>
                <w:color w:val="000000"/>
                <w:spacing w:val="0"/>
                <w:w w:val="100"/>
                <w:position w:val="0"/>
                <w:sz w:val="15"/>
                <w:szCs w:val="15"/>
              </w:rPr>
              <w:t xml:space="preserve">166. </w:t>
            </w:r>
            <w:r>
              <w:rPr>
                <w:color w:val="000000"/>
                <w:spacing w:val="0"/>
                <w:w w:val="100"/>
                <w:position w:val="0"/>
                <w:sz w:val="15"/>
                <w:szCs w:val="15"/>
              </w:rPr>
              <w:t>82</w:t>
            </w: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处置固定资产、无形资产和其他长期资产收回的现金净额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102, </w:t>
            </w:r>
            <w:r>
              <w:rPr>
                <w:rFonts w:ascii="Times New Roman" w:eastAsia="Times New Roman" w:hAnsi="Times New Roman" w:cs="Times New Roman"/>
                <w:i/>
                <w:iCs/>
                <w:color w:val="000000"/>
                <w:spacing w:val="0"/>
                <w:w w:val="100"/>
                <w:position w:val="0"/>
                <w:sz w:val="15"/>
                <w:szCs w:val="15"/>
              </w:rPr>
              <w:t>858.</w:t>
            </w:r>
            <w:r>
              <w:rPr>
                <w:color w:val="000000"/>
                <w:spacing w:val="0"/>
                <w:w w:val="100"/>
                <w:position w:val="0"/>
                <w:sz w:val="15"/>
                <w:szCs w:val="15"/>
              </w:rPr>
              <w:t xml:space="preserve"> </w:t>
            </w:r>
            <w:r>
              <w:rPr>
                <w:color w:val="000000"/>
                <w:spacing w:val="0"/>
                <w:w w:val="100"/>
                <w:position w:val="0"/>
                <w:sz w:val="15"/>
                <w:szCs w:val="15"/>
              </w:rPr>
              <w:t>65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40" w:right="0" w:firstLine="0"/>
              <w:jc w:val="both"/>
              <w:rPr>
                <w:sz w:val="15"/>
                <w:szCs w:val="15"/>
              </w:rPr>
            </w:pPr>
            <w:r>
              <w:rPr>
                <w:color w:val="000000"/>
                <w:spacing w:val="0"/>
                <w:w w:val="100"/>
                <w:position w:val="0"/>
                <w:sz w:val="15"/>
                <w:szCs w:val="15"/>
              </w:rPr>
              <w:t xml:space="preserve">444, </w:t>
            </w:r>
            <w:r>
              <w:rPr>
                <w:color w:val="000000"/>
                <w:spacing w:val="0"/>
                <w:w w:val="100"/>
                <w:position w:val="0"/>
                <w:sz w:val="15"/>
                <w:szCs w:val="15"/>
              </w:rPr>
              <w:t>358.</w:t>
            </w:r>
            <w:r>
              <w:rPr>
                <w:color w:val="000000"/>
                <w:spacing w:val="0"/>
                <w:w w:val="100"/>
                <w:position w:val="0"/>
                <w:sz w:val="15"/>
                <w:szCs w:val="15"/>
              </w:rPr>
              <w:t>64</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处置子公司及其他营业单位收到的现金净额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收到其他与投资活动有关的现金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242, 462, </w:t>
            </w:r>
            <w:r>
              <w:rPr>
                <w:color w:val="000000"/>
                <w:spacing w:val="0"/>
                <w:w w:val="100"/>
                <w:position w:val="0"/>
                <w:sz w:val="15"/>
                <w:szCs w:val="15"/>
              </w:rPr>
              <w:t xml:space="preserve">810. </w:t>
            </w:r>
            <w:r>
              <w:rPr>
                <w:color w:val="000000"/>
                <w:spacing w:val="0"/>
                <w:w w:val="100"/>
                <w:position w:val="0"/>
                <w:sz w:val="15"/>
                <w:szCs w:val="15"/>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109, 803, </w:t>
            </w:r>
            <w:r>
              <w:rPr>
                <w:color w:val="000000"/>
                <w:spacing w:val="0"/>
                <w:w w:val="100"/>
                <w:position w:val="0"/>
                <w:sz w:val="15"/>
                <w:szCs w:val="15"/>
              </w:rPr>
              <w:t xml:space="preserve">112. </w:t>
            </w:r>
            <w:r>
              <w:rPr>
                <w:color w:val="000000"/>
                <w:spacing w:val="0"/>
                <w:w w:val="100"/>
                <w:position w:val="0"/>
                <w:sz w:val="15"/>
                <w:szCs w:val="15"/>
              </w:rPr>
              <w:t>79</w:t>
            </w: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投资</w:t>
            </w:r>
            <w:r>
              <w:rPr>
                <w:color w:val="000000"/>
                <w:spacing w:val="0"/>
                <w:w w:val="100"/>
                <w:position w:val="0"/>
                <w:sz w:val="15"/>
                <w:szCs w:val="15"/>
              </w:rPr>
              <w:t>g</w:t>
            </w:r>
            <w:r>
              <w:rPr>
                <w:color w:val="000000"/>
                <w:spacing w:val="0"/>
                <w:w w:val="100"/>
                <w:position w:val="0"/>
                <w:sz w:val="15"/>
                <w:szCs w:val="15"/>
              </w:rPr>
              <w:t>现金心小计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391,311, </w:t>
            </w:r>
            <w:r>
              <w:rPr>
                <w:color w:val="000000"/>
                <w:spacing w:val="0"/>
                <w:w w:val="100"/>
                <w:position w:val="0"/>
                <w:sz w:val="15"/>
                <w:szCs w:val="15"/>
              </w:rPr>
              <w:t xml:space="preserve">474. </w:t>
            </w:r>
            <w:r>
              <w:rPr>
                <w:color w:val="000000"/>
                <w:spacing w:val="0"/>
                <w:w w:val="100"/>
                <w:position w:val="0"/>
                <w:sz w:val="15"/>
                <w:szCs w:val="15"/>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441, 304,</w:t>
            </w:r>
            <w:r>
              <w:rPr>
                <w:color w:val="000000"/>
                <w:spacing w:val="0"/>
                <w:w w:val="100"/>
                <w:position w:val="0"/>
                <w:sz w:val="15"/>
                <w:szCs w:val="15"/>
              </w:rPr>
              <w:t>638.</w:t>
            </w:r>
            <w:r>
              <w:rPr>
                <w:color w:val="000000"/>
                <w:spacing w:val="0"/>
                <w:w w:val="100"/>
                <w:position w:val="0"/>
                <w:sz w:val="15"/>
                <w:szCs w:val="15"/>
              </w:rPr>
              <w:t>25</w:t>
            </w:r>
          </w:p>
        </w:tc>
      </w:tr>
      <w:tr>
        <w:trPr>
          <w:trHeight w:val="31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购建固定资产、无形资产和其他长期资产支付的现金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 xml:space="preserve">38, 280, </w:t>
            </w:r>
            <w:r>
              <w:rPr>
                <w:color w:val="000000"/>
                <w:spacing w:val="0"/>
                <w:w w:val="100"/>
                <w:position w:val="0"/>
                <w:sz w:val="15"/>
                <w:szCs w:val="15"/>
              </w:rPr>
              <w:t xml:space="preserve">704. </w:t>
            </w:r>
            <w:r>
              <w:rPr>
                <w:color w:val="000000"/>
                <w:spacing w:val="0"/>
                <w:w w:val="100"/>
                <w:position w:val="0"/>
                <w:sz w:val="15"/>
                <w:szCs w:val="15"/>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11, 124, </w:t>
            </w:r>
            <w:r>
              <w:rPr>
                <w:color w:val="000000"/>
                <w:spacing w:val="0"/>
                <w:w w:val="100"/>
                <w:position w:val="0"/>
                <w:sz w:val="15"/>
                <w:szCs w:val="15"/>
              </w:rPr>
              <w:t xml:space="preserve">330. </w:t>
            </w:r>
            <w:r>
              <w:rPr>
                <w:color w:val="000000"/>
                <w:spacing w:val="0"/>
                <w:w w:val="100"/>
                <w:position w:val="0"/>
                <w:sz w:val="15"/>
                <w:szCs w:val="15"/>
              </w:rPr>
              <w:t>75</w:t>
            </w: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投资支付的现金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2, 477, 657, </w:t>
            </w:r>
            <w:r>
              <w:rPr>
                <w:color w:val="000000"/>
                <w:spacing w:val="0"/>
                <w:w w:val="100"/>
                <w:position w:val="0"/>
                <w:sz w:val="15"/>
                <w:szCs w:val="15"/>
              </w:rPr>
              <w:t xml:space="preserve">926. </w:t>
            </w:r>
            <w:r>
              <w:rPr>
                <w:color w:val="000000"/>
                <w:spacing w:val="0"/>
                <w:w w:val="100"/>
                <w:position w:val="0"/>
                <w:sz w:val="15"/>
                <w:szCs w:val="15"/>
              </w:rPr>
              <w:t>01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33, 000, </w:t>
            </w:r>
            <w:r>
              <w:rPr>
                <w:color w:val="000000"/>
                <w:spacing w:val="0"/>
                <w:w w:val="100"/>
                <w:position w:val="0"/>
                <w:sz w:val="15"/>
                <w:szCs w:val="15"/>
              </w:rPr>
              <w:t xml:space="preserve">000. </w:t>
            </w:r>
            <w:r>
              <w:rPr>
                <w:color w:val="000000"/>
                <w:spacing w:val="0"/>
                <w:w w:val="100"/>
                <w:position w:val="0"/>
                <w:sz w:val="15"/>
                <w:szCs w:val="15"/>
              </w:rPr>
              <w:t>00</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取得子公司及其他营业单位支付的现金净额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支付其他与投资活动有关的现金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110, 048, </w:t>
            </w:r>
            <w:r>
              <w:rPr>
                <w:color w:val="000000"/>
                <w:spacing w:val="0"/>
                <w:w w:val="100"/>
                <w:position w:val="0"/>
                <w:sz w:val="15"/>
                <w:szCs w:val="15"/>
              </w:rPr>
              <w:t xml:space="preserve">557. </w:t>
            </w:r>
            <w:r>
              <w:rPr>
                <w:color w:val="000000"/>
                <w:spacing w:val="0"/>
                <w:w w:val="100"/>
                <w:position w:val="0"/>
                <w:sz w:val="15"/>
                <w:szCs w:val="15"/>
              </w:rPr>
              <w:t>32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325,668,</w:t>
            </w:r>
            <w:r>
              <w:rPr>
                <w:color w:val="000000"/>
                <w:spacing w:val="0"/>
                <w:w w:val="100"/>
                <w:position w:val="0"/>
                <w:sz w:val="15"/>
                <w:szCs w:val="15"/>
              </w:rPr>
              <w:t>681.</w:t>
            </w:r>
            <w:r>
              <w:rPr>
                <w:color w:val="000000"/>
                <w:spacing w:val="0"/>
                <w:w w:val="100"/>
                <w:position w:val="0"/>
                <w:sz w:val="15"/>
                <w:szCs w:val="15"/>
              </w:rPr>
              <w:t>43</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投资活动现金流出小计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2, 625,987, </w:t>
            </w:r>
            <w:r>
              <w:rPr>
                <w:color w:val="000000"/>
                <w:spacing w:val="0"/>
                <w:w w:val="100"/>
                <w:position w:val="0"/>
                <w:sz w:val="15"/>
                <w:szCs w:val="15"/>
              </w:rPr>
              <w:t xml:space="preserve">187. </w:t>
            </w:r>
            <w:r>
              <w:rPr>
                <w:color w:val="000000"/>
                <w:spacing w:val="0"/>
                <w:w w:val="100"/>
                <w:position w:val="0"/>
                <w:sz w:val="15"/>
                <w:szCs w:val="15"/>
              </w:rPr>
              <w:t>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369, 793, </w:t>
            </w:r>
            <w:r>
              <w:rPr>
                <w:color w:val="000000"/>
                <w:spacing w:val="0"/>
                <w:w w:val="100"/>
                <w:position w:val="0"/>
                <w:sz w:val="15"/>
                <w:szCs w:val="15"/>
              </w:rPr>
              <w:t xml:space="preserve">012. </w:t>
            </w:r>
            <w:r>
              <w:rPr>
                <w:color w:val="000000"/>
                <w:spacing w:val="0"/>
                <w:w w:val="100"/>
                <w:position w:val="0"/>
                <w:sz w:val="15"/>
                <w:szCs w:val="15"/>
              </w:rPr>
              <w:t>18</w:t>
            </w:r>
          </w:p>
        </w:tc>
      </w:tr>
      <w:tr>
        <w:trPr>
          <w:trHeight w:val="307"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投资时产生的现金流量净额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-2,234,675,713. </w:t>
            </w:r>
            <w:r>
              <w:rPr>
                <w:color w:val="000000"/>
                <w:spacing w:val="0"/>
                <w:w w:val="100"/>
                <w:position w:val="0"/>
                <w:sz w:val="15"/>
                <w:szCs w:val="15"/>
              </w:rPr>
              <w:t>49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71,511,626.</w:t>
            </w:r>
            <w:r>
              <w:rPr>
                <w:color w:val="000000"/>
                <w:spacing w:val="0"/>
                <w:w w:val="100"/>
                <w:position w:val="0"/>
                <w:sz w:val="15"/>
                <w:szCs w:val="15"/>
              </w:rPr>
              <w:t>07</w:t>
            </w:r>
          </w:p>
        </w:tc>
      </w:tr>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三、筹资活动产生的现金流量：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吸收投资收到的现金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4, 329,288, </w:t>
            </w:r>
            <w:r>
              <w:rPr>
                <w:color w:val="000000"/>
                <w:spacing w:val="0"/>
                <w:w w:val="100"/>
                <w:position w:val="0"/>
                <w:sz w:val="15"/>
                <w:szCs w:val="15"/>
              </w:rPr>
              <w:t>231.</w:t>
            </w:r>
            <w:r>
              <w:rPr>
                <w:color w:val="000000"/>
                <w:spacing w:val="0"/>
                <w:w w:val="100"/>
                <w:position w:val="0"/>
                <w:sz w:val="15"/>
                <w:szCs w:val="15"/>
              </w:rPr>
              <w:t>94</w:t>
            </w:r>
          </w:p>
        </w:tc>
      </w:tr>
      <w:tr>
        <w:trPr>
          <w:trHeight w:val="293"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取得借款收到的现金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908, 904, </w:t>
            </w:r>
            <w:r>
              <w:rPr>
                <w:color w:val="000000"/>
                <w:spacing w:val="0"/>
                <w:w w:val="100"/>
                <w:position w:val="0"/>
                <w:sz w:val="15"/>
                <w:szCs w:val="15"/>
              </w:rPr>
              <w:t xml:space="preserve">769. </w:t>
            </w:r>
            <w:r>
              <w:rPr>
                <w:color w:val="000000"/>
                <w:spacing w:val="0"/>
                <w:w w:val="100"/>
                <w:position w:val="0"/>
                <w:sz w:val="15"/>
                <w:szCs w:val="15"/>
              </w:rPr>
              <w:t>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60, 089, </w:t>
            </w:r>
            <w:r>
              <w:rPr>
                <w:color w:val="000000"/>
                <w:spacing w:val="0"/>
                <w:w w:val="100"/>
                <w:position w:val="0"/>
                <w:sz w:val="15"/>
                <w:szCs w:val="15"/>
              </w:rPr>
              <w:t>562.</w:t>
            </w:r>
            <w:r>
              <w:rPr>
                <w:color w:val="000000"/>
                <w:spacing w:val="0"/>
                <w:w w:val="100"/>
                <w:position w:val="0"/>
                <w:sz w:val="15"/>
                <w:szCs w:val="15"/>
              </w:rPr>
              <w:t>20</w:t>
            </w:r>
          </w:p>
        </w:tc>
      </w:tr>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发行债券收到的现金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收到其他与筹资活动有关的现金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132,646, </w:t>
            </w:r>
            <w:r>
              <w:rPr>
                <w:color w:val="000000"/>
                <w:spacing w:val="0"/>
                <w:w w:val="100"/>
                <w:position w:val="0"/>
                <w:sz w:val="15"/>
                <w:szCs w:val="15"/>
              </w:rPr>
              <w:t xml:space="preserve">796. </w:t>
            </w:r>
            <w:r>
              <w:rPr>
                <w:color w:val="000000"/>
                <w:spacing w:val="0"/>
                <w:w w:val="100"/>
                <w:position w:val="0"/>
                <w:sz w:val="15"/>
                <w:szCs w:val="15"/>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181,466,512.</w:t>
            </w:r>
            <w:r>
              <w:rPr>
                <w:rFonts w:ascii="Times New Roman" w:eastAsia="Times New Roman" w:hAnsi="Times New Roman" w:cs="Times New Roman"/>
                <w:i/>
                <w:iCs/>
                <w:color w:val="000000"/>
                <w:spacing w:val="0"/>
                <w:w w:val="100"/>
                <w:position w:val="0"/>
                <w:sz w:val="15"/>
                <w:szCs w:val="15"/>
              </w:rPr>
              <w:t>29</w:t>
            </w:r>
          </w:p>
        </w:tc>
      </w:tr>
      <w:tr>
        <w:trPr>
          <w:trHeight w:val="30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筹资</w:t>
            </w:r>
            <w:r>
              <w:rPr>
                <w:color w:val="000000"/>
                <w:spacing w:val="0"/>
                <w:w w:val="100"/>
                <w:position w:val="0"/>
                <w:sz w:val="15"/>
                <w:szCs w:val="15"/>
              </w:rPr>
              <w:t>g</w:t>
            </w:r>
            <w:r>
              <w:rPr>
                <w:color w:val="000000"/>
                <w:spacing w:val="0"/>
                <w:w w:val="100"/>
                <w:position w:val="0"/>
                <w:sz w:val="15"/>
                <w:szCs w:val="15"/>
              </w:rPr>
              <w:t>现金心小计</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1, 041, 551, </w:t>
            </w:r>
            <w:r>
              <w:rPr>
                <w:color w:val="000000"/>
                <w:spacing w:val="0"/>
                <w:w w:val="100"/>
                <w:position w:val="0"/>
                <w:sz w:val="15"/>
                <w:szCs w:val="15"/>
              </w:rPr>
              <w:t xml:space="preserve">565. </w:t>
            </w:r>
            <w:r>
              <w:rPr>
                <w:color w:val="000000"/>
                <w:spacing w:val="0"/>
                <w:w w:val="100"/>
                <w:position w:val="0"/>
                <w:sz w:val="15"/>
                <w:szCs w:val="15"/>
              </w:rPr>
              <w:t>63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4, 570, 844, </w:t>
            </w:r>
            <w:r>
              <w:rPr>
                <w:color w:val="000000"/>
                <w:spacing w:val="0"/>
                <w:w w:val="100"/>
                <w:position w:val="0"/>
                <w:sz w:val="15"/>
                <w:szCs w:val="15"/>
              </w:rPr>
              <w:t>306.</w:t>
            </w:r>
            <w:r>
              <w:rPr>
                <w:color w:val="000000"/>
                <w:spacing w:val="0"/>
                <w:w w:val="100"/>
                <w:position w:val="0"/>
                <w:sz w:val="15"/>
                <w:szCs w:val="15"/>
              </w:rPr>
              <w:t>43</w:t>
            </w:r>
          </w:p>
        </w:tc>
      </w:tr>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偿还债务支付的现金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 xml:space="preserve">88, 349, </w:t>
            </w:r>
            <w:r>
              <w:rPr>
                <w:color w:val="000000"/>
                <w:spacing w:val="0"/>
                <w:w w:val="100"/>
                <w:position w:val="0"/>
                <w:sz w:val="15"/>
                <w:szCs w:val="15"/>
              </w:rPr>
              <w:t xml:space="preserve">728. </w:t>
            </w:r>
            <w:r>
              <w:rPr>
                <w:color w:val="000000"/>
                <w:spacing w:val="0"/>
                <w:w w:val="100"/>
                <w:position w:val="0"/>
                <w:sz w:val="15"/>
                <w:szCs w:val="15"/>
              </w:rPr>
              <w:t>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328,939, </w:t>
            </w:r>
            <w:r>
              <w:rPr>
                <w:color w:val="000000"/>
                <w:spacing w:val="0"/>
                <w:w w:val="100"/>
                <w:position w:val="0"/>
                <w:sz w:val="15"/>
                <w:szCs w:val="15"/>
              </w:rPr>
              <w:t>385.</w:t>
            </w:r>
            <w:r>
              <w:rPr>
                <w:color w:val="000000"/>
                <w:spacing w:val="0"/>
                <w:w w:val="100"/>
                <w:position w:val="0"/>
                <w:sz w:val="15"/>
                <w:szCs w:val="15"/>
              </w:rPr>
              <w:t>45</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分配股利、利润或偿付利息支付的现金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369, 327, </w:t>
            </w:r>
            <w:r>
              <w:rPr>
                <w:color w:val="000000"/>
                <w:spacing w:val="0"/>
                <w:w w:val="100"/>
                <w:position w:val="0"/>
                <w:sz w:val="15"/>
                <w:szCs w:val="15"/>
              </w:rPr>
              <w:t>272.</w:t>
            </w:r>
            <w:r>
              <w:rPr>
                <w:color w:val="000000"/>
                <w:spacing w:val="0"/>
                <w:w w:val="100"/>
                <w:position w:val="0"/>
                <w:sz w:val="15"/>
                <w:szCs w:val="15"/>
              </w:rPr>
              <w:t>68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115,819,832.71</w:t>
            </w:r>
          </w:p>
        </w:tc>
      </w:tr>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支付其他与筹资活动有关的现金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 xml:space="preserve">11, 345, </w:t>
            </w:r>
            <w:r>
              <w:rPr>
                <w:color w:val="000000"/>
                <w:spacing w:val="0"/>
                <w:w w:val="100"/>
                <w:position w:val="0"/>
                <w:sz w:val="15"/>
                <w:szCs w:val="15"/>
              </w:rPr>
              <w:t xml:space="preserve">492. </w:t>
            </w:r>
            <w:r>
              <w:rPr>
                <w:color w:val="000000"/>
                <w:spacing w:val="0"/>
                <w:w w:val="100"/>
                <w:position w:val="0"/>
                <w:sz w:val="15"/>
                <w:szCs w:val="15"/>
              </w:rPr>
              <w:t>66</w:t>
            </w: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筹资活动现金流出小计</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469,022, </w:t>
            </w:r>
            <w:r>
              <w:rPr>
                <w:color w:val="000000"/>
                <w:spacing w:val="0"/>
                <w:w w:val="100"/>
                <w:position w:val="0"/>
                <w:sz w:val="15"/>
                <w:szCs w:val="15"/>
              </w:rPr>
              <w:t>493.</w:t>
            </w:r>
            <w:r>
              <w:rPr>
                <w:color w:val="000000"/>
                <w:spacing w:val="0"/>
                <w:w w:val="100"/>
                <w:position w:val="0"/>
                <w:sz w:val="15"/>
                <w:szCs w:val="15"/>
              </w:rPr>
              <w:t>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 xml:space="preserve">444, 759, </w:t>
            </w:r>
            <w:r>
              <w:rPr>
                <w:color w:val="000000"/>
                <w:spacing w:val="0"/>
                <w:w w:val="100"/>
                <w:position w:val="0"/>
                <w:sz w:val="15"/>
                <w:szCs w:val="15"/>
              </w:rPr>
              <w:t xml:space="preserve">218. </w:t>
            </w:r>
            <w:r>
              <w:rPr>
                <w:color w:val="000000"/>
                <w:spacing w:val="0"/>
                <w:w w:val="100"/>
                <w:position w:val="0"/>
                <w:sz w:val="15"/>
                <w:szCs w:val="15"/>
              </w:rPr>
              <w:t>16</w:t>
            </w:r>
          </w:p>
        </w:tc>
      </w:tr>
      <w:tr>
        <w:trPr>
          <w:trHeight w:val="307"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筹资晌产生的现金流量净额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rPr>
              <w:t xml:space="preserve">572, 529, </w:t>
            </w:r>
            <w:r>
              <w:rPr>
                <w:color w:val="000000"/>
                <w:spacing w:val="0"/>
                <w:w w:val="100"/>
                <w:position w:val="0"/>
                <w:sz w:val="15"/>
                <w:szCs w:val="15"/>
              </w:rPr>
              <w:t>071.</w:t>
            </w:r>
            <w:r>
              <w:rPr>
                <w:color w:val="000000"/>
                <w:spacing w:val="0"/>
                <w:w w:val="100"/>
                <w:position w:val="0"/>
                <w:sz w:val="15"/>
                <w:szCs w:val="15"/>
              </w:rPr>
              <w:t>69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4,126,085, </w:t>
            </w:r>
            <w:r>
              <w:rPr>
                <w:color w:val="000000"/>
                <w:spacing w:val="0"/>
                <w:w w:val="100"/>
                <w:position w:val="0"/>
                <w:sz w:val="15"/>
                <w:szCs w:val="15"/>
              </w:rPr>
              <w:t xml:space="preserve">088. </w:t>
            </w:r>
            <w:r>
              <w:rPr>
                <w:color w:val="000000"/>
                <w:spacing w:val="0"/>
                <w:w w:val="100"/>
                <w:position w:val="0"/>
                <w:sz w:val="15"/>
                <w:szCs w:val="15"/>
              </w:rPr>
              <w:t>27</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四、汇率变动对现金及现金等价物的影响</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 xml:space="preserve">3,681, </w:t>
            </w:r>
            <w:r>
              <w:rPr>
                <w:color w:val="000000"/>
                <w:spacing w:val="0"/>
                <w:w w:val="100"/>
                <w:position w:val="0"/>
                <w:sz w:val="15"/>
                <w:szCs w:val="15"/>
              </w:rPr>
              <w:t xml:space="preserve">307. </w:t>
            </w:r>
            <w:r>
              <w:rPr>
                <w:color w:val="000000"/>
                <w:spacing w:val="0"/>
                <w:w w:val="100"/>
                <w:position w:val="0"/>
                <w:sz w:val="15"/>
                <w:szCs w:val="15"/>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072, </w:t>
            </w:r>
            <w:r>
              <w:rPr>
                <w:color w:val="000000"/>
                <w:spacing w:val="0"/>
                <w:w w:val="100"/>
                <w:position w:val="0"/>
                <w:sz w:val="15"/>
                <w:szCs w:val="15"/>
              </w:rPr>
              <w:t xml:space="preserve">829. </w:t>
            </w:r>
            <w:r>
              <w:rPr>
                <w:color w:val="000000"/>
                <w:spacing w:val="0"/>
                <w:w w:val="100"/>
                <w:position w:val="0"/>
                <w:sz w:val="15"/>
                <w:szCs w:val="15"/>
              </w:rPr>
              <w:t>76</w:t>
            </w: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五、现金及现"价物净增加额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530,899, </w:t>
            </w:r>
            <w:r>
              <w:rPr>
                <w:color w:val="000000"/>
                <w:spacing w:val="0"/>
                <w:w w:val="100"/>
                <w:position w:val="0"/>
                <w:sz w:val="15"/>
                <w:szCs w:val="15"/>
              </w:rPr>
              <w:t xml:space="preserve">442. </w:t>
            </w:r>
            <w:r>
              <w:rPr>
                <w:color w:val="000000"/>
                <w:spacing w:val="0"/>
                <w:w w:val="100"/>
                <w:position w:val="0"/>
                <w:sz w:val="15"/>
                <w:szCs w:val="15"/>
              </w:rPr>
              <w:t>89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4, 330, 513, </w:t>
            </w:r>
            <w:r>
              <w:rPr>
                <w:color w:val="000000"/>
                <w:spacing w:val="0"/>
                <w:w w:val="100"/>
                <w:position w:val="0"/>
                <w:sz w:val="15"/>
                <w:szCs w:val="15"/>
              </w:rPr>
              <w:t>479.</w:t>
            </w:r>
            <w:r>
              <w:rPr>
                <w:color w:val="000000"/>
                <w:spacing w:val="0"/>
                <w:w w:val="100"/>
                <w:position w:val="0"/>
                <w:sz w:val="15"/>
                <w:szCs w:val="15"/>
              </w:rPr>
              <w:t>86</w:t>
            </w:r>
          </w:p>
        </w:tc>
      </w:tr>
      <w:tr>
        <w:trPr>
          <w:trHeight w:val="30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加：期初现金及现金等价物余额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4, 481, 793, </w:t>
            </w:r>
            <w:r>
              <w:rPr>
                <w:color w:val="000000"/>
                <w:spacing w:val="0"/>
                <w:w w:val="100"/>
                <w:position w:val="0"/>
                <w:sz w:val="15"/>
                <w:szCs w:val="15"/>
              </w:rPr>
              <w:t xml:space="preserve">482. </w:t>
            </w:r>
            <w:r>
              <w:rPr>
                <w:color w:val="000000"/>
                <w:spacing w:val="0"/>
                <w:w w:val="100"/>
                <w:position w:val="0"/>
                <w:sz w:val="15"/>
                <w:szCs w:val="15"/>
              </w:rPr>
              <w:t>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5"/>
                <w:szCs w:val="15"/>
              </w:rPr>
            </w:pPr>
            <w:r>
              <w:rPr>
                <w:color w:val="000000"/>
                <w:spacing w:val="0"/>
                <w:w w:val="100"/>
                <w:position w:val="0"/>
                <w:sz w:val="15"/>
                <w:szCs w:val="15"/>
              </w:rPr>
              <w:t>151,280,</w:t>
            </w:r>
            <w:r>
              <w:rPr>
                <w:color w:val="000000"/>
                <w:spacing w:val="0"/>
                <w:w w:val="100"/>
                <w:position w:val="0"/>
                <w:sz w:val="15"/>
                <w:szCs w:val="15"/>
              </w:rPr>
              <w:t>002.</w:t>
            </w:r>
            <w:r>
              <w:rPr>
                <w:color w:val="000000"/>
                <w:spacing w:val="0"/>
                <w:w w:val="100"/>
                <w:position w:val="0"/>
                <w:sz w:val="15"/>
                <w:szCs w:val="15"/>
              </w:rPr>
              <w:t>49</w:t>
            </w:r>
          </w:p>
        </w:tc>
      </w:tr>
      <w:tr>
        <w:trPr>
          <w:trHeight w:val="317"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六、期末现金及现金等价物余额</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2, 950, 894, </w:t>
            </w:r>
            <w:r>
              <w:rPr>
                <w:color w:val="000000"/>
                <w:spacing w:val="0"/>
                <w:w w:val="100"/>
                <w:position w:val="0"/>
                <w:sz w:val="15"/>
                <w:szCs w:val="15"/>
              </w:rPr>
              <w:t xml:space="preserve">039. </w:t>
            </w:r>
            <w:r>
              <w:rPr>
                <w:color w:val="000000"/>
                <w:spacing w:val="0"/>
                <w:w w:val="100"/>
                <w:position w:val="0"/>
                <w:sz w:val="15"/>
                <w:szCs w:val="15"/>
              </w:rPr>
              <w:t>46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4,481, 793,</w:t>
            </w:r>
            <w:r>
              <w:rPr>
                <w:color w:val="000000"/>
                <w:spacing w:val="0"/>
                <w:w w:val="100"/>
                <w:position w:val="0"/>
                <w:sz w:val="15"/>
                <w:szCs w:val="15"/>
              </w:rPr>
              <w:t xml:space="preserve">482. </w:t>
            </w:r>
            <w:r>
              <w:rPr>
                <w:color w:val="000000"/>
                <w:spacing w:val="0"/>
                <w:w w:val="100"/>
                <w:position w:val="0"/>
                <w:sz w:val="15"/>
                <w:szCs w:val="15"/>
              </w:rPr>
              <w:t>35</w:t>
            </w:r>
          </w:p>
        </w:tc>
      </w:tr>
    </w:tbl>
    <w:p>
      <w:pPr>
        <w:pStyle w:val="Style30"/>
        <w:keepNext w:val="0"/>
        <w:keepLines w:val="0"/>
        <w:widowControl w:val="0"/>
        <w:shd w:val="clear" w:color="auto" w:fill="auto"/>
        <w:tabs>
          <w:tab w:pos="2789" w:val="left"/>
          <w:tab w:pos="6355" w:val="left"/>
        </w:tabs>
        <w:bidi w:val="0"/>
        <w:spacing w:before="0" w:after="0" w:line="240" w:lineRule="auto"/>
        <w:ind w:left="43" w:right="0" w:firstLine="0"/>
        <w:jc w:val="left"/>
        <w:rPr>
          <w:sz w:val="15"/>
          <w:szCs w:val="15"/>
        </w:rPr>
        <w:sectPr>
          <w:footnotePr>
            <w:pos w:val="pageBottom"/>
            <w:numFmt w:val="decimal"/>
            <w:numRestart w:val="continuous"/>
          </w:footnotePr>
          <w:pgSz w:w="11900" w:h="16840"/>
          <w:pgMar w:top="1292" w:right="175" w:bottom="1268" w:left="268" w:header="0" w:footer="3" w:gutter="0"/>
          <w:cols w:space="720"/>
          <w:noEndnote/>
          <w:rtlGutter w:val="0"/>
          <w:docGrid w:linePitch="360"/>
        </w:sectPr>
      </w:pPr>
      <w:r>
        <w:rPr>
          <w:color w:val="000000"/>
          <w:spacing w:val="0"/>
          <w:w w:val="100"/>
          <w:position w:val="0"/>
          <w:sz w:val="15"/>
          <w:szCs w:val="15"/>
        </w:rPr>
        <w:t>法定代表人：徐冠巨</w:t>
        <w:tab/>
        <w:t>主管会计工作的负责人：徐冠巨</w:t>
        <w:tab/>
        <w:t>会计机构负责人：杨万清</w:t>
      </w:r>
    </w:p>
    <w:p>
      <w:pPr>
        <w:pStyle w:val="Style6"/>
        <w:keepNext w:val="0"/>
        <w:keepLines w:val="0"/>
        <w:widowControl w:val="0"/>
        <w:shd w:val="clear" w:color="auto" w:fill="auto"/>
        <w:bidi w:val="0"/>
        <w:spacing w:before="0" w:after="80" w:line="240" w:lineRule="auto"/>
        <w:ind w:left="0" w:right="0" w:firstLine="0"/>
        <w:jc w:val="center"/>
      </w:pPr>
      <w:r>
        <w:rPr>
          <w:rFonts w:ascii="SimHei" w:eastAsia="SimHei" w:hAnsi="SimHei" w:cs="SimHei"/>
          <w:color w:val="000000"/>
          <w:spacing w:val="0"/>
          <w:w w:val="100"/>
          <w:position w:val="0"/>
          <w:sz w:val="24"/>
          <w:szCs w:val="24"/>
        </w:rPr>
        <w:t>合并所有者权益变动表</w:t>
      </w:r>
    </w:p>
    <w:p>
      <w:pPr>
        <w:pStyle w:val="Style94"/>
        <w:keepNext w:val="0"/>
        <w:keepLines w:val="0"/>
        <w:widowControl w:val="0"/>
        <w:shd w:val="clear" w:color="auto" w:fill="auto"/>
        <w:bidi w:val="0"/>
        <w:spacing w:before="0" w:after="320" w:line="240" w:lineRule="auto"/>
        <w:ind w:left="0" w:right="0" w:firstLine="0"/>
        <w:jc w:val="center"/>
      </w:pPr>
      <w:r>
        <w:rPr>
          <w:rFonts w:ascii="Courier New" w:eastAsia="Courier New" w:hAnsi="Courier New" w:cs="Courier New"/>
          <w:b/>
          <w:bCs/>
          <w:color w:val="000000"/>
          <w:spacing w:val="0"/>
          <w:w w:val="100"/>
          <w:position w:val="0"/>
          <w:sz w:val="13"/>
          <w:szCs w:val="13"/>
        </w:rPr>
        <w:t>201</w:t>
      </w:r>
      <w:r>
        <w:rPr>
          <w:color w:val="000000"/>
          <w:spacing w:val="0"/>
          <w:w w:val="100"/>
          <w:position w:val="0"/>
        </w:rPr>
        <w:t>弹度</w:t>
      </w:r>
    </w:p>
    <w:p>
      <w:pPr>
        <w:widowControl w:val="0"/>
        <w:spacing w:line="1" w:lineRule="exact"/>
      </w:pPr>
      <w:r>
        <mc:AlternateContent>
          <mc:Choice Requires="wps">
            <w:drawing>
              <wp:anchor distT="0" distB="5715" distL="0" distR="0" simplePos="0" relativeHeight="125829378" behindDoc="0" locked="0" layoutInCell="1" allowOverlap="1">
                <wp:simplePos x="0" y="0"/>
                <wp:positionH relativeFrom="page">
                  <wp:posOffset>41910</wp:posOffset>
                </wp:positionH>
                <wp:positionV relativeFrom="paragraph">
                  <wp:posOffset>0</wp:posOffset>
                </wp:positionV>
                <wp:extent cx="554990" cy="97790"/>
                <wp:wrapTopAndBottom/>
                <wp:docPr id="50" name="Shape 50"/>
                <a:graphic xmlns:a="http://schemas.openxmlformats.org/drawingml/2006/main">
                  <a:graphicData uri="http://schemas.microsoft.com/office/word/2010/wordprocessingShape">
                    <wps:wsp>
                      <wps:cNvSpPr txBox="1"/>
                      <wps:spPr>
                        <a:xfrm>
                          <a:ext cx="554990" cy="9779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法宣代爰人：倏冠巨</w:t>
                            </w:r>
                          </w:p>
                        </w:txbxContent>
                      </wps:txbx>
                      <wps:bodyPr wrap="none" lIns="0" tIns="0" rIns="0" bIns="0">
                        <a:noAutoFit/>
                      </wps:bodyPr>
                    </wps:wsp>
                  </a:graphicData>
                </a:graphic>
              </wp:anchor>
            </w:drawing>
          </mc:Choice>
          <mc:Fallback>
            <w:pict>
              <v:shape id="_x0000_s1076" type="#_x0000_t202" style="position:absolute;margin-left:3.3000000000000003pt;margin-top:0;width:43.700000000000003pt;height:7.7000000000000002pt;z-index:-125829375;mso-wrap-distance-left:0;mso-wrap-distance-right:0;mso-wrap-distance-bottom:0.45000000000000001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法宣代爰人：倏冠巨</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2888615</wp:posOffset>
                </wp:positionH>
                <wp:positionV relativeFrom="paragraph">
                  <wp:posOffset>0</wp:posOffset>
                </wp:positionV>
                <wp:extent cx="838200" cy="103505"/>
                <wp:wrapTopAndBottom/>
                <wp:docPr id="52" name="Shape 52"/>
                <a:graphic xmlns:a="http://schemas.openxmlformats.org/drawingml/2006/main">
                  <a:graphicData uri="http://schemas.microsoft.com/office/word/2010/wordprocessingShape">
                    <wps:wsp>
                      <wps:cNvSpPr txBox="1"/>
                      <wps:spPr>
                        <a:xfrm>
                          <a:ext cx="838200" cy="10350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主管会计工作齿重资人：性诞巨</w:t>
                            </w:r>
                          </w:p>
                        </w:txbxContent>
                      </wps:txbx>
                      <wps:bodyPr wrap="none" lIns="0" tIns="0" rIns="0" bIns="0">
                        <a:noAutoFit/>
                      </wps:bodyPr>
                    </wps:wsp>
                  </a:graphicData>
                </a:graphic>
              </wp:anchor>
            </w:drawing>
          </mc:Choice>
          <mc:Fallback>
            <w:pict>
              <v:shape id="_x0000_s1078" type="#_x0000_t202" style="position:absolute;margin-left:227.45000000000002pt;margin-top:0;width:66.pt;height:8.1500000000000004pt;z-index:-125829373;mso-wrap-distance-left:0;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主管会计工作齿重资人：性诞巨</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5890895</wp:posOffset>
                </wp:positionH>
                <wp:positionV relativeFrom="paragraph">
                  <wp:posOffset>0</wp:posOffset>
                </wp:positionV>
                <wp:extent cx="673735" cy="103505"/>
                <wp:wrapTopAndBottom/>
                <wp:docPr id="54" name="Shape 54"/>
                <a:graphic xmlns:a="http://schemas.openxmlformats.org/drawingml/2006/main">
                  <a:graphicData uri="http://schemas.microsoft.com/office/word/2010/wordprocessingShape">
                    <wps:wsp>
                      <wps:cNvSpPr txBox="1"/>
                      <wps:spPr>
                        <a:xfrm>
                          <a:ext cx="673735" cy="10350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rPr>
                              <w:t>施责人：扬万清</w:t>
                            </w:r>
                          </w:p>
                        </w:txbxContent>
                      </wps:txbx>
                      <wps:bodyPr wrap="none" lIns="0" tIns="0" rIns="0" bIns="0">
                        <a:noAutoFit/>
                      </wps:bodyPr>
                    </wps:wsp>
                  </a:graphicData>
                </a:graphic>
              </wp:anchor>
            </w:drawing>
          </mc:Choice>
          <mc:Fallback>
            <w:pict>
              <v:shape id="_x0000_s1080" type="#_x0000_t202" style="position:absolute;margin-left:463.85000000000002pt;margin-top:0;width:53.050000000000004pt;height:8.1500000000000004pt;z-index:-125829371;mso-wrap-distance-left:0;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rPr>
                        <w:t>施责人：扬万清</w:t>
                      </w:r>
                    </w:p>
                  </w:txbxContent>
                </v:textbox>
                <w10:wrap type="topAndBottom" anchorx="page"/>
              </v:shape>
            </w:pict>
          </mc:Fallback>
        </mc:AlternateContent>
      </w:r>
    </w:p>
    <w:p>
      <w:pPr>
        <w:pStyle w:val="Style30"/>
        <w:keepNext w:val="0"/>
        <w:keepLines w:val="0"/>
        <w:widowControl w:val="0"/>
        <w:shd w:val="clear" w:color="auto" w:fill="auto"/>
        <w:tabs>
          <w:tab w:pos="15970" w:val="left"/>
        </w:tabs>
        <w:bidi w:val="0"/>
        <w:spacing w:before="0" w:after="0" w:line="240" w:lineRule="auto"/>
        <w:ind w:left="5" w:right="0" w:firstLine="0"/>
        <w:jc w:val="left"/>
        <w:rPr>
          <w:sz w:val="12"/>
          <w:szCs w:val="12"/>
        </w:rPr>
      </w:pPr>
      <w:r>
        <w:rPr>
          <w:rFonts w:ascii="SimHei" w:eastAsia="SimHei" w:hAnsi="SimHei" w:cs="SimHei"/>
          <w:color w:val="000000"/>
          <w:spacing w:val="0"/>
          <w:w w:val="100"/>
          <w:position w:val="0"/>
          <w:sz w:val="12"/>
          <w:szCs w:val="12"/>
          <w:u w:val="single"/>
        </w:rPr>
        <w:t>痴逢陆：醐物赣购</w:t>
      </w:r>
      <w:r>
        <w:rPr>
          <w:rFonts w:ascii="Courier New" w:eastAsia="Courier New" w:hAnsi="Courier New" w:cs="Courier New"/>
          <w:b/>
          <w:bCs/>
          <w:color w:val="000000"/>
          <w:spacing w:val="0"/>
          <w:w w:val="100"/>
          <w:position w:val="0"/>
          <w:sz w:val="13"/>
          <w:szCs w:val="13"/>
          <w:u w:val="single"/>
        </w:rPr>
        <w:t>Bg</w:t>
        <w:tab/>
      </w:r>
      <w:r>
        <w:rPr>
          <w:rFonts w:ascii="SimHei" w:eastAsia="SimHei" w:hAnsi="SimHei" w:cs="SimHei"/>
          <w:color w:val="000000"/>
          <w:spacing w:val="0"/>
          <w:w w:val="100"/>
          <w:position w:val="0"/>
          <w:sz w:val="12"/>
          <w:szCs w:val="12"/>
          <w:u w:val="single"/>
        </w:rPr>
        <w:t>朝</w:t>
      </w:r>
      <w:r>
        <w:rPr>
          <w:rFonts w:ascii="Courier New" w:eastAsia="Courier New" w:hAnsi="Courier New" w:cs="Courier New"/>
          <w:b/>
          <w:bCs/>
          <w:color w:val="000000"/>
          <w:spacing w:val="0"/>
          <w:w w:val="100"/>
          <w:position w:val="0"/>
          <w:sz w:val="13"/>
          <w:szCs w:val="13"/>
          <w:u w:val="single"/>
        </w:rPr>
        <w:t>E</w:t>
      </w:r>
      <w:r>
        <w:rPr>
          <w:rFonts w:ascii="SimHei" w:eastAsia="SimHei" w:hAnsi="SimHei" w:cs="SimHei"/>
          <w:color w:val="000000"/>
          <w:spacing w:val="0"/>
          <w:w w:val="100"/>
          <w:position w:val="0"/>
          <w:sz w:val="12"/>
          <w:szCs w:val="12"/>
          <w:u w:val="single"/>
        </w:rPr>
        <w:t>人度而示</w:t>
      </w:r>
    </w:p>
    <w:tbl>
      <w:tblPr>
        <w:tblOverlap w:val="never"/>
        <w:jc w:val="center"/>
        <w:tblLayout w:type="fixed"/>
      </w:tblPr>
      <w:tblGrid>
        <w:gridCol w:w="1915"/>
        <w:gridCol w:w="878"/>
        <w:gridCol w:w="264"/>
        <w:gridCol w:w="269"/>
        <w:gridCol w:w="221"/>
        <w:gridCol w:w="840"/>
        <w:gridCol w:w="250"/>
        <w:gridCol w:w="749"/>
        <w:gridCol w:w="259"/>
        <w:gridCol w:w="768"/>
        <w:gridCol w:w="350"/>
        <w:gridCol w:w="859"/>
        <w:gridCol w:w="758"/>
        <w:gridCol w:w="922"/>
        <w:gridCol w:w="850"/>
        <w:gridCol w:w="259"/>
        <w:gridCol w:w="278"/>
        <w:gridCol w:w="216"/>
        <w:gridCol w:w="826"/>
        <w:gridCol w:w="259"/>
        <w:gridCol w:w="725"/>
        <w:gridCol w:w="269"/>
        <w:gridCol w:w="744"/>
        <w:gridCol w:w="346"/>
        <w:gridCol w:w="821"/>
        <w:gridCol w:w="883"/>
        <w:gridCol w:w="950"/>
      </w:tblGrid>
      <w:tr>
        <w:trPr>
          <w:trHeight w:val="254" w:hRule="exact"/>
        </w:trPr>
        <w:tc>
          <w:tcPr>
            <w:vMerge w:val="restart"/>
            <w:tcBorders>
              <w:top w:val="single" w:sz="4"/>
            </w:tcBorders>
            <w:shd w:val="clear" w:color="auto" w:fill="FFFFFF"/>
            <w:vAlign w:val="center"/>
          </w:tcPr>
          <w:p>
            <w:pPr>
              <w:pStyle w:val="Style6"/>
              <w:keepNext w:val="0"/>
              <w:keepLines w:val="0"/>
              <w:widowControl w:val="0"/>
              <w:shd w:val="clear" w:color="auto" w:fill="auto"/>
              <w:tabs>
                <w:tab w:pos="446" w:val="left"/>
              </w:tabs>
              <w:bidi w:val="0"/>
              <w:spacing w:before="0" w:after="0" w:line="240" w:lineRule="auto"/>
              <w:ind w:left="0" w:right="0" w:firstLine="0"/>
              <w:jc w:val="center"/>
              <w:rPr>
                <w:sz w:val="9"/>
                <w:szCs w:val="9"/>
              </w:rPr>
            </w:pPr>
            <w:r>
              <w:rPr>
                <w:color w:val="000000"/>
                <w:spacing w:val="0"/>
                <w:w w:val="100"/>
                <w:position w:val="0"/>
                <w:sz w:val="9"/>
                <w:szCs w:val="9"/>
              </w:rPr>
              <w:t>度</w:t>
              <w:tab/>
              <w:t>目</w:t>
            </w:r>
          </w:p>
        </w:tc>
        <w:tc>
          <w:tcPr>
            <w:gridSpan w:val="13"/>
            <w:tcBorders>
              <w:top w:val="single" w:sz="4"/>
              <w:left w:val="single" w:sz="4"/>
            </w:tcBorders>
            <w:shd w:val="clear" w:color="auto" w:fill="FFFFFF"/>
            <w:vAlign w:val="top"/>
          </w:tcPr>
          <w:p>
            <w:pPr>
              <w:widowControl w:val="0"/>
              <w:rPr>
                <w:sz w:val="10"/>
                <w:szCs w:val="10"/>
              </w:rPr>
            </w:pPr>
          </w:p>
        </w:tc>
        <w:tc>
          <w:tcPr>
            <w:gridSpan w:val="1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9"/>
                <w:szCs w:val="9"/>
              </w:rPr>
              <w:t>上年</w:t>
            </w:r>
            <w:r>
              <w:rPr>
                <w:rFonts w:ascii="Times New Roman" w:eastAsia="Times New Roman" w:hAnsi="Times New Roman" w:cs="Times New Roman"/>
                <w:b/>
                <w:bCs/>
                <w:color w:val="000000"/>
                <w:spacing w:val="0"/>
                <w:w w:val="100"/>
                <w:position w:val="0"/>
                <w:sz w:val="8"/>
                <w:szCs w:val="8"/>
              </w:rPr>
              <w:t>mat</w:t>
            </w:r>
          </w:p>
        </w:tc>
      </w:tr>
      <w:tr>
        <w:trPr>
          <w:trHeight w:val="230" w:hRule="exact"/>
        </w:trPr>
        <w:tc>
          <w:tcPr>
            <w:vMerge/>
            <w:tcBorders/>
            <w:shd w:val="clear" w:color="auto" w:fill="FFFFFF"/>
            <w:vAlign w:val="center"/>
          </w:tcPr>
          <w:p>
            <w:pPr/>
          </w:p>
        </w:tc>
        <w:tc>
          <w:tcPr>
            <w:gridSpan w:val="11"/>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胞用嗣舫者略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300"/>
              <w:jc w:val="left"/>
              <w:rPr>
                <w:sz w:val="9"/>
                <w:szCs w:val="9"/>
              </w:rPr>
            </w:pPr>
            <w:r>
              <w:rPr>
                <w:color w:val="000000"/>
                <w:spacing w:val="0"/>
                <w:w w:val="100"/>
                <w:position w:val="0"/>
                <w:sz w:val="9"/>
                <w:szCs w:val="9"/>
              </w:rPr>
              <w:t>所有者</w:t>
            </w:r>
          </w:p>
        </w:tc>
        <w:tc>
          <w:tcPr>
            <w:gridSpan w:val="11"/>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庆用会福所有者 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230" w:hRule="exact"/>
        </w:trPr>
        <w:tc>
          <w:tcPr>
            <w:vMerge/>
            <w:tcBorders/>
            <w:shd w:val="clear" w:color="auto" w:fill="FFFFFF"/>
            <w:vAlign w:val="center"/>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皿材</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9"/>
                <w:szCs w:val="9"/>
              </w:rPr>
              <w:t>其*</w:t>
            </w:r>
            <w:r>
              <w:rPr>
                <w:rFonts w:ascii="Courier New" w:eastAsia="Courier New" w:hAnsi="Courier New" w:cs="Courier New"/>
                <w:b/>
                <w:bCs/>
                <w:color w:val="000000"/>
                <w:spacing w:val="0"/>
                <w:w w:val="100"/>
                <w:position w:val="0"/>
                <w:sz w:val="13"/>
                <w:szCs w:val="13"/>
              </w:rPr>
              <w:t>sara</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童本</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2"/>
                <w:szCs w:val="12"/>
              </w:rPr>
              <w:t>乾</w:t>
            </w:r>
            <w:r>
              <w:rPr>
                <w:rFonts w:ascii="Courier New" w:eastAsia="Courier New" w:hAnsi="Courier New" w:cs="Courier New"/>
                <w:b/>
                <w:bCs/>
                <w:color w:val="000000"/>
                <w:spacing w:val="0"/>
                <w:w w:val="100"/>
                <w:position w:val="0"/>
                <w:sz w:val="13"/>
                <w:szCs w:val="13"/>
              </w:rPr>
              <w:t>E!</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9"/>
                <w:szCs w:val="9"/>
              </w:rPr>
            </w:pPr>
            <w:r>
              <w:rPr>
                <w:i/>
                <w:iCs/>
                <w:color w:val="000000"/>
                <w:spacing w:val="0"/>
                <w:w w:val="100"/>
                <w:position w:val="0"/>
                <w:sz w:val="9"/>
                <w:szCs w:val="9"/>
              </w:rPr>
              <w:t>专度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i/>
                <w:iCs/>
                <w:color w:val="000000"/>
                <w:spacing w:val="0"/>
                <w:w w:val="100"/>
                <w:position w:val="0"/>
                <w:sz w:val="10"/>
                <w:szCs w:val="10"/>
              </w:rPr>
              <w:t>-HA</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-fc/L&lt;T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«R*)</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其*具</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Courier New" w:eastAsia="Courier New" w:hAnsi="Courier New" w:cs="Courier New"/>
                <w:b/>
                <w:bCs/>
                <w:color w:val="000000"/>
                <w:spacing w:val="0"/>
                <w:w w:val="100"/>
                <w:position w:val="0"/>
                <w:sz w:val="13"/>
                <w:szCs w:val="13"/>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2"/>
                <w:szCs w:val="12"/>
              </w:rPr>
            </w:pPr>
            <w:r>
              <w:rPr>
                <w:rFonts w:ascii="SimHei" w:eastAsia="SimHei" w:hAnsi="SimHei" w:cs="SimHei"/>
                <w:color w:val="000000"/>
                <w:spacing w:val="0"/>
                <w:w w:val="100"/>
                <w:position w:val="0"/>
                <w:sz w:val="12"/>
                <w:szCs w:val="12"/>
              </w:rPr>
              <w:t>其嵯</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春度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rPr>
                <w:sz w:val="12"/>
                <w:szCs w:val="12"/>
              </w:rPr>
            </w:pPr>
            <w:r>
              <w:rPr>
                <w:rFonts w:ascii="Courier New" w:eastAsia="Courier New" w:hAnsi="Courier New" w:cs="Courier New"/>
                <w:b/>
                <w:bCs/>
                <w:color w:val="000000"/>
                <w:spacing w:val="0"/>
                <w:w w:val="100"/>
                <w:position w:val="0"/>
                <w:sz w:val="13"/>
                <w:szCs w:val="13"/>
              </w:rPr>
              <w:t xml:space="preserve">—6R </w:t>
            </w:r>
            <w:r>
              <w:rPr>
                <w:rFonts w:ascii="SimHei" w:eastAsia="SimHei" w:hAnsi="SimHei" w:cs="SimHei"/>
                <w:color w:val="000000"/>
                <w:spacing w:val="0"/>
                <w:w w:val="100"/>
                <w:position w:val="0"/>
                <w:sz w:val="12"/>
                <w:szCs w:val="12"/>
              </w:rPr>
              <w:t>险魅</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smallCaps/>
                <w:color w:val="000000"/>
                <w:spacing w:val="0"/>
                <w:w w:val="100"/>
                <w:position w:val="0"/>
                <w:sz w:val="8"/>
                <w:szCs w:val="8"/>
              </w:rPr>
              <w:t>-K.A&lt;t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26"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i/>
                <w:iCs/>
                <w:color w:val="000000"/>
                <w:spacing w:val="0"/>
                <w:w w:val="100"/>
                <w:position w:val="0"/>
                <w:sz w:val="10"/>
                <w:szCs w:val="10"/>
              </w:rPr>
              <w:t>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i/>
                <w:iCs/>
                <w:color w:val="000000"/>
                <w:spacing w:val="0"/>
                <w:w w:val="100"/>
                <w:position w:val="0"/>
                <w:sz w:val="10"/>
                <w:szCs w:val="10"/>
              </w:rPr>
              <w:t>tB</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w:t>
            </w:r>
            <w:r>
              <w:rPr>
                <w:color w:val="000000"/>
                <w:spacing w:val="0"/>
                <w:w w:val="100"/>
                <w:position w:val="0"/>
                <w:sz w:val="9"/>
                <w:szCs w:val="9"/>
              </w:rPr>
              <w:t>、上年年卷瓶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3.2S7. B1&amp; 67B.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5,937,123,110.04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-2. 600.133.75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17B,Bm.3SL3£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 5D1. Bi9, 631. 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283,603,455.90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11,156,592,104.05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8"/>
                <w:szCs w:val="8"/>
              </w:rPr>
            </w:pPr>
            <w:r>
              <w:rPr>
                <w:rFonts w:ascii="Times New Roman" w:eastAsia="Times New Roman" w:hAnsi="Times New Roman" w:cs="Times New Roman"/>
                <w:b/>
                <w:bCs/>
                <w:color w:val="000000"/>
                <w:spacing w:val="0"/>
                <w:w w:val="100"/>
                <w:position w:val="0"/>
                <w:sz w:val="8"/>
                <w:szCs w:val="8"/>
              </w:rPr>
              <w:t>4B7. MD, DOO.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17B. 510. 050. </w:t>
            </w:r>
            <w:r>
              <w:rPr>
                <w:rFonts w:ascii="Times New Roman" w:eastAsia="Times New Roman" w:hAnsi="Times New Roman" w:cs="Times New Roman"/>
                <w:b/>
                <w:bCs/>
                <w:color w:val="000000"/>
                <w:spacing w:val="0"/>
                <w:w w:val="100"/>
                <w:position w:val="0"/>
                <w:sz w:val="8"/>
                <w:szCs w:val="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 xml:space="preserve">-14T, </w:t>
            </w:r>
            <w:r>
              <w:rPr>
                <w:rFonts w:ascii="Times New Roman" w:eastAsia="Times New Roman" w:hAnsi="Times New Roman" w:cs="Times New Roman"/>
                <w:b/>
                <w:bCs/>
                <w:i/>
                <w:iCs/>
                <w:color w:val="000000"/>
                <w:spacing w:val="0"/>
                <w:w w:val="100"/>
                <w:position w:val="0"/>
                <w:sz w:val="8"/>
                <w:szCs w:val="8"/>
              </w:rPr>
              <w:t>TTI.</w:t>
            </w:r>
            <w:r>
              <w:rPr>
                <w:rFonts w:ascii="Times New Roman" w:eastAsia="Times New Roman" w:hAnsi="Times New Roman" w:cs="Times New Roman"/>
                <w:b/>
                <w:bCs/>
                <w:color w:val="000000"/>
                <w:spacing w:val="0"/>
                <w:w w:val="100"/>
                <w:position w:val="0"/>
                <w:sz w:val="8"/>
                <w:szCs w:val="8"/>
              </w:rPr>
              <w:t xml:space="preserve">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12E. 74B, 965. 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 050,175, 591 BS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330, 313, 76Z. 3S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8"/>
                <w:szCs w:val="8"/>
              </w:rPr>
            </w:pPr>
            <w:r>
              <w:rPr>
                <w:rFonts w:ascii="Times New Roman" w:eastAsia="Times New Roman" w:hAnsi="Times New Roman" w:cs="Times New Roman"/>
                <w:b/>
                <w:bCs/>
                <w:color w:val="000000"/>
                <w:spacing w:val="0"/>
                <w:w w:val="100"/>
                <w:position w:val="0"/>
                <w:sz w:val="8"/>
                <w:szCs w:val="8"/>
              </w:rPr>
              <w:t>2,163, 5TO.</w:t>
            </w:r>
            <w:r>
              <w:rPr>
                <w:color w:val="000000"/>
                <w:spacing w:val="0"/>
                <w:w w:val="100"/>
                <w:position w:val="0"/>
                <w:sz w:val="9"/>
                <w:szCs w:val="9"/>
              </w:rPr>
              <w:t xml:space="preserve">心 </w:t>
            </w:r>
            <w:r>
              <w:rPr>
                <w:rFonts w:ascii="Times New Roman" w:eastAsia="Times New Roman" w:hAnsi="Times New Roman" w:cs="Times New Roman"/>
                <w:b/>
                <w:bCs/>
                <w:color w:val="000000"/>
                <w:spacing w:val="0"/>
                <w:w w:val="100"/>
                <w:position w:val="0"/>
                <w:sz w:val="8"/>
                <w:szCs w:val="8"/>
              </w:rPr>
              <w:t>49</w:t>
            </w:r>
          </w:p>
        </w:tc>
      </w:tr>
      <w:tr>
        <w:trPr>
          <w:trHeight w:val="23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9"/>
                <w:szCs w:val="9"/>
              </w:rPr>
              <w:t>如会</w:t>
            </w:r>
            <w:r>
              <w:rPr>
                <w:rFonts w:ascii="Times New Roman" w:eastAsia="Times New Roman" w:hAnsi="Times New Roman" w:cs="Times New Roman"/>
                <w:b/>
                <w:bCs/>
                <w:color w:val="000000"/>
                <w:spacing w:val="0"/>
                <w:w w:val="100"/>
                <w:position w:val="0"/>
                <w:sz w:val="8"/>
                <w:szCs w:val="8"/>
              </w:rPr>
              <w:t>it</w:t>
            </w:r>
            <w:r>
              <w:rPr>
                <w:color w:val="000000"/>
                <w:spacing w:val="0"/>
                <w:w w:val="100"/>
                <w:position w:val="0"/>
                <w:sz w:val="9"/>
                <w:szCs w:val="9"/>
              </w:rPr>
              <w:t>■蹈咬</w:t>
            </w:r>
            <w:r>
              <w:rPr>
                <w:rFonts w:ascii="Times New Roman" w:eastAsia="Times New Roman" w:hAnsi="Times New Roman" w:cs="Times New Roman"/>
                <w:b/>
                <w:bCs/>
                <w:color w:val="000000"/>
                <w:spacing w:val="0"/>
                <w:w w:val="100"/>
                <w:position w:val="0"/>
                <w:sz w:val="8"/>
                <w:szCs w:val="8"/>
              </w:rPr>
              <w:t>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9"/>
                <w:szCs w:val="9"/>
              </w:rPr>
            </w:pPr>
            <w:r>
              <w:rPr>
                <w:color w:val="000000"/>
                <w:spacing w:val="0"/>
                <w:w w:val="100"/>
                <w:position w:val="0"/>
                <w:sz w:val="9"/>
                <w:szCs w:val="9"/>
              </w:rPr>
              <w:t>同</w:t>
            </w:r>
            <w:r>
              <w:rPr>
                <w:color w:val="000000"/>
                <w:spacing w:val="0"/>
                <w:w w:val="100"/>
                <w:position w:val="0"/>
                <w:sz w:val="9"/>
                <w:szCs w:val="9"/>
              </w:rPr>
              <w:t>一</w:t>
            </w:r>
            <w:r>
              <w:rPr>
                <w:rFonts w:ascii="Times New Roman" w:eastAsia="Times New Roman" w:hAnsi="Times New Roman" w:cs="Times New Roman"/>
                <w:b/>
                <w:bCs/>
                <w:color w:val="000000"/>
                <w:spacing w:val="0"/>
                <w:w w:val="100"/>
                <w:position w:val="0"/>
                <w:sz w:val="8"/>
                <w:szCs w:val="8"/>
              </w:rPr>
              <w:t>felTF</w:t>
            </w:r>
            <w:r>
              <w:rPr>
                <w:color w:val="000000"/>
                <w:spacing w:val="0"/>
                <w:w w:val="100"/>
                <w:position w:val="0"/>
                <w:sz w:val="9"/>
                <w:szCs w:val="9"/>
              </w:rPr>
              <w:t>企</w:t>
            </w:r>
            <w:r>
              <w:rPr>
                <w:color w:val="000000"/>
                <w:spacing w:val="0"/>
                <w:w w:val="100"/>
                <w:position w:val="0"/>
                <w:sz w:val="9"/>
                <w:szCs w:val="9"/>
              </w:rPr>
              <w:t>g</w:t>
            </w:r>
            <w:r>
              <w:rPr>
                <w:color w:val="000000"/>
                <w:spacing w:val="0"/>
                <w:w w:val="100"/>
                <w:position w:val="0"/>
                <w:sz w:val="9"/>
                <w:szCs w:val="9"/>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5H, </w:t>
            </w:r>
            <w:r>
              <w:rPr>
                <w:rFonts w:ascii="Times New Roman" w:eastAsia="Times New Roman" w:hAnsi="Times New Roman" w:cs="Times New Roman"/>
                <w:b/>
                <w:bCs/>
                <w:color w:val="000000"/>
                <w:spacing w:val="0"/>
                <w:w w:val="100"/>
                <w:position w:val="0"/>
                <w:sz w:val="8"/>
                <w:szCs w:val="8"/>
              </w:rPr>
              <w:t xml:space="preserve">900, </w:t>
            </w:r>
            <w:r>
              <w:rPr>
                <w:rFonts w:ascii="Times New Roman" w:eastAsia="Times New Roman" w:hAnsi="Times New Roman" w:cs="Times New Roman"/>
                <w:b/>
                <w:bCs/>
                <w:color w:val="000000"/>
                <w:spacing w:val="0"/>
                <w:w w:val="100"/>
                <w:position w:val="0"/>
                <w:sz w:val="8"/>
                <w:szCs w:val="8"/>
              </w:rPr>
              <w:t>67H.</w:t>
            </w:r>
            <w:r>
              <w:rPr>
                <w:rFonts w:ascii="Times New Roman" w:eastAsia="Times New Roman" w:hAnsi="Times New Roman" w:cs="Times New Roman"/>
                <w:b/>
                <w:bCs/>
                <w:color w:val="000000"/>
                <w:spacing w:val="0"/>
                <w:w w:val="100"/>
                <w:position w:val="0"/>
                <w:sz w:val="8"/>
                <w:szCs w:val="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B, 907. 731 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17, 366,561.64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45, 733, SB7. 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674, MB, 371. B»</w:t>
            </w: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9"/>
                <w:szCs w:val="9"/>
              </w:rPr>
            </w:pPr>
            <w:r>
              <w:rPr>
                <w:color w:val="000000"/>
                <w:spacing w:val="0"/>
                <w:w w:val="100"/>
                <w:position w:val="0"/>
                <w:sz w:val="9"/>
                <w:szCs w:val="9"/>
              </w:rPr>
              <w:t>其篇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二、木年^</w:t>
            </w: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M JST. B1&amp; 67B.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 xml:space="preserve">S, </w:t>
            </w:r>
            <w:r>
              <w:rPr>
                <w:rFonts w:ascii="Times New Roman" w:eastAsia="Times New Roman" w:hAnsi="Times New Roman" w:cs="Times New Roman"/>
                <w:b/>
                <w:bCs/>
                <w:color w:val="000000"/>
                <w:spacing w:val="0"/>
                <w:w w:val="100"/>
                <w:position w:val="0"/>
                <w:sz w:val="8"/>
                <w:szCs w:val="8"/>
              </w:rPr>
              <w:t>937,133,</w:t>
            </w:r>
            <w:r>
              <w:rPr>
                <w:rFonts w:ascii="Times New Roman" w:eastAsia="Times New Roman" w:hAnsi="Times New Roman" w:cs="Times New Roman"/>
                <w:b/>
                <w:bCs/>
                <w:color w:val="000000"/>
                <w:spacing w:val="0"/>
                <w:w w:val="100"/>
                <w:position w:val="0"/>
                <w:sz w:val="8"/>
                <w:szCs w:val="8"/>
              </w:rPr>
              <w:t xml:space="preserve">110. </w:t>
            </w:r>
            <w:r>
              <w:rPr>
                <w:rFonts w:ascii="Times New Roman" w:eastAsia="Times New Roman" w:hAnsi="Times New Roman" w:cs="Times New Roman"/>
                <w:b/>
                <w:bCs/>
                <w:color w:val="000000"/>
                <w:spacing w:val="0"/>
                <w:w w:val="100"/>
                <w:position w:val="0"/>
                <w:sz w:val="8"/>
                <w:szCs w:val="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3. 6W. 13X 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17B,BO1.3S3.3£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 SOI, B49. 6S1. 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 xml:space="preserve">3fi* </w:t>
            </w:r>
            <w:r>
              <w:rPr>
                <w:color w:val="000000"/>
                <w:spacing w:val="0"/>
                <w:w w:val="100"/>
                <w:position w:val="0"/>
                <w:sz w:val="9"/>
                <w:szCs w:val="9"/>
              </w:rPr>
              <w:t>皿</w:t>
            </w:r>
            <w:r>
              <w:rPr>
                <w:rFonts w:ascii="Times New Roman" w:eastAsia="Times New Roman" w:hAnsi="Times New Roman" w:cs="Times New Roman"/>
                <w:b/>
                <w:bCs/>
                <w:color w:val="000000"/>
                <w:spacing w:val="0"/>
                <w:w w:val="100"/>
                <w:position w:val="0"/>
                <w:sz w:val="8"/>
                <w:szCs w:val="8"/>
              </w:rPr>
              <w:t>,455. 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11,156,593,104. 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4B7, 960,«».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i/>
                <w:iCs/>
                <w:color w:val="000000"/>
                <w:spacing w:val="0"/>
                <w:w w:val="100"/>
                <w:position w:val="0"/>
                <w:sz w:val="8"/>
                <w:szCs w:val="8"/>
              </w:rPr>
              <w:t>TH.</w:t>
            </w:r>
            <w:r>
              <w:rPr>
                <w:rFonts w:ascii="Times New Roman" w:eastAsia="Times New Roman" w:hAnsi="Times New Roman" w:cs="Times New Roman"/>
                <w:b/>
                <w:bCs/>
                <w:color w:val="000000"/>
                <w:spacing w:val="0"/>
                <w:w w:val="100"/>
                <w:position w:val="0"/>
                <w:sz w:val="8"/>
                <w:szCs w:val="8"/>
              </w:rPr>
              <w:t xml:space="preserve"> 410. </w:t>
            </w:r>
            <w:r>
              <w:rPr>
                <w:rFonts w:ascii="Times New Roman" w:eastAsia="Times New Roman" w:hAnsi="Times New Roman" w:cs="Times New Roman"/>
                <w:b/>
                <w:bCs/>
                <w:i/>
                <w:iCs/>
                <w:color w:val="000000"/>
                <w:spacing w:val="0"/>
                <w:w w:val="100"/>
                <w:position w:val="0"/>
                <w:sz w:val="8"/>
                <w:szCs w:val="8"/>
              </w:rPr>
              <w:t>no. TT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 xml:space="preserve">-UT, </w:t>
            </w:r>
            <w:r>
              <w:rPr>
                <w:rFonts w:ascii="Times New Roman" w:eastAsia="Times New Roman" w:hAnsi="Times New Roman" w:cs="Times New Roman"/>
                <w:b/>
                <w:bCs/>
                <w:i/>
                <w:iCs/>
                <w:color w:val="000000"/>
                <w:spacing w:val="0"/>
                <w:w w:val="100"/>
                <w:position w:val="0"/>
                <w:sz w:val="8"/>
                <w:szCs w:val="8"/>
              </w:rPr>
              <w:t>TFI.</w:t>
            </w:r>
            <w:r>
              <w:rPr>
                <w:rFonts w:ascii="Times New Roman" w:eastAsia="Times New Roman" w:hAnsi="Times New Roman" w:cs="Times New Roman"/>
                <w:b/>
                <w:bCs/>
                <w:color w:val="000000"/>
                <w:spacing w:val="0"/>
                <w:w w:val="100"/>
                <w:position w:val="0"/>
                <w:sz w:val="8"/>
                <w:szCs w:val="8"/>
              </w:rPr>
              <w:t xml:space="preserve"> 9S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135, 656, 71&amp; 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 xml:space="preserve">1, M7. 563.174. </w:t>
            </w:r>
            <w:r>
              <w:rPr>
                <w:rFonts w:ascii="Times New Roman" w:eastAsia="Times New Roman" w:hAnsi="Times New Roman" w:cs="Times New Roman"/>
                <w:b/>
                <w:bCs/>
                <w:i/>
                <w:iCs/>
                <w:color w:val="000000"/>
                <w:spacing w:val="0"/>
                <w:w w:val="100"/>
                <w:position w:val="0"/>
                <w:sz w:val="8"/>
                <w:szCs w:val="8"/>
              </w:rPr>
              <w:t>Si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370, 03fc, t&gt;49. 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8"/>
                <w:szCs w:val="8"/>
              </w:rPr>
            </w:pPr>
            <w:r>
              <w:rPr>
                <w:rFonts w:ascii="Times New Roman" w:eastAsia="Times New Roman" w:hAnsi="Times New Roman" w:cs="Times New Roman"/>
                <w:b/>
                <w:bCs/>
                <w:color w:val="000000"/>
                <w:spacing w:val="0"/>
                <w:w w:val="100"/>
                <w:position w:val="0"/>
                <w:sz w:val="8"/>
                <w:szCs w:val="8"/>
              </w:rPr>
              <w:t>3, B3B, 497. B8S. 36</w:t>
            </w: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 xml:space="preserve">三、榆凌动签 电 </w:t>
            </w:r>
            <w:r>
              <w:rPr>
                <w:rFonts w:ascii="Times New Roman" w:eastAsia="Times New Roman" w:hAnsi="Times New Roman" w:cs="Times New Roman"/>
                <w:b/>
                <w:bCs/>
                <w:color w:val="000000"/>
                <w:spacing w:val="0"/>
                <w:w w:val="100"/>
                <w:position w:val="0"/>
                <w:sz w:val="8"/>
                <w:szCs w:val="8"/>
              </w:rPr>
              <w:t xml:space="preserve">Bl J </w:t>
            </w:r>
            <w:r>
              <w:rPr>
                <w:color w:val="000000"/>
                <w:spacing w:val="0"/>
                <w:w w:val="100"/>
                <w:position w:val="0"/>
                <w:sz w:val="9"/>
                <w:szCs w:val="9"/>
              </w:rPr>
              <w:t>号蜘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8"/>
                <w:szCs w:val="8"/>
              </w:rPr>
            </w:pPr>
            <w:r>
              <w:rPr>
                <w:rFonts w:ascii="Times New Roman" w:eastAsia="Times New Roman" w:hAnsi="Times New Roman" w:cs="Times New Roman"/>
                <w:b/>
                <w:bCs/>
                <w:color w:val="000000"/>
                <w:spacing w:val="0"/>
                <w:w w:val="100"/>
                <w:position w:val="0"/>
                <w:sz w:val="8"/>
                <w:szCs w:val="8"/>
              </w:rPr>
              <w:t xml:space="preserve">1B, </w:t>
            </w:r>
            <w:r>
              <w:rPr>
                <w:rFonts w:ascii="Times New Roman" w:eastAsia="Times New Roman" w:hAnsi="Times New Roman" w:cs="Times New Roman"/>
                <w:b/>
                <w:bCs/>
                <w:color w:val="000000"/>
                <w:spacing w:val="0"/>
                <w:w w:val="100"/>
                <w:position w:val="0"/>
                <w:sz w:val="8"/>
                <w:szCs w:val="8"/>
              </w:rPr>
              <w:t xml:space="preserve">296, </w:t>
            </w:r>
            <w:r>
              <w:rPr>
                <w:rFonts w:ascii="Times New Roman" w:eastAsia="Times New Roman" w:hAnsi="Times New Roman" w:cs="Times New Roman"/>
                <w:b/>
                <w:bCs/>
                <w:color w:val="000000"/>
                <w:spacing w:val="0"/>
                <w:w w:val="100"/>
                <w:position w:val="0"/>
                <w:sz w:val="8"/>
                <w:szCs w:val="8"/>
              </w:rPr>
              <w:t>900.</w:t>
            </w:r>
            <w:r>
              <w:rPr>
                <w:rFonts w:ascii="Times New Roman" w:eastAsia="Times New Roman" w:hAnsi="Times New Roman" w:cs="Times New Roman"/>
                <w:b/>
                <w:bCs/>
                <w:color w:val="000000"/>
                <w:spacing w:val="0"/>
                <w:w w:val="100"/>
                <w:position w:val="0"/>
                <w:sz w:val="8"/>
                <w:szCs w:val="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-19, BS1, 334. 6B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17, 5B6,171 4B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8"/>
                <w:szCs w:val="8"/>
              </w:rPr>
            </w:pPr>
            <w:r>
              <w:rPr>
                <w:rFonts w:ascii="Times New Roman" w:eastAsia="Times New Roman" w:hAnsi="Times New Roman" w:cs="Times New Roman"/>
                <w:b/>
                <w:bCs/>
                <w:color w:val="000000"/>
                <w:spacing w:val="0"/>
                <w:w w:val="100"/>
                <w:position w:val="0"/>
                <w:sz w:val="8"/>
                <w:szCs w:val="8"/>
              </w:rPr>
              <w:t xml:space="preserve">33T. 617, BUS. </w:t>
            </w:r>
            <w:r>
              <w:rPr>
                <w:rFonts w:ascii="Times New Roman" w:eastAsia="Times New Roman" w:hAnsi="Times New Roman" w:cs="Times New Roman"/>
                <w:b/>
                <w:bCs/>
                <w:i/>
                <w:iCs/>
                <w:color w:val="000000"/>
                <w:spacing w:val="0"/>
                <w:w w:val="100"/>
                <w:position w:val="0"/>
                <w:sz w:val="8"/>
                <w:szCs w:val="8"/>
              </w:rPr>
              <w:t>bl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305, 067, 710. 33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 xml:space="preserve">SSE, 737, g </w:t>
            </w:r>
            <w:r>
              <w:rPr>
                <w:rFonts w:ascii="Times New Roman" w:eastAsia="Times New Roman" w:hAnsi="Times New Roman" w:cs="Times New Roman"/>
                <w:b/>
                <w:bCs/>
                <w:i/>
                <w:iCs/>
                <w:color w:val="000000"/>
                <w:spacing w:val="0"/>
                <w:w w:val="100"/>
                <w:position w:val="0"/>
                <w:sz w:val="8"/>
                <w:szCs w:val="8"/>
              </w:rPr>
              <w:t>TT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3,</w:t>
            </w:r>
            <w:r>
              <w:rPr>
                <w:rFonts w:ascii="Times New Roman" w:eastAsia="Times New Roman" w:hAnsi="Times New Roman" w:cs="Times New Roman"/>
                <w:b/>
                <w:bCs/>
                <w:i/>
                <w:iCs/>
                <w:color w:val="000000"/>
                <w:spacing w:val="0"/>
                <w:w w:val="100"/>
                <w:position w:val="0"/>
                <w:sz w:val="8"/>
                <w:szCs w:val="8"/>
              </w:rPr>
              <w:t>769.</w:t>
            </w:r>
            <w:r>
              <w:rPr>
                <w:rFonts w:ascii="Times New Roman" w:eastAsia="Times New Roman" w:hAnsi="Times New Roman" w:cs="Times New Roman"/>
                <w:b/>
                <w:bCs/>
                <w:color w:val="000000"/>
                <w:spacing w:val="0"/>
                <w:w w:val="100"/>
                <w:position w:val="0"/>
                <w:sz w:val="8"/>
                <w:szCs w:val="8"/>
              </w:rPr>
              <w:t xml:space="preserve"> B34, 67E.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5,159, 713. 3B9. 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 153, J45. BQ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43,144, bU.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8"/>
                <w:szCs w:val="8"/>
              </w:rPr>
            </w:pPr>
            <w:r>
              <w:rPr>
                <w:rFonts w:ascii="Times New Roman" w:eastAsia="Times New Roman" w:hAnsi="Times New Roman" w:cs="Times New Roman"/>
                <w:b/>
                <w:bCs/>
                <w:i/>
                <w:iCs/>
                <w:color w:val="000000"/>
                <w:spacing w:val="0"/>
                <w:w w:val="100"/>
                <w:position w:val="0"/>
                <w:sz w:val="8"/>
                <w:szCs w:val="8"/>
              </w:rPr>
              <w:t>iH.2SJ.ti6.ST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-Bfc, 4M, 593. 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8"/>
                <w:szCs w:val="8"/>
              </w:rPr>
            </w:pPr>
            <w:r>
              <w:rPr>
                <w:rFonts w:ascii="Times New Roman" w:eastAsia="Times New Roman" w:hAnsi="Times New Roman" w:cs="Times New Roman"/>
                <w:b/>
                <w:bCs/>
                <w:color w:val="000000"/>
                <w:spacing w:val="0"/>
                <w:w w:val="100"/>
                <w:position w:val="0"/>
                <w:sz w:val="8"/>
                <w:szCs w:val="8"/>
              </w:rPr>
              <w:t xml:space="preserve">B, MB, DH </w:t>
            </w:r>
            <w:r>
              <w:rPr>
                <w:rFonts w:ascii="Arial" w:eastAsia="Arial" w:hAnsi="Arial" w:cs="Arial"/>
                <w:smallCaps/>
                <w:color w:val="000000"/>
                <w:spacing w:val="0"/>
                <w:w w:val="100"/>
                <w:position w:val="0"/>
                <w:sz w:val="8"/>
                <w:szCs w:val="8"/>
              </w:rPr>
              <w:t>UBl</w:t>
            </w:r>
            <w:r>
              <w:rPr>
                <w:rFonts w:ascii="Times New Roman" w:eastAsia="Times New Roman" w:hAnsi="Times New Roman" w:cs="Times New Roman"/>
                <w:b/>
                <w:bCs/>
                <w:color w:val="000000"/>
                <w:spacing w:val="0"/>
                <w:w w:val="100"/>
                <w:position w:val="0"/>
                <w:sz w:val="8"/>
                <w:szCs w:val="8"/>
              </w:rPr>
              <w:t xml:space="preserve"> 67</w:t>
            </w: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8"/>
                <w:szCs w:val="8"/>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螭苗心篷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 xml:space="preserve">5 B51. </w:t>
            </w:r>
            <w:r>
              <w:rPr>
                <w:rFonts w:ascii="Times New Roman" w:eastAsia="Times New Roman" w:hAnsi="Times New Roman" w:cs="Times New Roman"/>
                <w:b/>
                <w:bCs/>
                <w:i/>
                <w:iCs/>
                <w:color w:val="000000"/>
                <w:spacing w:val="0"/>
                <w:w w:val="100"/>
                <w:position w:val="0"/>
                <w:sz w:val="8"/>
                <w:szCs w:val="8"/>
              </w:rPr>
              <w:t>73A.</w:t>
            </w:r>
            <w:r>
              <w:rPr>
                <w:rFonts w:ascii="Times New Roman" w:eastAsia="Times New Roman" w:hAnsi="Times New Roman" w:cs="Times New Roman"/>
                <w:b/>
                <w:bCs/>
                <w:color w:val="000000"/>
                <w:spacing w:val="0"/>
                <w:w w:val="100"/>
                <w:position w:val="0"/>
                <w:sz w:val="8"/>
                <w:szCs w:val="8"/>
              </w:rPr>
              <w:t xml:space="preserve"> 6B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8"/>
                <w:szCs w:val="8"/>
              </w:rPr>
            </w:pPr>
            <w:r>
              <w:rPr>
                <w:rFonts w:ascii="Times New Roman" w:eastAsia="Times New Roman" w:hAnsi="Times New Roman" w:cs="Times New Roman"/>
                <w:b/>
                <w:bCs/>
                <w:color w:val="000000"/>
                <w:spacing w:val="0"/>
                <w:w w:val="100"/>
                <w:position w:val="0"/>
                <w:sz w:val="8"/>
                <w:szCs w:val="8"/>
              </w:rPr>
              <w:t>5EO,%5,445 . 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65,557, M7 B3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630,691</w:t>
            </w:r>
            <w:r>
              <w:rPr>
                <w:color w:val="000000"/>
                <w:spacing w:val="0"/>
                <w:w w:val="100"/>
                <w:position w:val="0"/>
                <w:sz w:val="9"/>
                <w:szCs w:val="9"/>
              </w:rPr>
              <w:t>淄</w:t>
            </w:r>
            <w:r>
              <w:rPr>
                <w:rFonts w:ascii="Times New Roman" w:eastAsia="Times New Roman" w:hAnsi="Times New Roman" w:cs="Times New Roman"/>
                <w:b/>
                <w:bCs/>
                <w:color w:val="000000"/>
                <w:spacing w:val="0"/>
                <w:w w:val="100"/>
                <w:position w:val="0"/>
                <w:sz w:val="8"/>
                <w:szCs w:val="8"/>
              </w:rPr>
              <w:t>9</w:t>
            </w:r>
            <w:r>
              <w:rPr>
                <w:color w:val="000000"/>
                <w:spacing w:val="0"/>
                <w:w w:val="100"/>
                <w:position w:val="0"/>
                <w:sz w:val="9"/>
                <w:szCs w:val="9"/>
              </w:rPr>
              <w:t xml:space="preserve">一 </w:t>
            </w:r>
            <w:r>
              <w:rPr>
                <w:rFonts w:ascii="Times New Roman" w:eastAsia="Times New Roman" w:hAnsi="Times New Roman" w:cs="Times New Roman"/>
                <w:b/>
                <w:bCs/>
                <w:color w:val="000000"/>
                <w:spacing w:val="0"/>
                <w:w w:val="100"/>
                <w:position w:val="0"/>
                <w:sz w:val="8"/>
                <w:szCs w:val="8"/>
              </w:rPr>
              <w:t>DT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-3</w:t>
            </w:r>
            <w:r>
              <w:rPr>
                <w:b/>
                <w:bCs/>
                <w:color w:val="000000"/>
                <w:spacing w:val="0"/>
                <w:w w:val="100"/>
                <w:position w:val="0"/>
                <w:sz w:val="8"/>
                <w:szCs w:val="8"/>
              </w:rPr>
              <w:t>；</w:t>
            </w:r>
            <w:r>
              <w:rPr>
                <w:rFonts w:ascii="Times New Roman" w:eastAsia="Times New Roman" w:hAnsi="Times New Roman" w:cs="Times New Roman"/>
                <w:b/>
                <w:bCs/>
                <w:color w:val="000000"/>
                <w:spacing w:val="0"/>
                <w:w w:val="100"/>
                <w:position w:val="0"/>
                <w:sz w:val="8"/>
                <w:szCs w:val="8"/>
              </w:rPr>
              <w:t xml:space="preserve">452, </w:t>
            </w:r>
            <w:r>
              <w:rPr>
                <w:rFonts w:ascii="Times New Roman" w:eastAsia="Times New Roman" w:hAnsi="Times New Roman" w:cs="Times New Roman"/>
                <w:b/>
                <w:bCs/>
                <w:color w:val="000000"/>
                <w:spacing w:val="0"/>
                <w:w w:val="100"/>
                <w:position w:val="0"/>
                <w:sz w:val="8"/>
                <w:szCs w:val="8"/>
              </w:rPr>
              <w:t>U5 BO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8"/>
                <w:szCs w:val="8"/>
              </w:rPr>
            </w:pPr>
            <w:r>
              <w:rPr>
                <w:color w:val="000000"/>
                <w:spacing w:val="0"/>
                <w:w w:val="100"/>
                <w:position w:val="0"/>
                <w:sz w:val="9"/>
                <w:szCs w:val="9"/>
              </w:rPr>
              <w:t xml:space="preserve">皿 </w:t>
            </w:r>
            <w:r>
              <w:rPr>
                <w:rFonts w:ascii="Times New Roman" w:eastAsia="Times New Roman" w:hAnsi="Times New Roman" w:cs="Times New Roman"/>
                <w:b/>
                <w:bCs/>
                <w:i/>
                <w:iCs/>
                <w:color w:val="000000"/>
                <w:spacing w:val="0"/>
                <w:w w:val="100"/>
                <w:position w:val="0"/>
                <w:sz w:val="8"/>
                <w:szCs w:val="8"/>
              </w:rPr>
              <w:t>03.</w:t>
            </w:r>
            <w:r>
              <w:rPr>
                <w:rFonts w:ascii="Times New Roman" w:eastAsia="Times New Roman" w:hAnsi="Times New Roman" w:cs="Times New Roman"/>
                <w:b/>
                <w:bCs/>
                <w:color w:val="000000"/>
                <w:spacing w:val="0"/>
                <w:w w:val="100"/>
                <w:position w:val="0"/>
                <w:sz w:val="8"/>
                <w:szCs w:val="8"/>
              </w:rPr>
              <w:t xml:space="preserve"> 090 92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i/>
                <w:iCs/>
                <w:color w:val="000000"/>
                <w:spacing w:val="0"/>
                <w:w w:val="100"/>
                <w:position w:val="0"/>
                <w:sz w:val="8"/>
                <w:szCs w:val="8"/>
              </w:rPr>
              <w:t>SI.</w:t>
            </w:r>
            <w:r>
              <w:rPr>
                <w:rFonts w:ascii="Times New Roman" w:eastAsia="Times New Roman" w:hAnsi="Times New Roman" w:cs="Times New Roman"/>
                <w:b/>
                <w:bCs/>
                <w:color w:val="000000"/>
                <w:spacing w:val="0"/>
                <w:w w:val="100"/>
                <w:position w:val="0"/>
                <w:sz w:val="8"/>
                <w:szCs w:val="8"/>
              </w:rPr>
              <w:t xml:space="preserve"> 7B2, iSS. 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 xml:space="preserve">615,959,1»1 </w:t>
            </w:r>
            <w:r>
              <w:rPr>
                <w:rFonts w:ascii="Times New Roman" w:eastAsia="Times New Roman" w:hAnsi="Times New Roman" w:cs="Times New Roman"/>
                <w:b/>
                <w:bCs/>
                <w:color w:val="000000"/>
                <w:spacing w:val="0"/>
                <w:w w:val="100"/>
                <w:position w:val="0"/>
                <w:sz w:val="8"/>
                <w:szCs w:val="8"/>
              </w:rPr>
              <w:t>DZ</w:t>
            </w: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（二）脆者缺龄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1B, </w:t>
            </w: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no. 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2S7, MB, ITO. 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376, 39S, 07B. 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X 769, B34, 67B.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S. 159. 713. 3B9. 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-134. D3£, 4B0. IS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7. 795, 5W, 5BT. 14</w:t>
            </w: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用有者以重本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2». 350. 000. 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30E. 35D.«». DO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i/>
                <w:iCs/>
                <w:color w:val="000000"/>
                <w:spacing w:val="0"/>
                <w:w w:val="100"/>
                <w:position w:val="0"/>
                <w:sz w:val="8"/>
                <w:szCs w:val="8"/>
              </w:rPr>
              <w:t>3.769.</w:t>
            </w:r>
            <w:r>
              <w:rPr>
                <w:rFonts w:ascii="Times New Roman" w:eastAsia="Times New Roman" w:hAnsi="Times New Roman" w:cs="Times New Roman"/>
                <w:b/>
                <w:bCs/>
                <w:color w:val="000000"/>
                <w:spacing w:val="0"/>
                <w:w w:val="100"/>
                <w:position w:val="0"/>
                <w:sz w:val="8"/>
                <w:szCs w:val="8"/>
              </w:rPr>
              <w:t xml:space="preserve"> B31 67E.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5, Ell. 337.979. EB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719.14T. EU. DO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11 3U. 310. 257. 6B</w:t>
            </w: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其*</w:t>
            </w:r>
            <w:r>
              <w:rPr>
                <w:rFonts w:ascii="Times New Roman" w:eastAsia="Times New Roman" w:hAnsi="Times New Roman" w:cs="Times New Roman"/>
                <w:b/>
                <w:bCs/>
                <w:color w:val="000000"/>
                <w:spacing w:val="0"/>
                <w:w w:val="100"/>
                <w:position w:val="0"/>
                <w:sz w:val="8"/>
                <w:szCs w:val="8"/>
              </w:rPr>
              <w:t>ftK</w:t>
            </w:r>
            <w:r>
              <w:rPr>
                <w:color w:val="000000"/>
                <w:spacing w:val="0"/>
                <w:w w:val="100"/>
                <w:position w:val="0"/>
                <w:sz w:val="9"/>
                <w:szCs w:val="9"/>
              </w:rPr>
              <w:t>且舫者投</w:t>
            </w:r>
            <w:r>
              <w:rPr>
                <w:rFonts w:ascii="Times New Roman" w:eastAsia="Times New Roman" w:hAnsi="Times New Roman" w:cs="Times New Roman"/>
                <w:b/>
                <w:bCs/>
                <w:color w:val="000000"/>
                <w:spacing w:val="0"/>
                <w:w w:val="100"/>
                <w:position w:val="0"/>
                <w:sz w:val="8"/>
                <w:szCs w:val="8"/>
              </w:rPr>
              <w:t>AH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3. B®</w:t>
            </w:r>
            <w:r>
              <w:rPr>
                <w:color w:val="000000"/>
                <w:spacing w:val="0"/>
                <w:w w:val="100"/>
                <w:position w:val="0"/>
                <w:sz w:val="9"/>
                <w:szCs w:val="9"/>
              </w:rPr>
              <w:t>支有计海有者虹畛瓶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 xml:space="preserve">IB, </w:t>
            </w: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no. 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8"/>
                <w:szCs w:val="8"/>
              </w:rPr>
            </w:pPr>
            <w:r>
              <w:rPr>
                <w:rFonts w:ascii="Times New Roman" w:eastAsia="Times New Roman" w:hAnsi="Times New Roman" w:cs="Times New Roman"/>
                <w:b/>
                <w:bCs/>
                <w:color w:val="000000"/>
                <w:spacing w:val="0"/>
                <w:w w:val="100"/>
                <w:position w:val="0"/>
                <w:sz w:val="8"/>
                <w:szCs w:val="8"/>
              </w:rPr>
              <w:t>IB, 396,900.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其做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49. 64B, ITO. 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8"/>
                <w:szCs w:val="8"/>
              </w:rPr>
            </w:pPr>
            <w:r>
              <w:rPr>
                <w:rFonts w:ascii="Times New Roman" w:eastAsia="Times New Roman" w:hAnsi="Times New Roman" w:cs="Times New Roman"/>
                <w:b/>
                <w:bCs/>
                <w:color w:val="000000"/>
                <w:spacing w:val="0"/>
                <w:w w:val="100"/>
                <w:position w:val="0"/>
                <w:sz w:val="8"/>
                <w:szCs w:val="8"/>
              </w:rPr>
              <w:t>45. frlE, ITO. ra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-ESI. 615. 5W. 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 BSJ. 1B£. 060. 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-4.5O4.BBl.fcTO.54</w:t>
            </w: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（三）利础最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17, SBfc. 1T4. 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-MS, 3fcT, 641 2fi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-32, 4£B, IBB 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-MB, 249, SSL D9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43,144, EA3. 9S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-116. 341.6M </w:t>
            </w:r>
            <w:r>
              <w:rPr>
                <w:color w:val="000000"/>
                <w:spacing w:val="0"/>
                <w:w w:val="100"/>
                <w:position w:val="0"/>
                <w:sz w:val="9"/>
                <w:szCs w:val="9"/>
              </w:rPr>
              <w:t xml:space="preserve">一 </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-2D, 1T6, i« «</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4 373,449.49</w:t>
            </w: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握</w:t>
            </w:r>
            <w:r>
              <w:rPr>
                <w:rFonts w:ascii="Times New Roman" w:eastAsia="Times New Roman" w:hAnsi="Times New Roman" w:cs="Times New Roman"/>
                <w:b/>
                <w:bCs/>
                <w:color w:val="000000"/>
                <w:spacing w:val="0"/>
                <w:w w:val="100"/>
                <w:position w:val="0"/>
                <w:sz w:val="8"/>
                <w:szCs w:val="8"/>
              </w:rPr>
              <w:t>ita</w:t>
            </w:r>
            <w:r>
              <w:rPr>
                <w:color w:val="000000"/>
                <w:spacing w:val="0"/>
                <w:w w:val="100"/>
                <w:position w:val="0"/>
                <w:sz w:val="9"/>
                <w:szCs w:val="9"/>
              </w:rPr>
              <w:t>奈朝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17, SB6.1T4. 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 SK, irt. te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43,144, b».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8"/>
                <w:szCs w:val="8"/>
              </w:rPr>
            </w:pPr>
            <w:r>
              <w:rPr>
                <w:rFonts w:ascii="Times New Roman" w:eastAsia="Times New Roman" w:hAnsi="Times New Roman" w:cs="Times New Roman"/>
                <w:b/>
                <w:bCs/>
                <w:color w:val="000000"/>
                <w:spacing w:val="0"/>
                <w:w w:val="100"/>
                <w:position w:val="0"/>
                <w:sz w:val="8"/>
                <w:szCs w:val="8"/>
              </w:rPr>
              <w:t>43.144. 6M.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 sa-ftR®Jtfr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3. Sf</w:t>
            </w:r>
            <w:r>
              <w:rPr>
                <w:color w:val="000000"/>
                <w:spacing w:val="0"/>
                <w:w w:val="100"/>
                <w:position w:val="0"/>
                <w:sz w:val="9"/>
                <w:szCs w:val="9"/>
              </w:rPr>
              <w:t>所有者（或</w:t>
            </w:r>
            <w:r>
              <w:rPr>
                <w:rFonts w:ascii="Times New Roman" w:eastAsia="Times New Roman" w:hAnsi="Times New Roman" w:cs="Times New Roman"/>
                <w:b/>
                <w:bCs/>
                <w:color w:val="000000"/>
                <w:spacing w:val="0"/>
                <w:w w:val="100"/>
                <w:position w:val="0"/>
                <w:sz w:val="8"/>
                <w:szCs w:val="8"/>
              </w:rPr>
              <w:t>B</w:t>
            </w:r>
            <w:r>
              <w:rPr>
                <w:color w:val="000000"/>
                <w:spacing w:val="0"/>
                <w:w w:val="100"/>
                <w:position w:val="0"/>
                <w:sz w:val="9"/>
                <w:szCs w:val="9"/>
              </w:rPr>
              <w:t>族）的醐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MS, TE1,4fc7 BO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-32, 4fiB, HB 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MB, 349, S56 D9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8"/>
                <w:szCs w:val="8"/>
              </w:rPr>
            </w:pPr>
            <w:r>
              <w:rPr>
                <w:rFonts w:ascii="Times New Roman" w:eastAsia="Times New Roman" w:hAnsi="Times New Roman" w:cs="Times New Roman"/>
                <w:b/>
                <w:bCs/>
                <w:color w:val="000000"/>
                <w:spacing w:val="0"/>
                <w:w w:val="100"/>
                <w:position w:val="0"/>
                <w:sz w:val="8"/>
                <w:szCs w:val="8"/>
              </w:rPr>
              <w:t>-7\ 197. DOO 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 xml:space="preserve">JD, 1 </w:t>
            </w:r>
            <w:r>
              <w:rPr>
                <w:color w:val="000000"/>
                <w:spacing w:val="0"/>
                <w:w w:val="100"/>
                <w:position w:val="0"/>
                <w:sz w:val="9"/>
                <w:szCs w:val="9"/>
              </w:rPr>
              <w:t>花,</w:t>
            </w:r>
            <w:r>
              <w:rPr>
                <w:rFonts w:ascii="Times New Roman" w:eastAsia="Times New Roman" w:hAnsi="Times New Roman" w:cs="Times New Roman"/>
                <w:b/>
                <w:bCs/>
                <w:color w:val="000000"/>
                <w:spacing w:val="0"/>
                <w:w w:val="100"/>
                <w:position w:val="0"/>
                <w:sz w:val="8"/>
                <w:szCs w:val="8"/>
              </w:rPr>
              <w:t>449. 49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 xml:space="preserve">4 373, </w:t>
            </w:r>
            <w:r>
              <w:rPr>
                <w:rFonts w:ascii="Times New Roman" w:eastAsia="Times New Roman" w:hAnsi="Times New Roman" w:cs="Times New Roman"/>
                <w:b/>
                <w:bCs/>
                <w:i/>
                <w:iCs/>
                <w:color w:val="000000"/>
                <w:spacing w:val="0"/>
                <w:w w:val="100"/>
                <w:position w:val="0"/>
                <w:sz w:val="8"/>
                <w:szCs w:val="8"/>
              </w:rPr>
              <w:t>W.</w:t>
            </w:r>
            <w:r>
              <w:rPr>
                <w:rFonts w:ascii="Times New Roman" w:eastAsia="Times New Roman" w:hAnsi="Times New Roman" w:cs="Times New Roman"/>
                <w:b/>
                <w:bCs/>
                <w:color w:val="000000"/>
                <w:spacing w:val="0"/>
                <w:w w:val="100"/>
                <w:position w:val="0"/>
                <w:sz w:val="8"/>
                <w:szCs w:val="8"/>
              </w:rPr>
              <w:t xml:space="preserve"> 49</w:t>
            </w:r>
          </w:p>
        </w:tc>
      </w:tr>
      <w:tr>
        <w:trPr>
          <w:trHeight w:val="23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4. 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rPr>
              <w:t>（</w:t>
            </w:r>
            <w:r>
              <w:rPr>
                <w:rFonts w:ascii="Times New Roman" w:eastAsia="Times New Roman" w:hAnsi="Times New Roman" w:cs="Times New Roman"/>
                <w:b/>
                <w:bCs/>
                <w:color w:val="000000"/>
                <w:spacing w:val="0"/>
                <w:w w:val="100"/>
                <w:position w:val="0"/>
                <w:sz w:val="8"/>
                <w:szCs w:val="8"/>
              </w:rPr>
              <w:t>D</w:t>
            </w:r>
            <w:r>
              <w:rPr>
                <w:b/>
                <w:bCs/>
                <w:color w:val="000000"/>
                <w:spacing w:val="0"/>
                <w:w w:val="100"/>
                <w:position w:val="0"/>
                <w:sz w:val="8"/>
                <w:szCs w:val="8"/>
              </w:rPr>
              <w:t>）</w:t>
            </w:r>
            <w:r>
              <w:rPr>
                <w:color w:val="000000"/>
                <w:spacing w:val="0"/>
                <w:w w:val="100"/>
                <w:position w:val="0"/>
                <w:sz w:val="9"/>
                <w:szCs w:val="9"/>
              </w:rPr>
              <w:t>所有者虹内</w:t>
            </w:r>
            <w:r>
              <w:rPr>
                <w:rFonts w:ascii="Times New Roman" w:eastAsia="Times New Roman" w:hAnsi="Times New Roman" w:cs="Times New Roman"/>
                <w:b/>
                <w:bCs/>
                <w:color w:val="000000"/>
                <w:spacing w:val="0"/>
                <w:w w:val="100"/>
                <w:position w:val="0"/>
                <w:sz w:val="8"/>
                <w:szCs w:val="8"/>
              </w:rPr>
              <w:t>am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童坯积转曜本 邮未）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蹈朝转触* 她木）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亏寂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（五）专袖各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2-ifflO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CA</w:t>
            </w:r>
            <w:r>
              <w:rPr>
                <w:b/>
                <w:bCs/>
                <w:color w:val="000000"/>
                <w:spacing w:val="0"/>
                <w:w w:val="100"/>
                <w:position w:val="0"/>
                <w:sz w:val="8"/>
                <w:szCs w:val="8"/>
              </w:rPr>
              <w:t>）</w:t>
            </w:r>
            <w:r>
              <w:rPr>
                <w:color w:val="000000"/>
                <w:spacing w:val="0"/>
                <w:w w:val="100"/>
                <w:position w:val="0"/>
                <w:sz w:val="9"/>
                <w:szCs w:val="9"/>
              </w:rPr>
              <w:t>其殖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Ek</w:t>
            </w:r>
            <w:r>
              <w:rPr>
                <w:color w:val="000000"/>
                <w:spacing w:val="0"/>
                <w:w w:val="100"/>
                <w:position w:val="0"/>
                <w:sz w:val="9"/>
                <w:szCs w:val="9"/>
              </w:rPr>
              <w:t>枷跛余族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i/>
                <w:iCs/>
                <w:color w:val="000000"/>
                <w:spacing w:val="0"/>
                <w:w w:val="100"/>
                <w:position w:val="0"/>
                <w:sz w:val="8"/>
                <w:szCs w:val="8"/>
              </w:rPr>
              <w:t>* 351.</w:t>
            </w:r>
            <w:r>
              <w:rPr>
                <w:rFonts w:ascii="Times New Roman" w:eastAsia="Times New Roman" w:hAnsi="Times New Roman" w:cs="Times New Roman"/>
                <w:b/>
                <w:bCs/>
                <w:color w:val="000000"/>
                <w:spacing w:val="0"/>
                <w:w w:val="100"/>
                <w:position w:val="0"/>
                <w:sz w:val="8"/>
                <w:szCs w:val="8"/>
              </w:rPr>
              <w:t xml:space="preserve"> Bl </w:t>
            </w:r>
            <w:r>
              <w:rPr>
                <w:color w:val="000000"/>
                <w:spacing w:val="0"/>
                <w:w w:val="100"/>
                <w:position w:val="0"/>
                <w:sz w:val="9"/>
                <w:szCs w:val="9"/>
              </w:rPr>
              <w:t xml:space="preserve">告 </w:t>
            </w:r>
            <w:r>
              <w:rPr>
                <w:rFonts w:ascii="Times New Roman" w:eastAsia="Times New Roman" w:hAnsi="Times New Roman" w:cs="Times New Roman"/>
                <w:b/>
                <w:bCs/>
                <w:color w:val="000000"/>
                <w:spacing w:val="0"/>
                <w:w w:val="100"/>
                <w:position w:val="0"/>
                <w:sz w:val="8"/>
                <w:szCs w:val="8"/>
              </w:rPr>
              <w:t xml:space="preserve">67B. </w:t>
            </w:r>
            <w:r>
              <w:rPr>
                <w:rFonts w:ascii="Times New Roman" w:eastAsia="Times New Roman" w:hAnsi="Times New Roman" w:cs="Times New Roman"/>
                <w:b/>
                <w:bCs/>
                <w:color w:val="000000"/>
                <w:spacing w:val="0"/>
                <w:w w:val="100"/>
                <w:position w:val="0"/>
                <w:sz w:val="8"/>
                <w:szCs w:val="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 xml:space="preserve">5. 955. 430. DID. </w:t>
            </w:r>
            <w:r>
              <w:rPr>
                <w:rFonts w:ascii="Times New Roman" w:eastAsia="Times New Roman" w:hAnsi="Times New Roman" w:cs="Times New Roman"/>
                <w:b/>
                <w:bCs/>
                <w:color w:val="000000"/>
                <w:spacing w:val="0"/>
                <w:w w:val="100"/>
                <w:position w:val="0"/>
                <w:sz w:val="8"/>
                <w:szCs w:val="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-21 451. 35B. 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196. 3B7.</w:t>
            </w:r>
            <w:r>
              <w:rPr>
                <w:color w:val="000000"/>
                <w:spacing w:val="0"/>
                <w:w w:val="100"/>
                <w:position w:val="0"/>
                <w:sz w:val="9"/>
                <w:szCs w:val="9"/>
              </w:rPr>
              <w:t xml:space="preserve">皿 </w:t>
            </w:r>
            <w:r>
              <w:rPr>
                <w:rFonts w:ascii="Times New Roman" w:eastAsia="Times New Roman" w:hAnsi="Times New Roman" w:cs="Times New Roman"/>
                <w:b/>
                <w:bCs/>
                <w:color w:val="000000"/>
                <w:spacing w:val="0"/>
                <w:w w:val="100"/>
                <w:position w:val="0"/>
                <w:sz w:val="8"/>
                <w:szCs w:val="8"/>
              </w:rPr>
              <w:t>Bl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1. m 4t7. 435.14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5BB. 691.166. 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 xml:space="preserve">11,715, </w:t>
            </w:r>
            <w:r>
              <w:rPr>
                <w:rFonts w:ascii="Times New Roman" w:eastAsia="Times New Roman" w:hAnsi="Times New Roman" w:cs="Times New Roman"/>
                <w:b/>
                <w:bCs/>
                <w:i/>
                <w:iCs/>
                <w:color w:val="000000"/>
                <w:spacing w:val="0"/>
                <w:w w:val="100"/>
                <w:position w:val="0"/>
                <w:sz w:val="8"/>
                <w:szCs w:val="8"/>
              </w:rPr>
              <w:t>233.</w:t>
            </w:r>
            <w:r>
              <w:rPr>
                <w:rFonts w:ascii="Times New Roman" w:eastAsia="Times New Roman" w:hAnsi="Times New Roman" w:cs="Times New Roman"/>
                <w:b/>
                <w:bCs/>
                <w:color w:val="000000"/>
                <w:spacing w:val="0"/>
                <w:w w:val="100"/>
                <w:position w:val="0"/>
                <w:sz w:val="8"/>
                <w:szCs w:val="8"/>
              </w:rPr>
              <w:t xml:space="preserve"> 457. B3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M 257. B14. 67E. 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5. 937.133.110.04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 6W. 133. 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17B.B01. J53. 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 501. B49. 631. 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3B3. HH. 155. 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11,156.592.10105</w:t>
            </w:r>
          </w:p>
        </w:tc>
      </w:tr>
    </w:tbl>
    <w:p>
      <w:pPr>
        <w:spacing w:lineRule="exact" w:line="1"/>
        <w:rPr>
          <w:sz w:val="2"/>
          <w:szCs w:val="2"/>
        </w:rPr>
      </w:pPr>
      <w:r>
        <w:br w:type="page"/>
      </w:r>
    </w:p>
    <w:p>
      <w:pPr>
        <w:pStyle w:val="Style6"/>
        <w:keepNext w:val="0"/>
        <w:keepLines w:val="0"/>
        <w:widowControl w:val="0"/>
        <w:shd w:val="clear" w:color="auto" w:fill="auto"/>
        <w:bidi w:val="0"/>
        <w:spacing w:before="0" w:after="120" w:line="240" w:lineRule="auto"/>
        <w:ind w:left="0" w:right="0" w:firstLine="0"/>
        <w:jc w:val="center"/>
        <w:rPr>
          <w:sz w:val="19"/>
          <w:szCs w:val="19"/>
        </w:rPr>
      </w:pPr>
      <w:r>
        <w:rPr>
          <w:rFonts w:ascii="SimHei" w:eastAsia="SimHei" w:hAnsi="SimHei" w:cs="SimHei"/>
          <w:color w:val="000000"/>
          <w:spacing w:val="0"/>
          <w:w w:val="100"/>
          <w:position w:val="0"/>
          <w:sz w:val="19"/>
          <w:szCs w:val="19"/>
        </w:rPr>
        <w:t>母公司所有者权益变动表</w:t>
      </w:r>
    </w:p>
    <w:p>
      <w:pPr>
        <w:pStyle w:val="Style6"/>
        <w:keepNext w:val="0"/>
        <w:keepLines w:val="0"/>
        <w:widowControl w:val="0"/>
        <w:shd w:val="clear" w:color="auto" w:fill="auto"/>
        <w:bidi w:val="0"/>
        <w:spacing w:before="0" w:after="280" w:line="240" w:lineRule="auto"/>
        <w:ind w:left="0" w:right="0" w:firstLine="0"/>
        <w:jc w:val="center"/>
        <w:rPr>
          <w:sz w:val="9"/>
          <w:szCs w:val="9"/>
        </w:rPr>
      </w:pPr>
      <w:r>
        <w:drawing>
          <wp:anchor distT="0" distB="106680" distL="297180" distR="114300" simplePos="0" relativeHeight="125829384" behindDoc="0" locked="0" layoutInCell="1" allowOverlap="1">
            <wp:simplePos x="0" y="0"/>
            <wp:positionH relativeFrom="page">
              <wp:posOffset>10359390</wp:posOffset>
            </wp:positionH>
            <wp:positionV relativeFrom="paragraph">
              <wp:posOffset>139700</wp:posOffset>
            </wp:positionV>
            <wp:extent cx="286385" cy="103505"/>
            <wp:wrapSquare wrapText="left"/>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2"/>
                    <a:stretch/>
                  </pic:blipFill>
                  <pic:spPr>
                    <a:xfrm>
                      <a:ext cx="286385" cy="103505"/>
                    </a:xfrm>
                    <a:prstGeom prst="rect"/>
                  </pic:spPr>
                </pic:pic>
              </a:graphicData>
            </a:graphic>
          </wp:anchor>
        </w:drawing>
      </w:r>
      <w:r>
        <w:drawing>
          <wp:anchor distT="106680" distB="0" distL="114300" distR="114300" simplePos="0" relativeHeight="125829385" behindDoc="0" locked="0" layoutInCell="1" allowOverlap="1">
            <wp:simplePos x="0" y="0"/>
            <wp:positionH relativeFrom="page">
              <wp:posOffset>10176510</wp:posOffset>
            </wp:positionH>
            <wp:positionV relativeFrom="paragraph">
              <wp:posOffset>246380</wp:posOffset>
            </wp:positionV>
            <wp:extent cx="469265" cy="103505"/>
            <wp:wrapSquare wrapText="lef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4"/>
                    <a:stretch/>
                  </pic:blipFill>
                  <pic:spPr>
                    <a:xfrm>
                      <a:ext cx="469265" cy="103505"/>
                    </a:xfrm>
                    <a:prstGeom prst="rect"/>
                  </pic:spPr>
                </pic:pic>
              </a:graphicData>
            </a:graphic>
          </wp:anchor>
        </w:drawing>
      </w:r>
      <w:r>
        <w:rPr>
          <w:rFonts w:ascii="Times New Roman" w:eastAsia="Times New Roman" w:hAnsi="Times New Roman" w:cs="Times New Roman"/>
          <w:b/>
          <w:bCs/>
          <w:color w:val="000000"/>
          <w:spacing w:val="0"/>
          <w:w w:val="100"/>
          <w:position w:val="0"/>
          <w:sz w:val="8"/>
          <w:szCs w:val="8"/>
        </w:rPr>
        <w:t>201</w:t>
      </w:r>
      <w:r>
        <w:rPr>
          <w:color w:val="000000"/>
          <w:spacing w:val="0"/>
          <w:w w:val="100"/>
          <w:position w:val="0"/>
          <w:sz w:val="9"/>
          <w:szCs w:val="9"/>
        </w:rPr>
        <w:t>遍度</w:t>
      </w:r>
    </w:p>
    <w:p>
      <w:pPr>
        <w:pStyle w:val="Style9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sz w:val="8"/>
          <w:szCs w:val="8"/>
        </w:rPr>
        <w:t>SM</w:t>
      </w:r>
      <w:r>
        <w:rPr>
          <w:color w:val="000000"/>
          <w:spacing w:val="0"/>
          <w:w w:val="100"/>
          <w:position w:val="0"/>
        </w:rPr>
        <w:t>单位：祚屹智喉反曲有眼会诃</w:t>
      </w:r>
    </w:p>
    <w:tbl>
      <w:tblPr>
        <w:tblOverlap w:val="never"/>
        <w:jc w:val="center"/>
        <w:tblLayout w:type="fixed"/>
      </w:tblPr>
      <w:tblGrid>
        <w:gridCol w:w="1963"/>
        <w:gridCol w:w="989"/>
        <w:gridCol w:w="398"/>
        <w:gridCol w:w="374"/>
        <w:gridCol w:w="336"/>
        <w:gridCol w:w="998"/>
        <w:gridCol w:w="355"/>
        <w:gridCol w:w="394"/>
        <w:gridCol w:w="475"/>
        <w:gridCol w:w="946"/>
        <w:gridCol w:w="1061"/>
        <w:gridCol w:w="2069"/>
        <w:gridCol w:w="398"/>
        <w:gridCol w:w="374"/>
        <w:gridCol w:w="336"/>
        <w:gridCol w:w="994"/>
        <w:gridCol w:w="360"/>
        <w:gridCol w:w="394"/>
        <w:gridCol w:w="475"/>
        <w:gridCol w:w="902"/>
        <w:gridCol w:w="1013"/>
        <w:gridCol w:w="1123"/>
      </w:tblGrid>
      <w:tr>
        <w:trPr>
          <w:trHeight w:val="25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 目</w:t>
            </w:r>
          </w:p>
        </w:tc>
        <w:tc>
          <w:tcPr>
            <w:gridSpan w:val="17"/>
            <w:tcBorders>
              <w:top w:val="single" w:sz="4"/>
              <w:left w:val="single" w:sz="4"/>
            </w:tcBorders>
            <w:shd w:val="clear" w:color="auto" w:fill="FFFFFF"/>
            <w:vAlign w:val="bottom"/>
          </w:tcPr>
          <w:p>
            <w:pPr>
              <w:pStyle w:val="Style6"/>
              <w:keepNext w:val="0"/>
              <w:keepLines w:val="0"/>
              <w:widowControl w:val="0"/>
              <w:shd w:val="clear" w:color="auto" w:fill="auto"/>
              <w:tabs>
                <w:tab w:pos="10778" w:val="left"/>
              </w:tabs>
              <w:bidi w:val="0"/>
              <w:spacing w:before="0" w:after="0" w:line="240" w:lineRule="auto"/>
              <w:ind w:left="3540" w:right="0" w:firstLine="0"/>
              <w:jc w:val="left"/>
              <w:rPr>
                <w:sz w:val="9"/>
                <w:szCs w:val="9"/>
              </w:rPr>
            </w:pPr>
            <w:r>
              <w:rPr>
                <w:color w:val="000000"/>
                <w:spacing w:val="0"/>
                <w:w w:val="100"/>
                <w:position w:val="0"/>
                <w:sz w:val="9"/>
                <w:szCs w:val="9"/>
              </w:rPr>
              <w:t>相</w:t>
            </w:r>
            <w:r>
              <w:rPr>
                <w:rFonts w:ascii="Times New Roman" w:eastAsia="Times New Roman" w:hAnsi="Times New Roman" w:cs="Times New Roman"/>
                <w:b/>
                <w:bCs/>
                <w:color w:val="000000"/>
                <w:spacing w:val="0"/>
                <w:w w:val="100"/>
                <w:position w:val="0"/>
                <w:sz w:val="8"/>
                <w:szCs w:val="8"/>
              </w:rPr>
              <w:t>6</w:t>
            </w:r>
            <w:r>
              <w:rPr>
                <w:color w:val="000000"/>
                <w:spacing w:val="0"/>
                <w:w w:val="100"/>
                <w:position w:val="0"/>
                <w:sz w:val="9"/>
                <w:szCs w:val="9"/>
              </w:rPr>
              <w:t>彖</w:t>
              <w:tab/>
              <w:t>上年同®</w:t>
            </w:r>
          </w:p>
        </w:tc>
        <w:tc>
          <w:tcPr>
            <w:gridSpan w:val="4"/>
            <w:tcBorders>
              <w:top w:val="single" w:sz="4"/>
              <w:left w:val="single" w:sz="4"/>
            </w:tcBorders>
            <w:shd w:val="clear" w:color="auto" w:fill="FFFFFF"/>
            <w:vAlign w:val="top"/>
          </w:tcPr>
          <w:p>
            <w:pPr>
              <w:widowControl w:val="0"/>
              <w:rPr>
                <w:sz w:val="10"/>
                <w:szCs w:val="10"/>
              </w:rPr>
            </w:pPr>
          </w:p>
        </w:tc>
      </w:tr>
      <w:tr>
        <w:trPr>
          <w:trHeight w:val="230" w:hRule="exact"/>
        </w:trPr>
        <w:tc>
          <w:tcPr>
            <w:vMerge/>
            <w:tcBorders/>
            <w:shd w:val="clear" w:color="auto" w:fill="FFFFFF"/>
            <w:vAlign w:val="center"/>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^tR*)</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共破益工具</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w:t>
            </w:r>
          </w:p>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踏</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9"/>
                <w:szCs w:val="9"/>
              </w:rPr>
            </w:pPr>
            <w:r>
              <w:rPr>
                <w:color w:val="000000"/>
                <w:spacing w:val="0"/>
                <w:w w:val="100"/>
                <w:position w:val="0"/>
                <w:sz w:val="9"/>
                <w:szCs w:val="9"/>
              </w:rPr>
              <w:t>其站</w:t>
            </w:r>
          </w:p>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合板益</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X</w:t>
            </w:r>
          </w:p>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360"/>
              <w:jc w:val="left"/>
              <w:rPr>
                <w:sz w:val="9"/>
                <w:szCs w:val="9"/>
              </w:rPr>
            </w:pPr>
            <w:r>
              <w:rPr>
                <w:color w:val="000000"/>
                <w:spacing w:val="0"/>
                <w:w w:val="100"/>
                <w:position w:val="0"/>
                <w:sz w:val="9"/>
                <w:szCs w:val="9"/>
              </w:rPr>
              <w:t>心</w:t>
            </w:r>
          </w:p>
          <w:p>
            <w:pPr>
              <w:pStyle w:val="Style6"/>
              <w:keepNext w:val="0"/>
              <w:keepLines w:val="0"/>
              <w:widowControl w:val="0"/>
              <w:shd w:val="clear" w:color="auto" w:fill="auto"/>
              <w:bidi w:val="0"/>
              <w:spacing w:before="0" w:after="0" w:line="240" w:lineRule="auto"/>
              <w:ind w:left="0" w:right="0" w:firstLine="360"/>
              <w:jc w:val="left"/>
              <w:rPr>
                <w:sz w:val="9"/>
                <w:szCs w:val="9"/>
              </w:rPr>
            </w:pPr>
            <w:r>
              <w:rPr>
                <w:color w:val="000000"/>
                <w:spacing w:val="0"/>
                <w:w w:val="100"/>
                <w:position w:val="0"/>
                <w:sz w:val="9"/>
                <w:szCs w:val="9"/>
              </w:rPr>
              <w:t>公秋</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360"/>
              <w:jc w:val="left"/>
              <w:rPr>
                <w:sz w:val="8"/>
                <w:szCs w:val="8"/>
              </w:rPr>
            </w:pPr>
            <w:r>
              <w:rPr>
                <w:color w:val="000000"/>
                <w:spacing w:val="0"/>
                <w:w w:val="100"/>
                <w:position w:val="0"/>
                <w:sz w:val="9"/>
                <w:szCs w:val="9"/>
              </w:rPr>
              <w:t>未绑</w:t>
            </w:r>
            <w:r>
              <w:rPr>
                <w:rFonts w:ascii="Times New Roman" w:eastAsia="Times New Roman" w:hAnsi="Times New Roman" w:cs="Times New Roman"/>
                <w:b/>
                <w:bCs/>
                <w:color w:val="000000"/>
                <w:spacing w:val="0"/>
                <w:w w:val="100"/>
                <w:position w:val="0"/>
                <w:sz w:val="8"/>
                <w:szCs w:val="8"/>
              </w:rPr>
              <w:t>E</w:t>
            </w:r>
          </w:p>
          <w:p>
            <w:pPr>
              <w:pStyle w:val="Style6"/>
              <w:keepNext w:val="0"/>
              <w:keepLines w:val="0"/>
              <w:widowControl w:val="0"/>
              <w:shd w:val="clear" w:color="auto" w:fill="auto"/>
              <w:bidi w:val="0"/>
              <w:spacing w:before="0" w:after="0" w:line="240" w:lineRule="auto"/>
              <w:ind w:left="0" w:right="0"/>
              <w:jc w:val="left"/>
              <w:rPr>
                <w:sz w:val="9"/>
                <w:szCs w:val="9"/>
              </w:rPr>
            </w:pPr>
            <w:r>
              <w:rPr>
                <w:color w:val="000000"/>
                <w:spacing w:val="0"/>
                <w:w w:val="100"/>
                <w:position w:val="0"/>
                <w:sz w:val="9"/>
                <w:szCs w:val="9"/>
              </w:rPr>
              <w:t>携桐</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pos="1291" w:val="left"/>
              </w:tabs>
              <w:bidi w:val="0"/>
              <w:spacing w:before="0" w:after="120" w:line="240" w:lineRule="auto"/>
              <w:ind w:left="0" w:right="0" w:firstLine="360"/>
              <w:jc w:val="left"/>
              <w:rPr>
                <w:sz w:val="9"/>
                <w:szCs w:val="9"/>
              </w:rPr>
            </w:pPr>
            <w:r>
              <w:rPr>
                <w:color w:val="000000"/>
                <w:spacing w:val="0"/>
                <w:w w:val="100"/>
                <w:position w:val="0"/>
                <w:sz w:val="9"/>
                <w:szCs w:val="9"/>
              </w:rPr>
              <w:t>虏有者</w:t>
              <w:tab/>
              <w:t>生始跻</w:t>
            </w:r>
          </w:p>
          <w:p>
            <w:pPr>
              <w:pStyle w:val="Style6"/>
              <w:keepNext w:val="0"/>
              <w:keepLines w:val="0"/>
              <w:widowControl w:val="0"/>
              <w:shd w:val="clear" w:color="auto" w:fill="auto"/>
              <w:tabs>
                <w:tab w:pos="1299" w:val="left"/>
              </w:tabs>
              <w:bidi w:val="0"/>
              <w:spacing w:before="0" w:after="0" w:line="240" w:lineRule="auto"/>
              <w:ind w:left="0" w:right="0" w:firstLine="320"/>
              <w:jc w:val="left"/>
              <w:rPr>
                <w:sz w:val="8"/>
                <w:szCs w:val="8"/>
              </w:rPr>
            </w:pPr>
            <w:r>
              <w:rPr>
                <w:color w:val="000000"/>
                <w:spacing w:val="0"/>
                <w:w w:val="100"/>
                <w:position w:val="0"/>
                <w:sz w:val="9"/>
                <w:szCs w:val="9"/>
              </w:rPr>
              <w:t>对合计</w:t>
              <w:tab/>
              <w:t>皿</w:t>
            </w:r>
            <w:r>
              <w:rPr>
                <w:rFonts w:ascii="Times New Roman" w:eastAsia="Times New Roman" w:hAnsi="Times New Roman" w:cs="Times New Roman"/>
                <w:b/>
                <w:bCs/>
                <w:color w:val="000000"/>
                <w:spacing w:val="0"/>
                <w:w w:val="100"/>
                <w:position w:val="0"/>
                <w:sz w:val="8"/>
                <w:szCs w:val="8"/>
              </w:rPr>
              <w:t>t*）</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80" w:firstLine="0"/>
              <w:jc w:val="right"/>
              <w:rPr>
                <w:sz w:val="9"/>
                <w:szCs w:val="9"/>
              </w:rPr>
            </w:pPr>
            <w:r>
              <w:rPr>
                <w:color w:val="000000"/>
                <w:spacing w:val="0"/>
                <w:w w:val="100"/>
                <w:position w:val="0"/>
                <w:sz w:val="9"/>
                <w:szCs w:val="9"/>
              </w:rPr>
              <w:t>皿心工具</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3"/>
                <w:szCs w:val="13"/>
              </w:rPr>
            </w:pPr>
            <w:r>
              <w:rPr>
                <w:rFonts w:ascii="Courier New" w:eastAsia="Courier New" w:hAnsi="Courier New" w:cs="Courier New"/>
                <w:b/>
                <w:bCs/>
                <w:color w:val="000000"/>
                <w:spacing w:val="0"/>
                <w:w w:val="100"/>
                <w:position w:val="0"/>
                <w:sz w:val="13"/>
                <w:szCs w:val="13"/>
              </w:rPr>
              <w:t>ML</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Courier New" w:eastAsia="Courier New" w:hAnsi="Courier New" w:cs="Courier New"/>
                <w:b/>
                <w:bCs/>
                <w:color w:val="000000"/>
                <w:spacing w:val="0"/>
                <w:w w:val="100"/>
                <w:position w:val="0"/>
                <w:sz w:val="13"/>
                <w:szCs w:val="13"/>
              </w:rPr>
              <w:t>WSR</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9"/>
                <w:szCs w:val="9"/>
              </w:rPr>
              <w:t>其</w:t>
            </w:r>
            <w:r>
              <w:rPr>
                <w:rFonts w:ascii="Courier New" w:eastAsia="Courier New" w:hAnsi="Courier New" w:cs="Courier New"/>
                <w:b/>
                <w:bCs/>
                <w:color w:val="000000"/>
                <w:spacing w:val="0"/>
                <w:w w:val="100"/>
                <w:position w:val="0"/>
                <w:sz w:val="13"/>
                <w:szCs w:val="13"/>
              </w:rPr>
              <w:t>M</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8"/>
                <w:szCs w:val="8"/>
              </w:rPr>
            </w:pPr>
            <w:r>
              <w:rPr>
                <w:rFonts w:ascii="Times New Roman" w:eastAsia="Times New Roman" w:hAnsi="Times New Roman" w:cs="Times New Roman"/>
                <w:b/>
                <w:bCs/>
                <w:color w:val="000000"/>
                <w:spacing w:val="0"/>
                <w:w w:val="100"/>
                <w:position w:val="0"/>
                <w:sz w:val="8"/>
                <w:szCs w:val="8"/>
              </w:rPr>
              <w:t>««</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420" w:firstLine="0"/>
              <w:jc w:val="right"/>
              <w:rPr>
                <w:sz w:val="9"/>
                <w:szCs w:val="9"/>
              </w:rPr>
            </w:pPr>
            <w:r>
              <w:rPr>
                <w:color w:val="000000"/>
                <w:spacing w:val="0"/>
                <w:w w:val="100"/>
                <w:position w:val="0"/>
                <w:sz w:val="9"/>
                <w:szCs w:val="9"/>
              </w:rPr>
              <w:t>未</w:t>
            </w:r>
            <w:r>
              <w:rPr>
                <w:color w:val="000000"/>
                <w:spacing w:val="0"/>
                <w:w w:val="100"/>
                <w:position w:val="0"/>
                <w:sz w:val="9"/>
                <w:szCs w:val="9"/>
              </w:rPr>
              <w:t>g</w:t>
            </w:r>
          </w:p>
          <w:p>
            <w:pPr>
              <w:pStyle w:val="Style6"/>
              <w:keepNext w:val="0"/>
              <w:keepLines w:val="0"/>
              <w:widowControl w:val="0"/>
              <w:shd w:val="clear" w:color="auto" w:fill="auto"/>
              <w:bidi w:val="0"/>
              <w:spacing w:before="0" w:after="0" w:line="240" w:lineRule="auto"/>
              <w:ind w:left="0" w:right="420" w:firstLine="0"/>
              <w:jc w:val="right"/>
              <w:rPr>
                <w:sz w:val="13"/>
                <w:szCs w:val="13"/>
              </w:rPr>
            </w:pPr>
            <w:r>
              <w:rPr>
                <w:rFonts w:ascii="Courier New" w:eastAsia="Courier New" w:hAnsi="Courier New" w:cs="Courier New"/>
                <w:b/>
                <w:bCs/>
                <w:color w:val="000000"/>
                <w:spacing w:val="0"/>
                <w:w w:val="100"/>
                <w:position w:val="0"/>
                <w:sz w:val="13"/>
                <w:szCs w:val="13"/>
              </w:rPr>
              <w:t>AS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rPr>
                <w:sz w:val="9"/>
                <w:szCs w:val="9"/>
              </w:rPr>
            </w:pPr>
            <w:r>
              <w:rPr>
                <w:color w:val="000000"/>
                <w:spacing w:val="0"/>
                <w:w w:val="100"/>
                <w:position w:val="0"/>
                <w:sz w:val="9"/>
                <w:szCs w:val="9"/>
              </w:rPr>
              <w:t>甫有者</w:t>
            </w:r>
          </w:p>
        </w:tc>
      </w:tr>
      <w:tr>
        <w:trPr>
          <w:trHeight w:val="235"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color w:val="000000"/>
                <w:spacing w:val="0"/>
                <w:w w:val="100"/>
                <w:position w:val="0"/>
                <w:sz w:val="12"/>
                <w:szCs w:val="12"/>
              </w:rPr>
              <w:t>永如</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其色</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9"/>
                <w:szCs w:val="9"/>
              </w:rPr>
            </w:pPr>
            <w:r>
              <w:rPr>
                <w:color w:val="000000"/>
                <w:spacing w:val="0"/>
                <w:w w:val="100"/>
                <w:position w:val="0"/>
                <w:sz w:val="9"/>
                <w:szCs w:val="9"/>
              </w:rPr>
              <w:t>永裁段</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其他</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w:t>
            </w:r>
            <w:r>
              <w:rPr>
                <w:color w:val="000000"/>
                <w:spacing w:val="0"/>
                <w:w w:val="100"/>
                <w:position w:val="0"/>
                <w:sz w:val="9"/>
                <w:szCs w:val="9"/>
              </w:rPr>
              <w:t>上年砂佥鲤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 xml:space="preserve">3,252,814, </w:t>
            </w:r>
            <w:r>
              <w:rPr>
                <w:rFonts w:ascii="Times New Roman" w:eastAsia="Times New Roman" w:hAnsi="Times New Roman" w:cs="Times New Roman"/>
                <w:b/>
                <w:bCs/>
                <w:color w:val="000000"/>
                <w:spacing w:val="0"/>
                <w:w w:val="100"/>
                <w:position w:val="0"/>
                <w:sz w:val="8"/>
                <w:szCs w:val="8"/>
              </w:rPr>
              <w:t>G28^ 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 xml:space="preserve">9,196, </w:t>
            </w:r>
            <w:r>
              <w:rPr>
                <w:rFonts w:ascii="Times New Roman" w:eastAsia="Times New Roman" w:hAnsi="Times New Roman" w:cs="Times New Roman"/>
                <w:b/>
                <w:bCs/>
                <w:color w:val="000000"/>
                <w:spacing w:val="0"/>
                <w:w w:val="100"/>
                <w:position w:val="0"/>
                <w:sz w:val="8"/>
                <w:szCs w:val="8"/>
              </w:rPr>
              <w:t>U49,G28.</w:t>
            </w:r>
            <w:r>
              <w:rPr>
                <w:rFonts w:ascii="Times New Roman" w:eastAsia="Times New Roman" w:hAnsi="Times New Roman" w:cs="Times New Roman"/>
                <w:b/>
                <w:bCs/>
                <w:color w:val="000000"/>
                <w:spacing w:val="0"/>
                <w:w w:val="100"/>
                <w:position w:val="0"/>
                <w:sz w:val="8"/>
                <w:szCs w:val="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lG8,35G,747.t»4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 xml:space="preserve">1, </w:t>
            </w:r>
            <w:r>
              <w:rPr>
                <w:rFonts w:ascii="Times New Roman" w:eastAsia="Times New Roman" w:hAnsi="Times New Roman" w:cs="Times New Roman"/>
                <w:b/>
                <w:bCs/>
                <w:color w:val="000000"/>
                <w:spacing w:val="0"/>
                <w:w w:val="100"/>
                <w:position w:val="0"/>
                <w:sz w:val="8"/>
                <w:szCs w:val="8"/>
              </w:rPr>
              <w:t xml:space="preserve">(K&amp; </w:t>
            </w:r>
            <w:r>
              <w:rPr>
                <w:rFonts w:ascii="Times New Roman" w:eastAsia="Times New Roman" w:hAnsi="Times New Roman" w:cs="Times New Roman"/>
                <w:b/>
                <w:bCs/>
                <w:color w:val="000000"/>
                <w:spacing w:val="0"/>
                <w:w w:val="100"/>
                <w:position w:val="0"/>
                <w:sz w:val="8"/>
                <w:szCs w:val="8"/>
              </w:rPr>
              <w:t>173,143- 6»</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1302" w:val="left"/>
              </w:tabs>
              <w:bidi w:val="0"/>
              <w:spacing w:before="0" w:after="0" w:line="240" w:lineRule="auto"/>
              <w:ind w:left="0" w:right="0" w:firstLine="160"/>
              <w:jc w:val="both"/>
              <w:rPr>
                <w:sz w:val="8"/>
                <w:szCs w:val="8"/>
              </w:rPr>
            </w:pPr>
            <w:r>
              <w:rPr>
                <w:rFonts w:ascii="Times New Roman" w:eastAsia="Times New Roman" w:hAnsi="Times New Roman" w:cs="Times New Roman"/>
                <w:b/>
                <w:bCs/>
                <w:color w:val="000000"/>
                <w:spacing w:val="0"/>
                <w:w w:val="100"/>
                <w:position w:val="0"/>
                <w:sz w:val="8"/>
                <w:szCs w:val="8"/>
              </w:rPr>
              <w:t xml:space="preserve">13, 688, </w:t>
            </w:r>
            <w:r>
              <w:rPr>
                <w:rFonts w:ascii="Times New Roman" w:eastAsia="Times New Roman" w:hAnsi="Times New Roman" w:cs="Times New Roman"/>
                <w:b/>
                <w:bCs/>
                <w:color w:val="000000"/>
                <w:spacing w:val="0"/>
                <w:w w:val="100"/>
                <w:position w:val="0"/>
                <w:sz w:val="8"/>
                <w:szCs w:val="8"/>
              </w:rPr>
              <w:t xml:space="preserve">S54, MO. </w:t>
            </w:r>
            <w:r>
              <w:rPr>
                <w:rFonts w:ascii="Times New Roman" w:eastAsia="Times New Roman" w:hAnsi="Times New Roman" w:cs="Times New Roman"/>
                <w:b/>
                <w:bCs/>
                <w:color w:val="000000"/>
                <w:spacing w:val="0"/>
                <w:w w:val="100"/>
                <w:position w:val="0"/>
                <w:sz w:val="8"/>
                <w:szCs w:val="8"/>
              </w:rPr>
              <w:t>29</w:t>
              <w:tab/>
              <w:t>48^,980,000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Z3S, 3S&amp;, 2SK^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124 &amp;33, </w:t>
            </w:r>
            <w:r>
              <w:rPr>
                <w:rFonts w:ascii="Times New Roman" w:eastAsia="Times New Roman" w:hAnsi="Times New Roman" w:cs="Times New Roman"/>
                <w:b/>
                <w:bCs/>
                <w:color w:val="000000"/>
                <w:spacing w:val="0"/>
                <w:w w:val="100"/>
                <w:position w:val="0"/>
                <w:sz w:val="8"/>
                <w:szCs w:val="8"/>
              </w:rPr>
              <w:t>IGO. B7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i/>
                <w:iCs/>
                <w:color w:val="000000"/>
                <w:spacing w:val="0"/>
                <w:w w:val="100"/>
                <w:position w:val="0"/>
                <w:sz w:val="8"/>
                <w:szCs w:val="8"/>
              </w:rPr>
              <w:t>71th</w:t>
            </w:r>
            <w:r>
              <w:rPr>
                <w:rFonts w:ascii="Times New Roman" w:eastAsia="Times New Roman" w:hAnsi="Times New Roman" w:cs="Times New Roman"/>
                <w:b/>
                <w:bCs/>
                <w:color w:val="000000"/>
                <w:spacing w:val="0"/>
                <w:w w:val="100"/>
                <w:position w:val="0"/>
                <w:sz w:val="8"/>
                <w:szCs w:val="8"/>
              </w:rPr>
              <w:t xml:space="preserve"> </w:t>
            </w:r>
            <w:r>
              <w:rPr>
                <w:rFonts w:ascii="Times New Roman" w:eastAsia="Times New Roman" w:hAnsi="Times New Roman" w:cs="Times New Roman"/>
                <w:b/>
                <w:bCs/>
                <w:color w:val="000000"/>
                <w:spacing w:val="0"/>
                <w:w w:val="100"/>
                <w:position w:val="0"/>
                <w:sz w:val="8"/>
                <w:szCs w:val="8"/>
              </w:rPr>
              <w:t xml:space="preserve">217, </w:t>
            </w:r>
            <w:r>
              <w:rPr>
                <w:rFonts w:ascii="Times New Roman" w:eastAsia="Times New Roman" w:hAnsi="Times New Roman" w:cs="Times New Roman"/>
                <w:b/>
                <w:bCs/>
                <w:color w:val="000000"/>
                <w:spacing w:val="0"/>
                <w:w w:val="100"/>
                <w:position w:val="0"/>
                <w:sz w:val="8"/>
                <w:szCs w:val="8"/>
              </w:rPr>
              <w:t xml:space="preserve">87Z. </w:t>
            </w:r>
            <w:r>
              <w:rPr>
                <w:rFonts w:ascii="Times New Roman" w:eastAsia="Times New Roman" w:hAnsi="Times New Roman" w:cs="Times New Roman"/>
                <w:b/>
                <w:bCs/>
                <w:color w:val="000000"/>
                <w:spacing w:val="0"/>
                <w:w w:val="100"/>
                <w:position w:val="0"/>
                <w:sz w:val="8"/>
                <w:szCs w:val="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1, 5S4,19?, 329</w:t>
            </w:r>
            <w:r>
              <w:rPr>
                <w:rFonts w:ascii="Times New Roman" w:eastAsia="Times New Roman" w:hAnsi="Times New Roman" w:cs="Times New Roman"/>
                <w:b/>
                <w:bCs/>
                <w:color w:val="000000"/>
                <w:spacing w:val="0"/>
                <w:w w:val="100"/>
                <w:position w:val="0"/>
                <w:sz w:val="8"/>
                <w:szCs w:val="8"/>
              </w:rPr>
              <w:t xml:space="preserve">- </w:t>
            </w:r>
            <w:r>
              <w:rPr>
                <w:rFonts w:ascii="Times New Roman" w:eastAsia="Times New Roman" w:hAnsi="Times New Roman" w:cs="Times New Roman"/>
                <w:b/>
                <w:bCs/>
                <w:color w:val="000000"/>
                <w:spacing w:val="0"/>
                <w:w w:val="100"/>
                <w:position w:val="0"/>
                <w:sz w:val="8"/>
                <w:szCs w:val="8"/>
              </w:rPr>
              <w:t>74</w:t>
            </w: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m</w:t>
            </w:r>
            <w:r>
              <w:rPr>
                <w:color w:val="000000"/>
                <w:spacing w:val="0"/>
                <w:w w:val="100"/>
                <w:position w:val="0"/>
                <w:sz w:val="9"/>
                <w:szCs w:val="9"/>
              </w:rPr>
              <w:t>会计球交</w:t>
            </w:r>
            <w:r>
              <w:rPr>
                <w:color w:val="000000"/>
                <w:spacing w:val="0"/>
                <w:w w:val="100"/>
                <w:position w:val="0"/>
                <w:sz w:val="9"/>
                <w:szCs w:val="9"/>
              </w:rPr>
              <w:t>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9"/>
                <w:szCs w:val="9"/>
              </w:rPr>
            </w:pPr>
            <w:r>
              <w:rPr>
                <w:color w:val="000000"/>
                <w:spacing w:val="0"/>
                <w:w w:val="100"/>
                <w:position w:val="0"/>
                <w:sz w:val="9"/>
                <w:szCs w:val="9"/>
              </w:rPr>
              <w:t>雌典更正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二余鲤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3,257,814,678. (W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9,196,249,623.06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168,356,747.04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8"/>
                <w:szCs w:val="8"/>
              </w:rPr>
            </w:pPr>
            <w:r>
              <w:rPr>
                <w:rFonts w:ascii="Times New Roman" w:eastAsia="Times New Roman" w:hAnsi="Times New Roman" w:cs="Times New Roman"/>
                <w:b/>
                <w:bCs/>
                <w:color w:val="000000"/>
                <w:spacing w:val="0"/>
                <w:w w:val="100"/>
                <w:position w:val="0"/>
                <w:sz w:val="8"/>
                <w:szCs w:val="8"/>
              </w:rPr>
              <w:t>1,066,173,143.0</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1278" w:val="left"/>
              </w:tabs>
              <w:bidi w:val="0"/>
              <w:spacing w:before="0" w:after="0" w:line="240" w:lineRule="auto"/>
              <w:ind w:left="0" w:right="0" w:firstLine="160"/>
              <w:jc w:val="both"/>
              <w:rPr>
                <w:sz w:val="9"/>
                <w:szCs w:val="9"/>
              </w:rPr>
            </w:pPr>
            <w:r>
              <w:rPr>
                <w:rFonts w:ascii="Times New Roman" w:eastAsia="Times New Roman" w:hAnsi="Times New Roman" w:cs="Times New Roman"/>
                <w:b/>
                <w:bCs/>
                <w:color w:val="000000"/>
                <w:spacing w:val="0"/>
                <w:w w:val="100"/>
                <w:position w:val="0"/>
                <w:sz w:val="8"/>
                <w:szCs w:val="8"/>
              </w:rPr>
              <w:t>0 6S,</w:t>
            </w:r>
            <w:r>
              <w:rPr>
                <w:color w:val="000000"/>
                <w:spacing w:val="0"/>
                <w:w w:val="100"/>
                <w:position w:val="0"/>
                <w:sz w:val="9"/>
                <w:szCs w:val="9"/>
              </w:rPr>
              <w:t>汹</w:t>
            </w:r>
            <w:r>
              <w:rPr>
                <w:rFonts w:ascii="Times New Roman" w:eastAsia="Times New Roman" w:hAnsi="Times New Roman" w:cs="Times New Roman"/>
                <w:b/>
                <w:bCs/>
                <w:color w:val="000000"/>
                <w:spacing w:val="0"/>
                <w:w w:val="100"/>
                <w:position w:val="0"/>
                <w:sz w:val="8"/>
                <w:szCs w:val="8"/>
              </w:rPr>
              <w:t>,2»_79</w:t>
              <w:tab/>
              <w:t>487,</w:t>
            </w:r>
            <w:r>
              <w:rPr>
                <w:color w:val="000000"/>
                <w:spacing w:val="0"/>
                <w:w w:val="100"/>
                <w:position w:val="0"/>
                <w:sz w:val="9"/>
                <w:szCs w:val="9"/>
              </w:rPr>
              <w:t>响,《»一(》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2S,326,29&amp;6S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124 </w:t>
            </w:r>
            <w:r>
              <w:rPr>
                <w:rFonts w:ascii="Times New Roman" w:eastAsia="Times New Roman" w:hAnsi="Times New Roman" w:cs="Times New Roman"/>
                <w:b/>
                <w:bCs/>
                <w:color w:val="000000"/>
                <w:spacing w:val="0"/>
                <w:w w:val="100"/>
                <w:position w:val="0"/>
                <w:sz w:val="8"/>
                <w:szCs w:val="8"/>
              </w:rPr>
              <w:t>G33,160. B7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i/>
                <w:iCs/>
                <w:color w:val="000000"/>
                <w:spacing w:val="0"/>
                <w:w w:val="100"/>
                <w:position w:val="0"/>
                <w:sz w:val="8"/>
                <w:szCs w:val="8"/>
              </w:rPr>
              <w:t>710,</w:t>
            </w:r>
            <w:r>
              <w:rPr>
                <w:rFonts w:ascii="Times New Roman" w:eastAsia="Times New Roman" w:hAnsi="Times New Roman" w:cs="Times New Roman"/>
                <w:b/>
                <w:bCs/>
                <w:color w:val="000000"/>
                <w:spacing w:val="0"/>
                <w:w w:val="100"/>
                <w:position w:val="0"/>
                <w:sz w:val="8"/>
                <w:szCs w:val="8"/>
              </w:rPr>
              <w:t xml:space="preserve"> 217, </w:t>
            </w:r>
            <w:r>
              <w:rPr>
                <w:rFonts w:ascii="Times New Roman" w:eastAsia="Times New Roman" w:hAnsi="Times New Roman" w:cs="Times New Roman"/>
                <w:b/>
                <w:bCs/>
                <w:color w:val="000000"/>
                <w:spacing w:val="0"/>
                <w:w w:val="100"/>
                <w:position w:val="0"/>
                <w:sz w:val="8"/>
                <w:szCs w:val="8"/>
              </w:rPr>
              <w:t xml:space="preserve">872. </w:t>
            </w:r>
            <w:r>
              <w:rPr>
                <w:rFonts w:ascii="Times New Roman" w:eastAsia="Times New Roman" w:hAnsi="Times New Roman" w:cs="Times New Roman"/>
                <w:b/>
                <w:bCs/>
                <w:color w:val="000000"/>
                <w:spacing w:val="0"/>
                <w:w w:val="100"/>
                <w:position w:val="0"/>
                <w:sz w:val="8"/>
                <w:szCs w:val="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 xml:space="preserve">1, S4,197, </w:t>
            </w:r>
            <w:r>
              <w:rPr>
                <w:rFonts w:ascii="Times New Roman" w:eastAsia="Times New Roman" w:hAnsi="Times New Roman" w:cs="Times New Roman"/>
                <w:b/>
                <w:bCs/>
                <w:color w:val="000000"/>
                <w:spacing w:val="0"/>
                <w:w w:val="100"/>
                <w:position w:val="0"/>
                <w:sz w:val="8"/>
                <w:szCs w:val="8"/>
              </w:rPr>
              <w:t>329</w:t>
            </w:r>
            <w:r>
              <w:rPr>
                <w:color w:val="000000"/>
                <w:spacing w:val="0"/>
                <w:w w:val="100"/>
                <w:position w:val="0"/>
                <w:sz w:val="9"/>
                <w:szCs w:val="9"/>
              </w:rPr>
              <w:t xml:space="preserve">一 </w:t>
            </w:r>
            <w:r>
              <w:rPr>
                <w:rFonts w:ascii="Times New Roman" w:eastAsia="Times New Roman" w:hAnsi="Times New Roman" w:cs="Times New Roman"/>
                <w:b/>
                <w:bCs/>
                <w:color w:val="000000"/>
                <w:spacing w:val="0"/>
                <w:w w:val="100"/>
                <w:position w:val="0"/>
                <w:sz w:val="8"/>
                <w:szCs w:val="8"/>
              </w:rPr>
              <w:t>M</w:t>
            </w:r>
          </w:p>
        </w:tc>
      </w:tr>
      <w:tr>
        <w:trPr>
          <w:trHeight w:val="2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三、相</w:t>
            </w:r>
            <w:r>
              <w:rPr>
                <w:rFonts w:ascii="Times New Roman" w:eastAsia="Times New Roman" w:hAnsi="Times New Roman" w:cs="Times New Roman"/>
                <w:b/>
                <w:bCs/>
                <w:color w:val="000000"/>
                <w:spacing w:val="0"/>
                <w:w w:val="100"/>
                <w:position w:val="0"/>
                <w:sz w:val="8"/>
                <w:szCs w:val="8"/>
              </w:rPr>
              <w:t>EflWi</w:t>
            </w:r>
            <w:r>
              <w:rPr>
                <w:color w:val="000000"/>
                <w:spacing w:val="0"/>
                <w:w w:val="100"/>
                <w:position w:val="0"/>
                <w:sz w:val="9"/>
                <w:szCs w:val="9"/>
              </w:rPr>
              <w:t>曲妾鲤</w:t>
            </w:r>
            <w:r>
              <w:rPr>
                <w:rFonts w:ascii="Times New Roman" w:eastAsia="Times New Roman" w:hAnsi="Times New Roman" w:cs="Times New Roman"/>
                <w:b/>
                <w:bCs/>
                <w:color w:val="000000"/>
                <w:spacing w:val="0"/>
                <w:w w:val="100"/>
                <w:position w:val="0"/>
                <w:sz w:val="8"/>
                <w:szCs w:val="8"/>
              </w:rPr>
              <w:t>t</w:t>
            </w:r>
            <w:r>
              <w:rPr>
                <w:color w:val="000000"/>
                <w:spacing w:val="0"/>
                <w:w w:val="100"/>
                <w:position w:val="0"/>
                <w:sz w:val="9"/>
                <w:szCs w:val="9"/>
              </w:rPr>
              <w:t>播少</w:t>
            </w:r>
            <w:r>
              <w:rPr>
                <w:rFonts w:ascii="Times New Roman" w:eastAsia="Times New Roman" w:hAnsi="Times New Roman" w:cs="Times New Roman"/>
                <w:b/>
                <w:bCs/>
                <w:color w:val="000000"/>
                <w:spacing w:val="0"/>
                <w:w w:val="100"/>
                <w:position w:val="0"/>
                <w:sz w:val="8"/>
                <w:szCs w:val="8"/>
              </w:rPr>
              <w:t xml:space="preserve">01 </w:t>
            </w:r>
            <w:r>
              <w:rPr>
                <w:color w:val="000000"/>
                <w:spacing w:val="0"/>
                <w:w w:val="100"/>
                <w:position w:val="0"/>
                <w:sz w:val="9"/>
                <w:szCs w:val="9"/>
              </w:rPr>
              <w:t>■--</w:t>
            </w:r>
            <w:r>
              <w:rPr>
                <w:color w:val="000000"/>
                <w:spacing w:val="0"/>
                <w:w w:val="100"/>
                <w:position w:val="0"/>
                <w:sz w:val="9"/>
                <w:szCs w:val="9"/>
              </w:rPr>
              <w:t>号昭）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18,296,MQ.QQ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17,S86,17&lt;L4a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 xml:space="preserve">-167, </w:t>
            </w:r>
            <w:r>
              <w:rPr>
                <w:rFonts w:ascii="Times New Roman" w:eastAsia="Times New Roman" w:hAnsi="Times New Roman" w:cs="Times New Roman"/>
                <w:b/>
                <w:bCs/>
                <w:color w:val="000000"/>
                <w:spacing w:val="0"/>
                <w:w w:val="100"/>
                <w:position w:val="0"/>
                <w:sz w:val="8"/>
                <w:szCs w:val="8"/>
              </w:rPr>
              <w:t xml:space="preserve">505, </w:t>
            </w:r>
            <w:r>
              <w:rPr>
                <w:rFonts w:ascii="Times New Roman" w:eastAsia="Times New Roman" w:hAnsi="Times New Roman" w:cs="Times New Roman"/>
                <w:b/>
                <w:bCs/>
                <w:color w:val="000000"/>
                <w:spacing w:val="0"/>
                <w:w w:val="100"/>
                <w:position w:val="0"/>
                <w:sz w:val="8"/>
                <w:szCs w:val="8"/>
              </w:rPr>
              <w:t>»3. 4B</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1206" w:val="left"/>
              </w:tabs>
              <w:bidi w:val="0"/>
              <w:spacing w:before="0" w:after="0" w:line="240" w:lineRule="auto"/>
              <w:ind w:left="0" w:right="0" w:firstLine="260"/>
              <w:jc w:val="both"/>
              <w:rPr>
                <w:sz w:val="8"/>
                <w:szCs w:val="8"/>
              </w:rPr>
            </w:pPr>
            <w:r>
              <w:rPr>
                <w:rFonts w:ascii="Times New Roman" w:eastAsia="Times New Roman" w:hAnsi="Times New Roman" w:cs="Times New Roman"/>
                <w:b/>
                <w:bCs/>
                <w:i/>
                <w:iCs/>
                <w:color w:val="000000"/>
                <w:spacing w:val="0"/>
                <w:w w:val="100"/>
                <w:position w:val="0"/>
                <w:sz w:val="8"/>
                <w:szCs w:val="8"/>
              </w:rPr>
              <w:t>-131,</w:t>
            </w:r>
            <w:r>
              <w:rPr>
                <w:rFonts w:ascii="Times New Roman" w:eastAsia="Times New Roman" w:hAnsi="Times New Roman" w:cs="Times New Roman"/>
                <w:b/>
                <w:bCs/>
                <w:color w:val="000000"/>
                <w:spacing w:val="0"/>
                <w:w w:val="100"/>
                <w:position w:val="0"/>
                <w:sz w:val="8"/>
                <w:szCs w:val="8"/>
              </w:rPr>
              <w:t xml:space="preserve"> </w:t>
            </w:r>
            <w:r>
              <w:rPr>
                <w:rFonts w:ascii="Times New Roman" w:eastAsia="Times New Roman" w:hAnsi="Times New Roman" w:cs="Times New Roman"/>
                <w:b/>
                <w:bCs/>
                <w:color w:val="000000"/>
                <w:spacing w:val="0"/>
                <w:w w:val="100"/>
                <w:position w:val="0"/>
                <w:sz w:val="8"/>
                <w:szCs w:val="8"/>
              </w:rPr>
              <w:t>622, 822- 98</w:t>
              <w:tab/>
              <w:t>2, 7 &amp;% 834, &amp;</w:t>
            </w:r>
            <w:r>
              <w:rPr>
                <w:rFonts w:ascii="Times New Roman" w:eastAsia="Times New Roman" w:hAnsi="Times New Roman" w:cs="Times New Roman"/>
                <w:b/>
                <w:bCs/>
                <w:color w:val="000000"/>
                <w:spacing w:val="0"/>
                <w:w w:val="100"/>
                <w:position w:val="0"/>
                <w:sz w:val="8"/>
                <w:szCs w:val="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 xml:space="preserve">a, </w:t>
            </w:r>
            <w:r>
              <w:rPr>
                <w:rFonts w:ascii="Times New Roman" w:eastAsia="Times New Roman" w:hAnsi="Times New Roman" w:cs="Times New Roman"/>
                <w:b/>
                <w:bCs/>
                <w:color w:val="000000"/>
                <w:spacing w:val="0"/>
                <w:w w:val="100"/>
                <w:position w:val="0"/>
                <w:sz w:val="8"/>
                <w:szCs w:val="8"/>
              </w:rPr>
              <w:t xml:space="preserve">9«, </w:t>
            </w:r>
            <w:r>
              <w:rPr>
                <w:rFonts w:ascii="Times New Roman" w:eastAsia="Times New Roman" w:hAnsi="Times New Roman" w:cs="Times New Roman"/>
                <w:b/>
                <w:bCs/>
                <w:color w:val="000000"/>
                <w:spacing w:val="0"/>
                <w:w w:val="100"/>
                <w:position w:val="0"/>
                <w:sz w:val="8"/>
                <w:szCs w:val="8"/>
              </w:rPr>
              <w:t xml:space="preserve">9Z3, 331. </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47, 683, </w:t>
            </w:r>
            <w:r>
              <w:rPr>
                <w:rFonts w:ascii="Times New Roman" w:eastAsia="Times New Roman" w:hAnsi="Times New Roman" w:cs="Times New Roman"/>
                <w:b/>
                <w:bCs/>
                <w:color w:val="000000"/>
                <w:spacing w:val="0"/>
                <w:w w:val="100"/>
                <w:position w:val="0"/>
                <w:sz w:val="8"/>
                <w:szCs w:val="8"/>
              </w:rPr>
              <w:t>586.</w:t>
            </w:r>
            <w:r>
              <w:rPr>
                <w:rFonts w:ascii="Times New Roman" w:eastAsia="Times New Roman" w:hAnsi="Times New Roman" w:cs="Times New Roman"/>
                <w:b/>
                <w:bCs/>
                <w:i/>
                <w:i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SS, 9BS, 27S. 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i/>
                <w:iCs/>
                <w:color w:val="000000"/>
                <w:spacing w:val="0"/>
                <w:w w:val="100"/>
                <w:position w:val="0"/>
                <w:sz w:val="8"/>
                <w:szCs w:val="8"/>
              </w:rPr>
              <w:t>12,</w:t>
            </w:r>
            <w:r>
              <w:rPr>
                <w:rFonts w:ascii="Times New Roman" w:eastAsia="Times New Roman" w:hAnsi="Times New Roman" w:cs="Times New Roman"/>
                <w:b/>
                <w:bCs/>
                <w:color w:val="000000"/>
                <w:spacing w:val="0"/>
                <w:w w:val="100"/>
                <w:position w:val="0"/>
                <w:sz w:val="8"/>
                <w:szCs w:val="8"/>
              </w:rPr>
              <w:t xml:space="preserve"> 134, S6, 831. (E</w:t>
            </w: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t-3 SK</w:t>
            </w:r>
            <w:r>
              <w:rPr>
                <w:color w:val="000000"/>
                <w:spacing w:val="0"/>
                <w:w w:val="100"/>
                <w:position w:val="0"/>
                <w:sz w:val="9"/>
                <w:szCs w:val="9"/>
              </w:rPr>
              <w:t>匏益尊鲤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175,361.744.82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 xml:space="preserve">ITS, SSL </w:t>
            </w:r>
            <w:r>
              <w:rPr>
                <w:rFonts w:ascii="Times New Roman" w:eastAsia="Times New Roman" w:hAnsi="Times New Roman" w:cs="Times New Roman"/>
                <w:b/>
                <w:bCs/>
                <w:color w:val="000000"/>
                <w:spacing w:val="0"/>
                <w:w w:val="100"/>
                <w:position w:val="0"/>
                <w:sz w:val="8"/>
                <w:szCs w:val="8"/>
              </w:rPr>
              <w:t>744- 82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E, 446, 39. 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8"/>
                <w:szCs w:val="8"/>
              </w:rPr>
            </w:pPr>
            <w:r>
              <w:rPr>
                <w:color w:val="000000"/>
                <w:spacing w:val="0"/>
                <w:w w:val="100"/>
                <w:position w:val="0"/>
                <w:sz w:val="9"/>
                <w:szCs w:val="9"/>
              </w:rPr>
              <w:t>茹，</w:t>
            </w:r>
            <w:r>
              <w:rPr>
                <w:rFonts w:ascii="Times New Roman" w:eastAsia="Times New Roman" w:hAnsi="Times New Roman" w:cs="Times New Roman"/>
                <w:b/>
                <w:bCs/>
                <w:color w:val="000000"/>
                <w:spacing w:val="0"/>
                <w:w w:val="100"/>
                <w:position w:val="0"/>
                <w:sz w:val="8"/>
                <w:szCs w:val="8"/>
              </w:rPr>
              <w:t>44S, 333</w:t>
            </w:r>
            <w:r>
              <w:rPr>
                <w:rFonts w:ascii="Times New Roman" w:eastAsia="Times New Roman" w:hAnsi="Times New Roman" w:cs="Times New Roman"/>
                <w:b/>
                <w:bCs/>
                <w:color w:val="000000"/>
                <w:spacing w:val="0"/>
                <w:w w:val="100"/>
                <w:position w:val="0"/>
                <w:sz w:val="8"/>
                <w:szCs w:val="8"/>
              </w:rPr>
              <w:t xml:space="preserve">- </w:t>
            </w:r>
            <w:r>
              <w:rPr>
                <w:rFonts w:ascii="Times New Roman" w:eastAsia="Times New Roman" w:hAnsi="Times New Roman" w:cs="Times New Roman"/>
                <w:b/>
                <w:bCs/>
                <w:color w:val="000000"/>
                <w:spacing w:val="0"/>
                <w:w w:val="100"/>
                <w:position w:val="0"/>
                <w:sz w:val="8"/>
                <w:szCs w:val="8"/>
              </w:rPr>
              <w:t>E</w:t>
            </w: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t</w:t>
            </w:r>
            <w:r>
              <w:rPr>
                <w:color w:val="000000"/>
                <w:spacing w:val="0"/>
                <w:w w:val="100"/>
                <w:position w:val="0"/>
                <w:sz w:val="9"/>
                <w:szCs w:val="9"/>
              </w:rPr>
              <w:t>二</w:t>
            </w:r>
            <w:r>
              <w:rPr>
                <w:rFonts w:ascii="Arial" w:eastAsia="Arial" w:hAnsi="Arial" w:cs="Arial"/>
                <w:smallCaps/>
                <w:color w:val="000000"/>
                <w:spacing w:val="0"/>
                <w:w w:val="100"/>
                <w:position w:val="0"/>
                <w:sz w:val="8"/>
                <w:szCs w:val="8"/>
              </w:rPr>
              <w:t>j</w:t>
            </w:r>
            <w:r>
              <w:rPr>
                <w:color w:val="000000"/>
                <w:spacing w:val="0"/>
                <w:w w:val="100"/>
                <w:position w:val="0"/>
                <w:sz w:val="9"/>
                <w:szCs w:val="9"/>
              </w:rPr>
              <w:t>点看者投入</w:t>
            </w:r>
            <w:r>
              <w:rPr>
                <w:rFonts w:ascii="Times New Roman" w:eastAsia="Times New Roman" w:hAnsi="Times New Roman" w:cs="Times New Roman"/>
                <w:b/>
                <w:bCs/>
                <w:color w:val="000000"/>
                <w:spacing w:val="0"/>
                <w:w w:val="100"/>
                <w:position w:val="0"/>
                <w:sz w:val="8"/>
                <w:szCs w:val="8"/>
              </w:rPr>
              <w:t>ano</w:t>
            </w:r>
            <w:r>
              <w:rPr>
                <w:color w:val="000000"/>
                <w:spacing w:val="0"/>
                <w:w w:val="100"/>
                <w:position w:val="0"/>
                <w:sz w:val="9"/>
                <w:szCs w:val="9"/>
              </w:rPr>
              <w:t>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ia,29&amp;,WQ.0Q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tabs>
                <w:tab w:pos="1205" w:val="left"/>
              </w:tabs>
              <w:bidi w:val="0"/>
              <w:spacing w:before="0" w:after="0" w:line="240" w:lineRule="auto"/>
              <w:ind w:left="0" w:right="0" w:firstLine="360"/>
              <w:jc w:val="both"/>
              <w:rPr>
                <w:sz w:val="8"/>
                <w:szCs w:val="8"/>
              </w:rPr>
            </w:pPr>
            <w:r>
              <w:rPr>
                <w:color w:val="000000"/>
                <w:spacing w:val="0"/>
                <w:w w:val="100"/>
                <w:position w:val="0"/>
                <w:sz w:val="9"/>
                <w:szCs w:val="9"/>
              </w:rPr>
              <w:t xml:space="preserve">理 </w:t>
            </w:r>
            <w:r>
              <w:rPr>
                <w:rFonts w:ascii="Times New Roman" w:eastAsia="Times New Roman" w:hAnsi="Times New Roman" w:cs="Times New Roman"/>
                <w:b/>
                <w:bCs/>
                <w:color w:val="000000"/>
                <w:spacing w:val="0"/>
                <w:w w:val="100"/>
                <w:position w:val="0"/>
                <w:sz w:val="8"/>
                <w:szCs w:val="8"/>
              </w:rPr>
              <w:t xml:space="preserve">29&amp;, </w:t>
            </w:r>
            <w:r>
              <w:rPr>
                <w:rFonts w:ascii="Times New Roman" w:eastAsia="Times New Roman" w:hAnsi="Times New Roman" w:cs="Times New Roman"/>
                <w:b/>
                <w:bCs/>
                <w:color w:val="000000"/>
                <w:spacing w:val="0"/>
                <w:w w:val="100"/>
                <w:position w:val="0"/>
                <w:sz w:val="8"/>
                <w:szCs w:val="8"/>
              </w:rPr>
              <w:t>MO. QQ</w:t>
              <w:tab/>
            </w:r>
            <w:r>
              <w:rPr>
                <w:rFonts w:ascii="Times New Roman" w:eastAsia="Times New Roman" w:hAnsi="Times New Roman" w:cs="Times New Roman"/>
                <w:b/>
                <w:bCs/>
                <w:color w:val="000000"/>
                <w:spacing w:val="0"/>
                <w:w w:val="100"/>
                <w:position w:val="0"/>
                <w:sz w:val="8"/>
                <w:szCs w:val="8"/>
              </w:rPr>
              <w:t>3,78% 834,</w:t>
            </w:r>
            <w:r>
              <w:rPr>
                <w:rFonts w:ascii="Times New Roman" w:eastAsia="Times New Roman" w:hAnsi="Times New Roman" w:cs="Times New Roman"/>
                <w:b/>
                <w:bCs/>
                <w:color w:val="000000"/>
                <w:spacing w:val="0"/>
                <w:w w:val="100"/>
                <w:position w:val="0"/>
                <w:sz w:val="8"/>
                <w:szCs w:val="8"/>
              </w:rPr>
              <w:t>678. 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 xml:space="preserve">8, </w:t>
            </w:r>
            <w:r>
              <w:rPr>
                <w:rFonts w:ascii="Times New Roman" w:eastAsia="Times New Roman" w:hAnsi="Times New Roman" w:cs="Times New Roman"/>
                <w:b/>
                <w:bCs/>
                <w:color w:val="000000"/>
                <w:spacing w:val="0"/>
                <w:w w:val="100"/>
                <w:position w:val="0"/>
                <w:sz w:val="8"/>
                <w:szCs w:val="8"/>
              </w:rPr>
              <w:t xml:space="preserve">9W, </w:t>
            </w:r>
            <w:r>
              <w:rPr>
                <w:rFonts w:ascii="Times New Roman" w:eastAsia="Times New Roman" w:hAnsi="Times New Roman" w:cs="Times New Roman"/>
                <w:b/>
                <w:bCs/>
                <w:i/>
                <w:iCs/>
                <w:color w:val="000000"/>
                <w:spacing w:val="0"/>
                <w:w w:val="100"/>
                <w:position w:val="0"/>
                <w:sz w:val="8"/>
                <w:szCs w:val="8"/>
              </w:rPr>
              <w:t>9IS,</w:t>
            </w:r>
            <w:r>
              <w:rPr>
                <w:rFonts w:ascii="Times New Roman" w:eastAsia="Times New Roman" w:hAnsi="Times New Roman" w:cs="Times New Roman"/>
                <w:b/>
                <w:bCs/>
                <w:color w:val="000000"/>
                <w:spacing w:val="0"/>
                <w:w w:val="100"/>
                <w:position w:val="0"/>
                <w:sz w:val="8"/>
                <w:szCs w:val="8"/>
              </w:rPr>
              <w:t xml:space="preserve"> 331- </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11, 730, 3S8, □(». H</w:t>
            </w: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 xml:space="preserve">1- </w:t>
            </w:r>
            <w:r>
              <w:rPr>
                <w:color w:val="000000"/>
                <w:spacing w:val="0"/>
                <w:w w:val="100"/>
                <w:position w:val="0"/>
                <w:sz w:val="9"/>
                <w:szCs w:val="9"/>
              </w:rPr>
              <w:t>g</w:t>
            </w:r>
            <w:r>
              <w:rPr>
                <w:color w:val="000000"/>
                <w:spacing w:val="0"/>
                <w:w w:val="100"/>
                <w:position w:val="0"/>
                <w:sz w:val="9"/>
                <w:szCs w:val="9"/>
              </w:rPr>
              <w:t>者投入童*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2,7&amp;9,834, &amp;7 </w:t>
            </w:r>
            <w:r>
              <w:rPr>
                <w:rFonts w:ascii="Times New Roman" w:eastAsia="Times New Roman" w:hAnsi="Times New Roman" w:cs="Times New Roman"/>
                <w:b/>
                <w:bCs/>
                <w:color w:val="000000"/>
                <w:spacing w:val="0"/>
                <w:w w:val="100"/>
                <w:position w:val="0"/>
                <w:sz w:val="8"/>
                <w:szCs w:val="8"/>
              </w:rPr>
              <w:t>8. 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9"/>
                <w:szCs w:val="9"/>
              </w:rPr>
            </w:pPr>
            <w:r>
              <w:rPr>
                <w:rFonts w:ascii="Times New Roman" w:eastAsia="Times New Roman" w:hAnsi="Times New Roman" w:cs="Times New Roman"/>
                <w:b/>
                <w:bCs/>
                <w:color w:val="000000"/>
                <w:spacing w:val="0"/>
                <w:w w:val="100"/>
                <w:position w:val="0"/>
                <w:sz w:val="8"/>
                <w:szCs w:val="8"/>
              </w:rPr>
              <w:t xml:space="preserve">S, 8U, </w:t>
            </w:r>
            <w:r>
              <w:rPr>
                <w:rFonts w:ascii="Times New Roman" w:eastAsia="Times New Roman" w:hAnsi="Times New Roman" w:cs="Times New Roman"/>
                <w:b/>
                <w:bCs/>
                <w:color w:val="000000"/>
                <w:spacing w:val="0"/>
                <w:w w:val="100"/>
                <w:position w:val="0"/>
                <w:sz w:val="8"/>
                <w:szCs w:val="8"/>
              </w:rPr>
              <w:t xml:space="preserve">337, </w:t>
            </w:r>
            <w:r>
              <w:rPr>
                <w:rFonts w:ascii="Times New Roman" w:eastAsia="Times New Roman" w:hAnsi="Times New Roman" w:cs="Times New Roman"/>
                <w:b/>
                <w:bCs/>
                <w:i/>
                <w:iCs/>
                <w:color w:val="000000"/>
                <w:spacing w:val="0"/>
                <w:w w:val="100"/>
                <w:position w:val="0"/>
                <w:sz w:val="8"/>
                <w:szCs w:val="8"/>
              </w:rPr>
              <w:t>979</w:t>
            </w:r>
            <w:r>
              <w:rPr>
                <w:i/>
                <w:iCs/>
                <w:color w:val="000000"/>
                <w:spacing w:val="0"/>
                <w:w w:val="100"/>
                <w:position w:val="0"/>
                <w:sz w:val="9"/>
                <w:szCs w:val="9"/>
              </w:rPr>
              <w:t>一</w:t>
            </w:r>
            <w:r>
              <w:rPr>
                <w:color w:val="000000"/>
                <w:spacing w:val="0"/>
                <w:w w:val="100"/>
                <w:position w:val="0"/>
                <w:sz w:val="9"/>
                <w:szCs w:val="9"/>
              </w:rPr>
              <w:t xml:space="preserve"> 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8, SI, 162, ffi7. S</w:t>
            </w: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队共唳萱工</w:t>
            </w:r>
            <w:r>
              <w:rPr>
                <w:color w:val="000000"/>
                <w:spacing w:val="0"/>
                <w:w w:val="100"/>
                <w:position w:val="0"/>
                <w:sz w:val="9"/>
                <w:szCs w:val="9"/>
              </w:rPr>
              <w:t>g</w:t>
            </w:r>
            <w:r>
              <w:rPr>
                <w:color w:val="000000"/>
                <w:spacing w:val="0"/>
                <w:w w:val="100"/>
                <w:position w:val="0"/>
                <w:sz w:val="9"/>
                <w:szCs w:val="9"/>
              </w:rPr>
              <w:t>看者投入壅*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3. BJ</w:t>
            </w:r>
            <w:r>
              <w:rPr>
                <w:color w:val="000000"/>
                <w:spacing w:val="0"/>
                <w:w w:val="100"/>
                <w:position w:val="0"/>
                <w:sz w:val="9"/>
                <w:szCs w:val="9"/>
              </w:rPr>
              <w:t>船支特有者略的金镖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18,296,900.00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8"/>
                <w:szCs w:val="8"/>
              </w:rPr>
            </w:pPr>
            <w:r>
              <w:rPr>
                <w:rFonts w:ascii="Times New Roman" w:eastAsia="Times New Roman" w:hAnsi="Times New Roman" w:cs="Times New Roman"/>
                <w:b/>
                <w:bCs/>
                <w:color w:val="000000"/>
                <w:spacing w:val="0"/>
                <w:w w:val="100"/>
                <w:position w:val="0"/>
                <w:sz w:val="8"/>
                <w:szCs w:val="8"/>
              </w:rPr>
              <w:t xml:space="preserve">18, </w:t>
            </w:r>
            <w:r>
              <w:rPr>
                <w:rFonts w:ascii="Times New Roman" w:eastAsia="Times New Roman" w:hAnsi="Times New Roman" w:cs="Times New Roman"/>
                <w:b/>
                <w:bCs/>
                <w:color w:val="000000"/>
                <w:spacing w:val="0"/>
                <w:w w:val="100"/>
                <w:position w:val="0"/>
                <w:sz w:val="8"/>
                <w:szCs w:val="8"/>
              </w:rPr>
              <w:t>Z9&amp;, 901- QQ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其龟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8"/>
                <w:szCs w:val="8"/>
              </w:rPr>
            </w:pPr>
            <w:r>
              <w:rPr>
                <w:rFonts w:ascii="Times New Roman" w:eastAsia="Times New Roman" w:hAnsi="Times New Roman" w:cs="Times New Roman"/>
                <w:b/>
                <w:bCs/>
                <w:color w:val="000000"/>
                <w:spacing w:val="0"/>
                <w:w w:val="100"/>
                <w:position w:val="0"/>
                <w:sz w:val="8"/>
                <w:szCs w:val="8"/>
              </w:rPr>
              <w:t>3,</w:t>
            </w:r>
            <w:r>
              <w:rPr>
                <w:rFonts w:ascii="Times New Roman" w:eastAsia="Times New Roman" w:hAnsi="Times New Roman" w:cs="Times New Roman"/>
                <w:b/>
                <w:bCs/>
                <w:color w:val="000000"/>
                <w:spacing w:val="0"/>
                <w:w w:val="100"/>
                <w:position w:val="0"/>
                <w:sz w:val="8"/>
                <w:szCs w:val="8"/>
              </w:rPr>
              <w:t xml:space="preserve">1®, S9S, 3SL </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i/>
                <w:iCs/>
                <w:color w:val="000000"/>
                <w:spacing w:val="0"/>
                <w:w w:val="100"/>
                <w:position w:val="0"/>
                <w:sz w:val="8"/>
                <w:szCs w:val="8"/>
              </w:rPr>
              <w:t>3,</w:t>
            </w:r>
            <w:r>
              <w:rPr>
                <w:rFonts w:ascii="Times New Roman" w:eastAsia="Times New Roman" w:hAnsi="Times New Roman" w:cs="Times New Roman"/>
                <w:b/>
                <w:bCs/>
                <w:color w:val="000000"/>
                <w:spacing w:val="0"/>
                <w:w w:val="100"/>
                <w:position w:val="0"/>
                <w:sz w:val="8"/>
                <w:szCs w:val="8"/>
              </w:rPr>
              <w:t xml:space="preserve"> 149,</w:t>
            </w:r>
            <w:r>
              <w:rPr>
                <w:color w:val="000000"/>
                <w:spacing w:val="0"/>
                <w:w w:val="100"/>
                <w:position w:val="0"/>
                <w:sz w:val="9"/>
                <w:szCs w:val="9"/>
              </w:rPr>
              <w:t>田</w:t>
            </w:r>
            <w:r>
              <w:rPr>
                <w:rFonts w:ascii="Times New Roman" w:eastAsia="Times New Roman" w:hAnsi="Times New Roman" w:cs="Times New Roman"/>
                <w:b/>
                <w:bCs/>
                <w:color w:val="000000"/>
                <w:spacing w:val="0"/>
                <w:w w:val="100"/>
                <w:position w:val="0"/>
                <w:sz w:val="8"/>
                <w:szCs w:val="8"/>
              </w:rPr>
              <w:t>S» SI. 73.</w:t>
            </w: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t</w:t>
            </w:r>
            <w:r>
              <w:rPr>
                <w:color w:val="000000"/>
                <w:spacing w:val="0"/>
                <w:w w:val="100"/>
                <w:position w:val="0"/>
                <w:sz w:val="9"/>
                <w:szCs w:val="9"/>
              </w:rPr>
              <w:t>三</w:t>
            </w:r>
            <w:r>
              <w:rPr>
                <w:rFonts w:ascii="Times New Roman" w:eastAsia="Times New Roman" w:hAnsi="Times New Roman" w:cs="Times New Roman"/>
                <w:b/>
                <w:bCs/>
                <w:color w:val="000000"/>
                <w:spacing w:val="0"/>
                <w:w w:val="100"/>
                <w:position w:val="0"/>
                <w:sz w:val="8"/>
                <w:szCs w:val="8"/>
              </w:rPr>
              <w:t>J</w:t>
            </w:r>
            <w:r>
              <w:rPr>
                <w:color w:val="000000"/>
                <w:spacing w:val="0"/>
                <w:w w:val="100"/>
                <w:position w:val="0"/>
                <w:sz w:val="9"/>
                <w:szCs w:val="9"/>
              </w:rPr>
              <w:t>斋润分配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17,5S6,174L48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-M3, 3G7, G42_ IB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 xml:space="preserve">-3J5, </w:t>
            </w:r>
            <w:r>
              <w:rPr>
                <w:rFonts w:ascii="Times New Roman" w:eastAsia="Times New Roman" w:hAnsi="Times New Roman" w:cs="Times New Roman"/>
                <w:b/>
                <w:bCs/>
                <w:color w:val="000000"/>
                <w:spacing w:val="0"/>
                <w:w w:val="100"/>
                <w:position w:val="0"/>
                <w:sz w:val="8"/>
                <w:szCs w:val="8"/>
              </w:rPr>
              <w:t xml:space="preserve">781, </w:t>
            </w:r>
            <w:r>
              <w:rPr>
                <w:rFonts w:ascii="Times New Roman" w:eastAsia="Times New Roman" w:hAnsi="Times New Roman" w:cs="Times New Roman"/>
                <w:b/>
                <w:bCs/>
                <w:color w:val="000000"/>
                <w:spacing w:val="0"/>
                <w:w w:val="100"/>
                <w:position w:val="0"/>
                <w:sz w:val="8"/>
                <w:szCs w:val="8"/>
              </w:rPr>
              <w:t xml:space="preserve">4G7_ </w:t>
            </w:r>
            <w:r>
              <w:rPr>
                <w:rFonts w:ascii="Times New Roman" w:eastAsia="Times New Roman" w:hAnsi="Times New Roman" w:cs="Times New Roman"/>
                <w:b/>
                <w:bCs/>
                <w:color w:val="000000"/>
                <w:spacing w:val="0"/>
                <w:w w:val="100"/>
                <w:position w:val="0"/>
                <w:sz w:val="8"/>
                <w:szCs w:val="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43,</w:t>
            </w:r>
            <w:r>
              <w:rPr>
                <w:rFonts w:ascii="Times New Roman" w:eastAsia="Times New Roman" w:hAnsi="Times New Roman" w:cs="Times New Roman"/>
                <w:b/>
                <w:bCs/>
                <w:color w:val="000000"/>
                <w:spacing w:val="0"/>
                <w:w w:val="100"/>
                <w:position w:val="0"/>
                <w:sz w:val="8"/>
                <w:szCs w:val="8"/>
              </w:rPr>
              <w:t>144L G33.</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-M6,3A1,</w:t>
            </w:r>
            <w:r>
              <w:rPr>
                <w:color w:val="000000"/>
                <w:spacing w:val="0"/>
                <w:w w:val="100"/>
                <w:position w:val="0"/>
                <w:sz w:val="9"/>
                <w:szCs w:val="9"/>
              </w:rPr>
              <w:t>皿.</w:t>
            </w:r>
            <w:r>
              <w:rPr>
                <w:rFonts w:ascii="Times New Roman" w:eastAsia="Times New Roman" w:hAnsi="Times New Roman" w:cs="Times New Roman"/>
                <w:b/>
                <w:bCs/>
                <w:color w:val="000000"/>
                <w:spacing w:val="0"/>
                <w:w w:val="100"/>
                <w:position w:val="0"/>
                <w:sz w:val="8"/>
                <w:szCs w:val="8"/>
              </w:rPr>
              <w:t>9S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8"/>
                <w:szCs w:val="8"/>
              </w:rPr>
            </w:pPr>
            <w:r>
              <w:rPr>
                <w:rFonts w:ascii="Times New Roman" w:eastAsia="Times New Roman" w:hAnsi="Times New Roman" w:cs="Times New Roman"/>
                <w:b/>
                <w:bCs/>
                <w:color w:val="000000"/>
                <w:spacing w:val="0"/>
                <w:w w:val="100"/>
                <w:position w:val="0"/>
                <w:sz w:val="8"/>
                <w:szCs w:val="8"/>
              </w:rPr>
              <w:t>-7* 197,«»_ (B</w:t>
            </w: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冕虹余公租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8"/>
                <w:szCs w:val="8"/>
              </w:rPr>
            </w:pPr>
            <w:r>
              <w:rPr>
                <w:rFonts w:ascii="Times New Roman" w:eastAsia="Times New Roman" w:hAnsi="Times New Roman" w:cs="Times New Roman"/>
                <w:b/>
                <w:bCs/>
                <w:color w:val="000000"/>
                <w:spacing w:val="0"/>
                <w:w w:val="100"/>
                <w:position w:val="0"/>
                <w:sz w:val="8"/>
                <w:szCs w:val="8"/>
              </w:rPr>
              <w:t>17,586,174.48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b/>
                <w:bCs/>
                <w:color w:val="000000"/>
                <w:spacing w:val="0"/>
                <w:w w:val="100"/>
                <w:position w:val="0"/>
                <w:sz w:val="8"/>
                <w:szCs w:val="8"/>
              </w:rPr>
              <w:t xml:space="preserve">F, g, </w:t>
            </w:r>
            <w:r>
              <w:rPr>
                <w:rFonts w:ascii="Times New Roman" w:eastAsia="Times New Roman" w:hAnsi="Times New Roman" w:cs="Times New Roman"/>
                <w:b/>
                <w:bCs/>
                <w:color w:val="000000"/>
                <w:spacing w:val="0"/>
                <w:w w:val="100"/>
                <w:position w:val="0"/>
                <w:sz w:val="8"/>
                <w:szCs w:val="8"/>
              </w:rPr>
              <w:t xml:space="preserve">174 </w:t>
            </w:r>
            <w:r>
              <w:rPr>
                <w:color w:val="000000"/>
                <w:spacing w:val="0"/>
                <w:w w:val="100"/>
                <w:position w:val="0"/>
                <w:sz w:val="9"/>
                <w:szCs w:val="9"/>
              </w:rPr>
              <w:t>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43, </w:t>
            </w:r>
            <w:r>
              <w:rPr>
                <w:rFonts w:ascii="Times New Roman" w:eastAsia="Times New Roman" w:hAnsi="Times New Roman" w:cs="Times New Roman"/>
                <w:b/>
                <w:bCs/>
                <w:color w:val="000000"/>
                <w:spacing w:val="0"/>
                <w:w w:val="100"/>
                <w:position w:val="0"/>
                <w:sz w:val="8"/>
                <w:szCs w:val="8"/>
              </w:rPr>
              <w:t>144 63X95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-43, 144, H_ 95</w:t>
            </w: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对点有者</w:t>
            </w:r>
            <w:r>
              <w:rPr>
                <w:rFonts w:ascii="Times New Roman" w:eastAsia="Times New Roman" w:hAnsi="Times New Roman" w:cs="Times New Roman"/>
                <w:b/>
                <w:bCs/>
                <w:color w:val="000000"/>
                <w:spacing w:val="0"/>
                <w:w w:val="100"/>
                <w:position w:val="0"/>
                <w:sz w:val="8"/>
                <w:szCs w:val="8"/>
              </w:rPr>
              <w:t>（W</w:t>
            </w:r>
            <w:r>
              <w:rPr>
                <w:color w:val="000000"/>
                <w:spacing w:val="0"/>
                <w:w w:val="100"/>
                <w:position w:val="0"/>
                <w:sz w:val="9"/>
                <w:szCs w:val="9"/>
              </w:rPr>
              <w:t>东）的殖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-32S, Wl, 4S3. W</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 xml:space="preserve">-3S, </w:t>
            </w:r>
            <w:r>
              <w:rPr>
                <w:rFonts w:ascii="Times New Roman" w:eastAsia="Times New Roman" w:hAnsi="Times New Roman" w:cs="Times New Roman"/>
                <w:b/>
                <w:bCs/>
                <w:color w:val="000000"/>
                <w:spacing w:val="0"/>
                <w:w w:val="100"/>
                <w:position w:val="0"/>
                <w:sz w:val="8"/>
                <w:szCs w:val="8"/>
              </w:rPr>
              <w:t>781, 467- 80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-73,197, 0». 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8"/>
                <w:szCs w:val="8"/>
              </w:rPr>
            </w:pPr>
            <w:r>
              <w:rPr>
                <w:rFonts w:ascii="Times New Roman" w:eastAsia="Times New Roman" w:hAnsi="Times New Roman" w:cs="Times New Roman"/>
                <w:b/>
                <w:bCs/>
                <w:color w:val="000000"/>
                <w:spacing w:val="0"/>
                <w:w w:val="100"/>
                <w:position w:val="0"/>
                <w:sz w:val="8"/>
                <w:szCs w:val="8"/>
              </w:rPr>
              <w:t>-73,197, MO. (B</w:t>
            </w: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CH3</w:t>
            </w:r>
            <w:r>
              <w:rPr>
                <w:color w:val="000000"/>
                <w:spacing w:val="0"/>
                <w:w w:val="100"/>
                <w:position w:val="0"/>
                <w:sz w:val="9"/>
                <w:szCs w:val="9"/>
              </w:rPr>
              <w:t>点看者虾内有结转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责★会®</w:t>
            </w:r>
            <w:r>
              <w:rPr>
                <w:rFonts w:ascii="Times New Roman" w:eastAsia="Times New Roman" w:hAnsi="Times New Roman" w:cs="Times New Roman"/>
                <w:b/>
                <w:bCs/>
                <w:color w:val="000000"/>
                <w:spacing w:val="0"/>
                <w:w w:val="100"/>
                <w:position w:val="0"/>
                <w:sz w:val="8"/>
                <w:szCs w:val="8"/>
              </w:rPr>
              <w:t>I</w:t>
            </w:r>
            <w:r>
              <w:rPr>
                <w:color w:val="000000"/>
                <w:spacing w:val="0"/>
                <w:w w:val="100"/>
                <w:position w:val="0"/>
                <w:sz w:val="9"/>
                <w:szCs w:val="9"/>
              </w:rPr>
              <w:t>转瞄</w:t>
            </w:r>
            <w:r>
              <w:rPr>
                <w:rFonts w:ascii="Times New Roman" w:eastAsia="Times New Roman" w:hAnsi="Times New Roman" w:cs="Times New Roman"/>
                <w:b/>
                <w:bCs/>
                <w:color w:val="000000"/>
                <w:spacing w:val="0"/>
                <w:w w:val="100"/>
                <w:position w:val="0"/>
                <w:sz w:val="8"/>
                <w:szCs w:val="8"/>
              </w:rPr>
              <w:t>*0</w:t>
            </w:r>
            <w:r>
              <w:rPr>
                <w:color w:val="000000"/>
                <w:spacing w:val="0"/>
                <w:w w:val="100"/>
                <w:position w:val="0"/>
                <w:sz w:val="9"/>
                <w:szCs w:val="9"/>
              </w:rPr>
              <w:t>反</w:t>
            </w:r>
            <w:r>
              <w:rPr>
                <w:color w:val="000000"/>
                <w:spacing w:val="0"/>
                <w:w w:val="100"/>
                <w:position w:val="0"/>
                <w:sz w:val="9"/>
                <w:szCs w:val="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队"会瓶转增寅</w:t>
            </w:r>
            <w:r>
              <w:rPr>
                <w:color w:val="000000"/>
                <w:spacing w:val="0"/>
                <w:w w:val="100"/>
                <w:position w:val="0"/>
                <w:sz w:val="9"/>
                <w:szCs w:val="9"/>
              </w:rPr>
              <w:t>*（</w:t>
            </w:r>
            <w:r>
              <w:rPr>
                <w:color w:val="000000"/>
                <w:spacing w:val="0"/>
                <w:w w:val="100"/>
                <w:position w:val="0"/>
                <w:sz w:val="9"/>
                <w:szCs w:val="9"/>
              </w:rPr>
              <w:t>虚股</w:t>
            </w:r>
            <w:r>
              <w:rPr>
                <w:color w:val="000000"/>
                <w:spacing w:val="0"/>
                <w:w w:val="100"/>
                <w:position w:val="0"/>
                <w:sz w:val="9"/>
                <w:szCs w:val="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 xml:space="preserve">M </w:t>
            </w:r>
            <w:r>
              <w:rPr>
                <w:color w:val="000000"/>
                <w:spacing w:val="0"/>
                <w:w w:val="100"/>
                <w:position w:val="0"/>
                <w:sz w:val="9"/>
                <w:szCs w:val="9"/>
              </w:rPr>
              <w:t>"会球补号报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其龟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 xml:space="preserve">Ci </w:t>
            </w: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专《»备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一*做取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一*期懊用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CA3</w:t>
            </w:r>
            <w:r>
              <w:rPr>
                <w:color w:val="000000"/>
                <w:spacing w:val="0"/>
                <w:w w:val="100"/>
                <w:position w:val="0"/>
                <w:sz w:val="9"/>
                <w:szCs w:val="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i/>
                <w:iCs/>
                <w:color w:val="000000"/>
                <w:spacing w:val="0"/>
                <w:w w:val="100"/>
                <w:position w:val="0"/>
                <w:sz w:val="8"/>
                <w:szCs w:val="8"/>
              </w:rPr>
              <w:t>4,</w:t>
            </w:r>
            <w:r>
              <w:rPr>
                <w:rFonts w:ascii="Times New Roman" w:eastAsia="Times New Roman" w:hAnsi="Times New Roman" w:cs="Times New Roman"/>
                <w:b/>
                <w:bCs/>
                <w:color w:val="000000"/>
                <w:spacing w:val="0"/>
                <w:w w:val="100"/>
                <w:position w:val="0"/>
                <w:sz w:val="8"/>
                <w:szCs w:val="8"/>
              </w:rPr>
              <w:t xml:space="preserve"> S3% </w:t>
            </w:r>
            <w:r>
              <w:rPr>
                <w:rFonts w:ascii="Times New Roman" w:eastAsia="Times New Roman" w:hAnsi="Times New Roman" w:cs="Times New Roman"/>
                <w:b/>
                <w:bCs/>
                <w:color w:val="000000"/>
                <w:spacing w:val="0"/>
                <w:w w:val="100"/>
                <w:position w:val="0"/>
                <w:sz w:val="8"/>
                <w:szCs w:val="8"/>
              </w:rPr>
              <w:t>9S1</w:t>
            </w:r>
            <w:r>
              <w:rPr>
                <w:rFonts w:ascii="Times New Roman" w:eastAsia="Times New Roman" w:hAnsi="Times New Roman" w:cs="Times New Roman"/>
                <w:b/>
                <w:bCs/>
                <w:color w:val="000000"/>
                <w:spacing w:val="0"/>
                <w:w w:val="100"/>
                <w:position w:val="0"/>
                <w:sz w:val="8"/>
                <w:szCs w:val="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40, SQ, 569. 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8"/>
                <w:szCs w:val="8"/>
              </w:rPr>
            </w:pPr>
            <w:r>
              <w:rPr>
                <w:rFonts w:ascii="Times New Roman" w:eastAsia="Times New Roman" w:hAnsi="Times New Roman" w:cs="Times New Roman"/>
                <w:b/>
                <w:bCs/>
                <w:color w:val="000000"/>
                <w:spacing w:val="0"/>
                <w:w w:val="100"/>
                <w:position w:val="0"/>
                <w:sz w:val="8"/>
                <w:szCs w:val="8"/>
              </w:rPr>
              <w:t>4S, 39, SSS. 11</w:t>
            </w:r>
          </w:p>
        </w:tc>
      </w:tr>
      <w:tr>
        <w:trPr>
          <w:trHeight w:val="25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D-</w:t>
            </w:r>
            <w:r>
              <w:rPr>
                <w:color w:val="000000"/>
                <w:spacing w:val="0"/>
                <w:w w:val="100"/>
                <w:position w:val="0"/>
                <w:sz w:val="9"/>
                <w:szCs w:val="9"/>
              </w:rPr>
              <w:t>相&amp;舶未余鲤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 xml:space="preserve">% </w:t>
            </w:r>
            <w:r>
              <w:rPr>
                <w:rFonts w:ascii="Times New Roman" w:eastAsia="Times New Roman" w:hAnsi="Times New Roman" w:cs="Times New Roman"/>
                <w:b/>
                <w:bCs/>
                <w:color w:val="000000"/>
                <w:spacing w:val="0"/>
                <w:w w:val="100"/>
                <w:position w:val="0"/>
                <w:sz w:val="8"/>
                <w:szCs w:val="8"/>
              </w:rPr>
              <w:t>251,814, 678</w:t>
            </w:r>
            <w:r>
              <w:rPr>
                <w:color w:val="000000"/>
                <w:spacing w:val="0"/>
                <w:w w:val="100"/>
                <w:position w:val="0"/>
                <w:sz w:val="9"/>
                <w:szCs w:val="9"/>
              </w:rPr>
              <w:t xml:space="preserve">一 </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9,214,546,523.06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185,942,921.52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S8, G67, BO. 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1197" w:val="left"/>
              </w:tabs>
              <w:bidi w:val="0"/>
              <w:spacing w:before="0" w:after="0" w:line="240" w:lineRule="auto"/>
              <w:ind w:left="0" w:right="0" w:firstLine="160"/>
              <w:jc w:val="both"/>
              <w:rPr>
                <w:sz w:val="8"/>
                <w:szCs w:val="8"/>
              </w:rPr>
            </w:pPr>
            <w:r>
              <w:rPr>
                <w:rFonts w:ascii="Times New Roman" w:eastAsia="Times New Roman" w:hAnsi="Times New Roman" w:cs="Times New Roman"/>
                <w:b/>
                <w:bCs/>
                <w:color w:val="000000"/>
                <w:spacing w:val="0"/>
                <w:w w:val="100"/>
                <w:position w:val="0"/>
                <w:sz w:val="8"/>
                <w:szCs w:val="8"/>
              </w:rPr>
              <w:t xml:space="preserve">13, </w:t>
            </w:r>
            <w:r>
              <w:rPr>
                <w:rFonts w:ascii="Times New Roman" w:eastAsia="Times New Roman" w:hAnsi="Times New Roman" w:cs="Times New Roman"/>
                <w:b/>
                <w:bCs/>
                <w:color w:val="000000"/>
                <w:spacing w:val="0"/>
                <w:w w:val="100"/>
                <w:position w:val="0"/>
                <w:sz w:val="8"/>
                <w:szCs w:val="8"/>
              </w:rPr>
              <w:t xml:space="preserve">SS6, </w:t>
            </w:r>
            <w:r>
              <w:rPr>
                <w:rFonts w:ascii="Times New Roman" w:eastAsia="Times New Roman" w:hAnsi="Times New Roman" w:cs="Times New Roman"/>
                <w:b/>
                <w:bCs/>
                <w:color w:val="000000"/>
                <w:spacing w:val="0"/>
                <w:w w:val="100"/>
                <w:position w:val="0"/>
                <w:sz w:val="8"/>
                <w:szCs w:val="8"/>
              </w:rPr>
              <w:t xml:space="preserve">971, </w:t>
            </w:r>
            <w:r>
              <w:rPr>
                <w:rFonts w:ascii="Times New Roman" w:eastAsia="Times New Roman" w:hAnsi="Times New Roman" w:cs="Times New Roman"/>
                <w:b/>
                <w:bCs/>
                <w:color w:val="000000"/>
                <w:spacing w:val="0"/>
                <w:w w:val="100"/>
                <w:position w:val="0"/>
                <w:sz w:val="8"/>
                <w:szCs w:val="8"/>
              </w:rPr>
              <w:t xml:space="preserve">S77_ </w:t>
            </w:r>
            <w:r>
              <w:rPr>
                <w:rFonts w:ascii="Times New Roman" w:eastAsia="Times New Roman" w:hAnsi="Times New Roman" w:cs="Times New Roman"/>
                <w:b/>
                <w:bCs/>
                <w:color w:val="000000"/>
                <w:spacing w:val="0"/>
                <w:w w:val="100"/>
                <w:position w:val="0"/>
                <w:sz w:val="8"/>
                <w:szCs w:val="8"/>
              </w:rPr>
              <w:t>81</w:t>
              <w:tab/>
              <w:t xml:space="preserve">3,257, 814, &amp;7 </w:t>
            </w:r>
            <w:r>
              <w:rPr>
                <w:rFonts w:ascii="Times New Roman" w:eastAsia="Times New Roman" w:hAnsi="Times New Roman" w:cs="Times New Roman"/>
                <w:b/>
                <w:bCs/>
                <w:color w:val="000000"/>
                <w:spacing w:val="0"/>
                <w:w w:val="100"/>
                <w:position w:val="0"/>
                <w:sz w:val="8"/>
                <w:szCs w:val="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 xml:space="preserve">9,196, </w:t>
            </w:r>
            <w:r>
              <w:rPr>
                <w:rFonts w:ascii="Times New Roman" w:eastAsia="Times New Roman" w:hAnsi="Times New Roman" w:cs="Times New Roman"/>
                <w:b/>
                <w:bCs/>
                <w:i/>
                <w:iCs/>
                <w:color w:val="000000"/>
                <w:spacing w:val="0"/>
                <w:w w:val="100"/>
                <w:position w:val="0"/>
                <w:sz w:val="8"/>
                <w:szCs w:val="8"/>
              </w:rPr>
              <w:t>2&lt;b,</w:t>
            </w:r>
            <w:r>
              <w:rPr>
                <w:color w:val="000000"/>
                <w:spacing w:val="0"/>
                <w:w w:val="100"/>
                <w:position w:val="0"/>
                <w:sz w:val="9"/>
                <w:szCs w:val="9"/>
              </w:rPr>
              <w:t xml:space="preserve">皿一 </w:t>
            </w:r>
            <w:r>
              <w:rPr>
                <w:rFonts w:ascii="Times New Roman" w:eastAsia="Times New Roman" w:hAnsi="Times New Roman" w:cs="Times New Roman"/>
                <w:b/>
                <w:bCs/>
                <w:color w:val="000000"/>
                <w:spacing w:val="0"/>
                <w:w w:val="100"/>
                <w:position w:val="0"/>
                <w:sz w:val="8"/>
                <w:szCs w:val="8"/>
              </w:rPr>
              <w:t>0G</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 xml:space="preserve">1S8, 3S€» 747. </w:t>
            </w:r>
            <w:r>
              <w:rPr>
                <w:rFonts w:ascii="Times New Roman" w:eastAsia="Times New Roman" w:hAnsi="Times New Roman" w:cs="Times New Roman"/>
                <w:b/>
                <w:bCs/>
                <w:color w:val="000000"/>
                <w:spacing w:val="0"/>
                <w:w w:val="100"/>
                <w:position w:val="0"/>
                <w:sz w:val="8"/>
                <w:szCs w:val="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1,06^173,147.0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 xml:space="preserve">IX </w:t>
            </w:r>
            <w:r>
              <w:rPr>
                <w:color w:val="000000"/>
                <w:spacing w:val="0"/>
                <w:w w:val="100"/>
                <w:position w:val="0"/>
                <w:sz w:val="9"/>
                <w:szCs w:val="9"/>
              </w:rPr>
              <w:t>皿,</w:t>
            </w:r>
            <w:r>
              <w:rPr>
                <w:rFonts w:ascii="Times New Roman" w:eastAsia="Times New Roman" w:hAnsi="Times New Roman" w:cs="Times New Roman"/>
                <w:b/>
                <w:bCs/>
                <w:color w:val="000000"/>
                <w:spacing w:val="0"/>
                <w:w w:val="100"/>
                <w:position w:val="0"/>
                <w:sz w:val="8"/>
                <w:szCs w:val="8"/>
              </w:rPr>
              <w:t>»4, 200. TO</w:t>
            </w:r>
          </w:p>
        </w:tc>
      </w:tr>
    </w:tbl>
    <w:p>
      <w:pPr>
        <w:widowControl w:val="0"/>
        <w:spacing w:after="59" w:line="1" w:lineRule="exact"/>
      </w:pPr>
    </w:p>
    <w:p>
      <w:pPr>
        <w:pStyle w:val="Style94"/>
        <w:keepNext w:val="0"/>
        <w:keepLines w:val="0"/>
        <w:widowControl w:val="0"/>
        <w:shd w:val="clear" w:color="auto" w:fill="auto"/>
        <w:bidi w:val="0"/>
        <w:spacing w:before="0" w:after="80" w:line="240" w:lineRule="auto"/>
        <w:ind w:left="0" w:right="0" w:firstLine="0"/>
        <w:jc w:val="center"/>
        <w:sectPr>
          <w:headerReference w:type="default" r:id="rId36"/>
          <w:footerReference w:type="default" r:id="rId37"/>
          <w:footnotePr>
            <w:pos w:val="pageBottom"/>
            <w:numFmt w:val="decimal"/>
            <w:numRestart w:val="continuous"/>
          </w:footnotePr>
          <w:pgSz w:w="16840" w:h="11900" w:orient="landscape"/>
          <w:pgMar w:top="1378" w:right="51" w:bottom="1902" w:left="61" w:header="0" w:footer="3" w:gutter="0"/>
          <w:cols w:space="720"/>
          <w:noEndnote/>
          <w:rtlGutter w:val="0"/>
          <w:docGrid w:linePitch="360"/>
        </w:sectPr>
      </w:pPr>
      <w:r>
        <w:rPr>
          <w:color w:val="000000"/>
          <w:spacing w:val="0"/>
          <w:w w:val="100"/>
          <w:position w:val="0"/>
        </w:rPr>
        <w:t>会计</w:t>
      </w:r>
      <w:r>
        <w:rPr>
          <w:rFonts w:ascii="Times New Roman" w:eastAsia="Times New Roman" w:hAnsi="Times New Roman" w:cs="Times New Roman"/>
          <w:b/>
          <w:bCs/>
          <w:color w:val="000000"/>
          <w:spacing w:val="0"/>
          <w:w w:val="100"/>
          <w:position w:val="0"/>
          <w:sz w:val="8"/>
          <w:szCs w:val="8"/>
        </w:rPr>
        <w:t>M</w:t>
      </w:r>
      <w:r>
        <w:rPr>
          <w:color w:val="000000"/>
          <w:spacing w:val="0"/>
          <w:w w:val="100"/>
          <w:position w:val="0"/>
        </w:rPr>
        <w:t>心人</w:t>
      </w:r>
      <w:r>
        <w:rPr>
          <w:color w:val="000000"/>
          <w:spacing w:val="0"/>
          <w:w w:val="100"/>
          <w:position w:val="0"/>
        </w:rPr>
        <w:t>■</w:t>
      </w:r>
      <w:r>
        <w:rPr>
          <w:color w:val="000000"/>
          <w:spacing w:val="0"/>
          <w:w w:val="100"/>
          <w:position w:val="0"/>
        </w:rPr>
        <w:t>弟万活</w:t>
      </w:r>
    </w:p>
    <w:p>
      <w:pPr>
        <w:pStyle w:val="Style14"/>
        <w:keepNext w:val="0"/>
        <w:keepLines w:val="0"/>
        <w:widowControl w:val="0"/>
        <w:shd w:val="clear" w:color="auto" w:fill="auto"/>
        <w:bidi w:val="0"/>
        <w:spacing w:before="240" w:after="600" w:line="240" w:lineRule="auto"/>
        <w:ind w:left="0" w:right="0" w:firstLine="440"/>
        <w:jc w:val="both"/>
      </w:pPr>
      <w:r>
        <w:rPr>
          <w:b/>
          <w:bCs/>
          <w:color w:val="000000"/>
          <w:spacing w:val="0"/>
          <w:w w:val="100"/>
          <w:position w:val="0"/>
          <w:sz w:val="24"/>
          <w:szCs w:val="24"/>
        </w:rPr>
        <w:t>三、财务报表附注</w:t>
      </w:r>
    </w:p>
    <w:p>
      <w:pPr>
        <w:pStyle w:val="Style6"/>
        <w:keepNext w:val="0"/>
        <w:keepLines w:val="0"/>
        <w:widowControl w:val="0"/>
        <w:shd w:val="clear" w:color="auto" w:fill="auto"/>
        <w:bidi w:val="0"/>
        <w:spacing w:before="0" w:after="120" w:line="586" w:lineRule="exact"/>
        <w:ind w:left="0" w:right="0" w:firstLine="0"/>
        <w:jc w:val="center"/>
        <w:rPr>
          <w:sz w:val="28"/>
          <w:szCs w:val="28"/>
        </w:rPr>
      </w:pPr>
      <w:r>
        <w:rPr>
          <w:rFonts w:ascii="SimHei" w:eastAsia="SimHei" w:hAnsi="SimHei" w:cs="SimHei"/>
          <w:b/>
          <w:bCs/>
          <w:color w:val="000000"/>
          <w:spacing w:val="0"/>
          <w:w w:val="100"/>
          <w:position w:val="0"/>
          <w:sz w:val="28"/>
          <w:szCs w:val="28"/>
        </w:rPr>
        <w:t>传化智联股份有限公司</w:t>
        <w:br/>
        <w:t>财务报表附注</w:t>
      </w:r>
    </w:p>
    <w:p>
      <w:pPr>
        <w:pStyle w:val="Style6"/>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p>
      <w:pPr>
        <w:pStyle w:val="Style111"/>
        <w:keepNext w:val="0"/>
        <w:keepLines w:val="0"/>
        <w:widowControl w:val="0"/>
        <w:shd w:val="clear" w:color="auto" w:fill="auto"/>
        <w:bidi w:val="0"/>
        <w:spacing w:before="0" w:after="280" w:line="240" w:lineRule="auto"/>
        <w:ind w:left="0" w:right="0" w:firstLine="0"/>
        <w:jc w:val="right"/>
      </w:pPr>
      <w:r>
        <w:rPr>
          <w:color w:val="000000"/>
          <w:spacing w:val="0"/>
          <w:w w:val="100"/>
          <w:position w:val="0"/>
        </w:rPr>
        <w:t>金额单位：人民币元</w:t>
      </w:r>
    </w:p>
    <w:p>
      <w:pPr>
        <w:pStyle w:val="Style6"/>
        <w:keepNext w:val="0"/>
        <w:keepLines w:val="0"/>
        <w:widowControl w:val="0"/>
        <w:shd w:val="clear" w:color="auto" w:fill="auto"/>
        <w:bidi w:val="0"/>
        <w:spacing w:before="0" w:after="0" w:line="436" w:lineRule="exact"/>
        <w:ind w:left="0" w:right="0" w:firstLine="440"/>
        <w:jc w:val="both"/>
        <w:rPr>
          <w:sz w:val="20"/>
          <w:szCs w:val="20"/>
        </w:rPr>
      </w:pPr>
      <w:r>
        <w:rPr>
          <w:rFonts w:ascii="SimHei" w:eastAsia="SimHei" w:hAnsi="SimHei" w:cs="SimHei"/>
          <w:b/>
          <w:bCs/>
          <w:color w:val="000000"/>
          <w:spacing w:val="0"/>
          <w:w w:val="100"/>
          <w:position w:val="0"/>
          <w:sz w:val="20"/>
          <w:szCs w:val="20"/>
        </w:rPr>
        <w:t>一'公司基本情况</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传化智联股份有限公司（原浙江传化股份有限公司，于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日更名为传化 智联股份有限公司，以下简称公司或本公司）系经浙江省人民政府企业上市工作领导小组浙 上市[</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号文批准，由原杭州传化化学制品有限公司依法整体变更设立，于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日在浙江省工商行政管理局登记注册，总部位于浙江省杭州市。公司现持有统一社会 信用代码为</w:t>
      </w:r>
      <w:r>
        <w:rPr>
          <w:rFonts w:ascii="Times New Roman" w:eastAsia="Times New Roman" w:hAnsi="Times New Roman" w:cs="Times New Roman"/>
          <w:color w:val="000000"/>
          <w:spacing w:val="0"/>
          <w:w w:val="100"/>
          <w:position w:val="0"/>
        </w:rPr>
        <w:t>91330000609301348</w:t>
      </w:r>
      <w:r>
        <w:rPr>
          <w:color w:val="000000"/>
          <w:spacing w:val="0"/>
          <w:w w:val="100"/>
          <w:position w:val="0"/>
        </w:rPr>
        <w:t>W</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257</w:t>
      </w:r>
      <w:r>
        <w:rPr>
          <w:color w:val="000000"/>
          <w:spacing w:val="0"/>
          <w:w w:val="100"/>
          <w:position w:val="0"/>
        </w:rPr>
        <w:t xml:space="preserve">, </w:t>
      </w:r>
      <w:r>
        <w:rPr>
          <w:rFonts w:ascii="Times New Roman" w:eastAsia="Times New Roman" w:hAnsi="Times New Roman" w:cs="Times New Roman"/>
          <w:color w:val="000000"/>
          <w:spacing w:val="0"/>
          <w:w w:val="100"/>
          <w:position w:val="0"/>
        </w:rPr>
        <w:t>814</w:t>
      </w:r>
      <w:r>
        <w:rPr>
          <w:color w:val="000000"/>
          <w:spacing w:val="0"/>
          <w:w w:val="100"/>
          <w:position w:val="0"/>
        </w:rPr>
        <w:t xml:space="preserve">, </w:t>
      </w:r>
      <w:r>
        <w:rPr>
          <w:rFonts w:ascii="Times New Roman" w:eastAsia="Times New Roman" w:hAnsi="Times New Roman" w:cs="Times New Roman"/>
          <w:color w:val="000000"/>
          <w:spacing w:val="0"/>
          <w:w w:val="100"/>
          <w:position w:val="0"/>
        </w:rPr>
        <w:t>678</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元，股份总数 </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257</w:t>
      </w:r>
      <w:r>
        <w:rPr>
          <w:color w:val="000000"/>
          <w:spacing w:val="0"/>
          <w:w w:val="100"/>
          <w:position w:val="0"/>
        </w:rPr>
        <w:t>,</w:t>
      </w:r>
      <w:r>
        <w:rPr>
          <w:rFonts w:ascii="Times New Roman" w:eastAsia="Times New Roman" w:hAnsi="Times New Roman" w:cs="Times New Roman"/>
          <w:color w:val="000000"/>
          <w:spacing w:val="0"/>
          <w:w w:val="100"/>
          <w:position w:val="0"/>
        </w:rPr>
        <w:t>814</w:t>
      </w:r>
      <w:r>
        <w:rPr>
          <w:color w:val="000000"/>
          <w:spacing w:val="0"/>
          <w:w w:val="100"/>
          <w:position w:val="0"/>
        </w:rPr>
        <w:t xml:space="preserve">, </w:t>
      </w:r>
      <w:r>
        <w:rPr>
          <w:rFonts w:ascii="Times New Roman" w:eastAsia="Times New Roman" w:hAnsi="Times New Roman" w:cs="Times New Roman"/>
          <w:color w:val="000000"/>
          <w:spacing w:val="0"/>
          <w:w w:val="100"/>
          <w:position w:val="0"/>
        </w:rPr>
        <w:t>678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844</w:t>
      </w:r>
      <w:r>
        <w:rPr>
          <w:color w:val="000000"/>
          <w:spacing w:val="0"/>
          <w:w w:val="100"/>
          <w:position w:val="0"/>
        </w:rPr>
        <w:t xml:space="preserve">, </w:t>
      </w:r>
      <w:r>
        <w:rPr>
          <w:rFonts w:ascii="Times New Roman" w:eastAsia="Times New Roman" w:hAnsi="Times New Roman" w:cs="Times New Roman"/>
          <w:color w:val="000000"/>
          <w:spacing w:val="0"/>
          <w:w w:val="100"/>
          <w:position w:val="0"/>
        </w:rPr>
        <w:t>991</w:t>
      </w:r>
      <w:r>
        <w:rPr>
          <w:color w:val="000000"/>
          <w:spacing w:val="0"/>
          <w:w w:val="100"/>
          <w:position w:val="0"/>
        </w:rPr>
        <w:t xml:space="preserve">, </w:t>
      </w:r>
      <w:r>
        <w:rPr>
          <w:rFonts w:ascii="Times New Roman" w:eastAsia="Times New Roman" w:hAnsi="Times New Roman" w:cs="Times New Roman"/>
          <w:color w:val="000000"/>
          <w:spacing w:val="0"/>
          <w:w w:val="100"/>
          <w:position w:val="0"/>
        </w:rPr>
        <w:t>584</w:t>
      </w:r>
      <w:r>
        <w:rPr>
          <w:color w:val="000000"/>
          <w:spacing w:val="0"/>
          <w:w w:val="100"/>
          <w:position w:val="0"/>
        </w:rPr>
        <w:t>股; 无限售条件的流通股份</w:t>
      </w:r>
      <w:r>
        <w:rPr>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412</w:t>
      </w:r>
      <w:r>
        <w:rPr>
          <w:color w:val="000000"/>
          <w:spacing w:val="0"/>
          <w:w w:val="100"/>
          <w:position w:val="0"/>
        </w:rPr>
        <w:t xml:space="preserve">, </w:t>
      </w:r>
      <w:r>
        <w:rPr>
          <w:rFonts w:ascii="Times New Roman" w:eastAsia="Times New Roman" w:hAnsi="Times New Roman" w:cs="Times New Roman"/>
          <w:color w:val="000000"/>
          <w:spacing w:val="0"/>
          <w:w w:val="100"/>
          <w:position w:val="0"/>
        </w:rPr>
        <w:t>823</w:t>
      </w:r>
      <w:r>
        <w:rPr>
          <w:color w:val="000000"/>
          <w:spacing w:val="0"/>
          <w:w w:val="100"/>
          <w:position w:val="0"/>
        </w:rPr>
        <w:t xml:space="preserve">, </w:t>
      </w:r>
      <w:r>
        <w:rPr>
          <w:rFonts w:ascii="Times New Roman" w:eastAsia="Times New Roman" w:hAnsi="Times New Roman" w:cs="Times New Roman"/>
          <w:color w:val="000000"/>
          <w:spacing w:val="0"/>
          <w:w w:val="100"/>
          <w:position w:val="0"/>
        </w:rPr>
        <w:t>094</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 易所挂牌交易。</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本公司属精细化工业和物流服务业。经营范围：危险化学品无储存批发（范围详见《危 险化学品经营许可证》）。物流信息服务，物流信息软件开发与销售，公路港物流基地及配 套设施涉及的投资、建设、开发，企业管理咨询，市场营销策划，投资管理（未经金融等监 管部门批准，不得从事向公众融资存款、融资担保、代客理财等金融服务），有机硅及有机 氟精细化学品（不含危险品）、表面活性剂、纺织印染助剂、油剂及原辅材料的生产、加工、 销售，染料（不含化学危险品）的销售，经营进出口业务（范围详见外经贸部门批文），物 业管理。</w:t>
      </w:r>
    </w:p>
    <w:p>
      <w:pPr>
        <w:pStyle w:val="Style111"/>
        <w:keepNext w:val="0"/>
        <w:keepLines w:val="0"/>
        <w:widowControl w:val="0"/>
        <w:shd w:val="clear" w:color="auto" w:fill="auto"/>
        <w:bidi w:val="0"/>
        <w:spacing w:before="0" w:after="0" w:line="436" w:lineRule="exact"/>
        <w:ind w:left="0" w:right="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日五届三十九次董事会批准对外报出。</w:t>
      </w:r>
    </w:p>
    <w:p>
      <w:pPr>
        <w:pStyle w:val="Style111"/>
        <w:keepNext w:val="0"/>
        <w:keepLines w:val="0"/>
        <w:widowControl w:val="0"/>
        <w:shd w:val="clear" w:color="auto" w:fill="auto"/>
        <w:bidi w:val="0"/>
        <w:spacing w:before="0" w:after="420" w:line="436" w:lineRule="exact"/>
        <w:ind w:left="0" w:right="0"/>
        <w:jc w:val="both"/>
      </w:pPr>
      <w:r>
        <w:rPr>
          <w:color w:val="000000"/>
          <w:spacing w:val="0"/>
          <w:w w:val="100"/>
          <w:position w:val="0"/>
        </w:rPr>
        <w:t xml:space="preserve">本公司将传化物流集团有限公司（以下简称传化物流集团）、传化荷兰有限公司 </w:t>
      </w:r>
      <w:r>
        <w:rPr>
          <w:color w:val="000000"/>
          <w:spacing w:val="0"/>
          <w:w w:val="100"/>
          <w:position w:val="0"/>
        </w:rPr>
        <w:t>（Transfar Cooperatief U. A.，</w:t>
      </w:r>
      <w:r>
        <w:rPr>
          <w:color w:val="000000"/>
          <w:spacing w:val="0"/>
          <w:w w:val="100"/>
          <w:position w:val="0"/>
        </w:rPr>
        <w:t>以下简称传化荷兰公司）、杭州传化化学品有限公司（以下 简称传化化学品公司）和浙江传化合成材料有限公司（以下简称传化合成材料公司）等</w:t>
      </w:r>
      <w:r>
        <w:rPr>
          <w:rFonts w:ascii="Times New Roman" w:eastAsia="Times New Roman" w:hAnsi="Times New Roman" w:cs="Times New Roman"/>
          <w:color w:val="000000"/>
          <w:spacing w:val="0"/>
          <w:w w:val="100"/>
          <w:position w:val="0"/>
        </w:rPr>
        <w:t xml:space="preserve">117 </w:t>
      </w:r>
      <w:r>
        <w:rPr>
          <w:color w:val="000000"/>
          <w:spacing w:val="0"/>
          <w:w w:val="100"/>
          <w:position w:val="0"/>
        </w:rPr>
        <w:t>家子公司纳入本期合并财务报表范围，情况详见本财务报表附注合并范围的变更和在其他主 体中的权益之说明。</w:t>
      </w:r>
    </w:p>
    <w:p>
      <w:pPr>
        <w:pStyle w:val="Style6"/>
        <w:keepNext w:val="0"/>
        <w:keepLines w:val="0"/>
        <w:widowControl w:val="0"/>
        <w:shd w:val="clear" w:color="auto" w:fill="auto"/>
        <w:bidi w:val="0"/>
        <w:spacing w:before="0" w:after="200" w:line="436" w:lineRule="exact"/>
        <w:ind w:left="0" w:right="0" w:firstLine="440"/>
        <w:jc w:val="both"/>
        <w:rPr>
          <w:sz w:val="20"/>
          <w:szCs w:val="20"/>
        </w:rPr>
      </w:pPr>
      <w:r>
        <w:rPr>
          <w:rFonts w:ascii="SimHei" w:eastAsia="SimHei" w:hAnsi="SimHei" w:cs="SimHei"/>
          <w:b/>
          <w:bCs/>
          <w:color w:val="000000"/>
          <w:spacing w:val="0"/>
          <w:w w:val="100"/>
          <w:position w:val="0"/>
          <w:sz w:val="20"/>
          <w:szCs w:val="20"/>
        </w:rPr>
        <w:t>二' 财务报表的编制基础</w:t>
      </w:r>
    </w:p>
    <w:p>
      <w:pPr>
        <w:pStyle w:val="Style111"/>
        <w:keepNext w:val="0"/>
        <w:keepLines w:val="0"/>
        <w:widowControl w:val="0"/>
        <w:shd w:val="clear" w:color="auto" w:fill="auto"/>
        <w:tabs>
          <w:tab w:pos="971" w:val="left"/>
        </w:tabs>
        <w:bidi w:val="0"/>
        <w:spacing w:before="0" w:after="0" w:line="436" w:lineRule="exact"/>
        <w:ind w:left="0" w:right="0"/>
        <w:jc w:val="left"/>
      </w:pPr>
      <w:bookmarkStart w:id="184" w:name="bookmark184"/>
      <w:r>
        <w:rPr>
          <w:color w:val="000000"/>
          <w:spacing w:val="0"/>
          <w:w w:val="100"/>
          <w:position w:val="0"/>
        </w:rPr>
        <w:t>（</w:t>
      </w:r>
      <w:bookmarkEnd w:id="184"/>
      <w:r>
        <w:rPr>
          <w:color w:val="000000"/>
          <w:spacing w:val="0"/>
          <w:w w:val="100"/>
          <w:position w:val="0"/>
        </w:rPr>
        <w:t>一）</w:t>
        <w:tab/>
        <w:t>编制基础</w:t>
      </w:r>
    </w:p>
    <w:p>
      <w:pPr>
        <w:pStyle w:val="Style111"/>
        <w:keepNext w:val="0"/>
        <w:keepLines w:val="0"/>
        <w:widowControl w:val="0"/>
        <w:shd w:val="clear" w:color="auto" w:fill="auto"/>
        <w:bidi w:val="0"/>
        <w:spacing w:before="0" w:after="0" w:line="436" w:lineRule="exact"/>
        <w:ind w:left="0" w:right="0"/>
        <w:jc w:val="left"/>
      </w:pPr>
      <w:r>
        <w:rPr>
          <w:color w:val="000000"/>
          <w:spacing w:val="0"/>
          <w:w w:val="100"/>
          <w:position w:val="0"/>
        </w:rPr>
        <w:t>本公司财务报表以持续经营为编制基础。</w:t>
      </w:r>
    </w:p>
    <w:p>
      <w:pPr>
        <w:pStyle w:val="Style111"/>
        <w:keepNext w:val="0"/>
        <w:keepLines w:val="0"/>
        <w:widowControl w:val="0"/>
        <w:shd w:val="clear" w:color="auto" w:fill="auto"/>
        <w:tabs>
          <w:tab w:pos="971" w:val="left"/>
        </w:tabs>
        <w:bidi w:val="0"/>
        <w:spacing w:before="0" w:after="0" w:line="436" w:lineRule="exact"/>
        <w:ind w:left="0" w:right="0"/>
        <w:jc w:val="left"/>
      </w:pPr>
      <w:bookmarkStart w:id="185" w:name="bookmark185"/>
      <w:r>
        <w:rPr>
          <w:color w:val="000000"/>
          <w:spacing w:val="0"/>
          <w:w w:val="100"/>
          <w:position w:val="0"/>
        </w:rPr>
        <w:t>（</w:t>
      </w:r>
      <w:bookmarkEnd w:id="185"/>
      <w:r>
        <w:rPr>
          <w:color w:val="000000"/>
          <w:spacing w:val="0"/>
          <w:w w:val="100"/>
          <w:position w:val="0"/>
        </w:rPr>
        <w:t>二）</w:t>
        <w:tab/>
        <w:t>持续经营能力评价</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 况。</w:t>
      </w:r>
    </w:p>
    <w:p>
      <w:pPr>
        <w:pStyle w:val="Style6"/>
        <w:keepNext w:val="0"/>
        <w:keepLines w:val="0"/>
        <w:widowControl w:val="0"/>
        <w:shd w:val="clear" w:color="auto" w:fill="auto"/>
        <w:bidi w:val="0"/>
        <w:spacing w:before="0" w:after="0" w:line="436" w:lineRule="exact"/>
        <w:ind w:left="0" w:right="0" w:firstLine="440"/>
        <w:jc w:val="both"/>
        <w:rPr>
          <w:sz w:val="20"/>
          <w:szCs w:val="20"/>
        </w:rPr>
      </w:pPr>
      <w:r>
        <w:rPr>
          <w:rFonts w:ascii="SimHei" w:eastAsia="SimHei" w:hAnsi="SimHei" w:cs="SimHei"/>
          <w:b/>
          <w:bCs/>
          <w:color w:val="000000"/>
          <w:spacing w:val="0"/>
          <w:w w:val="100"/>
          <w:position w:val="0"/>
          <w:sz w:val="20"/>
          <w:szCs w:val="20"/>
        </w:rPr>
        <w:t>三' 重要会计政策及会计估计</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重要提示：本公司根据实际生产经营特点针对应收款项坏账准备计提、固定资产折旧、 无形资产摊销、收入确认等交易或事项制定了具体会计政策和会计估计。</w:t>
      </w:r>
    </w:p>
    <w:p>
      <w:pPr>
        <w:pStyle w:val="Style111"/>
        <w:keepNext w:val="0"/>
        <w:keepLines w:val="0"/>
        <w:widowControl w:val="0"/>
        <w:shd w:val="clear" w:color="auto" w:fill="auto"/>
        <w:tabs>
          <w:tab w:pos="971" w:val="left"/>
        </w:tabs>
        <w:bidi w:val="0"/>
        <w:spacing w:before="0" w:after="0" w:line="436" w:lineRule="exact"/>
        <w:ind w:left="0" w:right="0"/>
        <w:jc w:val="left"/>
      </w:pPr>
      <w:bookmarkStart w:id="186" w:name="bookmark186"/>
      <w:r>
        <w:rPr>
          <w:color w:val="000000"/>
          <w:spacing w:val="0"/>
          <w:w w:val="100"/>
          <w:position w:val="0"/>
        </w:rPr>
        <w:t>（</w:t>
      </w:r>
      <w:bookmarkEnd w:id="186"/>
      <w:r>
        <w:rPr>
          <w:color w:val="000000"/>
          <w:spacing w:val="0"/>
          <w:w w:val="100"/>
          <w:position w:val="0"/>
        </w:rPr>
        <w:t>一）</w:t>
        <w:tab/>
        <w:t>遵循企业会计准则的声明</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本公司所编制的财务报表符合企业会计准则的要求，真实、完整地反映了公司的财务状 况、经营成果和现金流量等有关信息。</w:t>
      </w:r>
    </w:p>
    <w:p>
      <w:pPr>
        <w:pStyle w:val="Style111"/>
        <w:keepNext w:val="0"/>
        <w:keepLines w:val="0"/>
        <w:widowControl w:val="0"/>
        <w:shd w:val="clear" w:color="auto" w:fill="auto"/>
        <w:tabs>
          <w:tab w:pos="971" w:val="left"/>
        </w:tabs>
        <w:bidi w:val="0"/>
        <w:spacing w:before="0" w:after="0" w:line="436" w:lineRule="exact"/>
        <w:ind w:left="0" w:right="0"/>
        <w:jc w:val="both"/>
      </w:pPr>
      <w:bookmarkStart w:id="187" w:name="bookmark187"/>
      <w:r>
        <w:rPr>
          <w:color w:val="000000"/>
          <w:spacing w:val="0"/>
          <w:w w:val="100"/>
          <w:position w:val="0"/>
        </w:rPr>
        <w:t>（</w:t>
      </w:r>
      <w:bookmarkEnd w:id="187"/>
      <w:r>
        <w:rPr>
          <w:color w:val="000000"/>
          <w:spacing w:val="0"/>
          <w:w w:val="100"/>
          <w:position w:val="0"/>
        </w:rPr>
        <w:t>二）</w:t>
        <w:tab/>
        <w:t>会计期间</w:t>
      </w:r>
    </w:p>
    <w:p>
      <w:pPr>
        <w:pStyle w:val="Style111"/>
        <w:keepNext w:val="0"/>
        <w:keepLines w:val="0"/>
        <w:widowControl w:val="0"/>
        <w:shd w:val="clear" w:color="auto" w:fill="auto"/>
        <w:bidi w:val="0"/>
        <w:spacing w:before="0" w:after="0" w:line="436" w:lineRule="exact"/>
        <w:ind w:left="0" w:right="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11"/>
        <w:keepNext w:val="0"/>
        <w:keepLines w:val="0"/>
        <w:widowControl w:val="0"/>
        <w:shd w:val="clear" w:color="auto" w:fill="auto"/>
        <w:tabs>
          <w:tab w:pos="971" w:val="left"/>
        </w:tabs>
        <w:bidi w:val="0"/>
        <w:spacing w:before="0" w:after="0" w:line="436" w:lineRule="exact"/>
        <w:ind w:left="0" w:right="0"/>
        <w:jc w:val="both"/>
      </w:pPr>
      <w:bookmarkStart w:id="188" w:name="bookmark188"/>
      <w:r>
        <w:rPr>
          <w:color w:val="000000"/>
          <w:spacing w:val="0"/>
          <w:w w:val="100"/>
          <w:position w:val="0"/>
        </w:rPr>
        <w:t>（</w:t>
      </w:r>
      <w:bookmarkEnd w:id="188"/>
      <w:r>
        <w:rPr>
          <w:color w:val="000000"/>
          <w:spacing w:val="0"/>
          <w:w w:val="100"/>
          <w:position w:val="0"/>
        </w:rPr>
        <w:t>三）</w:t>
        <w:tab/>
        <w:t>营业周期</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除房地产行业以外，公司经营业务的营业周期较短，以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 性划分标准。房地产行业的营业周期从房产开发至销售变现，一般在</w:t>
      </w:r>
      <w:r>
        <w:rPr>
          <w:rFonts w:ascii="Times New Roman" w:eastAsia="Times New Roman" w:hAnsi="Times New Roman" w:cs="Times New Roman"/>
          <w:color w:val="000000"/>
          <w:spacing w:val="0"/>
          <w:w w:val="100"/>
          <w:position w:val="0"/>
        </w:rPr>
        <w:t>12</w:t>
      </w:r>
      <w:r>
        <w:rPr>
          <w:color w:val="000000"/>
          <w:spacing w:val="0"/>
          <w:w w:val="100"/>
          <w:position w:val="0"/>
        </w:rPr>
        <w:t>个月以上，具体周 期根据开发项目情况确定，并以其营业周期作为资产和负债的流动性划分标准。</w:t>
      </w:r>
    </w:p>
    <w:p>
      <w:pPr>
        <w:pStyle w:val="Style111"/>
        <w:keepNext w:val="0"/>
        <w:keepLines w:val="0"/>
        <w:widowControl w:val="0"/>
        <w:shd w:val="clear" w:color="auto" w:fill="auto"/>
        <w:tabs>
          <w:tab w:pos="971" w:val="left"/>
        </w:tabs>
        <w:bidi w:val="0"/>
        <w:spacing w:before="0" w:after="0" w:line="436" w:lineRule="exact"/>
        <w:ind w:left="0" w:right="0"/>
        <w:jc w:val="both"/>
      </w:pPr>
      <w:bookmarkStart w:id="189" w:name="bookmark189"/>
      <w:r>
        <w:rPr>
          <w:color w:val="000000"/>
          <w:spacing w:val="0"/>
          <w:w w:val="100"/>
          <w:position w:val="0"/>
        </w:rPr>
        <w:t>（</w:t>
      </w:r>
      <w:bookmarkEnd w:id="189"/>
      <w:r>
        <w:rPr>
          <w:color w:val="000000"/>
          <w:spacing w:val="0"/>
          <w:w w:val="100"/>
          <w:position w:val="0"/>
        </w:rPr>
        <w:t>四）</w:t>
        <w:tab/>
        <w:t>记账本位币</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采用人民币为记账本位币。</w:t>
      </w:r>
    </w:p>
    <w:p>
      <w:pPr>
        <w:pStyle w:val="Style111"/>
        <w:keepNext w:val="0"/>
        <w:keepLines w:val="0"/>
        <w:widowControl w:val="0"/>
        <w:shd w:val="clear" w:color="auto" w:fill="auto"/>
        <w:tabs>
          <w:tab w:pos="971" w:val="left"/>
        </w:tabs>
        <w:bidi w:val="0"/>
        <w:spacing w:before="0" w:after="160" w:line="436" w:lineRule="exact"/>
        <w:ind w:left="0" w:right="0"/>
        <w:jc w:val="left"/>
      </w:pPr>
      <w:bookmarkStart w:id="190" w:name="bookmark190"/>
      <w:r>
        <w:rPr>
          <w:color w:val="000000"/>
          <w:spacing w:val="0"/>
          <w:w w:val="100"/>
          <w:position w:val="0"/>
        </w:rPr>
        <w:t>（</w:t>
      </w:r>
      <w:bookmarkEnd w:id="190"/>
      <w:r>
        <w:rPr>
          <w:color w:val="000000"/>
          <w:spacing w:val="0"/>
          <w:w w:val="100"/>
          <w:position w:val="0"/>
        </w:rPr>
        <w:t>五）</w:t>
        <w:tab/>
        <w:t>同一控制下和非同一控制下企业合并的会计处理方法</w:t>
      </w:r>
    </w:p>
    <w:p>
      <w:pPr>
        <w:pStyle w:val="Style111"/>
        <w:keepNext w:val="0"/>
        <w:keepLines w:val="0"/>
        <w:widowControl w:val="0"/>
        <w:numPr>
          <w:ilvl w:val="0"/>
          <w:numId w:val="17"/>
        </w:numPr>
        <w:shd w:val="clear" w:color="auto" w:fill="auto"/>
        <w:tabs>
          <w:tab w:pos="899" w:val="left"/>
        </w:tabs>
        <w:bidi w:val="0"/>
        <w:spacing w:before="0" w:after="0" w:line="456" w:lineRule="auto"/>
        <w:ind w:left="0" w:right="0"/>
        <w:jc w:val="left"/>
      </w:pPr>
      <w:bookmarkStart w:id="191" w:name="bookmark191"/>
      <w:bookmarkEnd w:id="191"/>
      <w:r>
        <w:rPr>
          <w:color w:val="000000"/>
          <w:spacing w:val="0"/>
          <w:w w:val="100"/>
          <w:position w:val="0"/>
        </w:rPr>
        <w:t>同一控制下企业合并的会计处理方法</w:t>
      </w:r>
    </w:p>
    <w:p>
      <w:pPr>
        <w:pStyle w:val="Style111"/>
        <w:keepNext w:val="0"/>
        <w:keepLines w:val="0"/>
        <w:widowControl w:val="0"/>
        <w:shd w:val="clear" w:color="auto" w:fill="auto"/>
        <w:bidi w:val="0"/>
        <w:spacing w:before="0" w:after="160" w:line="436" w:lineRule="exact"/>
        <w:ind w:left="0" w:right="0"/>
        <w:jc w:val="both"/>
      </w:pPr>
      <w:r>
        <w:rPr>
          <w:color w:val="000000"/>
          <w:spacing w:val="0"/>
          <w:w w:val="100"/>
          <w:position w:val="0"/>
        </w:rPr>
        <w:t>公司在企业合并中取得的资产和负债，按照合并日被合并方在最终控制方合并财务报表 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Style111"/>
        <w:keepNext w:val="0"/>
        <w:keepLines w:val="0"/>
        <w:widowControl w:val="0"/>
        <w:numPr>
          <w:ilvl w:val="0"/>
          <w:numId w:val="17"/>
        </w:numPr>
        <w:shd w:val="clear" w:color="auto" w:fill="auto"/>
        <w:tabs>
          <w:tab w:pos="899" w:val="left"/>
        </w:tabs>
        <w:bidi w:val="0"/>
        <w:spacing w:before="0" w:after="0" w:line="456" w:lineRule="auto"/>
        <w:ind w:left="0" w:right="0"/>
        <w:jc w:val="left"/>
      </w:pPr>
      <w:bookmarkStart w:id="192" w:name="bookmark192"/>
      <w:bookmarkEnd w:id="192"/>
      <w:r>
        <w:rPr>
          <w:color w:val="000000"/>
          <w:spacing w:val="0"/>
          <w:w w:val="100"/>
          <w:position w:val="0"/>
        </w:rPr>
        <w:t>非同一控制下企业合并的会计处理方法</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公司在购买日对合并成本大于合并中取得的被购买方可辨认净资产公允价值份额的差 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111"/>
        <w:keepNext w:val="0"/>
        <w:keepLines w:val="0"/>
        <w:widowControl w:val="0"/>
        <w:shd w:val="clear" w:color="auto" w:fill="auto"/>
        <w:tabs>
          <w:tab w:pos="971" w:val="left"/>
        </w:tabs>
        <w:bidi w:val="0"/>
        <w:spacing w:before="0" w:after="80" w:line="436" w:lineRule="exact"/>
        <w:ind w:left="0" w:right="0"/>
        <w:jc w:val="both"/>
      </w:pPr>
      <w:bookmarkStart w:id="193" w:name="bookmark193"/>
      <w:r>
        <w:rPr>
          <w:color w:val="000000"/>
          <w:spacing w:val="0"/>
          <w:w w:val="100"/>
          <w:position w:val="0"/>
        </w:rPr>
        <w:t>（</w:t>
      </w:r>
      <w:bookmarkEnd w:id="193"/>
      <w:r>
        <w:rPr>
          <w:color w:val="000000"/>
          <w:spacing w:val="0"/>
          <w:w w:val="100"/>
          <w:position w:val="0"/>
        </w:rPr>
        <w:t>六）</w:t>
        <w:tab/>
        <w:t>合并财务报表的编制方法</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母公司将其控制的所有子公司纳入合并财务报表的合并范围。合并财务报表以母公司及 其子公司的财务报表为基础，根据其他有关资料，由母公司按照《企业会计准则第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 一合并财务报表》编制。</w:t>
      </w:r>
    </w:p>
    <w:p>
      <w:pPr>
        <w:pStyle w:val="Style111"/>
        <w:keepNext w:val="0"/>
        <w:keepLines w:val="0"/>
        <w:widowControl w:val="0"/>
        <w:shd w:val="clear" w:color="auto" w:fill="auto"/>
        <w:tabs>
          <w:tab w:pos="949" w:val="left"/>
        </w:tabs>
        <w:bidi w:val="0"/>
        <w:spacing w:before="0" w:after="0" w:line="435" w:lineRule="exact"/>
        <w:ind w:left="0" w:right="0"/>
        <w:jc w:val="both"/>
      </w:pPr>
      <w:bookmarkStart w:id="194" w:name="bookmark194"/>
      <w:r>
        <w:rPr>
          <w:color w:val="000000"/>
          <w:spacing w:val="0"/>
          <w:w w:val="100"/>
          <w:position w:val="0"/>
        </w:rPr>
        <w:t>（</w:t>
      </w:r>
      <w:bookmarkEnd w:id="194"/>
      <w:r>
        <w:rPr>
          <w:color w:val="000000"/>
          <w:spacing w:val="0"/>
          <w:w w:val="100"/>
          <w:position w:val="0"/>
        </w:rPr>
        <w:t>七）</w:t>
        <w:tab/>
        <w:t>现金及现金等价物的确定标准</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列示于现金流量表中的现金是指库存现金以及可以随时用于支付的存款。现金等价物是 指企业持有的期限短、流动性强、易于转换为已知金额现金、价值变动风险很小的投资。</w:t>
      </w:r>
    </w:p>
    <w:p>
      <w:pPr>
        <w:pStyle w:val="Style111"/>
        <w:keepNext w:val="0"/>
        <w:keepLines w:val="0"/>
        <w:widowControl w:val="0"/>
        <w:shd w:val="clear" w:color="auto" w:fill="auto"/>
        <w:tabs>
          <w:tab w:pos="949" w:val="left"/>
        </w:tabs>
        <w:bidi w:val="0"/>
        <w:spacing w:before="0" w:after="180" w:line="435" w:lineRule="exact"/>
        <w:ind w:left="0" w:right="0"/>
        <w:jc w:val="both"/>
      </w:pPr>
      <w:bookmarkStart w:id="195" w:name="bookmark195"/>
      <w:r>
        <w:rPr>
          <w:color w:val="000000"/>
          <w:spacing w:val="0"/>
          <w:w w:val="100"/>
          <w:position w:val="0"/>
        </w:rPr>
        <w:t>（</w:t>
      </w:r>
      <w:bookmarkEnd w:id="195"/>
      <w:r>
        <w:rPr>
          <w:color w:val="000000"/>
          <w:spacing w:val="0"/>
          <w:w w:val="100"/>
          <w:position w:val="0"/>
        </w:rPr>
        <w:t>八）</w:t>
        <w:tab/>
        <w:t>外币业务和外币报表折算</w:t>
      </w:r>
    </w:p>
    <w:p>
      <w:pPr>
        <w:pStyle w:val="Style111"/>
        <w:keepNext w:val="0"/>
        <w:keepLines w:val="0"/>
        <w:widowControl w:val="0"/>
        <w:numPr>
          <w:ilvl w:val="0"/>
          <w:numId w:val="19"/>
        </w:numPr>
        <w:shd w:val="clear" w:color="auto" w:fill="auto"/>
        <w:tabs>
          <w:tab w:pos="742" w:val="left"/>
        </w:tabs>
        <w:bidi w:val="0"/>
        <w:spacing w:before="0" w:after="0" w:line="454" w:lineRule="auto"/>
        <w:ind w:left="0" w:right="0"/>
        <w:jc w:val="both"/>
      </w:pPr>
      <w:bookmarkStart w:id="196" w:name="bookmark196"/>
      <w:bookmarkEnd w:id="196"/>
      <w:r>
        <w:rPr>
          <w:color w:val="000000"/>
          <w:spacing w:val="0"/>
          <w:w w:val="100"/>
          <w:position w:val="0"/>
        </w:rPr>
        <w:t>外币业务折算</w:t>
      </w:r>
    </w:p>
    <w:p>
      <w:pPr>
        <w:pStyle w:val="Style111"/>
        <w:keepNext w:val="0"/>
        <w:keepLines w:val="0"/>
        <w:widowControl w:val="0"/>
        <w:shd w:val="clear" w:color="auto" w:fill="auto"/>
        <w:bidi w:val="0"/>
        <w:spacing w:before="0" w:after="180" w:line="435" w:lineRule="exact"/>
        <w:ind w:left="0" w:right="0"/>
        <w:jc w:val="both"/>
      </w:pPr>
      <w:r>
        <w:rPr>
          <w:color w:val="000000"/>
          <w:spacing w:val="0"/>
          <w:w w:val="100"/>
          <w:position w:val="0"/>
        </w:rPr>
        <w:t>外币交易在初始确认时，采用交易发生日即期汇率的近似汇率折算为人民币金额。资产 负债表日，外币货币性项目采用资产负债表日即期汇率折算，因汇率不同而产生的汇兑差额, 除与购建符合资本化条件资产有关的外币专门借款本金及利息的汇兑差额外，计入当期损 益；以历史成本计量的外币非货币性项目仍采用初始确认的汇率折算，不改变其人民币金额; 以公允价值计量的外币非货币性项目，采用公允价值确定日的即期汇率折算，差额计入当期 损益或其他综合收益。</w:t>
      </w:r>
    </w:p>
    <w:p>
      <w:pPr>
        <w:pStyle w:val="Style111"/>
        <w:keepNext w:val="0"/>
        <w:keepLines w:val="0"/>
        <w:widowControl w:val="0"/>
        <w:numPr>
          <w:ilvl w:val="0"/>
          <w:numId w:val="19"/>
        </w:numPr>
        <w:shd w:val="clear" w:color="auto" w:fill="auto"/>
        <w:tabs>
          <w:tab w:pos="753" w:val="left"/>
        </w:tabs>
        <w:bidi w:val="0"/>
        <w:spacing w:before="0" w:after="0" w:line="454" w:lineRule="auto"/>
        <w:ind w:left="0" w:right="0"/>
        <w:jc w:val="both"/>
      </w:pPr>
      <w:bookmarkStart w:id="197" w:name="bookmark197"/>
      <w:bookmarkEnd w:id="197"/>
      <w:r>
        <w:rPr>
          <w:color w:val="000000"/>
          <w:spacing w:val="0"/>
          <w:w w:val="100"/>
          <w:position w:val="0"/>
        </w:rPr>
        <w:t>外币财务报表折算</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资产负债表中的资产和负债项目，采用资产负债表日的即期汇率折算；所有者权益项目 除“未分配利润”项目外，其他项目采用交易发生日的即期汇率折算；利润表中的收入和费 用项目，采用交易发生日即期汇率的近似汇率折算。按照上述折算产生的外币财务报表折算 差额，计入其他综合收益。</w:t>
      </w:r>
    </w:p>
    <w:p>
      <w:pPr>
        <w:pStyle w:val="Style111"/>
        <w:keepNext w:val="0"/>
        <w:keepLines w:val="0"/>
        <w:widowControl w:val="0"/>
        <w:shd w:val="clear" w:color="auto" w:fill="auto"/>
        <w:tabs>
          <w:tab w:pos="949" w:val="left"/>
        </w:tabs>
        <w:bidi w:val="0"/>
        <w:spacing w:before="0" w:after="180" w:line="435" w:lineRule="exact"/>
        <w:ind w:left="0" w:right="0"/>
        <w:jc w:val="both"/>
      </w:pPr>
      <w:bookmarkStart w:id="198" w:name="bookmark198"/>
      <w:r>
        <w:rPr>
          <w:color w:val="000000"/>
          <w:spacing w:val="0"/>
          <w:w w:val="100"/>
          <w:position w:val="0"/>
        </w:rPr>
        <w:t>（</w:t>
      </w:r>
      <w:bookmarkEnd w:id="198"/>
      <w:r>
        <w:rPr>
          <w:color w:val="000000"/>
          <w:spacing w:val="0"/>
          <w:w w:val="100"/>
          <w:position w:val="0"/>
        </w:rPr>
        <w:t>九）</w:t>
        <w:tab/>
        <w:t>金融工具</w:t>
      </w:r>
    </w:p>
    <w:p>
      <w:pPr>
        <w:pStyle w:val="Style111"/>
        <w:keepNext w:val="0"/>
        <w:keepLines w:val="0"/>
        <w:widowControl w:val="0"/>
        <w:numPr>
          <w:ilvl w:val="0"/>
          <w:numId w:val="21"/>
        </w:numPr>
        <w:shd w:val="clear" w:color="auto" w:fill="auto"/>
        <w:tabs>
          <w:tab w:pos="742" w:val="left"/>
        </w:tabs>
        <w:bidi w:val="0"/>
        <w:spacing w:before="0" w:after="0" w:line="454" w:lineRule="auto"/>
        <w:ind w:left="0" w:right="0"/>
        <w:jc w:val="both"/>
      </w:pPr>
      <w:bookmarkStart w:id="199" w:name="bookmark199"/>
      <w:bookmarkEnd w:id="199"/>
      <w:r>
        <w:rPr>
          <w:color w:val="000000"/>
          <w:spacing w:val="0"/>
          <w:w w:val="100"/>
          <w:position w:val="0"/>
        </w:rPr>
        <w:t>金融资产和金融负债的分类</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金融资产在初始确认时划分为以下四类：以公允价值计量且其变动计入当期损益的金融 资产（包括交易性金融资产和在初始确认时指定为以公允价值计量且其变动计入当期损益的 金融资产）、持有至到期投资、贷款和应收款项、可供出售金融资产。</w:t>
      </w:r>
    </w:p>
    <w:p>
      <w:pPr>
        <w:pStyle w:val="Style111"/>
        <w:keepNext w:val="0"/>
        <w:keepLines w:val="0"/>
        <w:widowControl w:val="0"/>
        <w:shd w:val="clear" w:color="auto" w:fill="auto"/>
        <w:bidi w:val="0"/>
        <w:spacing w:before="0" w:after="180" w:line="435" w:lineRule="exact"/>
        <w:ind w:left="0" w:right="0"/>
        <w:jc w:val="both"/>
      </w:pPr>
      <w:r>
        <w:rPr>
          <w:color w:val="000000"/>
          <w:spacing w:val="0"/>
          <w:w w:val="100"/>
          <w:position w:val="0"/>
        </w:rPr>
        <w:t>金融负债在初始确认时划分为以下两类：以公允价值计量且其变动计入当期损益的金融 负债（包括交易性金融负债和在初始确认时指定为以公允价值计量且其变动计入当期损益的 金融负债）、其他金融负债。</w:t>
      </w:r>
    </w:p>
    <w:p>
      <w:pPr>
        <w:pStyle w:val="Style111"/>
        <w:keepNext w:val="0"/>
        <w:keepLines w:val="0"/>
        <w:widowControl w:val="0"/>
        <w:numPr>
          <w:ilvl w:val="0"/>
          <w:numId w:val="21"/>
        </w:numPr>
        <w:shd w:val="clear" w:color="auto" w:fill="auto"/>
        <w:tabs>
          <w:tab w:pos="753" w:val="left"/>
        </w:tabs>
        <w:bidi w:val="0"/>
        <w:spacing w:before="0" w:after="0" w:line="454" w:lineRule="auto"/>
        <w:ind w:left="0" w:right="0"/>
        <w:jc w:val="left"/>
      </w:pPr>
      <w:bookmarkStart w:id="200" w:name="bookmark200"/>
      <w:bookmarkEnd w:id="200"/>
      <w:r>
        <w:rPr>
          <w:color w:val="000000"/>
          <w:spacing w:val="0"/>
          <w:w w:val="100"/>
          <w:position w:val="0"/>
        </w:rPr>
        <w:t>金融资产和金融负债的确认依据、计量方法和终止确认条件</w:t>
      </w:r>
    </w:p>
    <w:p>
      <w:pPr>
        <w:pStyle w:val="Style111"/>
        <w:keepNext w:val="0"/>
        <w:keepLines w:val="0"/>
        <w:widowControl w:val="0"/>
        <w:shd w:val="clear" w:color="auto" w:fill="auto"/>
        <w:bidi w:val="0"/>
        <w:spacing w:before="0" w:after="180" w:line="435" w:lineRule="exact"/>
        <w:ind w:left="0" w:right="0"/>
        <w:jc w:val="both"/>
      </w:pPr>
      <w:r>
        <w:rPr>
          <w:color w:val="000000"/>
          <w:spacing w:val="0"/>
          <w:w w:val="100"/>
          <w:position w:val="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Style111"/>
        <w:keepNext w:val="0"/>
        <w:keepLines w:val="0"/>
        <w:widowControl w:val="0"/>
        <w:shd w:val="clear" w:color="auto" w:fill="auto"/>
        <w:bidi w:val="0"/>
        <w:spacing w:before="0" w:after="0"/>
        <w:ind w:left="0" w:right="0"/>
        <w:jc w:val="both"/>
      </w:pPr>
      <w:r>
        <w:rPr>
          <w:color w:val="000000"/>
          <w:spacing w:val="0"/>
          <w:w w:val="100"/>
          <w:position w:val="0"/>
        </w:rPr>
        <w:t>公司按照公允价值对金融资产进行后续计量，且不扣除将来处置该金融资产时可能发生 的交易费用，但下列情况除外：（</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 按摊余成本计量；（</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 以及与该权益工具挂钩并须通过交付该权益工具结算的衍生金融资产，按照成本计量。</w:t>
      </w:r>
    </w:p>
    <w:p>
      <w:pPr>
        <w:pStyle w:val="Style111"/>
        <w:keepNext w:val="0"/>
        <w:keepLines w:val="0"/>
        <w:widowControl w:val="0"/>
        <w:shd w:val="clear" w:color="auto" w:fill="auto"/>
        <w:bidi w:val="0"/>
        <w:spacing w:before="0" w:after="0"/>
        <w:ind w:left="0" w:right="0"/>
        <w:jc w:val="both"/>
      </w:pPr>
      <w:r>
        <w:rPr>
          <w:color w:val="000000"/>
          <w:spacing w:val="0"/>
          <w:w w:val="100"/>
          <w:position w:val="0"/>
        </w:rPr>
        <w:t>公司采用实际利率法，按摊余成本对金融负债进行后续计量，但下列情况除外：（</w:t>
      </w:r>
      <w:r>
        <w:rPr>
          <w:rFonts w:ascii="Times New Roman" w:eastAsia="Times New Roman" w:hAnsi="Times New Roman" w:cs="Times New Roman"/>
          <w:color w:val="000000"/>
          <w:spacing w:val="0"/>
          <w:w w:val="100"/>
          <w:position w:val="0"/>
        </w:rPr>
        <w:t>1</w:t>
      </w:r>
      <w:r>
        <w:rPr>
          <w:color w:val="000000"/>
          <w:spacing w:val="0"/>
          <w:w w:val="100"/>
          <w:position w:val="0"/>
        </w:rPr>
        <w:t>）以 公允价值计量且其变动计入当期损益的金融负债，按照公允价值计量，且不扣除将来结清金 融负债时可能发生的交易费用；（</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 益工具挂钩并须通过交付该权益工具结算的衍生金融负债，按照成本计量；（</w:t>
      </w:r>
      <w:r>
        <w:rPr>
          <w:rFonts w:ascii="Times New Roman" w:eastAsia="Times New Roman" w:hAnsi="Times New Roman" w:cs="Times New Roman"/>
          <w:color w:val="000000"/>
          <w:spacing w:val="0"/>
          <w:w w:val="100"/>
          <w:position w:val="0"/>
        </w:rPr>
        <w:t>3</w:t>
      </w:r>
      <w:r>
        <w:rPr>
          <w:color w:val="000000"/>
          <w:spacing w:val="0"/>
          <w:w w:val="100"/>
          <w:position w:val="0"/>
        </w:rPr>
        <w:t>）不属于指定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号一一或有事项》确 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号一一收入》的原则确定的累积 摊销额后的余额。</w:t>
      </w:r>
    </w:p>
    <w:p>
      <w:pPr>
        <w:pStyle w:val="Style111"/>
        <w:keepNext w:val="0"/>
        <w:keepLines w:val="0"/>
        <w:widowControl w:val="0"/>
        <w:shd w:val="clear" w:color="auto" w:fill="auto"/>
        <w:bidi w:val="0"/>
        <w:spacing w:before="0" w:after="0"/>
        <w:ind w:left="0" w:right="0"/>
        <w:jc w:val="both"/>
      </w:pPr>
      <w:r>
        <w:rPr>
          <w:color w:val="000000"/>
          <w:spacing w:val="0"/>
          <w:w w:val="100"/>
          <w:position w:val="0"/>
        </w:rPr>
        <w:t>金融资产或金融负债公允价值变动形成的利得或损失，除与套期保值有关外，按照如下 方法处理：（</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 形成的利得或损失，计入公允价值变动收益；在资产持有期间所取得的利息或现金股利，确 认为投资收益；处置时，将实际收到的金额与初始入账金额之间的差额确认为投资收益，同 时调整公允价值变动收益。（</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）可供出售金融资产的公允价值变动计入其他综合收益；持有 期间按实际利率法计算的利息，计入投资收益；可供出售权益工具投资的现金股利，于被投 资单位宣告发放股利时计入投资收益；处置时，将实际收到的金额与账面价值扣除原直接计 入其他综合收益的公允价值变动累计额之后的差额确认为投资收益。</w:t>
      </w:r>
    </w:p>
    <w:p>
      <w:pPr>
        <w:pStyle w:val="Style111"/>
        <w:keepNext w:val="0"/>
        <w:keepLines w:val="0"/>
        <w:widowControl w:val="0"/>
        <w:shd w:val="clear" w:color="auto" w:fill="auto"/>
        <w:bidi w:val="0"/>
        <w:spacing w:before="0" w:after="180"/>
        <w:ind w:left="0" w:right="0"/>
        <w:jc w:val="both"/>
      </w:pPr>
      <w:r>
        <w:rPr>
          <w:color w:val="000000"/>
          <w:spacing w:val="0"/>
          <w:w w:val="100"/>
          <w:position w:val="0"/>
        </w:rPr>
        <w:t>当收取某项金融资产现金流量的合同权利已终止或该金融资产所有权上几乎所有的风 险和报酬已转移时，终止确认该金融资产；当金融负债的现时义务全部或部分解除时，相应 终止确认该金融负债或其一部分。</w:t>
      </w:r>
    </w:p>
    <w:p>
      <w:pPr>
        <w:pStyle w:val="Style111"/>
        <w:keepNext w:val="0"/>
        <w:keepLines w:val="0"/>
        <w:widowControl w:val="0"/>
        <w:numPr>
          <w:ilvl w:val="0"/>
          <w:numId w:val="21"/>
        </w:numPr>
        <w:shd w:val="clear" w:color="auto" w:fill="auto"/>
        <w:bidi w:val="0"/>
        <w:spacing w:before="0" w:after="0" w:line="454" w:lineRule="auto"/>
        <w:ind w:left="0" w:right="0"/>
        <w:jc w:val="both"/>
      </w:pPr>
      <w:bookmarkStart w:id="201" w:name="bookmark201"/>
      <w:bookmarkEnd w:id="201"/>
      <w:r>
        <w:rPr>
          <w:color w:val="000000"/>
          <w:spacing w:val="0"/>
          <w:w w:val="100"/>
          <w:position w:val="0"/>
        </w:rPr>
        <w:t>金融资产转移的确认依据和计量方法</w:t>
      </w:r>
    </w:p>
    <w:p>
      <w:pPr>
        <w:pStyle w:val="Style111"/>
        <w:keepNext w:val="0"/>
        <w:keepLines w:val="0"/>
        <w:widowControl w:val="0"/>
        <w:shd w:val="clear" w:color="auto" w:fill="auto"/>
        <w:bidi w:val="0"/>
        <w:spacing w:before="0" w:after="0"/>
        <w:ind w:left="0" w:right="0"/>
        <w:jc w:val="both"/>
      </w:pPr>
      <w:r>
        <w:rPr>
          <w:color w:val="000000"/>
          <w:spacing w:val="0"/>
          <w:w w:val="100"/>
          <w:position w:val="0"/>
        </w:rPr>
        <w:t>公司已将金融资产所有权上几乎所有的风险和报酬转移给了转入方的，终止确认该金融 资产；保留了金融资产所有权上几乎所有的风险和报酬的，继续确认所转移的金融资产，并 将收到的对价确认为一项金融负债。公司既没有转移也没有保留金融资产所有权上几乎所有 的风险和报酬的，分别下列情况处理：（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 产；（</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）未放弃对该金融资产控制的，按照继续涉入所转移金融资产的程度确认有关金融资 产，并相应确认有关负债。</w:t>
      </w:r>
    </w:p>
    <w:p>
      <w:pPr>
        <w:pStyle w:val="Style111"/>
        <w:keepNext w:val="0"/>
        <w:keepLines w:val="0"/>
        <w:widowControl w:val="0"/>
        <w:shd w:val="clear" w:color="auto" w:fill="auto"/>
        <w:bidi w:val="0"/>
        <w:spacing w:before="0" w:after="0"/>
        <w:ind w:left="0" w:right="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 xml:space="preserve">）所 </w:t>
      </w:r>
      <w:r>
        <w:rPr>
          <w:color w:val="000000"/>
          <w:spacing w:val="0"/>
          <w:w w:val="100"/>
          <w:position w:val="0"/>
        </w:rPr>
        <w:t>转移金融资产的账面价值；(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 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 与原直接计入所有者权益的公允价值变动累计额中对应终止确认部分的金额之和。</w:t>
      </w:r>
    </w:p>
    <w:p>
      <w:pPr>
        <w:pStyle w:val="Style111"/>
        <w:keepNext w:val="0"/>
        <w:keepLines w:val="0"/>
        <w:widowControl w:val="0"/>
        <w:numPr>
          <w:ilvl w:val="0"/>
          <w:numId w:val="21"/>
        </w:numPr>
        <w:shd w:val="clear" w:color="auto" w:fill="auto"/>
        <w:tabs>
          <w:tab w:pos="866" w:val="left"/>
        </w:tabs>
        <w:bidi w:val="0"/>
        <w:spacing w:before="0" w:after="0" w:line="438" w:lineRule="exact"/>
        <w:ind w:left="0" w:right="0" w:firstLine="540"/>
        <w:jc w:val="left"/>
      </w:pPr>
      <w:bookmarkStart w:id="202" w:name="bookmark202"/>
      <w:bookmarkEnd w:id="202"/>
      <w:r>
        <w:rPr>
          <w:color w:val="000000"/>
          <w:spacing w:val="0"/>
          <w:w w:val="100"/>
          <w:position w:val="0"/>
        </w:rPr>
        <w:t>金融资产和金融负债的公允价值确定方法</w:t>
      </w:r>
    </w:p>
    <w:p>
      <w:pPr>
        <w:pStyle w:val="Style111"/>
        <w:keepNext w:val="0"/>
        <w:keepLines w:val="0"/>
        <w:widowControl w:val="0"/>
        <w:shd w:val="clear" w:color="auto" w:fill="auto"/>
        <w:bidi w:val="0"/>
        <w:spacing w:before="0" w:after="0" w:line="438" w:lineRule="exact"/>
        <w:ind w:left="0" w:right="0" w:firstLine="540"/>
        <w:jc w:val="both"/>
      </w:pPr>
      <w:r>
        <w:rPr>
          <w:color w:val="000000"/>
          <w:spacing w:val="0"/>
          <w:w w:val="100"/>
          <w:position w:val="0"/>
        </w:rPr>
        <w:t>公司采用在当前情况下适用并且有足够可利用数据和其他信息支持的估值技术确定相 关金融资产和金融负债的公允价值。公司将估值技术使用的输入值分以下层级，并依次使用：</w:t>
      </w:r>
    </w:p>
    <w:p>
      <w:pPr>
        <w:pStyle w:val="Style111"/>
        <w:keepNext w:val="0"/>
        <w:keepLines w:val="0"/>
        <w:widowControl w:val="0"/>
        <w:numPr>
          <w:ilvl w:val="0"/>
          <w:numId w:val="23"/>
        </w:numPr>
        <w:shd w:val="clear" w:color="auto" w:fill="auto"/>
        <w:tabs>
          <w:tab w:pos="878" w:val="left"/>
        </w:tabs>
        <w:bidi w:val="0"/>
        <w:spacing w:before="0" w:after="0" w:line="438" w:lineRule="exact"/>
        <w:ind w:left="0" w:right="0" w:firstLine="540"/>
        <w:jc w:val="both"/>
      </w:pPr>
      <w:bookmarkStart w:id="203" w:name="bookmark203"/>
      <w:bookmarkEnd w:id="203"/>
      <w:r>
        <w:rPr>
          <w:color w:val="000000"/>
          <w:spacing w:val="0"/>
          <w:w w:val="100"/>
          <w:position w:val="0"/>
        </w:rPr>
        <w:t>第一层次输入值是在计量日能够取得的相同资产或负债在活跃市场上未经调整的 报价；</w:t>
      </w:r>
    </w:p>
    <w:p>
      <w:pPr>
        <w:pStyle w:val="Style111"/>
        <w:keepNext w:val="0"/>
        <w:keepLines w:val="0"/>
        <w:widowControl w:val="0"/>
        <w:numPr>
          <w:ilvl w:val="0"/>
          <w:numId w:val="23"/>
        </w:numPr>
        <w:shd w:val="clear" w:color="auto" w:fill="auto"/>
        <w:tabs>
          <w:tab w:pos="874" w:val="left"/>
        </w:tabs>
        <w:bidi w:val="0"/>
        <w:spacing w:before="0" w:after="0" w:line="438" w:lineRule="exact"/>
        <w:ind w:left="0" w:right="0" w:firstLine="540"/>
        <w:jc w:val="both"/>
      </w:pPr>
      <w:bookmarkStart w:id="204" w:name="bookmark204"/>
      <w:bookmarkEnd w:id="204"/>
      <w:r>
        <w:rPr>
          <w:color w:val="000000"/>
          <w:spacing w:val="0"/>
          <w:w w:val="100"/>
          <w:position w:val="0"/>
        </w:rPr>
        <w:t>第二层次输入值是除第一层次输入值外相关资产或负债直接或间接可观察的输入 值，包括：活跃市场中类似资产或负债的报价；非活跃市场中相同或类似资产或负债的报价; 除报价以外的其他可观察输入值，如在正常报价间隔期间可观察的利率和收益率曲线等；市 场验证的输入值等；</w:t>
      </w:r>
    </w:p>
    <w:p>
      <w:pPr>
        <w:pStyle w:val="Style111"/>
        <w:keepNext w:val="0"/>
        <w:keepLines w:val="0"/>
        <w:widowControl w:val="0"/>
        <w:numPr>
          <w:ilvl w:val="0"/>
          <w:numId w:val="23"/>
        </w:numPr>
        <w:shd w:val="clear" w:color="auto" w:fill="auto"/>
        <w:tabs>
          <w:tab w:pos="874" w:val="left"/>
        </w:tabs>
        <w:bidi w:val="0"/>
        <w:spacing w:before="0" w:after="0" w:line="438" w:lineRule="exact"/>
        <w:ind w:left="0" w:right="0" w:firstLine="540"/>
        <w:jc w:val="both"/>
      </w:pPr>
      <w:bookmarkStart w:id="205" w:name="bookmark205"/>
      <w:bookmarkEnd w:id="205"/>
      <w:r>
        <w:rPr>
          <w:color w:val="000000"/>
          <w:spacing w:val="0"/>
          <w:w w:val="100"/>
          <w:position w:val="0"/>
        </w:rPr>
        <w:t>第三层次输入值是相关资产或负债的不可观察输入值,包括不能直接观察或无法由 可观察市场数据验证的利率、股票波动率、企业合并中承担的弃置义务的未来现金流量、使 用自身数据作出的财务预测等。</w:t>
      </w:r>
    </w:p>
    <w:p>
      <w:pPr>
        <w:pStyle w:val="Style111"/>
        <w:keepNext w:val="0"/>
        <w:keepLines w:val="0"/>
        <w:widowControl w:val="0"/>
        <w:numPr>
          <w:ilvl w:val="0"/>
          <w:numId w:val="21"/>
        </w:numPr>
        <w:shd w:val="clear" w:color="auto" w:fill="auto"/>
        <w:tabs>
          <w:tab w:pos="866" w:val="left"/>
        </w:tabs>
        <w:bidi w:val="0"/>
        <w:spacing w:before="0" w:after="0" w:line="438" w:lineRule="exact"/>
        <w:ind w:left="0" w:right="0" w:firstLine="540"/>
        <w:jc w:val="left"/>
      </w:pPr>
      <w:bookmarkStart w:id="206" w:name="bookmark206"/>
      <w:bookmarkEnd w:id="206"/>
      <w:r>
        <w:rPr>
          <w:color w:val="000000"/>
          <w:spacing w:val="0"/>
          <w:w w:val="100"/>
          <w:position w:val="0"/>
        </w:rPr>
        <w:t>金融资产的减值测试和减值准备计提方法</w:t>
      </w:r>
    </w:p>
    <w:p>
      <w:pPr>
        <w:pStyle w:val="Style111"/>
        <w:keepNext w:val="0"/>
        <w:keepLines w:val="0"/>
        <w:widowControl w:val="0"/>
        <w:numPr>
          <w:ilvl w:val="0"/>
          <w:numId w:val="25"/>
        </w:numPr>
        <w:shd w:val="clear" w:color="auto" w:fill="auto"/>
        <w:tabs>
          <w:tab w:pos="874" w:val="left"/>
        </w:tabs>
        <w:bidi w:val="0"/>
        <w:spacing w:before="0" w:after="0" w:line="438" w:lineRule="exact"/>
        <w:ind w:left="0" w:right="0" w:firstLine="540"/>
        <w:jc w:val="both"/>
      </w:pPr>
      <w:bookmarkStart w:id="207" w:name="bookmark207"/>
      <w:bookmarkEnd w:id="207"/>
      <w:r>
        <w:rPr>
          <w:color w:val="000000"/>
          <w:spacing w:val="0"/>
          <w:w w:val="100"/>
          <w:position w:val="0"/>
        </w:rPr>
        <w:t>资产负债表日对以公允价值计量且其变动计入当期损益的金融资产以外的金融资 产的账面价值进行检查，如有客观证据表明该金融资产发生减值的，计提减值准备。</w:t>
      </w:r>
    </w:p>
    <w:p>
      <w:pPr>
        <w:pStyle w:val="Style111"/>
        <w:keepNext w:val="0"/>
        <w:keepLines w:val="0"/>
        <w:widowControl w:val="0"/>
        <w:numPr>
          <w:ilvl w:val="0"/>
          <w:numId w:val="25"/>
        </w:numPr>
        <w:shd w:val="clear" w:color="auto" w:fill="auto"/>
        <w:tabs>
          <w:tab w:pos="874" w:val="left"/>
        </w:tabs>
        <w:bidi w:val="0"/>
        <w:spacing w:before="0" w:after="0" w:line="438" w:lineRule="exact"/>
        <w:ind w:left="0" w:right="0" w:firstLine="540"/>
        <w:jc w:val="both"/>
      </w:pPr>
      <w:bookmarkStart w:id="208" w:name="bookmark208"/>
      <w:bookmarkEnd w:id="208"/>
      <w:r>
        <w:rPr>
          <w:color w:val="000000"/>
          <w:spacing w:val="0"/>
          <w:w w:val="100"/>
          <w:position w:val="0"/>
        </w:rPr>
        <w:t>对于持有至到期投资、贷款和应收款，先将单项金额重大的金融资产区分开来，单 独进行减值测试；对单项金额不重大的金融资产，可以单独进行减值测试，或包括在具有类 似信用风险特征的金融资产组合中进行减值测试；单独测试未发生减值的金融资产(包括单 项金额重大和不重大的金融资产)，包括在具有类似信用风险特征的金融资产组合中再进行 减值测试。测试结果表明其发生了减值的，根据其账面价值高于预计未来现金流量现值的差 额确认减值损失。</w:t>
      </w:r>
    </w:p>
    <w:p>
      <w:pPr>
        <w:pStyle w:val="Style111"/>
        <w:keepNext w:val="0"/>
        <w:keepLines w:val="0"/>
        <w:widowControl w:val="0"/>
        <w:numPr>
          <w:ilvl w:val="0"/>
          <w:numId w:val="25"/>
        </w:numPr>
        <w:shd w:val="clear" w:color="auto" w:fill="auto"/>
        <w:tabs>
          <w:tab w:pos="958" w:val="left"/>
        </w:tabs>
        <w:bidi w:val="0"/>
        <w:spacing w:before="0" w:after="0" w:line="438" w:lineRule="exact"/>
        <w:ind w:left="0" w:right="0" w:firstLine="540"/>
        <w:jc w:val="both"/>
      </w:pPr>
      <w:bookmarkStart w:id="209" w:name="bookmark209"/>
      <w:bookmarkEnd w:id="209"/>
      <w:r>
        <w:rPr>
          <w:color w:val="000000"/>
          <w:spacing w:val="0"/>
          <w:w w:val="100"/>
          <w:position w:val="0"/>
        </w:rPr>
        <w:t>可供出售金融资产</w:t>
      </w:r>
    </w:p>
    <w:p>
      <w:pPr>
        <w:pStyle w:val="Style111"/>
        <w:keepNext w:val="0"/>
        <w:keepLines w:val="0"/>
        <w:widowControl w:val="0"/>
        <w:shd w:val="clear" w:color="auto" w:fill="auto"/>
        <w:bidi w:val="0"/>
        <w:spacing w:before="0" w:after="0" w:line="438" w:lineRule="exact"/>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)表明可供出售债务工具投资发生减值的客观证据包括：</w:t>
      </w:r>
    </w:p>
    <w:p>
      <w:pPr>
        <w:pStyle w:val="Style111"/>
        <w:keepNext w:val="0"/>
        <w:keepLines w:val="0"/>
        <w:widowControl w:val="0"/>
        <w:numPr>
          <w:ilvl w:val="0"/>
          <w:numId w:val="27"/>
        </w:numPr>
        <w:shd w:val="clear" w:color="auto" w:fill="auto"/>
        <w:tabs>
          <w:tab w:pos="924" w:val="left"/>
        </w:tabs>
        <w:bidi w:val="0"/>
        <w:spacing w:before="0" w:after="0" w:line="438" w:lineRule="exact"/>
        <w:ind w:left="0" w:right="0" w:firstLine="540"/>
        <w:jc w:val="left"/>
      </w:pPr>
      <w:bookmarkStart w:id="210" w:name="bookmark210"/>
      <w:bookmarkEnd w:id="210"/>
      <w:r>
        <w:rPr>
          <w:color w:val="000000"/>
          <w:spacing w:val="0"/>
          <w:w w:val="100"/>
          <w:position w:val="0"/>
        </w:rPr>
        <w:t>债务人发生严重财务困难；</w:t>
      </w:r>
    </w:p>
    <w:p>
      <w:pPr>
        <w:pStyle w:val="Style111"/>
        <w:keepNext w:val="0"/>
        <w:keepLines w:val="0"/>
        <w:widowControl w:val="0"/>
        <w:numPr>
          <w:ilvl w:val="0"/>
          <w:numId w:val="27"/>
        </w:numPr>
        <w:shd w:val="clear" w:color="auto" w:fill="auto"/>
        <w:tabs>
          <w:tab w:pos="929" w:val="left"/>
        </w:tabs>
        <w:bidi w:val="0"/>
        <w:spacing w:before="0" w:after="0" w:line="438" w:lineRule="exact"/>
        <w:ind w:left="0" w:right="0" w:firstLine="540"/>
        <w:jc w:val="left"/>
      </w:pPr>
      <w:bookmarkStart w:id="211" w:name="bookmark211"/>
      <w:bookmarkEnd w:id="211"/>
      <w:r>
        <w:rPr>
          <w:color w:val="000000"/>
          <w:spacing w:val="0"/>
          <w:w w:val="100"/>
          <w:position w:val="0"/>
        </w:rPr>
        <w:t>债务人违反了合同条款，如偿付利息或本金发生违约或逾期；</w:t>
      </w:r>
    </w:p>
    <w:p>
      <w:pPr>
        <w:pStyle w:val="Style111"/>
        <w:keepNext w:val="0"/>
        <w:keepLines w:val="0"/>
        <w:widowControl w:val="0"/>
        <w:numPr>
          <w:ilvl w:val="0"/>
          <w:numId w:val="27"/>
        </w:numPr>
        <w:shd w:val="clear" w:color="auto" w:fill="auto"/>
        <w:tabs>
          <w:tab w:pos="929" w:val="left"/>
        </w:tabs>
        <w:bidi w:val="0"/>
        <w:spacing w:before="0" w:after="0" w:line="438" w:lineRule="exact"/>
        <w:ind w:left="0" w:right="0" w:firstLine="540"/>
        <w:jc w:val="left"/>
      </w:pPr>
      <w:bookmarkStart w:id="212" w:name="bookmark212"/>
      <w:bookmarkEnd w:id="212"/>
      <w:r>
        <w:rPr>
          <w:color w:val="000000"/>
          <w:spacing w:val="0"/>
          <w:w w:val="100"/>
          <w:position w:val="0"/>
        </w:rPr>
        <w:t>公司出于经济或法律等方面因素的考虑，对发生财务困难的债务人作出让步；</w:t>
      </w:r>
    </w:p>
    <w:p>
      <w:pPr>
        <w:pStyle w:val="Style111"/>
        <w:keepNext w:val="0"/>
        <w:keepLines w:val="0"/>
        <w:widowControl w:val="0"/>
        <w:numPr>
          <w:ilvl w:val="0"/>
          <w:numId w:val="27"/>
        </w:numPr>
        <w:shd w:val="clear" w:color="auto" w:fill="auto"/>
        <w:tabs>
          <w:tab w:pos="929" w:val="left"/>
        </w:tabs>
        <w:bidi w:val="0"/>
        <w:spacing w:before="0" w:after="0" w:line="438" w:lineRule="exact"/>
        <w:ind w:left="0" w:right="0" w:firstLine="540"/>
        <w:jc w:val="left"/>
      </w:pPr>
      <w:bookmarkStart w:id="213" w:name="bookmark213"/>
      <w:bookmarkEnd w:id="213"/>
      <w:r>
        <w:rPr>
          <w:color w:val="000000"/>
          <w:spacing w:val="0"/>
          <w:w w:val="100"/>
          <w:position w:val="0"/>
        </w:rPr>
        <w:t>债务人很可能倒闭或进行其他财务重组；</w:t>
      </w:r>
    </w:p>
    <w:p>
      <w:pPr>
        <w:pStyle w:val="Style111"/>
        <w:keepNext w:val="0"/>
        <w:keepLines w:val="0"/>
        <w:widowControl w:val="0"/>
        <w:numPr>
          <w:ilvl w:val="0"/>
          <w:numId w:val="27"/>
        </w:numPr>
        <w:shd w:val="clear" w:color="auto" w:fill="auto"/>
        <w:tabs>
          <w:tab w:pos="951" w:val="left"/>
        </w:tabs>
        <w:bidi w:val="0"/>
        <w:spacing w:before="0" w:after="0" w:line="435" w:lineRule="exact"/>
        <w:ind w:left="0" w:right="0" w:firstLine="560"/>
        <w:jc w:val="both"/>
      </w:pPr>
      <w:bookmarkStart w:id="214" w:name="bookmark214"/>
      <w:bookmarkEnd w:id="214"/>
      <w:r>
        <w:rPr>
          <w:color w:val="000000"/>
          <w:spacing w:val="0"/>
          <w:w w:val="100"/>
          <w:position w:val="0"/>
        </w:rPr>
        <w:t>因债务人发生重大财务困难，该债务工具无法在活跃市场继续交易；</w:t>
      </w:r>
    </w:p>
    <w:p>
      <w:pPr>
        <w:pStyle w:val="Style111"/>
        <w:keepNext w:val="0"/>
        <w:keepLines w:val="0"/>
        <w:widowControl w:val="0"/>
        <w:numPr>
          <w:ilvl w:val="0"/>
          <w:numId w:val="27"/>
        </w:numPr>
        <w:shd w:val="clear" w:color="auto" w:fill="auto"/>
        <w:tabs>
          <w:tab w:pos="951" w:val="left"/>
        </w:tabs>
        <w:bidi w:val="0"/>
        <w:spacing w:before="0" w:after="0" w:line="435" w:lineRule="exact"/>
        <w:ind w:left="0" w:right="0" w:firstLine="560"/>
        <w:jc w:val="both"/>
      </w:pPr>
      <w:bookmarkStart w:id="215" w:name="bookmark215"/>
      <w:bookmarkEnd w:id="215"/>
      <w:r>
        <w:rPr>
          <w:color w:val="000000"/>
          <w:spacing w:val="0"/>
          <w:w w:val="100"/>
          <w:position w:val="0"/>
        </w:rPr>
        <w:t>其他表明可供出售债务工具已经发生减值的情况。</w:t>
      </w:r>
    </w:p>
    <w:p>
      <w:pPr>
        <w:pStyle w:val="Style111"/>
        <w:keepNext w:val="0"/>
        <w:keepLines w:val="0"/>
        <w:widowControl w:val="0"/>
        <w:shd w:val="clear" w:color="auto" w:fill="auto"/>
        <w:bidi w:val="0"/>
        <w:spacing w:before="0" w:after="0" w:line="435" w:lineRule="exact"/>
        <w:ind w:left="14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）表明可供出售权益工具投资发生减值的客观证据包括权益工具投资的公允价值发生 严重或非暂时性下跌，以及被投资单位经营所处的技术、市场、经济或法律环境等发生重大 不利变化使公司可能无法收回投资成本。</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本公司于资产负债表日对各项可供出售权益工具投资单独进行检查。对于以公允价值计 量的权益工具投资，若其于资产负债表日的公允价值低于其成本超过</w:t>
      </w:r>
      <w:r>
        <w:rPr>
          <w:rFonts w:ascii="Times New Roman" w:eastAsia="Times New Roman" w:hAnsi="Times New Roman" w:cs="Times New Roman"/>
          <w:color w:val="000000"/>
          <w:spacing w:val="0"/>
          <w:w w:val="100"/>
          <w:position w:val="0"/>
        </w:rPr>
        <w:t>50</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 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个月）的，则表明其发生减值；若其于资产负债表日的 公允价值低于其成本超过</w:t>
      </w:r>
      <w:r>
        <w:rPr>
          <w:rFonts w:ascii="Times New Roman" w:eastAsia="Times New Roman" w:hAnsi="Times New Roman" w:cs="Times New Roman"/>
          <w:color w:val="000000"/>
          <w:spacing w:val="0"/>
          <w:w w:val="100"/>
          <w:position w:val="0"/>
        </w:rPr>
        <w:t>20</w:t>
      </w:r>
      <w:r>
        <w:rPr>
          <w:color w:val="000000"/>
          <w:spacing w:val="0"/>
          <w:w w:val="100"/>
          <w:position w:val="0"/>
        </w:rPr>
        <w:t>% （含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个月的，本公司会综合考虑其他相关因素，诸如价格波动率 等，判断该权益工具投资是否发生减值。对于以成本计量的权益工具投资，公司综合考虑被 投资单位经营所处的技术、市场、经济或法律环境等是否发生重大不利变化，判断该权益工 具是否发生减值。</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以公允价值计量的可供出售金融资产发生减值时，原直接计入其他综合收益的因公允价 值下降形成的累计损失予以转出并计入减值损失。对已确认减值损失的可供出售债务工具投 资，在期后公允价值回升且客观上与确认原减值损失后发生的事项有关的，原确认的减值损 失予以转回并计入当期损益。对已确认减值损失的可供出售权益工具投资，期后公允价值回 升直接计入其他综合收益。</w:t>
      </w:r>
    </w:p>
    <w:p>
      <w:pPr>
        <w:pStyle w:val="Style111"/>
        <w:keepNext w:val="0"/>
        <w:keepLines w:val="0"/>
        <w:widowControl w:val="0"/>
        <w:shd w:val="clear" w:color="auto" w:fill="auto"/>
        <w:bidi w:val="0"/>
        <w:spacing w:before="0" w:after="180" w:line="451" w:lineRule="exact"/>
        <w:ind w:left="140" w:right="0" w:firstLine="420"/>
        <w:jc w:val="both"/>
      </w:pPr>
      <w:r>
        <w:rPr>
          <w:color w:val="000000"/>
          <w:spacing w:val="0"/>
          <w:w w:val="100"/>
          <w:position w:val="0"/>
        </w:rPr>
        <w:t>以成本计量的可供出售权益工具发生减值时，将该权益工具投资的账面价值，与按照类 似金融资产当时市场收益率对未来现金流量折现确定的现值之间的差额，确认为减值损失， 计入当期损益，发生的减值损失一经确认，不予转回。</w:t>
      </w:r>
    </w:p>
    <w:p>
      <w:pPr>
        <w:pStyle w:val="Style111"/>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（十）应收款项</w:t>
      </w:r>
    </w:p>
    <w:p>
      <w:pPr>
        <w:pStyle w:val="Style111"/>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应收款项包括应收账款、其他应收款、应收保理款、长期应收款等。</w:t>
      </w:r>
    </w:p>
    <w:p>
      <w:pPr>
        <w:pStyle w:val="Style111"/>
        <w:keepNext w:val="0"/>
        <w:keepLines w:val="0"/>
        <w:widowControl w:val="0"/>
        <w:numPr>
          <w:ilvl w:val="0"/>
          <w:numId w:val="29"/>
        </w:numPr>
        <w:shd w:val="clear" w:color="auto" w:fill="auto"/>
        <w:bidi w:val="0"/>
        <w:spacing w:before="0" w:after="80" w:line="240" w:lineRule="auto"/>
        <w:ind w:left="0" w:right="0" w:firstLine="560"/>
        <w:jc w:val="both"/>
      </w:pPr>
      <w:bookmarkStart w:id="216" w:name="bookmark216"/>
      <w:bookmarkEnd w:id="216"/>
      <w:r>
        <w:rPr>
          <w:color w:val="000000"/>
          <w:spacing w:val="0"/>
          <w:w w:val="100"/>
          <w:position w:val="0"/>
        </w:rPr>
        <w:t>单项金额重大并单项计提坏账准备的应收款项</w:t>
      </w:r>
    </w:p>
    <w:tbl>
      <w:tblPr>
        <w:tblOverlap w:val="never"/>
        <w:jc w:val="center"/>
        <w:tblLayout w:type="fixed"/>
      </w:tblPr>
      <w:tblGrid>
        <w:gridCol w:w="3379"/>
        <w:gridCol w:w="5251"/>
      </w:tblGrid>
      <w:tr>
        <w:trPr>
          <w:trHeight w:val="60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单项金额重大的判断依据或金额 标准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金额</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万元以上（含）且占应收款项账面余额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%以 上的款项，或单项金额</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万元以上的款项。</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单项金额重大并单项计提坏账准</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备的计提方法</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单独进行减值测试，根据其未来现金流量现值低于其账 面价值的差额计提坏账准备</w:t>
            </w:r>
          </w:p>
        </w:tc>
      </w:tr>
    </w:tbl>
    <w:p>
      <w:pPr>
        <w:widowControl w:val="0"/>
        <w:spacing w:after="79" w:line="1" w:lineRule="exact"/>
      </w:pPr>
    </w:p>
    <w:p>
      <w:pPr>
        <w:pStyle w:val="Style111"/>
        <w:keepNext w:val="0"/>
        <w:keepLines w:val="0"/>
        <w:widowControl w:val="0"/>
        <w:numPr>
          <w:ilvl w:val="0"/>
          <w:numId w:val="29"/>
        </w:numPr>
        <w:shd w:val="clear" w:color="auto" w:fill="auto"/>
        <w:bidi w:val="0"/>
        <w:spacing w:before="0" w:after="180" w:line="240" w:lineRule="auto"/>
        <w:ind w:left="0" w:right="0" w:firstLine="560"/>
        <w:jc w:val="both"/>
      </w:pPr>
      <w:bookmarkStart w:id="217" w:name="bookmark217"/>
      <w:bookmarkEnd w:id="217"/>
      <w:r>
        <w:rPr>
          <w:color w:val="000000"/>
          <w:spacing w:val="0"/>
          <w:w w:val="100"/>
          <w:position w:val="0"/>
        </w:rPr>
        <w:t>按信用风险特征组合计提坏账准备的应收款项</w:t>
      </w:r>
    </w:p>
    <w:p>
      <w:pPr>
        <w:pStyle w:val="Style111"/>
        <w:keepNext w:val="0"/>
        <w:keepLines w:val="0"/>
        <w:widowControl w:val="0"/>
        <w:shd w:val="clear" w:color="auto" w:fill="auto"/>
        <w:tabs>
          <w:tab w:pos="975" w:val="left"/>
        </w:tabs>
        <w:bidi w:val="0"/>
        <w:spacing w:before="0" w:after="180" w:line="240" w:lineRule="auto"/>
        <w:ind w:left="0" w:right="0" w:firstLine="560"/>
        <w:jc w:val="both"/>
      </w:pPr>
      <w:bookmarkStart w:id="218" w:name="bookmark218"/>
      <w:r>
        <w:rPr>
          <w:color w:val="000000"/>
          <w:spacing w:val="0"/>
          <w:w w:val="100"/>
          <w:position w:val="0"/>
          <w:shd w:val="clear" w:color="auto" w:fill="FFFFFF"/>
        </w:rPr>
        <w:t>（</w:t>
      </w:r>
      <w:bookmarkEnd w:id="218"/>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t>应收账款、其他应收款</w:t>
      </w:r>
    </w:p>
    <w:p>
      <w:pPr>
        <w:pStyle w:val="Style111"/>
        <w:keepNext w:val="0"/>
        <w:keepLines w:val="0"/>
        <w:widowControl w:val="0"/>
        <w:pBdr>
          <w:bottom w:val="single" w:sz="4" w:space="0" w:color="auto"/>
        </w:pBdr>
        <w:shd w:val="clear" w:color="auto" w:fill="auto"/>
        <w:bidi w:val="0"/>
        <w:spacing w:before="0" w:after="180" w:line="240" w:lineRule="auto"/>
        <w:ind w:left="0" w:right="0" w:firstLine="560"/>
        <w:jc w:val="both"/>
      </w:pPr>
      <w:bookmarkStart w:id="219" w:name="bookmark219"/>
      <w:r>
        <w:rPr>
          <w:rFonts w:ascii="Times New Roman" w:eastAsia="Times New Roman" w:hAnsi="Times New Roman" w:cs="Times New Roman"/>
          <w:color w:val="000000"/>
          <w:spacing w:val="0"/>
          <w:w w:val="100"/>
          <w:position w:val="0"/>
        </w:rPr>
        <w:t>1</w:t>
      </w:r>
      <w:bookmarkEnd w:id="219"/>
      <w:r>
        <w:rPr>
          <w:color w:val="000000"/>
          <w:spacing w:val="0"/>
          <w:w w:val="100"/>
          <w:position w:val="0"/>
        </w:rPr>
        <w:t>）具体组合及坏账准备的计提方法</w:t>
      </w:r>
    </w:p>
    <w:p>
      <w:pPr>
        <w:pStyle w:val="Style111"/>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按信用风险特征组合计提坏账准备的计提方法</w:t>
      </w:r>
    </w:p>
    <w:p>
      <w:pPr>
        <w:pStyle w:val="Style111"/>
        <w:keepNext w:val="0"/>
        <w:keepLines w:val="0"/>
        <w:widowControl w:val="0"/>
        <w:shd w:val="clear" w:color="auto" w:fill="auto"/>
        <w:tabs>
          <w:tab w:pos="4892" w:val="left"/>
        </w:tabs>
        <w:bidi w:val="0"/>
        <w:spacing w:before="0" w:after="180" w:line="240" w:lineRule="auto"/>
        <w:ind w:left="0" w:right="0" w:firstLine="140"/>
        <w:jc w:val="left"/>
      </w:pPr>
      <w:r>
        <w:rPr>
          <w:color w:val="000000"/>
          <w:spacing w:val="0"/>
          <w:w w:val="100"/>
          <w:position w:val="0"/>
        </w:rPr>
        <w:t>传化荷兰公司及其境外子公司的应收账款</w:t>
        <w:tab/>
        <w:t>账期分析法</w:t>
      </w:r>
      <w:r>
        <w:br w:type="page"/>
      </w:r>
    </w:p>
    <w:tbl>
      <w:tblPr>
        <w:tblOverlap w:val="never"/>
        <w:jc w:val="center"/>
        <w:tblLayout w:type="fixed"/>
      </w:tblPr>
      <w:tblGrid>
        <w:gridCol w:w="4776"/>
        <w:gridCol w:w="1862"/>
        <w:gridCol w:w="1949"/>
      </w:tblGrid>
      <w:tr>
        <w:trPr>
          <w:trHeight w:val="59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其他应收款和除传化荷兰公司及其境外子公司之 外的应收账款</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账龄分析法</w:t>
            </w:r>
          </w:p>
        </w:tc>
      </w:tr>
      <w:tr>
        <w:trPr>
          <w:trHeight w:val="446"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）账期分析法</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账期</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应收账款 计提比例（%）</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未逾期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天以内（含）</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天（含）</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181</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天（含）</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361</w:t>
            </w:r>
            <w:r>
              <w:rPr>
                <w:color w:val="000000"/>
                <w:spacing w:val="0"/>
                <w:w w:val="100"/>
                <w:position w:val="0"/>
                <w:sz w:val="20"/>
                <w:szCs w:val="20"/>
              </w:rPr>
              <w:t>天及以上</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46"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）账龄分析法</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应收账款 计提比例（%）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其他应收款 计提比例（%）</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80</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88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6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）应收保理款</w:t>
            </w:r>
          </w:p>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）具体组合及坏账准备的计提方法</w:t>
            </w:r>
          </w:p>
        </w:tc>
      </w:tr>
      <w:tr>
        <w:trPr>
          <w:trHeight w:val="442"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按信用风险特征组合计提坏账准备的计提方法</w:t>
            </w:r>
          </w:p>
        </w:tc>
      </w:tr>
      <w:tr>
        <w:trPr>
          <w:trHeight w:val="4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五级风险分类组合</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五级风险分类法</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）五级风险分类法</w:t>
      </w:r>
    </w:p>
    <w:p>
      <w:pPr>
        <w:widowControl w:val="0"/>
        <w:spacing w:after="59" w:line="1" w:lineRule="exact"/>
      </w:pPr>
    </w:p>
    <w:tbl>
      <w:tblPr>
        <w:tblOverlap w:val="never"/>
        <w:jc w:val="left"/>
        <w:tblLayout w:type="fixed"/>
      </w:tblPr>
      <w:tblGrid>
        <w:gridCol w:w="1670"/>
        <w:gridCol w:w="4128"/>
        <w:gridCol w:w="2179"/>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风险类别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合同逾期（天）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天以内（含）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181</w:t>
            </w:r>
            <w:r>
              <w:rPr>
                <w:color w:val="000000"/>
                <w:spacing w:val="0"/>
                <w:w w:val="100"/>
                <w:position w:val="0"/>
                <w:sz w:val="20"/>
                <w:szCs w:val="20"/>
              </w:rPr>
              <w:t>天</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361</w:t>
            </w:r>
            <w:r>
              <w:rPr>
                <w:color w:val="000000"/>
                <w:spacing w:val="0"/>
                <w:w w:val="100"/>
                <w:position w:val="0"/>
                <w:sz w:val="20"/>
                <w:szCs w:val="20"/>
              </w:rPr>
              <w:t>天及以上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59" w:line="1" w:lineRule="exact"/>
      </w:pPr>
    </w:p>
    <w:p>
      <w:pPr>
        <w:pStyle w:val="Style111"/>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）长期应收款</w:t>
      </w:r>
    </w:p>
    <w:p>
      <w:pPr>
        <w:pStyle w:val="Style111"/>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本公司对长期应收款一应收融资租赁款（扣除未确认融资收益及长期应付款-融资租赁</w:t>
      </w:r>
    </w:p>
    <w:p>
      <w:pPr>
        <w:pStyle w:val="Style11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保证金）采用五级风险分类法确定坏账准备的计提比例如下：</w:t>
      </w:r>
    </w:p>
    <w:tbl>
      <w:tblPr>
        <w:tblOverlap w:val="never"/>
        <w:jc w:val="left"/>
        <w:tblLayout w:type="fixed"/>
      </w:tblPr>
      <w:tblGrid>
        <w:gridCol w:w="1670"/>
        <w:gridCol w:w="4128"/>
        <w:gridCol w:w="2179"/>
      </w:tblGrid>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风险类别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合同逾期（天）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天以内（含）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181</w:t>
            </w:r>
            <w:r>
              <w:rPr>
                <w:color w:val="000000"/>
                <w:spacing w:val="0"/>
                <w:w w:val="100"/>
                <w:position w:val="0"/>
                <w:sz w:val="20"/>
                <w:szCs w:val="20"/>
              </w:rPr>
              <w:t>天</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361</w:t>
            </w:r>
            <w:r>
              <w:rPr>
                <w:color w:val="000000"/>
                <w:spacing w:val="0"/>
                <w:w w:val="100"/>
                <w:position w:val="0"/>
                <w:sz w:val="20"/>
                <w:szCs w:val="20"/>
              </w:rPr>
              <w:t>天及以上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单项金额不重大但单项计提坏账准备的应收款项</w:t>
      </w:r>
    </w:p>
    <w:p>
      <w:pPr>
        <w:widowControl w:val="0"/>
        <w:spacing w:after="39" w:line="1" w:lineRule="exact"/>
      </w:pPr>
    </w:p>
    <w:tbl>
      <w:tblPr>
        <w:tblOverlap w:val="never"/>
        <w:jc w:val="center"/>
        <w:tblLayout w:type="fixed"/>
      </w:tblPr>
      <w:tblGrid>
        <w:gridCol w:w="3379"/>
        <w:gridCol w:w="5251"/>
      </w:tblGrid>
      <w:tr>
        <w:trPr>
          <w:trHeight w:val="88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单项计提坏账准备的理由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应收款项的未来现金流量现值与以账龄为信用风险特</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征的应收款项组合的未来现金流量现值存在显著差异</w:t>
            </w:r>
          </w:p>
        </w:tc>
      </w:tr>
      <w:tr>
        <w:trPr>
          <w:trHeight w:val="88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单独进行减值测试，根据其未来现金流量现值低于其账</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面价值的差额计提坏账准备</w:t>
            </w:r>
          </w:p>
        </w:tc>
      </w:tr>
    </w:tbl>
    <w:p>
      <w:pPr>
        <w:pStyle w:val="Style111"/>
        <w:keepNext w:val="0"/>
        <w:keepLines w:val="0"/>
        <w:widowControl w:val="0"/>
        <w:shd w:val="clear" w:color="auto" w:fill="auto"/>
        <w:bidi w:val="0"/>
        <w:spacing w:before="0" w:after="0" w:line="442" w:lineRule="exact"/>
        <w:ind w:left="140" w:right="0" w:firstLine="420"/>
        <w:jc w:val="both"/>
      </w:pPr>
      <w:r>
        <w:rPr>
          <w:color w:val="000000"/>
          <w:spacing w:val="0"/>
          <w:w w:val="100"/>
          <w:position w:val="0"/>
        </w:rPr>
        <w:t>对应收票据、应收利息等其他应收款项，根据其未来现金流量现值低于其账面价值的差 额计提坏账准备。</w:t>
      </w:r>
    </w:p>
    <w:p>
      <w:pPr>
        <w:pStyle w:val="Style111"/>
        <w:keepNext w:val="0"/>
        <w:keepLines w:val="0"/>
        <w:widowControl w:val="0"/>
        <w:shd w:val="clear" w:color="auto" w:fill="auto"/>
        <w:bidi w:val="0"/>
        <w:spacing w:before="0" w:after="0" w:line="436" w:lineRule="exact"/>
        <w:ind w:left="0" w:right="0" w:firstLine="560"/>
        <w:jc w:val="both"/>
      </w:pPr>
      <w:r>
        <w:rPr>
          <w:color w:val="000000"/>
          <w:spacing w:val="0"/>
          <w:w w:val="100"/>
          <w:position w:val="0"/>
        </w:rPr>
        <w:t>（^一）存货</w:t>
      </w:r>
    </w:p>
    <w:p>
      <w:pPr>
        <w:pStyle w:val="Style111"/>
        <w:keepNext w:val="0"/>
        <w:keepLines w:val="0"/>
        <w:widowControl w:val="0"/>
        <w:numPr>
          <w:ilvl w:val="0"/>
          <w:numId w:val="31"/>
        </w:numPr>
        <w:shd w:val="clear" w:color="auto" w:fill="auto"/>
        <w:tabs>
          <w:tab w:pos="919" w:val="left"/>
        </w:tabs>
        <w:bidi w:val="0"/>
        <w:spacing w:before="0" w:after="0" w:line="436" w:lineRule="exact"/>
        <w:ind w:left="0" w:right="0" w:firstLine="560"/>
        <w:jc w:val="both"/>
      </w:pPr>
      <w:bookmarkStart w:id="220" w:name="bookmark220"/>
      <w:bookmarkEnd w:id="220"/>
      <w:r>
        <w:rPr>
          <w:color w:val="000000"/>
          <w:spacing w:val="0"/>
          <w:w w:val="100"/>
          <w:position w:val="0"/>
        </w:rPr>
        <w:t>存货的分类</w:t>
      </w:r>
    </w:p>
    <w:p>
      <w:pPr>
        <w:pStyle w:val="Style111"/>
        <w:keepNext w:val="0"/>
        <w:keepLines w:val="0"/>
        <w:widowControl w:val="0"/>
        <w:shd w:val="clear" w:color="auto" w:fill="auto"/>
        <w:bidi w:val="0"/>
        <w:spacing w:before="0" w:after="0" w:line="436" w:lineRule="exact"/>
        <w:ind w:left="140" w:right="0" w:firstLine="420"/>
        <w:jc w:val="both"/>
      </w:pPr>
      <w:r>
        <w:rPr>
          <w:color w:val="000000"/>
          <w:spacing w:val="0"/>
          <w:w w:val="100"/>
          <w:position w:val="0"/>
        </w:rPr>
        <w:t>存货包括在日常活动中持有以备出售的产成品或商品、处在生产过程中的在产品、在生 产过程或提供劳务过程中耗用的材料和物料，在开发经营过程中为出售或耗用而持有的开发 用土地、开发产品、意图出售而暂时出租的开发产品、周转房、库存材料、库存设备和低值 易耗品等，以及在开发过程中的开发成本等。</w:t>
      </w:r>
    </w:p>
    <w:p>
      <w:pPr>
        <w:pStyle w:val="Style111"/>
        <w:keepNext w:val="0"/>
        <w:keepLines w:val="0"/>
        <w:widowControl w:val="0"/>
        <w:numPr>
          <w:ilvl w:val="0"/>
          <w:numId w:val="31"/>
        </w:numPr>
        <w:shd w:val="clear" w:color="auto" w:fill="auto"/>
        <w:tabs>
          <w:tab w:pos="919" w:val="left"/>
        </w:tabs>
        <w:bidi w:val="0"/>
        <w:spacing w:before="0" w:after="0" w:line="436" w:lineRule="exact"/>
        <w:ind w:left="0" w:right="0" w:firstLine="560"/>
        <w:jc w:val="both"/>
      </w:pPr>
      <w:bookmarkStart w:id="221" w:name="bookmark221"/>
      <w:bookmarkEnd w:id="221"/>
      <w:r>
        <w:rPr>
          <w:color w:val="000000"/>
          <w:spacing w:val="0"/>
          <w:w w:val="100"/>
          <w:position w:val="0"/>
        </w:rPr>
        <w:t>发出存货的计价方法</w:t>
      </w:r>
    </w:p>
    <w:p>
      <w:pPr>
        <w:pStyle w:val="Style111"/>
        <w:keepNext w:val="0"/>
        <w:keepLines w:val="0"/>
        <w:widowControl w:val="0"/>
        <w:shd w:val="clear" w:color="auto" w:fill="auto"/>
        <w:tabs>
          <w:tab w:pos="986" w:val="left"/>
        </w:tabs>
        <w:bidi w:val="0"/>
        <w:spacing w:before="0" w:after="0" w:line="436" w:lineRule="exact"/>
        <w:ind w:left="0" w:right="0" w:firstLine="56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w:t>
        <w:tab/>
        <w:t>发出材料、设备、产成品或商品采用月末一次加权平均法。</w:t>
      </w:r>
    </w:p>
    <w:p>
      <w:pPr>
        <w:pStyle w:val="Style111"/>
        <w:keepNext w:val="0"/>
        <w:keepLines w:val="0"/>
        <w:widowControl w:val="0"/>
        <w:shd w:val="clear" w:color="auto" w:fill="auto"/>
        <w:tabs>
          <w:tab w:pos="986" w:val="left"/>
        </w:tabs>
        <w:bidi w:val="0"/>
        <w:spacing w:before="0" w:after="0" w:line="436" w:lineRule="exact"/>
        <w:ind w:left="0" w:right="0" w:firstLine="56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2</w:t>
      </w:r>
      <w:r>
        <w:rPr>
          <w:color w:val="000000"/>
          <w:spacing w:val="0"/>
          <w:w w:val="100"/>
          <w:position w:val="0"/>
        </w:rPr>
        <w:t>）</w:t>
        <w:tab/>
        <w:t>项目开发时，开发用土地按开发产品占地面积计算分摊计入项目的开发成本。</w:t>
      </w:r>
    </w:p>
    <w:p>
      <w:pPr>
        <w:pStyle w:val="Style111"/>
        <w:keepNext w:val="0"/>
        <w:keepLines w:val="0"/>
        <w:widowControl w:val="0"/>
        <w:shd w:val="clear" w:color="auto" w:fill="auto"/>
        <w:tabs>
          <w:tab w:pos="986" w:val="left"/>
        </w:tabs>
        <w:bidi w:val="0"/>
        <w:spacing w:before="0" w:after="0" w:line="436" w:lineRule="exact"/>
        <w:ind w:left="0" w:right="0" w:firstLine="56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w:t>
        <w:tab/>
        <w:t>发出开发产品按建筑面积平均法核算。</w:t>
      </w:r>
    </w:p>
    <w:p>
      <w:pPr>
        <w:pStyle w:val="Style111"/>
        <w:keepNext w:val="0"/>
        <w:keepLines w:val="0"/>
        <w:widowControl w:val="0"/>
        <w:shd w:val="clear" w:color="auto" w:fill="auto"/>
        <w:tabs>
          <w:tab w:pos="1017" w:val="left"/>
        </w:tabs>
        <w:bidi w:val="0"/>
        <w:spacing w:before="0" w:after="0" w:line="436" w:lineRule="exact"/>
        <w:ind w:left="140" w:right="0" w:firstLine="42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4</w:t>
      </w:r>
      <w:r>
        <w:rPr>
          <w:color w:val="000000"/>
          <w:spacing w:val="0"/>
          <w:w w:val="100"/>
          <w:position w:val="0"/>
        </w:rPr>
        <w:t>）</w:t>
        <w:tab/>
        <w:t>意图出售而暂时出租的开发产品和周转房按公司同类固定资产的预计使用年限分 期平均摊销。</w:t>
      </w:r>
    </w:p>
    <w:p>
      <w:pPr>
        <w:pStyle w:val="Style111"/>
        <w:keepNext w:val="0"/>
        <w:keepLines w:val="0"/>
        <w:widowControl w:val="0"/>
        <w:numPr>
          <w:ilvl w:val="0"/>
          <w:numId w:val="31"/>
        </w:numPr>
        <w:shd w:val="clear" w:color="auto" w:fill="auto"/>
        <w:tabs>
          <w:tab w:pos="919" w:val="left"/>
        </w:tabs>
        <w:bidi w:val="0"/>
        <w:spacing w:before="0" w:after="0" w:line="436" w:lineRule="exact"/>
        <w:ind w:left="0" w:right="0" w:firstLine="560"/>
        <w:jc w:val="both"/>
      </w:pPr>
      <w:bookmarkStart w:id="226" w:name="bookmark226"/>
      <w:bookmarkEnd w:id="226"/>
      <w:r>
        <w:rPr>
          <w:color w:val="000000"/>
          <w:spacing w:val="0"/>
          <w:w w:val="100"/>
          <w:position w:val="0"/>
        </w:rPr>
        <w:t>存货可变现净值的确定依据</w:t>
      </w:r>
    </w:p>
    <w:p>
      <w:pPr>
        <w:pStyle w:val="Style111"/>
        <w:keepNext w:val="0"/>
        <w:keepLines w:val="0"/>
        <w:widowControl w:val="0"/>
        <w:shd w:val="clear" w:color="auto" w:fill="auto"/>
        <w:bidi w:val="0"/>
        <w:spacing w:before="0" w:after="180" w:line="436" w:lineRule="exact"/>
        <w:ind w:left="140" w:right="0" w:firstLine="420"/>
        <w:jc w:val="both"/>
      </w:pPr>
      <w:r>
        <w:rPr>
          <w:color w:val="000000"/>
          <w:spacing w:val="0"/>
          <w:w w:val="100"/>
          <w:position w:val="0"/>
        </w:rPr>
        <w:t xml:space="preserve">资产负债表日，存货采用成本与可变现净值孰低计量，按照单个存货成本高于可变现净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w:t>
      </w:r>
      <w:r>
        <w:rPr>
          <w:color w:val="000000"/>
          <w:spacing w:val="0"/>
          <w:w w:val="100"/>
          <w:position w:val="0"/>
        </w:rPr>
        <w:t>合同价格约定、其他部分不存在合同价格的，分别确定其可变现净值，并与其对应的成本进 行比较，分别确定存货跌价准备的计提或转回的金额。</w:t>
      </w:r>
    </w:p>
    <w:p>
      <w:pPr>
        <w:pStyle w:val="Style111"/>
        <w:keepNext w:val="0"/>
        <w:keepLines w:val="0"/>
        <w:widowControl w:val="0"/>
        <w:numPr>
          <w:ilvl w:val="0"/>
          <w:numId w:val="31"/>
        </w:numPr>
        <w:shd w:val="clear" w:color="auto" w:fill="auto"/>
        <w:tabs>
          <w:tab w:pos="796" w:val="left"/>
        </w:tabs>
        <w:bidi w:val="0"/>
        <w:spacing w:before="0" w:after="0" w:line="456" w:lineRule="auto"/>
        <w:ind w:left="0" w:right="0"/>
        <w:jc w:val="both"/>
      </w:pPr>
      <w:bookmarkStart w:id="227" w:name="bookmark227"/>
      <w:bookmarkEnd w:id="227"/>
      <w:r>
        <w:rPr>
          <w:color w:val="000000"/>
          <w:spacing w:val="0"/>
          <w:w w:val="100"/>
          <w:position w:val="0"/>
        </w:rPr>
        <w:t>存货的盘存制度</w:t>
      </w:r>
    </w:p>
    <w:p>
      <w:pPr>
        <w:pStyle w:val="Style111"/>
        <w:keepNext w:val="0"/>
        <w:keepLines w:val="0"/>
        <w:widowControl w:val="0"/>
        <w:shd w:val="clear" w:color="auto" w:fill="auto"/>
        <w:bidi w:val="0"/>
        <w:spacing w:before="0" w:after="180" w:line="436" w:lineRule="exact"/>
        <w:ind w:left="0" w:right="0"/>
        <w:jc w:val="both"/>
      </w:pPr>
      <w:r>
        <w:rPr>
          <w:color w:val="000000"/>
          <w:spacing w:val="0"/>
          <w:w w:val="100"/>
          <w:position w:val="0"/>
        </w:rPr>
        <w:t>存货的盘存制度为永续盘存制。</w:t>
      </w:r>
    </w:p>
    <w:p>
      <w:pPr>
        <w:pStyle w:val="Style111"/>
        <w:keepNext w:val="0"/>
        <w:keepLines w:val="0"/>
        <w:widowControl w:val="0"/>
        <w:numPr>
          <w:ilvl w:val="0"/>
          <w:numId w:val="31"/>
        </w:numPr>
        <w:shd w:val="clear" w:color="auto" w:fill="auto"/>
        <w:tabs>
          <w:tab w:pos="796" w:val="left"/>
        </w:tabs>
        <w:bidi w:val="0"/>
        <w:spacing w:before="0" w:after="0" w:line="456" w:lineRule="auto"/>
        <w:ind w:left="0" w:right="0"/>
        <w:jc w:val="both"/>
      </w:pPr>
      <w:bookmarkStart w:id="228" w:name="bookmark228"/>
      <w:bookmarkEnd w:id="228"/>
      <w:r>
        <w:rPr>
          <w:color w:val="000000"/>
          <w:spacing w:val="0"/>
          <w:w w:val="100"/>
          <w:position w:val="0"/>
        </w:rPr>
        <w:t>低值易耗品和包装物的摊销方法</w:t>
      </w:r>
    </w:p>
    <w:p>
      <w:pPr>
        <w:pStyle w:val="Style111"/>
        <w:keepNext w:val="0"/>
        <w:keepLines w:val="0"/>
        <w:widowControl w:val="0"/>
        <w:numPr>
          <w:ilvl w:val="0"/>
          <w:numId w:val="33"/>
        </w:numPr>
        <w:shd w:val="clear" w:color="auto" w:fill="auto"/>
        <w:tabs>
          <w:tab w:pos="866" w:val="left"/>
        </w:tabs>
        <w:bidi w:val="0"/>
        <w:spacing w:before="0" w:after="0" w:line="436" w:lineRule="exact"/>
        <w:ind w:left="0" w:right="0"/>
        <w:jc w:val="both"/>
      </w:pPr>
      <w:bookmarkStart w:id="229" w:name="bookmark229"/>
      <w:bookmarkEnd w:id="229"/>
      <w:r>
        <w:rPr>
          <w:color w:val="000000"/>
          <w:spacing w:val="0"/>
          <w:w w:val="100"/>
          <w:position w:val="0"/>
        </w:rPr>
        <w:t>低值易耗品</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对旅店业低值易耗品按照分次转销法进行摊销，对其他低值易耗品采用一次转销法进行 摊销。</w:t>
      </w:r>
    </w:p>
    <w:p>
      <w:pPr>
        <w:pStyle w:val="Style111"/>
        <w:keepNext w:val="0"/>
        <w:keepLines w:val="0"/>
        <w:widowControl w:val="0"/>
        <w:numPr>
          <w:ilvl w:val="0"/>
          <w:numId w:val="33"/>
        </w:numPr>
        <w:shd w:val="clear" w:color="auto" w:fill="auto"/>
        <w:tabs>
          <w:tab w:pos="866" w:val="left"/>
        </w:tabs>
        <w:bidi w:val="0"/>
        <w:spacing w:before="0" w:after="0" w:line="436" w:lineRule="exact"/>
        <w:ind w:left="0" w:right="0"/>
        <w:jc w:val="both"/>
      </w:pPr>
      <w:bookmarkStart w:id="230" w:name="bookmark230"/>
      <w:bookmarkEnd w:id="230"/>
      <w:r>
        <w:rPr>
          <w:color w:val="000000"/>
          <w:spacing w:val="0"/>
          <w:w w:val="100"/>
          <w:position w:val="0"/>
        </w:rPr>
        <w:t>包装物</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按照一次转销法进行摊销。</w:t>
      </w:r>
    </w:p>
    <w:p>
      <w:pPr>
        <w:pStyle w:val="Style111"/>
        <w:keepNext w:val="0"/>
        <w:keepLines w:val="0"/>
        <w:widowControl w:val="0"/>
        <w:shd w:val="clear" w:color="auto" w:fill="auto"/>
        <w:bidi w:val="0"/>
        <w:spacing w:before="0" w:after="180" w:line="436" w:lineRule="exact"/>
        <w:ind w:left="0" w:right="0"/>
        <w:jc w:val="both"/>
      </w:pPr>
      <w:r>
        <w:rPr>
          <w:color w:val="000000"/>
          <w:spacing w:val="0"/>
          <w:w w:val="100"/>
          <w:position w:val="0"/>
        </w:rPr>
        <w:t>(十二)长期股权投资</w:t>
      </w:r>
    </w:p>
    <w:p>
      <w:pPr>
        <w:pStyle w:val="Style111"/>
        <w:keepNext w:val="0"/>
        <w:keepLines w:val="0"/>
        <w:widowControl w:val="0"/>
        <w:numPr>
          <w:ilvl w:val="0"/>
          <w:numId w:val="35"/>
        </w:numPr>
        <w:shd w:val="clear" w:color="auto" w:fill="auto"/>
        <w:tabs>
          <w:tab w:pos="796" w:val="left"/>
        </w:tabs>
        <w:bidi w:val="0"/>
        <w:spacing w:before="0" w:after="0" w:line="456" w:lineRule="auto"/>
        <w:ind w:left="0" w:right="0"/>
        <w:jc w:val="both"/>
      </w:pPr>
      <w:bookmarkStart w:id="231" w:name="bookmark231"/>
      <w:bookmarkEnd w:id="231"/>
      <w:r>
        <w:rPr>
          <w:color w:val="000000"/>
          <w:spacing w:val="0"/>
          <w:w w:val="100"/>
          <w:position w:val="0"/>
        </w:rPr>
        <w:t>共同控制、重要影响的判断</w:t>
      </w:r>
    </w:p>
    <w:p>
      <w:pPr>
        <w:pStyle w:val="Style111"/>
        <w:keepNext w:val="0"/>
        <w:keepLines w:val="0"/>
        <w:widowControl w:val="0"/>
        <w:shd w:val="clear" w:color="auto" w:fill="auto"/>
        <w:bidi w:val="0"/>
        <w:spacing w:before="0" w:after="180" w:line="436" w:lineRule="exact"/>
        <w:ind w:left="0" w:right="0"/>
        <w:jc w:val="both"/>
      </w:pPr>
      <w:r>
        <w:rPr>
          <w:color w:val="000000"/>
          <w:spacing w:val="0"/>
          <w:w w:val="100"/>
          <w:position w:val="0"/>
        </w:rPr>
        <w:t>按照相关约定对某项安排存在共有的控制，并且该安排的相关活动必须经过分享控制权 的参与方一致同意后才能决策，认定为共同控制。对被投资单位的财务和经营政策有参与决 策的权力，但并不能够控制或者与其他方一起共同控制这些政策的制定，认定为重大影响。</w:t>
      </w:r>
    </w:p>
    <w:p>
      <w:pPr>
        <w:pStyle w:val="Style111"/>
        <w:keepNext w:val="0"/>
        <w:keepLines w:val="0"/>
        <w:widowControl w:val="0"/>
        <w:numPr>
          <w:ilvl w:val="0"/>
          <w:numId w:val="35"/>
        </w:numPr>
        <w:shd w:val="clear" w:color="auto" w:fill="auto"/>
        <w:tabs>
          <w:tab w:pos="796" w:val="left"/>
        </w:tabs>
        <w:bidi w:val="0"/>
        <w:spacing w:before="0" w:after="0" w:line="456" w:lineRule="auto"/>
        <w:ind w:left="0" w:right="0"/>
        <w:jc w:val="both"/>
      </w:pPr>
      <w:bookmarkStart w:id="232" w:name="bookmark232"/>
      <w:bookmarkEnd w:id="232"/>
      <w:r>
        <w:rPr>
          <w:color w:val="000000"/>
          <w:spacing w:val="0"/>
          <w:w w:val="100"/>
          <w:position w:val="0"/>
        </w:rPr>
        <w:t>投资成本的确定</w:t>
      </w:r>
    </w:p>
    <w:p>
      <w:pPr>
        <w:pStyle w:val="Style111"/>
        <w:keepNext w:val="0"/>
        <w:keepLines w:val="0"/>
        <w:widowControl w:val="0"/>
        <w:numPr>
          <w:ilvl w:val="0"/>
          <w:numId w:val="37"/>
        </w:numPr>
        <w:shd w:val="clear" w:color="auto" w:fill="auto"/>
        <w:tabs>
          <w:tab w:pos="882" w:val="left"/>
        </w:tabs>
        <w:bidi w:val="0"/>
        <w:spacing w:before="0" w:after="0" w:line="436" w:lineRule="exact"/>
        <w:ind w:left="0" w:right="0"/>
        <w:jc w:val="both"/>
      </w:pPr>
      <w:bookmarkStart w:id="233" w:name="bookmark233"/>
      <w:bookmarkEnd w:id="233"/>
      <w:r>
        <w:rPr>
          <w:color w:val="000000"/>
          <w:spacing w:val="0"/>
          <w:w w:val="100"/>
          <w:position w:val="0"/>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Style111"/>
        <w:keepNext w:val="0"/>
        <w:keepLines w:val="0"/>
        <w:widowControl w:val="0"/>
        <w:shd w:val="clear" w:color="auto" w:fill="auto"/>
        <w:bidi w:val="0"/>
        <w:spacing w:before="0" w:after="0" w:line="436" w:lineRule="exact"/>
        <w:ind w:left="0" w:right="0"/>
        <w:jc w:val="both"/>
      </w:pPr>
      <w:r>
        <w:rPr>
          <w:color w:val="000000"/>
          <w:spacing w:val="0"/>
          <w:w w:val="100"/>
          <w:position w:val="0"/>
        </w:rPr>
        <w:t>公司通过多次交易分步实现同一控制下企业合并形成的长期股权投资，判断是否属于 “一揽子交易”。属于“一揽子交易”的，把各项交易作为一项取得控制权的交易进行会计 处理。不属于“一揽子交易”的，在合并日，根据合并后应享有被合并方净资产在最终控制 方合并财务报表中的账面价值的份额确定初始投资成本。合并日长期股权投资的初始投资成 本，与达到合并前的长期股权投资账面价值加上合并日进一步取得股份新支付对价的账面价 值之和的差额，调整资本公积；资本公积不足冲减的，调整留存收益。</w:t>
      </w:r>
    </w:p>
    <w:p>
      <w:pPr>
        <w:pStyle w:val="Style111"/>
        <w:keepNext w:val="0"/>
        <w:keepLines w:val="0"/>
        <w:widowControl w:val="0"/>
        <w:numPr>
          <w:ilvl w:val="0"/>
          <w:numId w:val="37"/>
        </w:numPr>
        <w:shd w:val="clear" w:color="auto" w:fill="auto"/>
        <w:tabs>
          <w:tab w:pos="882" w:val="left"/>
        </w:tabs>
        <w:bidi w:val="0"/>
        <w:spacing w:before="0" w:after="0" w:line="436" w:lineRule="exact"/>
        <w:ind w:left="0" w:right="0"/>
        <w:jc w:val="both"/>
      </w:pPr>
      <w:bookmarkStart w:id="234" w:name="bookmark234"/>
      <w:bookmarkEnd w:id="234"/>
      <w:r>
        <w:rPr>
          <w:color w:val="000000"/>
          <w:spacing w:val="0"/>
          <w:w w:val="100"/>
          <w:position w:val="0"/>
        </w:rPr>
        <w:t>非同一控制下的企业合并形成的，在购买日按照支付的合并对价的公允价值作为其 初始投资成本。</w:t>
      </w:r>
    </w:p>
    <w:p>
      <w:pPr>
        <w:pStyle w:val="Style111"/>
        <w:keepNext w:val="0"/>
        <w:keepLines w:val="0"/>
        <w:widowControl w:val="0"/>
        <w:shd w:val="clear" w:color="auto" w:fill="auto"/>
        <w:bidi w:val="0"/>
        <w:spacing w:before="0" w:after="180" w:line="436" w:lineRule="exact"/>
        <w:ind w:left="0" w:right="0"/>
        <w:jc w:val="both"/>
      </w:pPr>
      <w:r>
        <w:rPr>
          <w:color w:val="000000"/>
          <w:spacing w:val="0"/>
          <w:w w:val="100"/>
          <w:position w:val="0"/>
        </w:rPr>
        <w:t>公司通过多次交易分步实现非同一控制下企业合并形成的长期股权投资，区分个别财务 报表和合并财务报表进行相关会计处理：</w:t>
      </w:r>
    </w:p>
    <w:p>
      <w:pPr>
        <w:pStyle w:val="Style111"/>
        <w:keepNext w:val="0"/>
        <w:keepLines w:val="0"/>
        <w:widowControl w:val="0"/>
        <w:numPr>
          <w:ilvl w:val="0"/>
          <w:numId w:val="39"/>
        </w:numPr>
        <w:shd w:val="clear" w:color="auto" w:fill="auto"/>
        <w:tabs>
          <w:tab w:pos="773" w:val="left"/>
        </w:tabs>
        <w:bidi w:val="0"/>
        <w:spacing w:before="0" w:after="0" w:line="435" w:lineRule="exact"/>
        <w:ind w:left="0" w:right="0"/>
        <w:jc w:val="both"/>
      </w:pPr>
      <w:bookmarkStart w:id="235" w:name="bookmark235"/>
      <w:bookmarkEnd w:id="235"/>
      <w:r>
        <w:rPr>
          <w:color w:val="000000"/>
          <w:spacing w:val="0"/>
          <w:w w:val="100"/>
          <w:position w:val="0"/>
        </w:rPr>
        <w:t>在个别财务报表中，按照原持有的股权投资的账面价值加上新增投资成本之和，作 为改按成本法核算的初始投资成本。</w:t>
      </w:r>
    </w:p>
    <w:p>
      <w:pPr>
        <w:pStyle w:val="Style111"/>
        <w:keepNext w:val="0"/>
        <w:keepLines w:val="0"/>
        <w:widowControl w:val="0"/>
        <w:numPr>
          <w:ilvl w:val="0"/>
          <w:numId w:val="39"/>
        </w:numPr>
        <w:shd w:val="clear" w:color="auto" w:fill="auto"/>
        <w:tabs>
          <w:tab w:pos="773" w:val="left"/>
        </w:tabs>
        <w:bidi w:val="0"/>
        <w:spacing w:before="0" w:after="0" w:line="435" w:lineRule="exact"/>
        <w:ind w:left="0" w:right="0"/>
        <w:jc w:val="both"/>
      </w:pPr>
      <w:bookmarkStart w:id="236" w:name="bookmark236"/>
      <w:bookmarkEnd w:id="236"/>
      <w:r>
        <w:rPr>
          <w:color w:val="000000"/>
          <w:spacing w:val="0"/>
          <w:w w:val="100"/>
          <w:position w:val="0"/>
        </w:rPr>
        <w:t>在合并财务报表中，判断是否属于“一揽子交易”。属于“一揽子交易”的，把各 项交易作为一项取得控制权的交易进行会计处理。不属于“一揽子交易”的，对于购买日之 前持有的被购买方的股权，按照该股权在购买日的公允价值进行重新计量，公允价值与其账 面价值的差额计入当期投资收益;购买日之前持有的被购买方的股权涉及权益法核算下的其 他综合收益等的，与其相关的其他综合收益等转为购买日所属当期收益。但由于被投资方重 新计量设定受益计划净负债或净资产变动而产生的其他综合收益除外。</w:t>
      </w:r>
    </w:p>
    <w:p>
      <w:pPr>
        <w:pStyle w:val="Style111"/>
        <w:keepNext w:val="0"/>
        <w:keepLines w:val="0"/>
        <w:widowControl w:val="0"/>
        <w:numPr>
          <w:ilvl w:val="0"/>
          <w:numId w:val="37"/>
        </w:numPr>
        <w:shd w:val="clear" w:color="auto" w:fill="auto"/>
        <w:bidi w:val="0"/>
        <w:spacing w:before="0" w:after="0" w:line="435" w:lineRule="exact"/>
        <w:ind w:left="0" w:right="0"/>
        <w:jc w:val="both"/>
      </w:pPr>
      <w:bookmarkStart w:id="237" w:name="bookmark237"/>
      <w:bookmarkEnd w:id="237"/>
      <w:r>
        <w:rPr>
          <w:color w:val="000000"/>
          <w:spacing w:val="0"/>
          <w:w w:val="100"/>
          <w:position w:val="0"/>
        </w:rPr>
        <w:t>除企业合并形成以外的：以支付现金取得的，按照实际支付的购买价款作为其初始 投资成本；以发行权益性证券取得的，按照发行权益性证券的公允价值作为其初始投资成本; 以债务重组方式取得的，按《企业会计准则第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号一一债务重组》确定其初始投资成本； 以非货币性资产交换取得的，按《企业会计准则第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 投资成本。</w:t>
      </w:r>
    </w:p>
    <w:p>
      <w:pPr>
        <w:pStyle w:val="Style111"/>
        <w:keepNext w:val="0"/>
        <w:keepLines w:val="0"/>
        <w:widowControl w:val="0"/>
        <w:numPr>
          <w:ilvl w:val="0"/>
          <w:numId w:val="35"/>
        </w:numPr>
        <w:shd w:val="clear" w:color="auto" w:fill="auto"/>
        <w:tabs>
          <w:tab w:pos="773" w:val="left"/>
        </w:tabs>
        <w:bidi w:val="0"/>
        <w:spacing w:before="0" w:after="0" w:line="435" w:lineRule="exact"/>
        <w:ind w:left="0" w:right="0"/>
        <w:jc w:val="both"/>
      </w:pPr>
      <w:bookmarkStart w:id="238" w:name="bookmark238"/>
      <w:bookmarkEnd w:id="238"/>
      <w:r>
        <w:rPr>
          <w:color w:val="000000"/>
          <w:spacing w:val="0"/>
          <w:w w:val="100"/>
          <w:position w:val="0"/>
        </w:rPr>
        <w:t>后续计量及损益确认方法</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对被投资单位实施控制的长期股权投资采用成本法核算;对联营企业和合营企业的长期 股权投资，采用权益法核算。</w:t>
      </w:r>
    </w:p>
    <w:p>
      <w:pPr>
        <w:pStyle w:val="Style111"/>
        <w:keepNext w:val="0"/>
        <w:keepLines w:val="0"/>
        <w:widowControl w:val="0"/>
        <w:numPr>
          <w:ilvl w:val="0"/>
          <w:numId w:val="35"/>
        </w:numPr>
        <w:shd w:val="clear" w:color="auto" w:fill="auto"/>
        <w:tabs>
          <w:tab w:pos="773" w:val="left"/>
        </w:tabs>
        <w:bidi w:val="0"/>
        <w:spacing w:before="0" w:after="0" w:line="435" w:lineRule="exact"/>
        <w:ind w:left="0" w:right="0"/>
        <w:jc w:val="both"/>
      </w:pPr>
      <w:bookmarkStart w:id="239" w:name="bookmark239"/>
      <w:bookmarkEnd w:id="239"/>
      <w:r>
        <w:rPr>
          <w:color w:val="000000"/>
          <w:spacing w:val="0"/>
          <w:w w:val="100"/>
          <w:position w:val="0"/>
        </w:rPr>
        <w:t>通过多次交易分步处置对子公司投资至丧失控制权的处理方法</w:t>
      </w:r>
    </w:p>
    <w:p>
      <w:pPr>
        <w:pStyle w:val="Style111"/>
        <w:keepNext w:val="0"/>
        <w:keepLines w:val="0"/>
        <w:widowControl w:val="0"/>
        <w:numPr>
          <w:ilvl w:val="0"/>
          <w:numId w:val="41"/>
        </w:numPr>
        <w:shd w:val="clear" w:color="auto" w:fill="auto"/>
        <w:tabs>
          <w:tab w:pos="817" w:val="left"/>
        </w:tabs>
        <w:bidi w:val="0"/>
        <w:spacing w:before="0" w:after="0" w:line="435" w:lineRule="exact"/>
        <w:ind w:left="0" w:right="0"/>
        <w:jc w:val="both"/>
      </w:pPr>
      <w:bookmarkStart w:id="240" w:name="bookmark240"/>
      <w:bookmarkEnd w:id="240"/>
      <w:r>
        <w:rPr>
          <w:color w:val="000000"/>
          <w:spacing w:val="0"/>
          <w:w w:val="100"/>
          <w:position w:val="0"/>
        </w:rPr>
        <w:t>个别财务报表</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 xml:space="preserve">对处置的股权，其账面价值与实际取得价款之间的差额，计入当期损益。对于剩余股权, 对被投资单位仍具有重大影响或者与其他方一起实施共同控制的，转为权益法核算；不能再 对被投资单位实施控制、共同控制或重大影响的，确认为金融资产，按照《企业会计准则第 </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号一一金融工具确认和计量》的相关规定进行核算。</w:t>
      </w:r>
    </w:p>
    <w:p>
      <w:pPr>
        <w:pStyle w:val="Style111"/>
        <w:keepNext w:val="0"/>
        <w:keepLines w:val="0"/>
        <w:widowControl w:val="0"/>
        <w:numPr>
          <w:ilvl w:val="0"/>
          <w:numId w:val="41"/>
        </w:numPr>
        <w:shd w:val="clear" w:color="auto" w:fill="auto"/>
        <w:tabs>
          <w:tab w:pos="817" w:val="left"/>
        </w:tabs>
        <w:bidi w:val="0"/>
        <w:spacing w:before="0" w:after="0" w:line="435" w:lineRule="exact"/>
        <w:ind w:left="0" w:right="0"/>
        <w:jc w:val="both"/>
      </w:pPr>
      <w:bookmarkStart w:id="241" w:name="bookmark241"/>
      <w:bookmarkEnd w:id="241"/>
      <w:r>
        <w:rPr>
          <w:color w:val="000000"/>
          <w:spacing w:val="0"/>
          <w:w w:val="100"/>
          <w:position w:val="0"/>
        </w:rPr>
        <w:t>合并财务报表</w:t>
      </w:r>
    </w:p>
    <w:p>
      <w:pPr>
        <w:pStyle w:val="Style111"/>
        <w:keepNext w:val="0"/>
        <w:keepLines w:val="0"/>
        <w:widowControl w:val="0"/>
        <w:shd w:val="clear" w:color="auto" w:fill="auto"/>
        <w:bidi w:val="0"/>
        <w:spacing w:before="0" w:after="0" w:line="435"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)通过多次交易分步处置对子公司投资至丧失控制权，且不属于“一揽子交易”的</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在丧失控制权之前，处置价款与处置长期股权投资相对应享有子公司自购买日或合并日 开始持续计算的净资产份额之间的差额，调整资本公积(资本溢价)，资本溢价不足冲减的， 冲减留存收益。</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时转为当期投资收益。</w:t>
      </w:r>
    </w:p>
    <w:p>
      <w:pPr>
        <w:pStyle w:val="Style111"/>
        <w:keepNext w:val="0"/>
        <w:keepLines w:val="0"/>
        <w:widowControl w:val="0"/>
        <w:shd w:val="clear" w:color="auto" w:fill="auto"/>
        <w:bidi w:val="0"/>
        <w:spacing w:before="0" w:after="0" w:line="435"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）通过多次交易分步处置对子公司投资至丧失控制权，且属于“一揽子交易”的</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将各项交易作为一项处置子公司并丧失控制权的交易进行会计处理。但是，在丧失控制 权之前每一次处置价款与处置投资对应的享有该子公司净资产份额的差额，在合并财务报表 中确认为其他综合收益，在丧失控制权时一并转入丧失控制权当期的损益。</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（十三）投资性房地产</w:t>
      </w:r>
    </w:p>
    <w:p>
      <w:pPr>
        <w:pStyle w:val="Style111"/>
        <w:keepNext w:val="0"/>
        <w:keepLines w:val="0"/>
        <w:widowControl w:val="0"/>
        <w:numPr>
          <w:ilvl w:val="0"/>
          <w:numId w:val="43"/>
        </w:numPr>
        <w:shd w:val="clear" w:color="auto" w:fill="auto"/>
        <w:tabs>
          <w:tab w:pos="733" w:val="left"/>
        </w:tabs>
        <w:bidi w:val="0"/>
        <w:spacing w:before="0" w:after="0" w:line="435" w:lineRule="exact"/>
        <w:ind w:left="0" w:right="0"/>
        <w:jc w:val="both"/>
      </w:pPr>
      <w:bookmarkStart w:id="242" w:name="bookmark242"/>
      <w:bookmarkEnd w:id="242"/>
      <w:r>
        <w:rPr>
          <w:color w:val="000000"/>
          <w:spacing w:val="0"/>
          <w:w w:val="100"/>
          <w:position w:val="0"/>
        </w:rPr>
        <w:t>投资性房地产包括已出租的土地使用权、持有并准备增值后转让的土地使用权、已 出租的建筑物和经公司董事会等类似权力机构书面决议其持有意图将用于经营出租且短期 内不再发生变化的空置建筑物。</w:t>
      </w:r>
    </w:p>
    <w:p>
      <w:pPr>
        <w:pStyle w:val="Style111"/>
        <w:keepNext w:val="0"/>
        <w:keepLines w:val="0"/>
        <w:widowControl w:val="0"/>
        <w:numPr>
          <w:ilvl w:val="0"/>
          <w:numId w:val="43"/>
        </w:numPr>
        <w:shd w:val="clear" w:color="auto" w:fill="auto"/>
        <w:tabs>
          <w:tab w:pos="742" w:val="left"/>
        </w:tabs>
        <w:bidi w:val="0"/>
        <w:spacing w:before="0" w:after="0" w:line="435" w:lineRule="exact"/>
        <w:ind w:left="0" w:right="0"/>
        <w:jc w:val="both"/>
      </w:pPr>
      <w:bookmarkStart w:id="243" w:name="bookmark243"/>
      <w:bookmarkEnd w:id="243"/>
      <w:r>
        <w:rPr>
          <w:color w:val="000000"/>
          <w:spacing w:val="0"/>
          <w:w w:val="100"/>
          <w:position w:val="0"/>
        </w:rPr>
        <w:t>投资性房地产按照成本进行初始计量，采用成本模式进行后续计量，并采用与固定 资产和无形资产相同的方法计提折旧或进行摊销。</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（十四）固定资产</w:t>
      </w:r>
    </w:p>
    <w:p>
      <w:pPr>
        <w:pStyle w:val="Style111"/>
        <w:keepNext w:val="0"/>
        <w:keepLines w:val="0"/>
        <w:widowControl w:val="0"/>
        <w:numPr>
          <w:ilvl w:val="0"/>
          <w:numId w:val="45"/>
        </w:numPr>
        <w:shd w:val="clear" w:color="auto" w:fill="auto"/>
        <w:bidi w:val="0"/>
        <w:spacing w:before="0" w:after="0" w:line="435" w:lineRule="exact"/>
        <w:ind w:left="0" w:right="0"/>
        <w:jc w:val="both"/>
      </w:pPr>
      <w:bookmarkStart w:id="244" w:name="bookmark244"/>
      <w:bookmarkEnd w:id="244"/>
      <w:r>
        <w:rPr>
          <w:color w:val="000000"/>
          <w:spacing w:val="0"/>
          <w:w w:val="100"/>
          <w:position w:val="0"/>
        </w:rPr>
        <w:t>固定资产确认条件</w:t>
      </w:r>
    </w:p>
    <w:p>
      <w:pPr>
        <w:pStyle w:val="Style111"/>
        <w:keepNext w:val="0"/>
        <w:keepLines w:val="0"/>
        <w:widowControl w:val="0"/>
        <w:shd w:val="clear" w:color="auto" w:fill="auto"/>
        <w:bidi w:val="0"/>
        <w:spacing w:before="0" w:after="160" w:line="435" w:lineRule="exact"/>
        <w:ind w:left="0" w:right="0"/>
        <w:jc w:val="both"/>
      </w:pPr>
      <w:r>
        <w:rPr>
          <w:color w:val="000000"/>
          <w:spacing w:val="0"/>
          <w:w w:val="100"/>
          <w:position w:val="0"/>
        </w:rPr>
        <w:t>固定资产是指为生产商品、提供劳务、出租或经营管理而持有的，使用年限超过一个会 计年度的有形资产。固定资产在同时满足经济利益很可能流入、成本能够可靠计量时予以确 认。</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各类固定资产的折旧方法</w:t>
      </w:r>
    </w:p>
    <w:tbl>
      <w:tblPr>
        <w:tblOverlap w:val="never"/>
        <w:jc w:val="center"/>
        <w:tblLayout w:type="fixed"/>
      </w:tblPr>
      <w:tblGrid>
        <w:gridCol w:w="2021"/>
        <w:gridCol w:w="1608"/>
        <w:gridCol w:w="1488"/>
        <w:gridCol w:w="1483"/>
        <w:gridCol w:w="1517"/>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年折旧率（%）</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bl>
    <w:p>
      <w:pPr>
        <w:widowControl w:val="0"/>
        <w:spacing w:after="99" w:line="1" w:lineRule="exact"/>
      </w:pPr>
    </w:p>
    <w:p>
      <w:pPr>
        <w:pStyle w:val="Style111"/>
        <w:keepNext w:val="0"/>
        <w:keepLines w:val="0"/>
        <w:widowControl w:val="0"/>
        <w:shd w:val="clear" w:color="auto" w:fill="auto"/>
        <w:bidi w:val="0"/>
        <w:spacing w:before="0" w:after="160" w:line="240" w:lineRule="auto"/>
        <w:ind w:left="0" w:right="0"/>
        <w:jc w:val="both"/>
      </w:pPr>
      <w:r>
        <w:rPr>
          <w:color w:val="000000"/>
          <w:spacing w:val="0"/>
          <w:w w:val="100"/>
          <w:position w:val="0"/>
        </w:rPr>
        <w:t>（十五）在建工程</w:t>
      </w:r>
    </w:p>
    <w:p>
      <w:pPr>
        <w:pStyle w:val="Style111"/>
        <w:keepNext w:val="0"/>
        <w:keepLines w:val="0"/>
        <w:widowControl w:val="0"/>
        <w:numPr>
          <w:ilvl w:val="0"/>
          <w:numId w:val="47"/>
        </w:numPr>
        <w:shd w:val="clear" w:color="auto" w:fill="auto"/>
        <w:bidi w:val="0"/>
        <w:spacing w:before="0" w:after="0" w:line="240" w:lineRule="auto"/>
        <w:ind w:left="0" w:right="0"/>
        <w:jc w:val="both"/>
      </w:pPr>
      <w:bookmarkStart w:id="245" w:name="bookmark245"/>
      <w:bookmarkEnd w:id="245"/>
      <w:r>
        <w:rPr>
          <w:color w:val="000000"/>
          <w:spacing w:val="0"/>
          <w:w w:val="100"/>
          <w:position w:val="0"/>
        </w:rPr>
        <w:t>在建工程同时满足经济利益很可能流入、成本能够可靠计量则予以确认。在建工程</w:t>
      </w:r>
    </w:p>
    <w:p>
      <w:pPr>
        <w:pStyle w:val="Style111"/>
        <w:keepNext w:val="0"/>
        <w:keepLines w:val="0"/>
        <w:widowControl w:val="0"/>
        <w:shd w:val="clear" w:color="auto" w:fill="auto"/>
        <w:bidi w:val="0"/>
        <w:spacing w:before="0" w:after="0" w:line="427" w:lineRule="exact"/>
        <w:ind w:left="0" w:right="0" w:firstLine="0"/>
        <w:jc w:val="left"/>
      </w:pPr>
      <w:r>
        <w:rPr>
          <w:color w:val="000000"/>
          <w:spacing w:val="0"/>
          <w:w w:val="100"/>
          <w:position w:val="0"/>
        </w:rPr>
        <w:t>按建造该项资产达到预定可使用状态前所发生的实际成本计量。</w:t>
      </w:r>
    </w:p>
    <w:p>
      <w:pPr>
        <w:pStyle w:val="Style111"/>
        <w:keepNext w:val="0"/>
        <w:keepLines w:val="0"/>
        <w:widowControl w:val="0"/>
        <w:numPr>
          <w:ilvl w:val="0"/>
          <w:numId w:val="47"/>
        </w:numPr>
        <w:shd w:val="clear" w:color="auto" w:fill="auto"/>
        <w:bidi w:val="0"/>
        <w:spacing w:before="0" w:after="0" w:line="427" w:lineRule="exact"/>
        <w:ind w:left="0" w:right="0"/>
        <w:jc w:val="both"/>
      </w:pPr>
      <w:bookmarkStart w:id="246" w:name="bookmark246"/>
      <w:bookmarkEnd w:id="246"/>
      <w:r>
        <w:rPr>
          <w:color w:val="000000"/>
          <w:spacing w:val="0"/>
          <w:w w:val="100"/>
          <w:position w:val="0"/>
        </w:rPr>
        <w:t>在建工程达到预定可使用状态时，按工程实际成本转入固定资产。已达到预定可使 用状态但尚未办理竣工决算的，先按估计价值转入固定资产，待办理竣工决算后再按实际成 本调整原暂估价值，但不再调整原己计提的折旧。</w:t>
      </w:r>
    </w:p>
    <w:p>
      <w:pPr>
        <w:pStyle w:val="Style111"/>
        <w:keepNext w:val="0"/>
        <w:keepLines w:val="0"/>
        <w:widowControl w:val="0"/>
        <w:shd w:val="clear" w:color="auto" w:fill="auto"/>
        <w:bidi w:val="0"/>
        <w:spacing w:before="0" w:after="160" w:line="432" w:lineRule="exact"/>
        <w:ind w:left="0" w:right="0"/>
        <w:jc w:val="both"/>
      </w:pPr>
      <w:r>
        <w:rPr>
          <w:color w:val="000000"/>
          <w:spacing w:val="0"/>
          <w:w w:val="100"/>
          <w:position w:val="0"/>
        </w:rPr>
        <w:t>（十六）借款费用</w:t>
      </w:r>
    </w:p>
    <w:p>
      <w:pPr>
        <w:pStyle w:val="Style111"/>
        <w:keepNext w:val="0"/>
        <w:keepLines w:val="0"/>
        <w:widowControl w:val="0"/>
        <w:numPr>
          <w:ilvl w:val="0"/>
          <w:numId w:val="49"/>
        </w:numPr>
        <w:shd w:val="clear" w:color="auto" w:fill="auto"/>
        <w:bidi w:val="0"/>
        <w:spacing w:before="0" w:after="0" w:line="451" w:lineRule="auto"/>
        <w:ind w:left="0" w:right="0"/>
        <w:jc w:val="both"/>
      </w:pPr>
      <w:bookmarkStart w:id="247" w:name="bookmark247"/>
      <w:bookmarkEnd w:id="247"/>
      <w:r>
        <w:rPr>
          <w:color w:val="000000"/>
          <w:spacing w:val="0"/>
          <w:w w:val="100"/>
          <w:position w:val="0"/>
        </w:rPr>
        <w:t>借款费用资本化的确认原则</w:t>
      </w:r>
    </w:p>
    <w:p>
      <w:pPr>
        <w:pStyle w:val="Style111"/>
        <w:keepNext w:val="0"/>
        <w:keepLines w:val="0"/>
        <w:widowControl w:val="0"/>
        <w:shd w:val="clear" w:color="auto" w:fill="auto"/>
        <w:bidi w:val="0"/>
        <w:spacing w:before="0" w:after="0" w:line="432" w:lineRule="exact"/>
        <w:ind w:left="0" w:right="0"/>
        <w:jc w:val="both"/>
      </w:pPr>
      <w:r>
        <w:rPr>
          <w:color w:val="000000"/>
          <w:spacing w:val="0"/>
          <w:w w:val="100"/>
          <w:position w:val="0"/>
        </w:rPr>
        <w:t>公司发生的借款费用，可直接归属于符合资本化条件的资产的购建或者生产的，予以资 本化，计入相关资产成本；其他借款费用，在发生时确认为费用，计入当期损益。</w:t>
      </w:r>
    </w:p>
    <w:p>
      <w:pPr>
        <w:pStyle w:val="Style111"/>
        <w:keepNext w:val="0"/>
        <w:keepLines w:val="0"/>
        <w:widowControl w:val="0"/>
        <w:numPr>
          <w:ilvl w:val="0"/>
          <w:numId w:val="49"/>
        </w:numPr>
        <w:shd w:val="clear" w:color="auto" w:fill="auto"/>
        <w:tabs>
          <w:tab w:pos="790" w:val="left"/>
        </w:tabs>
        <w:bidi w:val="0"/>
        <w:spacing w:before="0" w:after="0" w:line="439" w:lineRule="exact"/>
        <w:ind w:left="0" w:right="0"/>
        <w:jc w:val="both"/>
      </w:pPr>
      <w:bookmarkStart w:id="248" w:name="bookmark248"/>
      <w:bookmarkEnd w:id="248"/>
      <w:r>
        <w:rPr>
          <w:color w:val="000000"/>
          <w:spacing w:val="0"/>
          <w:w w:val="100"/>
          <w:position w:val="0"/>
        </w:rPr>
        <w:t>借款费用资本化期间</w:t>
      </w:r>
    </w:p>
    <w:p>
      <w:pPr>
        <w:pStyle w:val="Style111"/>
        <w:keepNext w:val="0"/>
        <w:keepLines w:val="0"/>
        <w:widowControl w:val="0"/>
        <w:shd w:val="clear" w:color="auto" w:fill="auto"/>
        <w:tabs>
          <w:tab w:pos="850" w:val="left"/>
        </w:tabs>
        <w:bidi w:val="0"/>
        <w:spacing w:before="0" w:after="0" w:line="439"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 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 始。</w:t>
      </w:r>
    </w:p>
    <w:p>
      <w:pPr>
        <w:pStyle w:val="Style111"/>
        <w:keepNext w:val="0"/>
        <w:keepLines w:val="0"/>
        <w:widowControl w:val="0"/>
        <w:shd w:val="clear" w:color="auto" w:fill="auto"/>
        <w:tabs>
          <w:tab w:pos="850" w:val="left"/>
        </w:tabs>
        <w:bidi w:val="0"/>
        <w:spacing w:before="0" w:after="0" w:line="439"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2</w:t>
      </w:r>
      <w:r>
        <w:rPr>
          <w:color w:val="000000"/>
          <w:spacing w:val="0"/>
          <w:w w:val="100"/>
          <w:position w:val="0"/>
        </w:rPr>
        <w:t>）</w:t>
        <w:tab/>
        <w:t>若符合资本化条件的资产在购建或者生产过程中发生非正常中断，并且中断时间连 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 产的购建或者生产活动重新开始。</w:t>
      </w:r>
    </w:p>
    <w:p>
      <w:pPr>
        <w:pStyle w:val="Style111"/>
        <w:keepNext w:val="0"/>
        <w:keepLines w:val="0"/>
        <w:widowControl w:val="0"/>
        <w:shd w:val="clear" w:color="auto" w:fill="auto"/>
        <w:tabs>
          <w:tab w:pos="850" w:val="left"/>
        </w:tabs>
        <w:bidi w:val="0"/>
        <w:spacing w:before="0" w:after="0" w:line="439" w:lineRule="exact"/>
        <w:ind w:left="0" w:right="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3</w:t>
      </w:r>
      <w:r>
        <w:rPr>
          <w:color w:val="000000"/>
          <w:spacing w:val="0"/>
          <w:w w:val="100"/>
          <w:position w:val="0"/>
        </w:rPr>
        <w:t>）</w:t>
        <w:tab/>
        <w:t>当所购建或者生产符合资本化条件的资产达到预定可使用或可销售状态时，借款费 用停止资本化。</w:t>
      </w:r>
    </w:p>
    <w:p>
      <w:pPr>
        <w:pStyle w:val="Style111"/>
        <w:keepNext w:val="0"/>
        <w:keepLines w:val="0"/>
        <w:widowControl w:val="0"/>
        <w:numPr>
          <w:ilvl w:val="0"/>
          <w:numId w:val="49"/>
        </w:numPr>
        <w:shd w:val="clear" w:color="auto" w:fill="auto"/>
        <w:tabs>
          <w:tab w:pos="790" w:val="left"/>
        </w:tabs>
        <w:bidi w:val="0"/>
        <w:spacing w:before="0" w:after="0" w:line="439" w:lineRule="exact"/>
        <w:ind w:left="0" w:right="0"/>
        <w:jc w:val="both"/>
      </w:pPr>
      <w:bookmarkStart w:id="252" w:name="bookmark252"/>
      <w:bookmarkEnd w:id="252"/>
      <w:r>
        <w:rPr>
          <w:color w:val="000000"/>
          <w:spacing w:val="0"/>
          <w:w w:val="100"/>
          <w:position w:val="0"/>
        </w:rPr>
        <w:t>借款费用资本化率以及资本化金额</w:t>
      </w:r>
    </w:p>
    <w:p>
      <w:pPr>
        <w:pStyle w:val="Style111"/>
        <w:keepNext w:val="0"/>
        <w:keepLines w:val="0"/>
        <w:widowControl w:val="0"/>
        <w:shd w:val="clear" w:color="auto" w:fill="auto"/>
        <w:bidi w:val="0"/>
        <w:spacing w:before="0" w:after="0" w:line="439" w:lineRule="exact"/>
        <w:ind w:left="0" w:right="0"/>
        <w:jc w:val="both"/>
      </w:pPr>
      <w:r>
        <w:rPr>
          <w:color w:val="000000"/>
          <w:spacing w:val="0"/>
          <w:w w:val="100"/>
          <w:position w:val="0"/>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111"/>
        <w:keepNext w:val="0"/>
        <w:keepLines w:val="0"/>
        <w:widowControl w:val="0"/>
        <w:shd w:val="clear" w:color="auto" w:fill="auto"/>
        <w:bidi w:val="0"/>
        <w:spacing w:before="0" w:after="0" w:line="439" w:lineRule="exact"/>
        <w:ind w:left="0" w:right="0"/>
        <w:jc w:val="both"/>
      </w:pPr>
      <w:r>
        <w:rPr>
          <w:color w:val="000000"/>
          <w:spacing w:val="0"/>
          <w:w w:val="100"/>
          <w:position w:val="0"/>
        </w:rPr>
        <w:t>（十七）无形资产</w:t>
      </w:r>
    </w:p>
    <w:p>
      <w:pPr>
        <w:pStyle w:val="Style111"/>
        <w:keepNext w:val="0"/>
        <w:keepLines w:val="0"/>
        <w:widowControl w:val="0"/>
        <w:numPr>
          <w:ilvl w:val="0"/>
          <w:numId w:val="51"/>
        </w:numPr>
        <w:shd w:val="clear" w:color="auto" w:fill="auto"/>
        <w:tabs>
          <w:tab w:pos="790" w:val="left"/>
        </w:tabs>
        <w:bidi w:val="0"/>
        <w:spacing w:before="0" w:after="0" w:line="439" w:lineRule="exact"/>
        <w:ind w:left="0" w:right="0"/>
        <w:jc w:val="both"/>
      </w:pPr>
      <w:bookmarkStart w:id="253" w:name="bookmark253"/>
      <w:bookmarkEnd w:id="253"/>
      <w:r>
        <w:rPr>
          <w:color w:val="000000"/>
          <w:spacing w:val="0"/>
          <w:w w:val="100"/>
          <w:position w:val="0"/>
        </w:rPr>
        <w:t>无形资产包括土地使用权、专利权及非专利技术等，按成本进行初始计量。</w:t>
      </w:r>
    </w:p>
    <w:p>
      <w:pPr>
        <w:pStyle w:val="Style111"/>
        <w:keepNext w:val="0"/>
        <w:keepLines w:val="0"/>
        <w:widowControl w:val="0"/>
        <w:numPr>
          <w:ilvl w:val="0"/>
          <w:numId w:val="51"/>
        </w:numPr>
        <w:shd w:val="clear" w:color="auto" w:fill="auto"/>
        <w:tabs>
          <w:tab w:pos="790" w:val="left"/>
        </w:tabs>
        <w:bidi w:val="0"/>
        <w:spacing w:before="0" w:after="80" w:line="439" w:lineRule="exact"/>
        <w:ind w:left="0" w:right="0"/>
        <w:jc w:val="both"/>
      </w:pPr>
      <w:bookmarkStart w:id="254" w:name="bookmark254"/>
      <w:bookmarkEnd w:id="254"/>
      <w:r>
        <w:rPr>
          <w:color w:val="000000"/>
          <w:spacing w:val="0"/>
          <w:w w:val="100"/>
          <w:position w:val="0"/>
        </w:rPr>
        <w:t>使用寿命有限的无形资产，在使用寿命内按照与该项无形资产有关的经济利益的预 期实现方式系统合理地摊销，无法可靠确定预期实现方式的，采用直线法摊销。具体年限如 下：</w:t>
      </w:r>
    </w:p>
    <w:tbl>
      <w:tblPr>
        <w:tblOverlap w:val="never"/>
        <w:jc w:val="left"/>
        <w:tblLayout w:type="fixed"/>
      </w:tblPr>
      <w:tblGrid>
        <w:gridCol w:w="2189"/>
        <w:gridCol w:w="2194"/>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专利权及专有技术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品牌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排污权初始使用费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bl>
    <w:p>
      <w:pPr>
        <w:pStyle w:val="Style111"/>
        <w:keepNext w:val="0"/>
        <w:keepLines w:val="0"/>
        <w:widowControl w:val="0"/>
        <w:numPr>
          <w:ilvl w:val="0"/>
          <w:numId w:val="51"/>
        </w:numPr>
        <w:shd w:val="clear" w:color="auto" w:fill="auto"/>
        <w:bidi w:val="0"/>
        <w:spacing w:before="0" w:after="0"/>
        <w:ind w:left="0" w:right="0"/>
        <w:jc w:val="both"/>
      </w:pPr>
      <w:bookmarkStart w:id="255" w:name="bookmark255"/>
      <w:bookmarkEnd w:id="255"/>
      <w:r>
        <w:rPr>
          <w:color w:val="000000"/>
          <w:spacing w:val="0"/>
          <w:w w:val="100"/>
          <w:position w:val="0"/>
        </w:rPr>
        <w:t>内部研究开发项目研究阶段的支出，于发生时计入当期损益。内部研究开发项目开 发阶段的支出，同时满足下列条件的，确认为无形资产：（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 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 xml:space="preserve">）无形资 产产生经济利益的方式，包括能够证明运用该无形资产生产的产品存在市场或无形资产自身 </w:t>
      </w:r>
      <w:r>
        <w:rPr>
          <w:color w:val="000000"/>
          <w:spacing w:val="0"/>
          <w:w w:val="100"/>
          <w:position w:val="0"/>
        </w:rPr>
        <w:t>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 他资源支持，以完成该无形资产的开发，并有能力使用或出售该无形资产；（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 形资产开发阶段的支出能够可靠地计量。</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（十八）部分长期资产减值</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对长期股权投资、采用成本模式计量的投资性房地产、固定资产、在建工程、使用寿命 有限的无形资产等长期资产，在资产负债表日有迹象表明发生减值的，估计其可收回金额。 对因企业合并所形成的商誉和使用寿命不确定的无形资产，无论是否存在减值迹象，每年都 进行减值测试。商誉结合与其相关的资产组或者资产组组合进行减值测试。</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若上述长期资产的可收回金额低于其账面价值的，按其差额确认资产减值准备并计入当 期损益。</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（十九）长期待摊费用</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 费用按实际发生额入账，在受益期或规定的期限内分期平均摊销。如果长期待摊的费用项目 不能使以后会计期间受益则将尚未摊销的该项目的摊余价值全部转入当期损益。</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（二十）职工薪酬</w:t>
      </w:r>
    </w:p>
    <w:p>
      <w:pPr>
        <w:pStyle w:val="Style111"/>
        <w:keepNext w:val="0"/>
        <w:keepLines w:val="0"/>
        <w:widowControl w:val="0"/>
        <w:numPr>
          <w:ilvl w:val="0"/>
          <w:numId w:val="53"/>
        </w:numPr>
        <w:shd w:val="clear" w:color="auto" w:fill="auto"/>
        <w:tabs>
          <w:tab w:pos="767" w:val="left"/>
        </w:tabs>
        <w:bidi w:val="0"/>
        <w:spacing w:before="0" w:after="160" w:line="437" w:lineRule="exact"/>
        <w:ind w:left="0" w:right="0"/>
        <w:jc w:val="both"/>
      </w:pPr>
      <w:bookmarkStart w:id="256" w:name="bookmark256"/>
      <w:bookmarkEnd w:id="256"/>
      <w:r>
        <w:rPr>
          <w:color w:val="000000"/>
          <w:spacing w:val="0"/>
          <w:w w:val="100"/>
          <w:position w:val="0"/>
        </w:rPr>
        <w:t>职工薪酬包括短期薪酬、离职后福利、辞退福利和其他长期职工福利。</w:t>
      </w:r>
    </w:p>
    <w:p>
      <w:pPr>
        <w:pStyle w:val="Style111"/>
        <w:keepNext w:val="0"/>
        <w:keepLines w:val="0"/>
        <w:widowControl w:val="0"/>
        <w:numPr>
          <w:ilvl w:val="0"/>
          <w:numId w:val="53"/>
        </w:numPr>
        <w:shd w:val="clear" w:color="auto" w:fill="auto"/>
        <w:tabs>
          <w:tab w:pos="774" w:val="left"/>
        </w:tabs>
        <w:bidi w:val="0"/>
        <w:spacing w:before="0" w:after="0" w:line="456" w:lineRule="auto"/>
        <w:ind w:left="0" w:right="0"/>
        <w:jc w:val="both"/>
      </w:pPr>
      <w:bookmarkStart w:id="257" w:name="bookmark257"/>
      <w:bookmarkEnd w:id="257"/>
      <w:r>
        <w:rPr>
          <w:color w:val="000000"/>
          <w:spacing w:val="0"/>
          <w:w w:val="100"/>
          <w:position w:val="0"/>
        </w:rPr>
        <w:t>短期薪酬的会计处理方法</w:t>
      </w:r>
    </w:p>
    <w:p>
      <w:pPr>
        <w:pStyle w:val="Style111"/>
        <w:keepNext w:val="0"/>
        <w:keepLines w:val="0"/>
        <w:widowControl w:val="0"/>
        <w:shd w:val="clear" w:color="auto" w:fill="auto"/>
        <w:bidi w:val="0"/>
        <w:spacing w:before="0" w:after="160" w:line="437" w:lineRule="exact"/>
        <w:ind w:left="0" w:right="0"/>
        <w:jc w:val="both"/>
      </w:pPr>
      <w:r>
        <w:rPr>
          <w:color w:val="000000"/>
          <w:spacing w:val="0"/>
          <w:w w:val="100"/>
          <w:position w:val="0"/>
        </w:rPr>
        <w:t>在职工为公司提供服务的会计期间，将实际发生的短期薪酬确认为负债，并计入当期损 益或相关资产成本。</w:t>
      </w:r>
    </w:p>
    <w:p>
      <w:pPr>
        <w:pStyle w:val="Style111"/>
        <w:keepNext w:val="0"/>
        <w:keepLines w:val="0"/>
        <w:widowControl w:val="0"/>
        <w:numPr>
          <w:ilvl w:val="0"/>
          <w:numId w:val="53"/>
        </w:numPr>
        <w:shd w:val="clear" w:color="auto" w:fill="auto"/>
        <w:tabs>
          <w:tab w:pos="774" w:val="left"/>
        </w:tabs>
        <w:bidi w:val="0"/>
        <w:spacing w:before="0" w:after="0" w:line="456" w:lineRule="auto"/>
        <w:ind w:left="0" w:right="0"/>
        <w:jc w:val="both"/>
      </w:pPr>
      <w:bookmarkStart w:id="258" w:name="bookmark258"/>
      <w:bookmarkEnd w:id="258"/>
      <w:r>
        <w:rPr>
          <w:color w:val="000000"/>
          <w:spacing w:val="0"/>
          <w:w w:val="100"/>
          <w:position w:val="0"/>
        </w:rPr>
        <w:t>离职后福利的会计处理方法</w:t>
      </w:r>
    </w:p>
    <w:p>
      <w:pPr>
        <w:pStyle w:val="Style111"/>
        <w:keepNext w:val="0"/>
        <w:keepLines w:val="0"/>
        <w:widowControl w:val="0"/>
        <w:shd w:val="clear" w:color="auto" w:fill="auto"/>
        <w:bidi w:val="0"/>
        <w:spacing w:before="0" w:after="0" w:line="437" w:lineRule="exact"/>
        <w:ind w:left="0" w:right="0"/>
        <w:jc w:val="both"/>
      </w:pPr>
      <w:r>
        <w:rPr>
          <w:color w:val="000000"/>
          <w:spacing w:val="0"/>
          <w:w w:val="100"/>
          <w:position w:val="0"/>
        </w:rPr>
        <w:t>离职后福利分为设定提存计划和设定受益计划。</w:t>
      </w:r>
    </w:p>
    <w:p>
      <w:pPr>
        <w:pStyle w:val="Style111"/>
        <w:keepNext w:val="0"/>
        <w:keepLines w:val="0"/>
        <w:widowControl w:val="0"/>
        <w:shd w:val="clear" w:color="auto" w:fill="auto"/>
        <w:tabs>
          <w:tab w:pos="882" w:val="left"/>
        </w:tabs>
        <w:bidi w:val="0"/>
        <w:spacing w:before="0" w:after="0" w:line="437" w:lineRule="exact"/>
        <w:ind w:left="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w:t>
        <w:tab/>
        <w:t>在职工为公司提供服务的会计期间，根据设定提存计划计算的应缴存金额确认为负 债，并计入当期损益或相关资产成本。</w:t>
      </w:r>
    </w:p>
    <w:p>
      <w:pPr>
        <w:pStyle w:val="Style111"/>
        <w:keepNext w:val="0"/>
        <w:keepLines w:val="0"/>
        <w:widowControl w:val="0"/>
        <w:shd w:val="clear" w:color="auto" w:fill="auto"/>
        <w:tabs>
          <w:tab w:pos="866" w:val="left"/>
        </w:tabs>
        <w:bidi w:val="0"/>
        <w:spacing w:before="0" w:after="0" w:line="437" w:lineRule="exact"/>
        <w:ind w:left="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对设定受益计划的会计处理通常包括下列步骤：</w:t>
      </w:r>
    </w:p>
    <w:p>
      <w:pPr>
        <w:pStyle w:val="Style111"/>
        <w:keepNext w:val="0"/>
        <w:keepLines w:val="0"/>
        <w:widowControl w:val="0"/>
        <w:shd w:val="clear" w:color="auto" w:fill="auto"/>
        <w:tabs>
          <w:tab w:pos="776" w:val="left"/>
        </w:tabs>
        <w:bidi w:val="0"/>
        <w:spacing w:before="0" w:after="0" w:line="437" w:lineRule="exact"/>
        <w:ind w:left="0" w:right="0"/>
        <w:jc w:val="both"/>
      </w:pPr>
      <w:bookmarkStart w:id="261" w:name="bookmark261"/>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根据预期累计福利单位法，采用无偏且相互一致的精算假设对有关人口统计变量和 财务变量等作出估计，计量设定受益计划所产生的义务，并确定相关义务的所属期间。同时， 对设定受益计划所产生的义务予以折现，以确定设定受益计划义务的现值和当期服务成本；</w:t>
      </w:r>
    </w:p>
    <w:p>
      <w:pPr>
        <w:pStyle w:val="Style111"/>
        <w:keepNext w:val="0"/>
        <w:keepLines w:val="0"/>
        <w:widowControl w:val="0"/>
        <w:shd w:val="clear" w:color="auto" w:fill="auto"/>
        <w:tabs>
          <w:tab w:pos="776" w:val="left"/>
        </w:tabs>
        <w:bidi w:val="0"/>
        <w:spacing w:before="0" w:after="0" w:line="437" w:lineRule="exact"/>
        <w:ind w:left="0" w:right="0"/>
        <w:jc w:val="both"/>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设定受益计划存在资产的，将设定受益计划义务现值减去设定受益计划资产公允价 值所形成的赤字或盈余确认为一项设定受益计划净负债或净资产。设定受益计划存在盈余 的，以设定受益计划的盈余和资产上限两项的孰低者计量设定受益计划净资产；</w:t>
      </w:r>
    </w:p>
    <w:p>
      <w:pPr>
        <w:pStyle w:val="Style111"/>
        <w:keepNext w:val="0"/>
        <w:keepLines w:val="0"/>
        <w:widowControl w:val="0"/>
        <w:shd w:val="clear" w:color="auto" w:fill="auto"/>
        <w:tabs>
          <w:tab w:pos="771" w:val="left"/>
        </w:tabs>
        <w:bidi w:val="0"/>
        <w:spacing w:before="0" w:after="180" w:line="437" w:lineRule="exact"/>
        <w:ind w:left="0" w:right="0"/>
        <w:jc w:val="both"/>
      </w:pPr>
      <w:bookmarkStart w:id="263" w:name="bookmark263"/>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 xml:space="preserve">期末，将设定受益计划产生的职工薪酬成本确认为服务成本、设定受益计划净负债 或净资产的利息净额以及重新计量设定受益计划净负债或净资产所产生的变动等三部分，其 </w:t>
      </w:r>
      <w:r>
        <w:rPr>
          <w:color w:val="000000"/>
          <w:spacing w:val="0"/>
          <w:w w:val="100"/>
          <w:position w:val="0"/>
        </w:rPr>
        <w:t>中服务成本和设定受益计划净负债或净资产的利息净额计入当期损益或相关资产成本，重新 计量设定受益计划净负债或净资产所产生的变动计入其他综合收益，并且在后续会计期间不 允许转回至损益，但可以在权益范围内转移这些在其他综合收益确认的金额。</w:t>
      </w:r>
    </w:p>
    <w:p>
      <w:pPr>
        <w:pStyle w:val="Style111"/>
        <w:keepNext w:val="0"/>
        <w:keepLines w:val="0"/>
        <w:widowControl w:val="0"/>
        <w:numPr>
          <w:ilvl w:val="0"/>
          <w:numId w:val="53"/>
        </w:numPr>
        <w:shd w:val="clear" w:color="auto" w:fill="auto"/>
        <w:tabs>
          <w:tab w:pos="774" w:val="left"/>
        </w:tabs>
        <w:bidi w:val="0"/>
        <w:spacing w:before="0" w:after="0" w:line="454" w:lineRule="auto"/>
        <w:ind w:left="0" w:right="0"/>
        <w:jc w:val="left"/>
      </w:pPr>
      <w:bookmarkStart w:id="264" w:name="bookmark264"/>
      <w:bookmarkEnd w:id="264"/>
      <w:r>
        <w:rPr>
          <w:color w:val="000000"/>
          <w:spacing w:val="0"/>
          <w:w w:val="100"/>
          <w:position w:val="0"/>
        </w:rPr>
        <w:t>辞退福利的会计处理方法</w:t>
      </w:r>
    </w:p>
    <w:p>
      <w:pPr>
        <w:pStyle w:val="Style111"/>
        <w:keepNext w:val="0"/>
        <w:keepLines w:val="0"/>
        <w:widowControl w:val="0"/>
        <w:shd w:val="clear" w:color="auto" w:fill="auto"/>
        <w:bidi w:val="0"/>
        <w:spacing w:before="0" w:after="0" w:line="434" w:lineRule="exact"/>
        <w:ind w:left="0" w:right="0"/>
        <w:jc w:val="both"/>
      </w:pPr>
      <w:r>
        <w:rPr>
          <w:color w:val="000000"/>
          <w:spacing w:val="0"/>
          <w:w w:val="100"/>
          <w:position w:val="0"/>
          <w:shd w:val="clear" w:color="auto" w:fill="FFFFFF"/>
        </w:rPr>
        <w:t>向职工提供的辞退福利，在下列两者孰早日确认辞退福利产生的职工薪酬负债，并计入 当期损益：（</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）公司不能单方面撤回因解除劳动关系计划或裁减建议所提供的辞退福利时；</w:t>
      </w:r>
    </w:p>
    <w:p>
      <w:pPr>
        <w:pStyle w:val="Style111"/>
        <w:keepNext w:val="0"/>
        <w:keepLines w:val="0"/>
        <w:widowControl w:val="0"/>
        <w:shd w:val="clear" w:color="auto" w:fill="auto"/>
        <w:bidi w:val="0"/>
        <w:spacing w:before="0" w:after="180" w:line="434" w:lineRule="exact"/>
        <w:ind w:left="0" w:right="0" w:firstLine="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）公司确认与涉及支付辞退福利的重组相关的成本或费用时。</w:t>
      </w:r>
    </w:p>
    <w:p>
      <w:pPr>
        <w:pStyle w:val="Style111"/>
        <w:keepNext w:val="0"/>
        <w:keepLines w:val="0"/>
        <w:widowControl w:val="0"/>
        <w:numPr>
          <w:ilvl w:val="0"/>
          <w:numId w:val="53"/>
        </w:numPr>
        <w:shd w:val="clear" w:color="auto" w:fill="auto"/>
        <w:tabs>
          <w:tab w:pos="774" w:val="left"/>
        </w:tabs>
        <w:bidi w:val="0"/>
        <w:spacing w:before="0" w:after="0" w:line="454" w:lineRule="auto"/>
        <w:ind w:left="0" w:right="0"/>
        <w:jc w:val="left"/>
      </w:pPr>
      <w:bookmarkStart w:id="266" w:name="bookmark266"/>
      <w:bookmarkEnd w:id="266"/>
      <w:r>
        <w:rPr>
          <w:color w:val="000000"/>
          <w:spacing w:val="0"/>
          <w:w w:val="100"/>
          <w:position w:val="0"/>
        </w:rPr>
        <w:t>其他长期职工福利的会计处理方法</w:t>
      </w:r>
    </w:p>
    <w:p>
      <w:pPr>
        <w:pStyle w:val="Style111"/>
        <w:keepNext w:val="0"/>
        <w:keepLines w:val="0"/>
        <w:widowControl w:val="0"/>
        <w:shd w:val="clear" w:color="auto" w:fill="auto"/>
        <w:bidi w:val="0"/>
        <w:spacing w:before="0" w:after="0" w:line="434" w:lineRule="exact"/>
        <w:ind w:left="0" w:right="0"/>
        <w:jc w:val="both"/>
      </w:pPr>
      <w:r>
        <w:rPr>
          <w:color w:val="000000"/>
          <w:spacing w:val="0"/>
          <w:w w:val="100"/>
          <w:position w:val="0"/>
        </w:rPr>
        <w:t>向职工提供的其他长期福利，符合设定提存计划条件的，按照设定提存计划的有关规定 进行会计处理；除此之外的其他长期福利，按照设定受益计划的有关规定进行会计处理，为 简化相关会计处理，将其产生的职工薪酬成本确认为服务成本、其他长期职工福利净负债或 净资产的利息净额以及重新计量其他长期职工福利净负债或净资产所产生的变动等组成项 目的总净额计入当期损益或相关资产成本。</w:t>
      </w:r>
    </w:p>
    <w:p>
      <w:pPr>
        <w:pStyle w:val="Style111"/>
        <w:keepNext w:val="0"/>
        <w:keepLines w:val="0"/>
        <w:widowControl w:val="0"/>
        <w:shd w:val="clear" w:color="auto" w:fill="auto"/>
        <w:bidi w:val="0"/>
        <w:spacing w:before="0" w:after="0" w:line="434" w:lineRule="exact"/>
        <w:ind w:left="0" w:right="0"/>
        <w:jc w:val="both"/>
      </w:pPr>
      <w:r>
        <w:rPr>
          <w:color w:val="000000"/>
          <w:spacing w:val="0"/>
          <w:w w:val="100"/>
          <w:position w:val="0"/>
        </w:rPr>
        <w:t>（二十一）预计负债</w:t>
      </w:r>
    </w:p>
    <w:p>
      <w:pPr>
        <w:pStyle w:val="Style111"/>
        <w:keepNext w:val="0"/>
        <w:keepLines w:val="0"/>
        <w:widowControl w:val="0"/>
        <w:numPr>
          <w:ilvl w:val="0"/>
          <w:numId w:val="55"/>
        </w:numPr>
        <w:shd w:val="clear" w:color="auto" w:fill="auto"/>
        <w:tabs>
          <w:tab w:pos="748" w:val="left"/>
        </w:tabs>
        <w:bidi w:val="0"/>
        <w:spacing w:before="0" w:after="0" w:line="434" w:lineRule="exact"/>
        <w:ind w:left="0" w:right="0"/>
        <w:jc w:val="both"/>
      </w:pPr>
      <w:bookmarkStart w:id="267" w:name="bookmark267"/>
      <w:bookmarkEnd w:id="267"/>
      <w:r>
        <w:rPr>
          <w:color w:val="000000"/>
          <w:spacing w:val="0"/>
          <w:w w:val="100"/>
          <w:position w:val="0"/>
        </w:rPr>
        <w:t>因对外提供担保、诉讼事项、产品质量保证、亏损合同等或有事项形成的义务成为 公司承担的现时义务，履行该义务很可能导致经济利益流出公司，且该义务的金额能够可靠 的计量时，公司将该项义务确认为预计负债。</w:t>
      </w:r>
    </w:p>
    <w:p>
      <w:pPr>
        <w:pStyle w:val="Style111"/>
        <w:keepNext w:val="0"/>
        <w:keepLines w:val="0"/>
        <w:widowControl w:val="0"/>
        <w:numPr>
          <w:ilvl w:val="0"/>
          <w:numId w:val="55"/>
        </w:numPr>
        <w:shd w:val="clear" w:color="auto" w:fill="auto"/>
        <w:tabs>
          <w:tab w:pos="748" w:val="left"/>
        </w:tabs>
        <w:bidi w:val="0"/>
        <w:spacing w:before="0" w:after="0" w:line="434" w:lineRule="exact"/>
        <w:ind w:left="0" w:right="0"/>
        <w:jc w:val="both"/>
      </w:pPr>
      <w:bookmarkStart w:id="268" w:name="bookmark268"/>
      <w:bookmarkEnd w:id="268"/>
      <w:r>
        <w:rPr>
          <w:color w:val="000000"/>
          <w:spacing w:val="0"/>
          <w:w w:val="100"/>
          <w:position w:val="0"/>
        </w:rPr>
        <w:t>公司按照履行相关现时义务所需支出的最佳估计数对预计负债进行初始计量，并在 资产负债表日对预计负债的账面价值进行复核。</w:t>
      </w:r>
    </w:p>
    <w:p>
      <w:pPr>
        <w:pStyle w:val="Style111"/>
        <w:keepNext w:val="0"/>
        <w:keepLines w:val="0"/>
        <w:widowControl w:val="0"/>
        <w:shd w:val="clear" w:color="auto" w:fill="auto"/>
        <w:bidi w:val="0"/>
        <w:spacing w:before="0" w:after="180" w:line="434" w:lineRule="exact"/>
        <w:ind w:left="0" w:right="0"/>
        <w:jc w:val="both"/>
      </w:pPr>
      <w:r>
        <w:rPr>
          <w:color w:val="000000"/>
          <w:spacing w:val="0"/>
          <w:w w:val="100"/>
          <w:position w:val="0"/>
        </w:rPr>
        <w:t>（二十二）股份支付</w:t>
      </w:r>
    </w:p>
    <w:p>
      <w:pPr>
        <w:pStyle w:val="Style111"/>
        <w:keepNext w:val="0"/>
        <w:keepLines w:val="0"/>
        <w:widowControl w:val="0"/>
        <w:numPr>
          <w:ilvl w:val="0"/>
          <w:numId w:val="57"/>
        </w:numPr>
        <w:shd w:val="clear" w:color="auto" w:fill="auto"/>
        <w:tabs>
          <w:tab w:pos="755" w:val="left"/>
        </w:tabs>
        <w:bidi w:val="0"/>
        <w:spacing w:before="0" w:after="0" w:line="454" w:lineRule="auto"/>
        <w:ind w:left="0" w:right="0"/>
        <w:jc w:val="both"/>
      </w:pPr>
      <w:bookmarkStart w:id="269" w:name="bookmark269"/>
      <w:bookmarkEnd w:id="269"/>
      <w:r>
        <w:rPr>
          <w:color w:val="000000"/>
          <w:spacing w:val="0"/>
          <w:w w:val="100"/>
          <w:position w:val="0"/>
        </w:rPr>
        <w:t>股份支付的种类</w:t>
      </w:r>
    </w:p>
    <w:p>
      <w:pPr>
        <w:pStyle w:val="Style111"/>
        <w:keepNext w:val="0"/>
        <w:keepLines w:val="0"/>
        <w:widowControl w:val="0"/>
        <w:shd w:val="clear" w:color="auto" w:fill="auto"/>
        <w:bidi w:val="0"/>
        <w:spacing w:before="0" w:after="180" w:line="434" w:lineRule="exact"/>
        <w:ind w:left="0" w:right="0"/>
        <w:jc w:val="left"/>
      </w:pPr>
      <w:r>
        <w:rPr>
          <w:color w:val="000000"/>
          <w:spacing w:val="0"/>
          <w:w w:val="100"/>
          <w:position w:val="0"/>
        </w:rPr>
        <w:t>包括以权益结算的股份支付和以现金结算的股份支付。</w:t>
      </w:r>
    </w:p>
    <w:p>
      <w:pPr>
        <w:pStyle w:val="Style111"/>
        <w:keepNext w:val="0"/>
        <w:keepLines w:val="0"/>
        <w:widowControl w:val="0"/>
        <w:numPr>
          <w:ilvl w:val="0"/>
          <w:numId w:val="57"/>
        </w:numPr>
        <w:shd w:val="clear" w:color="auto" w:fill="auto"/>
        <w:tabs>
          <w:tab w:pos="774" w:val="left"/>
        </w:tabs>
        <w:bidi w:val="0"/>
        <w:spacing w:before="0" w:after="0" w:line="454" w:lineRule="auto"/>
        <w:ind w:left="0" w:right="0"/>
        <w:jc w:val="left"/>
      </w:pPr>
      <w:bookmarkStart w:id="270" w:name="bookmark270"/>
      <w:bookmarkEnd w:id="270"/>
      <w:r>
        <w:rPr>
          <w:color w:val="000000"/>
          <w:spacing w:val="0"/>
          <w:w w:val="100"/>
          <w:position w:val="0"/>
        </w:rPr>
        <w:t>实施、修改、终止股份支付计划的相关会计处理</w:t>
      </w:r>
    </w:p>
    <w:p>
      <w:pPr>
        <w:pStyle w:val="Style111"/>
        <w:keepNext w:val="0"/>
        <w:keepLines w:val="0"/>
        <w:widowControl w:val="0"/>
        <w:shd w:val="clear" w:color="auto" w:fill="auto"/>
        <w:bidi w:val="0"/>
        <w:spacing w:before="0" w:after="0" w:line="43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以权益结算的股份支付</w:t>
      </w:r>
    </w:p>
    <w:p>
      <w:pPr>
        <w:pStyle w:val="Style111"/>
        <w:keepNext w:val="0"/>
        <w:keepLines w:val="0"/>
        <w:widowControl w:val="0"/>
        <w:shd w:val="clear" w:color="auto" w:fill="auto"/>
        <w:bidi w:val="0"/>
        <w:spacing w:before="0" w:after="0" w:line="434" w:lineRule="exact"/>
        <w:ind w:left="0" w:right="0"/>
        <w:jc w:val="both"/>
      </w:pPr>
      <w:r>
        <w:rPr>
          <w:color w:val="000000"/>
          <w:spacing w:val="0"/>
          <w:w w:val="100"/>
          <w:position w:val="0"/>
        </w:rPr>
        <w:t>授予后立即可行权的换取职工服务的以权益结算的股份支付，在授予日按照权益工具的 公允价值计入相关成本或费用，相应调整资本公积。完成等待期内的服务或达到规定业绩条 件才可行权的换取职工服务的以权益结算的股份支付，在等待期内的每个资产负债表日，以 对可行权权益工具数量的最佳估计为基础，按权益工具授予日的公允价值，将当期取得的服 务计入相关成本或费用，相应调整资本公积。</w:t>
      </w:r>
    </w:p>
    <w:p>
      <w:pPr>
        <w:pStyle w:val="Style111"/>
        <w:keepNext w:val="0"/>
        <w:keepLines w:val="0"/>
        <w:widowControl w:val="0"/>
        <w:shd w:val="clear" w:color="auto" w:fill="auto"/>
        <w:bidi w:val="0"/>
        <w:spacing w:before="0" w:after="0" w:line="434" w:lineRule="exact"/>
        <w:ind w:left="0" w:right="0"/>
        <w:jc w:val="both"/>
      </w:pPr>
      <w:r>
        <w:rPr>
          <w:color w:val="000000"/>
          <w:spacing w:val="0"/>
          <w:w w:val="100"/>
          <w:position w:val="0"/>
        </w:rPr>
        <w:t xml:space="preserve">换取其他方服务的权益结算的股份支付，如果其他方服务的公允价值能够可靠计量的， 按照其他方服务在取得日的公允价值计量；如果其他方服务的公允价值不能可靠计量，但权 益工具的公允价值能够可靠计量的，按照权益工具在服务取得日的公允价值计量，计入相关 </w:t>
      </w:r>
      <w:r>
        <w:rPr>
          <w:color w:val="000000"/>
          <w:spacing w:val="0"/>
          <w:w w:val="100"/>
          <w:position w:val="0"/>
        </w:rPr>
        <w:t>成本或费用，相应增加所有者权益。</w:t>
      </w:r>
    </w:p>
    <w:p>
      <w:pPr>
        <w:pStyle w:val="Style111"/>
        <w:keepNext w:val="0"/>
        <w:keepLines w:val="0"/>
        <w:widowControl w:val="0"/>
        <w:shd w:val="clear" w:color="auto" w:fill="auto"/>
        <w:tabs>
          <w:tab w:pos="834" w:val="left"/>
        </w:tabs>
        <w:bidi w:val="0"/>
        <w:spacing w:before="0" w:after="0" w:line="435"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2</w:t>
      </w:r>
      <w:r>
        <w:rPr>
          <w:color w:val="000000"/>
          <w:spacing w:val="0"/>
          <w:w w:val="100"/>
          <w:position w:val="0"/>
        </w:rPr>
        <w:t>）</w:t>
        <w:tab/>
        <w:t>以现金结算的股份支付</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授予后立即可行权的换取职工服务的以现金结算的股份支付，在授予日按公司承担负债 的公允价值计入相关成本或费用，相应增加负债。完成等待期内的服务或达到规定业绩条件 才可行权的换取职工服务的以现金结算的股份支付，在等待期内的每个资产负债表日，以对 可行权情况的最佳估计为基础，按公司承担负债的公允价值，将当期取得的服务计入相关成 本或费用和相应的负债。</w:t>
      </w:r>
    </w:p>
    <w:p>
      <w:pPr>
        <w:pStyle w:val="Style111"/>
        <w:keepNext w:val="0"/>
        <w:keepLines w:val="0"/>
        <w:widowControl w:val="0"/>
        <w:shd w:val="clear" w:color="auto" w:fill="auto"/>
        <w:tabs>
          <w:tab w:pos="834" w:val="left"/>
        </w:tabs>
        <w:bidi w:val="0"/>
        <w:spacing w:before="0" w:after="0" w:line="435"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3</w:t>
      </w:r>
      <w:r>
        <w:rPr>
          <w:color w:val="000000"/>
          <w:spacing w:val="0"/>
          <w:w w:val="100"/>
          <w:position w:val="0"/>
        </w:rPr>
        <w:t>）</w:t>
        <w:tab/>
        <w:t>修改、终止股份支付计划</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如果修改增加了所授予的权益工具的公允价值，公司按照权益工具公允价值的增加相应 地确认取得服务的增加；如果修改增加了所授予的权益工具的数量，公司将增加的权益工具 的公允价值相应地确认为取得服务的增加；如果公司按照有利于职工的方式修改可行权条 件，公司在处理可行权条件时，考虑修改后的可行权条件。</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如果公司在等待期内取消了所授予的权益工具或结算了所授予的权益工具（因未满足可 行权条件而被取消的除外），则将取消或结算作为加速可行权处理，立即确认原本在剩余等 待期内确认的金额。</w:t>
      </w:r>
    </w:p>
    <w:p>
      <w:pPr>
        <w:pStyle w:val="Style111"/>
        <w:keepNext w:val="0"/>
        <w:keepLines w:val="0"/>
        <w:widowControl w:val="0"/>
        <w:shd w:val="clear" w:color="auto" w:fill="auto"/>
        <w:bidi w:val="0"/>
        <w:spacing w:before="0" w:after="160" w:line="435" w:lineRule="exact"/>
        <w:ind w:left="0" w:right="0"/>
        <w:jc w:val="both"/>
      </w:pPr>
      <w:r>
        <w:rPr>
          <w:color w:val="000000"/>
          <w:spacing w:val="0"/>
          <w:w w:val="100"/>
          <w:position w:val="0"/>
        </w:rPr>
        <w:t>（二十三）收入</w:t>
      </w:r>
    </w:p>
    <w:p>
      <w:pPr>
        <w:pStyle w:val="Style111"/>
        <w:keepNext w:val="0"/>
        <w:keepLines w:val="0"/>
        <w:widowControl w:val="0"/>
        <w:numPr>
          <w:ilvl w:val="0"/>
          <w:numId w:val="59"/>
        </w:numPr>
        <w:shd w:val="clear" w:color="auto" w:fill="auto"/>
        <w:bidi w:val="0"/>
        <w:spacing w:before="0" w:after="0" w:line="454" w:lineRule="auto"/>
        <w:ind w:left="0" w:right="0"/>
        <w:jc w:val="both"/>
      </w:pPr>
      <w:bookmarkStart w:id="273" w:name="bookmark273"/>
      <w:bookmarkEnd w:id="273"/>
      <w:r>
        <w:rPr>
          <w:color w:val="000000"/>
          <w:spacing w:val="0"/>
          <w:w w:val="100"/>
          <w:position w:val="0"/>
        </w:rPr>
        <w:t>收入确认原则</w:t>
      </w:r>
    </w:p>
    <w:p>
      <w:pPr>
        <w:pStyle w:val="Style111"/>
        <w:keepNext w:val="0"/>
        <w:keepLines w:val="0"/>
        <w:widowControl w:val="0"/>
        <w:shd w:val="clear" w:color="auto" w:fill="auto"/>
        <w:tabs>
          <w:tab w:pos="834" w:val="left"/>
        </w:tabs>
        <w:bidi w:val="0"/>
        <w:spacing w:before="0" w:after="0" w:line="435" w:lineRule="exact"/>
        <w:ind w:left="0" w:right="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 转移给购货方；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 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 关的已发生或将发生的成本能够可靠地计量。</w:t>
      </w:r>
    </w:p>
    <w:p>
      <w:pPr>
        <w:pStyle w:val="Style111"/>
        <w:keepNext w:val="0"/>
        <w:keepLines w:val="0"/>
        <w:widowControl w:val="0"/>
        <w:shd w:val="clear" w:color="auto" w:fill="auto"/>
        <w:tabs>
          <w:tab w:pos="834" w:val="left"/>
        </w:tabs>
        <w:bidi w:val="0"/>
        <w:spacing w:before="0" w:after="0" w:line="435" w:lineRule="exact"/>
        <w:ind w:left="0" w:right="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2</w:t>
      </w:r>
      <w:r>
        <w:rPr>
          <w:color w:val="000000"/>
          <w:spacing w:val="0"/>
          <w:w w:val="100"/>
          <w:position w:val="0"/>
        </w:rPr>
        <w:t>）</w:t>
        <w:tab/>
        <w:t>提供劳务</w:t>
      </w:r>
    </w:p>
    <w:p>
      <w:pPr>
        <w:pStyle w:val="Style111"/>
        <w:keepNext w:val="0"/>
        <w:keepLines w:val="0"/>
        <w:widowControl w:val="0"/>
        <w:shd w:val="clear" w:color="auto" w:fill="auto"/>
        <w:bidi w:val="0"/>
        <w:spacing w:before="0" w:after="0" w:line="435" w:lineRule="exact"/>
        <w:ind w:left="0" w:right="0"/>
        <w:jc w:val="both"/>
      </w:pPr>
      <w:r>
        <w:rPr>
          <w:color w:val="000000"/>
          <w:spacing w:val="0"/>
          <w:w w:val="100"/>
          <w:position w:val="0"/>
        </w:rPr>
        <w:t xml:space="preserve">提供劳务交易的结果在资产负债表日能够可靠估计的（同时满足收入的金额能够可靠地 计量、相关经济利益很可能流入、交易的完工进度能够可靠地确定、交易中已发生和将发生 的成本能够可靠地计量），采用完工百分比法确认提供劳务的收入，并按已经提供劳务占应 提供劳务总量的比例确定提供劳务交易的完工进度。提供劳务交易的结果在资产负债表日不 能够可靠估计的，若已经发生的劳务成本预计能够得到补偿，按已经发生的劳务成本金额确 </w:t>
      </w:r>
      <w:r>
        <w:rPr>
          <w:color w:val="000000"/>
          <w:spacing w:val="0"/>
          <w:w w:val="100"/>
          <w:position w:val="0"/>
        </w:rPr>
        <w:t>认提供劳务收入，并按相同金额结转劳务成本;若已经发生的劳务成本预计不能够得到补偿, 将已经发生的劳务成本计入当期损益，不确认劳务收入。</w:t>
      </w:r>
    </w:p>
    <w:p>
      <w:pPr>
        <w:pStyle w:val="Style111"/>
        <w:keepNext w:val="0"/>
        <w:keepLines w:val="0"/>
        <w:widowControl w:val="0"/>
        <w:shd w:val="clear" w:color="auto" w:fill="auto"/>
        <w:bidi w:val="0"/>
        <w:spacing w:before="0" w:after="0"/>
        <w:ind w:left="0" w:right="0" w:firstLine="64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3</w:t>
      </w:r>
      <w:r>
        <w:rPr>
          <w:color w:val="000000"/>
          <w:spacing w:val="0"/>
          <w:w w:val="100"/>
          <w:position w:val="0"/>
        </w:rPr>
        <w:t>）让渡资产使用权</w:t>
      </w:r>
    </w:p>
    <w:p>
      <w:pPr>
        <w:pStyle w:val="Style111"/>
        <w:keepNext w:val="0"/>
        <w:keepLines w:val="0"/>
        <w:widowControl w:val="0"/>
        <w:shd w:val="clear" w:color="auto" w:fill="auto"/>
        <w:bidi w:val="0"/>
        <w:spacing w:before="0" w:after="180"/>
        <w:ind w:left="0" w:right="0" w:firstLine="540"/>
        <w:jc w:val="both"/>
      </w:pPr>
      <w:r>
        <w:rPr>
          <w:color w:val="000000"/>
          <w:spacing w:val="0"/>
          <w:w w:val="100"/>
          <w:position w:val="0"/>
        </w:rPr>
        <w:t>让渡资产使用权在同时满足相关的经济利益很可能流入、收入金额能够可靠计量时，确 认让渡资产使用权的收入。利息收入按照他人使用本公司货币资金的时间和实际利率计算确 定；使用费收入按有关合同或协议约定的收费时间和方法计算确定。</w:t>
      </w:r>
    </w:p>
    <w:p>
      <w:pPr>
        <w:pStyle w:val="Style111"/>
        <w:keepNext w:val="0"/>
        <w:keepLines w:val="0"/>
        <w:widowControl w:val="0"/>
        <w:numPr>
          <w:ilvl w:val="0"/>
          <w:numId w:val="59"/>
        </w:numPr>
        <w:shd w:val="clear" w:color="auto" w:fill="auto"/>
        <w:bidi w:val="0"/>
        <w:spacing w:before="0" w:after="0" w:line="454" w:lineRule="auto"/>
        <w:ind w:left="0" w:right="0" w:firstLine="540"/>
        <w:jc w:val="both"/>
      </w:pPr>
      <w:bookmarkStart w:id="277" w:name="bookmark277"/>
      <w:bookmarkEnd w:id="277"/>
      <w:r>
        <w:rPr>
          <w:color w:val="000000"/>
          <w:spacing w:val="0"/>
          <w:w w:val="100"/>
          <w:position w:val="0"/>
        </w:rPr>
        <w:t>收入确认的具体方法</w:t>
      </w:r>
    </w:p>
    <w:p>
      <w:pPr>
        <w:pStyle w:val="Style111"/>
        <w:keepNext w:val="0"/>
        <w:keepLines w:val="0"/>
        <w:widowControl w:val="0"/>
        <w:shd w:val="clear" w:color="auto" w:fill="auto"/>
        <w:tabs>
          <w:tab w:pos="882" w:val="left"/>
        </w:tabs>
        <w:bidi w:val="0"/>
        <w:spacing w:before="0" w:after="0"/>
        <w:ind w:left="0" w:right="0" w:firstLine="54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1</w:t>
      </w:r>
      <w:r>
        <w:rPr>
          <w:color w:val="000000"/>
          <w:spacing w:val="0"/>
          <w:w w:val="100"/>
          <w:position w:val="0"/>
        </w:rPr>
        <w:t>）</w:t>
        <w:tab/>
        <w:t>内销产品收入确认需满足以下条件：公司已根据合同约定将产品或相关服务交付给 对方，且销售收入金额已确定，已经收回货款（相关服务费）或取得了收款凭证且相关的经 济利益很可能流入，产品（服务）相关的成本能够可靠地计量。</w:t>
      </w:r>
    </w:p>
    <w:p>
      <w:pPr>
        <w:pStyle w:val="Style111"/>
        <w:keepNext w:val="0"/>
        <w:keepLines w:val="0"/>
        <w:widowControl w:val="0"/>
        <w:shd w:val="clear" w:color="auto" w:fill="auto"/>
        <w:tabs>
          <w:tab w:pos="882" w:val="left"/>
        </w:tabs>
        <w:bidi w:val="0"/>
        <w:spacing w:before="0" w:after="0"/>
        <w:ind w:left="0" w:right="0" w:firstLine="54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2</w:t>
      </w:r>
      <w:r>
        <w:rPr>
          <w:color w:val="000000"/>
          <w:spacing w:val="0"/>
          <w:w w:val="100"/>
          <w:position w:val="0"/>
        </w:rPr>
        <w:t>）</w:t>
        <w:tab/>
        <w:t>外销产品收入确认需满足以下条件：公司已根据合同约定将产品报关、离港，取得 提单，且产品销售收入金额已确定，已经收回货款或取得了收款凭证且相关的经济利益很可 能流入，产品相关的成本能够可靠地计量。</w:t>
      </w:r>
    </w:p>
    <w:p>
      <w:pPr>
        <w:pStyle w:val="Style111"/>
        <w:keepNext w:val="0"/>
        <w:keepLines w:val="0"/>
        <w:widowControl w:val="0"/>
        <w:shd w:val="clear" w:color="auto" w:fill="auto"/>
        <w:tabs>
          <w:tab w:pos="882" w:val="left"/>
        </w:tabs>
        <w:bidi w:val="0"/>
        <w:spacing w:before="0" w:after="0"/>
        <w:ind w:left="0" w:right="0" w:firstLine="5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3</w:t>
      </w:r>
      <w:r>
        <w:rPr>
          <w:color w:val="000000"/>
          <w:spacing w:val="0"/>
          <w:w w:val="100"/>
          <w:position w:val="0"/>
        </w:rPr>
        <w:t>）</w:t>
        <w:tab/>
        <w:t>公路港运营相关的服务和租赁收入、公路港配套设施合作开发与服务收入（包括运 输总包、仓储等不动产租赁、物流增值服务等）在服务已经提供，且已实际收到有关合作开 发和服务款项时，确认收入。</w:t>
      </w:r>
    </w:p>
    <w:p>
      <w:pPr>
        <w:pStyle w:val="Style111"/>
        <w:keepNext w:val="0"/>
        <w:keepLines w:val="0"/>
        <w:widowControl w:val="0"/>
        <w:shd w:val="clear" w:color="auto" w:fill="auto"/>
        <w:tabs>
          <w:tab w:pos="966" w:val="left"/>
        </w:tabs>
        <w:bidi w:val="0"/>
        <w:spacing w:before="0" w:after="0"/>
        <w:ind w:left="0" w:right="0" w:firstLine="540"/>
        <w:jc w:val="left"/>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4</w:t>
      </w:r>
      <w:r>
        <w:rPr>
          <w:color w:val="000000"/>
          <w:spacing w:val="0"/>
          <w:w w:val="100"/>
          <w:position w:val="0"/>
        </w:rPr>
        <w:t>）</w:t>
        <w:tab/>
        <w:t>保理业务收入，按客户使用本公司货币资金的服务期间分期确认收入。</w:t>
      </w:r>
    </w:p>
    <w:p>
      <w:pPr>
        <w:pStyle w:val="Style111"/>
        <w:keepNext w:val="0"/>
        <w:keepLines w:val="0"/>
        <w:widowControl w:val="0"/>
        <w:shd w:val="clear" w:color="auto" w:fill="auto"/>
        <w:bidi w:val="0"/>
        <w:spacing w:before="0" w:after="180"/>
        <w:ind w:left="0" w:right="0" w:firstLine="540"/>
        <w:jc w:val="both"/>
      </w:pPr>
      <w:r>
        <w:rPr>
          <w:color w:val="000000"/>
          <w:spacing w:val="0"/>
          <w:w w:val="100"/>
          <w:position w:val="0"/>
        </w:rPr>
        <w:t>（二十四）政府补助</w:t>
      </w:r>
    </w:p>
    <w:p>
      <w:pPr>
        <w:pStyle w:val="Style111"/>
        <w:keepNext w:val="0"/>
        <w:keepLines w:val="0"/>
        <w:widowControl w:val="0"/>
        <w:numPr>
          <w:ilvl w:val="0"/>
          <w:numId w:val="61"/>
        </w:numPr>
        <w:shd w:val="clear" w:color="auto" w:fill="auto"/>
        <w:tabs>
          <w:tab w:pos="855" w:val="left"/>
        </w:tabs>
        <w:bidi w:val="0"/>
        <w:spacing w:before="0" w:after="0" w:line="454" w:lineRule="auto"/>
        <w:ind w:left="0" w:right="0" w:firstLine="540"/>
        <w:jc w:val="left"/>
      </w:pPr>
      <w:bookmarkStart w:id="282" w:name="bookmark282"/>
      <w:bookmarkEnd w:id="282"/>
      <w:r>
        <w:rPr>
          <w:color w:val="000000"/>
          <w:spacing w:val="0"/>
          <w:w w:val="100"/>
          <w:position w:val="0"/>
        </w:rPr>
        <w:t>与资产相关的政府补助判断依据及会计处理方法</w:t>
      </w:r>
    </w:p>
    <w:p>
      <w:pPr>
        <w:pStyle w:val="Style111"/>
        <w:keepNext w:val="0"/>
        <w:keepLines w:val="0"/>
        <w:widowControl w:val="0"/>
        <w:shd w:val="clear" w:color="auto" w:fill="auto"/>
        <w:bidi w:val="0"/>
        <w:spacing w:before="0" w:after="180"/>
        <w:ind w:left="0" w:right="0" w:firstLine="540"/>
        <w:jc w:val="both"/>
      </w:pPr>
      <w:r>
        <w:rPr>
          <w:color w:val="000000"/>
          <w:spacing w:val="0"/>
          <w:w w:val="100"/>
          <w:position w:val="0"/>
        </w:rPr>
        <w:t>公司取得的、用于购建或以其他方式形成长期资产的政府补助划分为与资产相关的政府 补助。与资产相关的政府补助，确认为递延收益，并在相关资产使用寿命内平均分配，计入 当期损益。但是，按照名义金额计量的政府补助，直接计入当期损益。</w:t>
      </w:r>
    </w:p>
    <w:p>
      <w:pPr>
        <w:pStyle w:val="Style111"/>
        <w:keepNext w:val="0"/>
        <w:keepLines w:val="0"/>
        <w:widowControl w:val="0"/>
        <w:numPr>
          <w:ilvl w:val="0"/>
          <w:numId w:val="61"/>
        </w:numPr>
        <w:shd w:val="clear" w:color="auto" w:fill="auto"/>
        <w:tabs>
          <w:tab w:pos="874" w:val="left"/>
        </w:tabs>
        <w:bidi w:val="0"/>
        <w:spacing w:before="0" w:after="0" w:line="454" w:lineRule="auto"/>
        <w:ind w:left="0" w:right="0" w:firstLine="540"/>
        <w:jc w:val="left"/>
      </w:pPr>
      <w:bookmarkStart w:id="283" w:name="bookmark283"/>
      <w:bookmarkEnd w:id="283"/>
      <w:r>
        <w:rPr>
          <w:color w:val="000000"/>
          <w:spacing w:val="0"/>
          <w:w w:val="100"/>
          <w:position w:val="0"/>
        </w:rPr>
        <w:t>与收益相关的政府补助判断依据及会计处理方法</w:t>
      </w:r>
    </w:p>
    <w:p>
      <w:pPr>
        <w:pStyle w:val="Style111"/>
        <w:keepNext w:val="0"/>
        <w:keepLines w:val="0"/>
        <w:widowControl w:val="0"/>
        <w:shd w:val="clear" w:color="auto" w:fill="auto"/>
        <w:bidi w:val="0"/>
        <w:spacing w:before="0" w:after="0"/>
        <w:ind w:left="0" w:right="0" w:firstLine="540"/>
        <w:jc w:val="both"/>
      </w:pPr>
      <w:r>
        <w:rPr>
          <w:color w:val="000000"/>
          <w:spacing w:val="0"/>
          <w:w w:val="100"/>
          <w:position w:val="0"/>
        </w:rPr>
        <w:t>除与资产相关的政府补助之外的政府补助划分为与收益相关的政府补助。与收益相关的 政府补助，用于补偿以后期间的相关费用或损失的，确认为递延收益，在确认相关费用的期 间，计入当期损益；用于补偿已发生的相关费用或损失的，直接计入当期损益。</w:t>
      </w:r>
    </w:p>
    <w:p>
      <w:pPr>
        <w:pStyle w:val="Style111"/>
        <w:keepNext w:val="0"/>
        <w:keepLines w:val="0"/>
        <w:widowControl w:val="0"/>
        <w:shd w:val="clear" w:color="auto" w:fill="auto"/>
        <w:bidi w:val="0"/>
        <w:spacing w:before="0" w:after="0"/>
        <w:ind w:left="0" w:right="0" w:firstLine="540"/>
        <w:jc w:val="left"/>
      </w:pPr>
      <w:r>
        <w:rPr>
          <w:color w:val="000000"/>
          <w:spacing w:val="0"/>
          <w:w w:val="100"/>
          <w:position w:val="0"/>
        </w:rPr>
        <w:t>（二十五）递延所得税资产、递延所得税负债</w:t>
      </w:r>
    </w:p>
    <w:p>
      <w:pPr>
        <w:pStyle w:val="Style111"/>
        <w:keepNext w:val="0"/>
        <w:keepLines w:val="0"/>
        <w:widowControl w:val="0"/>
        <w:numPr>
          <w:ilvl w:val="0"/>
          <w:numId w:val="63"/>
        </w:numPr>
        <w:shd w:val="clear" w:color="auto" w:fill="auto"/>
        <w:tabs>
          <w:tab w:pos="776" w:val="left"/>
        </w:tabs>
        <w:bidi w:val="0"/>
        <w:spacing w:before="0" w:after="0"/>
        <w:ind w:left="0" w:right="0" w:firstLine="540"/>
        <w:jc w:val="both"/>
      </w:pPr>
      <w:bookmarkStart w:id="284" w:name="bookmark284"/>
      <w:bookmarkEnd w:id="284"/>
      <w:r>
        <w:rPr>
          <w:color w:val="000000"/>
          <w:spacing w:val="0"/>
          <w:w w:val="100"/>
          <w:position w:val="0"/>
        </w:rPr>
        <w:t>根据资产、负债的账面价值与其计税基础之间的差额（未作为资产和负债确认的项 目按照税法规定可以确定其计税基础的，该计税基础与其账面数之间的差额），按照预期收 回该资产或清偿该负债期间的适用税率计算确认递延所得税资产或递延所得税负债。</w:t>
      </w:r>
    </w:p>
    <w:p>
      <w:pPr>
        <w:pStyle w:val="Style111"/>
        <w:keepNext w:val="0"/>
        <w:keepLines w:val="0"/>
        <w:widowControl w:val="0"/>
        <w:numPr>
          <w:ilvl w:val="0"/>
          <w:numId w:val="63"/>
        </w:numPr>
        <w:shd w:val="clear" w:color="auto" w:fill="auto"/>
        <w:tabs>
          <w:tab w:pos="776" w:val="left"/>
        </w:tabs>
        <w:bidi w:val="0"/>
        <w:spacing w:before="0" w:after="0"/>
        <w:ind w:left="0" w:right="0" w:firstLine="540"/>
        <w:jc w:val="both"/>
      </w:pPr>
      <w:bookmarkStart w:id="285" w:name="bookmark285"/>
      <w:bookmarkEnd w:id="285"/>
      <w:r>
        <w:rPr>
          <w:color w:val="000000"/>
          <w:spacing w:val="0"/>
          <w:w w:val="100"/>
          <w:position w:val="0"/>
        </w:rPr>
        <w:t xml:space="preserve">确认递延所得税资产以很可能取得用来抵扣可抵扣暂时性差异的应纳税所得额为 限。资产负债表日，有确凿证据表明未来期间很可能获得足够的应纳税所得额用来抵扣可抵 </w:t>
      </w:r>
      <w:r>
        <w:rPr>
          <w:color w:val="000000"/>
          <w:spacing w:val="0"/>
          <w:w w:val="100"/>
          <w:position w:val="0"/>
        </w:rPr>
        <w:t>扣暂时性差异的，确认以前会计期间未确认的递延所得税资产。</w:t>
      </w:r>
    </w:p>
    <w:p>
      <w:pPr>
        <w:pStyle w:val="Style111"/>
        <w:keepNext w:val="0"/>
        <w:keepLines w:val="0"/>
        <w:widowControl w:val="0"/>
        <w:numPr>
          <w:ilvl w:val="0"/>
          <w:numId w:val="63"/>
        </w:numPr>
        <w:shd w:val="clear" w:color="auto" w:fill="auto"/>
        <w:tabs>
          <w:tab w:pos="892" w:val="left"/>
        </w:tabs>
        <w:bidi w:val="0"/>
        <w:spacing w:before="0" w:after="0" w:line="437" w:lineRule="exact"/>
        <w:ind w:left="140" w:right="0" w:firstLine="420"/>
        <w:jc w:val="both"/>
      </w:pPr>
      <w:bookmarkStart w:id="286" w:name="bookmark286"/>
      <w:bookmarkEnd w:id="286"/>
      <w:r>
        <w:rPr>
          <w:color w:val="000000"/>
          <w:spacing w:val="0"/>
          <w:w w:val="100"/>
          <w:position w:val="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111"/>
        <w:keepNext w:val="0"/>
        <w:keepLines w:val="0"/>
        <w:widowControl w:val="0"/>
        <w:numPr>
          <w:ilvl w:val="0"/>
          <w:numId w:val="63"/>
        </w:numPr>
        <w:shd w:val="clear" w:color="auto" w:fill="auto"/>
        <w:tabs>
          <w:tab w:pos="892" w:val="left"/>
        </w:tabs>
        <w:bidi w:val="0"/>
        <w:spacing w:before="0" w:after="0" w:line="437" w:lineRule="exact"/>
        <w:ind w:left="140" w:right="0" w:firstLine="420"/>
        <w:jc w:val="both"/>
      </w:pPr>
      <w:bookmarkStart w:id="287" w:name="bookmark287"/>
      <w:bookmarkEnd w:id="287"/>
      <w:r>
        <w:rPr>
          <w:color w:val="000000"/>
          <w:spacing w:val="0"/>
          <w:w w:val="100"/>
          <w:position w:val="0"/>
        </w:rPr>
        <w:t>公司当期所得税和递延所得税作为所得税费用或收益计入当期损益，但不包括下列 情况产生的所得税：（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11"/>
        <w:keepNext w:val="0"/>
        <w:keepLines w:val="0"/>
        <w:widowControl w:val="0"/>
        <w:shd w:val="clear" w:color="auto" w:fill="auto"/>
        <w:bidi w:val="0"/>
        <w:spacing w:before="0" w:after="180" w:line="437" w:lineRule="exact"/>
        <w:ind w:left="0" w:right="0" w:firstLine="560"/>
        <w:jc w:val="left"/>
      </w:pPr>
      <w:r>
        <w:rPr>
          <w:color w:val="000000"/>
          <w:spacing w:val="0"/>
          <w:w w:val="100"/>
          <w:position w:val="0"/>
        </w:rPr>
        <w:t>（二十六）租赁</w:t>
      </w:r>
    </w:p>
    <w:p>
      <w:pPr>
        <w:pStyle w:val="Style111"/>
        <w:keepNext w:val="0"/>
        <w:keepLines w:val="0"/>
        <w:widowControl w:val="0"/>
        <w:numPr>
          <w:ilvl w:val="0"/>
          <w:numId w:val="65"/>
        </w:numPr>
        <w:shd w:val="clear" w:color="auto" w:fill="auto"/>
        <w:tabs>
          <w:tab w:pos="876" w:val="left"/>
        </w:tabs>
        <w:bidi w:val="0"/>
        <w:spacing w:before="0" w:after="0" w:line="456" w:lineRule="auto"/>
        <w:ind w:left="0" w:right="0" w:firstLine="560"/>
        <w:jc w:val="left"/>
      </w:pPr>
      <w:bookmarkStart w:id="288" w:name="bookmark288"/>
      <w:bookmarkEnd w:id="288"/>
      <w:r>
        <w:rPr>
          <w:color w:val="000000"/>
          <w:spacing w:val="0"/>
          <w:w w:val="100"/>
          <w:position w:val="0"/>
        </w:rPr>
        <w:t>经营租赁的会计处理方法</w:t>
      </w:r>
    </w:p>
    <w:p>
      <w:pPr>
        <w:pStyle w:val="Style111"/>
        <w:keepNext w:val="0"/>
        <w:keepLines w:val="0"/>
        <w:widowControl w:val="0"/>
        <w:shd w:val="clear" w:color="auto" w:fill="auto"/>
        <w:bidi w:val="0"/>
        <w:spacing w:before="0" w:after="0" w:line="475" w:lineRule="exact"/>
        <w:ind w:left="140" w:right="0" w:firstLine="420"/>
        <w:jc w:val="both"/>
      </w:pPr>
      <w:r>
        <w:rPr>
          <w:color w:val="000000"/>
          <w:spacing w:val="0"/>
          <w:w w:val="100"/>
          <w:position w:val="0"/>
        </w:rPr>
        <w:t>公司为承租人时，在租赁期内各个期间按照直线法将租金计入相关资产成本或确认为当 期损益，发生的初始直接费用，直接计入当期损益。或有租金在实际发生时计入当期损益。</w:t>
      </w:r>
    </w:p>
    <w:p>
      <w:pPr>
        <w:pStyle w:val="Style111"/>
        <w:keepNext w:val="0"/>
        <w:keepLines w:val="0"/>
        <w:widowControl w:val="0"/>
        <w:shd w:val="clear" w:color="auto" w:fill="auto"/>
        <w:bidi w:val="0"/>
        <w:spacing w:before="0" w:after="180" w:line="437" w:lineRule="exact"/>
        <w:ind w:left="140" w:right="0" w:firstLine="420"/>
        <w:jc w:val="both"/>
      </w:pPr>
      <w:r>
        <w:rPr>
          <w:color w:val="000000"/>
          <w:spacing w:val="0"/>
          <w:w w:val="100"/>
          <w:position w:val="0"/>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111"/>
        <w:keepNext w:val="0"/>
        <w:keepLines w:val="0"/>
        <w:widowControl w:val="0"/>
        <w:numPr>
          <w:ilvl w:val="0"/>
          <w:numId w:val="65"/>
        </w:numPr>
        <w:shd w:val="clear" w:color="auto" w:fill="auto"/>
        <w:tabs>
          <w:tab w:pos="894" w:val="left"/>
        </w:tabs>
        <w:bidi w:val="0"/>
        <w:spacing w:before="0" w:after="0" w:line="456" w:lineRule="auto"/>
        <w:ind w:left="0" w:right="0" w:firstLine="560"/>
        <w:jc w:val="both"/>
      </w:pPr>
      <w:bookmarkStart w:id="289" w:name="bookmark289"/>
      <w:bookmarkEnd w:id="289"/>
      <w:r>
        <w:rPr>
          <w:color w:val="000000"/>
          <w:spacing w:val="0"/>
          <w:w w:val="100"/>
          <w:position w:val="0"/>
        </w:rPr>
        <w:t>融资租赁的会计处理方法</w:t>
      </w:r>
    </w:p>
    <w:p>
      <w:pPr>
        <w:pStyle w:val="Style111"/>
        <w:keepNext w:val="0"/>
        <w:keepLines w:val="0"/>
        <w:widowControl w:val="0"/>
        <w:shd w:val="clear" w:color="auto" w:fill="auto"/>
        <w:bidi w:val="0"/>
        <w:spacing w:before="0" w:after="0" w:line="437" w:lineRule="exact"/>
        <w:ind w:left="140" w:right="0" w:firstLine="420"/>
        <w:jc w:val="both"/>
      </w:pPr>
      <w:r>
        <w:rPr>
          <w:color w:val="000000"/>
          <w:spacing w:val="0"/>
          <w:w w:val="100"/>
          <w:position w:val="0"/>
        </w:rPr>
        <w:t>公司为承租人时，在租赁期开始日，公司以租赁开始日租赁资产公允价值与最低租赁付 款额现值中两者较低者作为租入资产的入账价值，将最低租赁付款额作为长期应付款的入账 价值，其差额为未确认融资费用，发生的初始直接费用，计入租赁资产价值。在租赁期各个 期间，采用实际利率法计算确认当期的融资费用。</w:t>
      </w:r>
    </w:p>
    <w:p>
      <w:pPr>
        <w:pStyle w:val="Style111"/>
        <w:keepNext w:val="0"/>
        <w:keepLines w:val="0"/>
        <w:widowControl w:val="0"/>
        <w:shd w:val="clear" w:color="auto" w:fill="auto"/>
        <w:bidi w:val="0"/>
        <w:spacing w:before="0" w:after="620" w:line="437" w:lineRule="exact"/>
        <w:ind w:left="140" w:right="0" w:firstLine="420"/>
        <w:jc w:val="both"/>
      </w:pPr>
      <w:r>
        <w:rPr>
          <w:color w:val="000000"/>
          <w:spacing w:val="0"/>
          <w:w w:val="100"/>
          <w:position w:val="0"/>
        </w:rPr>
        <w:t>公司为出租人时，在租赁期开始日，公司以租赁开始日最低租赁收款额与初始直接费用 之和作为应收融资租赁款的入账价值，同时记录未担保余值；将最低租赁收款额、初始直接 费用及未担保余值之和与其现值之和的差额确认为未实现融资收益。在租赁期各个期间，采 用实际利率法计算确认当期的融资收入。</w:t>
      </w:r>
    </w:p>
    <w:p>
      <w:pPr>
        <w:pStyle w:val="Style6"/>
        <w:keepNext w:val="0"/>
        <w:keepLines w:val="0"/>
        <w:widowControl w:val="0"/>
        <w:shd w:val="clear" w:color="auto" w:fill="auto"/>
        <w:bidi w:val="0"/>
        <w:spacing w:before="0" w:after="180" w:line="240" w:lineRule="auto"/>
        <w:ind w:left="0" w:right="0" w:firstLine="560"/>
        <w:jc w:val="both"/>
        <w:rPr>
          <w:sz w:val="20"/>
          <w:szCs w:val="20"/>
        </w:rPr>
      </w:pPr>
      <w:r>
        <w:rPr>
          <w:rFonts w:ascii="SimHei" w:eastAsia="SimHei" w:hAnsi="SimHei" w:cs="SimHei"/>
          <w:b/>
          <w:bCs/>
          <w:color w:val="000000"/>
          <w:spacing w:val="0"/>
          <w:w w:val="100"/>
          <w:position w:val="0"/>
          <w:sz w:val="20"/>
          <w:szCs w:val="20"/>
        </w:rPr>
        <w:t>四、税项</w:t>
      </w:r>
    </w:p>
    <w:p>
      <w:pPr>
        <w:pStyle w:val="Style111"/>
        <w:keepNext w:val="0"/>
        <w:keepLines w:val="0"/>
        <w:widowControl w:val="0"/>
        <w:shd w:val="clear" w:color="auto" w:fill="auto"/>
        <w:bidi w:val="0"/>
        <w:spacing w:before="0" w:after="80" w:line="240" w:lineRule="auto"/>
        <w:ind w:left="0" w:right="0" w:firstLine="560"/>
        <w:jc w:val="both"/>
      </w:pPr>
      <w:r>
        <w:rPr>
          <w:color w:val="000000"/>
          <w:spacing w:val="0"/>
          <w:w w:val="100"/>
          <w:position w:val="0"/>
        </w:rPr>
        <w:t>（一）主要税种及税率</w:t>
      </w:r>
    </w:p>
    <w:tbl>
      <w:tblPr>
        <w:tblOverlap w:val="never"/>
        <w:jc w:val="center"/>
        <w:tblLayout w:type="fixed"/>
      </w:tblPr>
      <w:tblGrid>
        <w:gridCol w:w="1939"/>
        <w:gridCol w:w="2765"/>
        <w:gridCol w:w="3926"/>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9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销售货物或提供应税劳务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8" w:lineRule="exact"/>
              <w:ind w:left="0" w:right="0" w:firstLine="0"/>
              <w:jc w:val="left"/>
              <w:rPr>
                <w:sz w:val="20"/>
                <w:szCs w:val="20"/>
              </w:rPr>
            </w:pPr>
            <w:r>
              <w:rPr>
                <w:color w:val="000000"/>
                <w:spacing w:val="0"/>
                <w:w w:val="100"/>
                <w:position w:val="0"/>
                <w:sz w:val="20"/>
                <w:szCs w:val="20"/>
              </w:rPr>
              <w:t>停车费收入、交易服务费收入、财务 服务收入按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%的税率计缴；运输总包 业务收入按</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%的税率计缴；水和汽销 售收入按</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 xml:space="preserve">%计缴；传化荷兰公司及其 境外子公司需要缴纳增值税的，按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%不等的税率计缴；其余按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的税率计缴；出口货物享受“免、抵、 退”税收优惠政策，退税率为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应纳税销售额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939"/>
        <w:gridCol w:w="2765"/>
        <w:gridCol w:w="3926"/>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[注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r>
      <w:tr>
        <w:trPr>
          <w:trHeight w:val="11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从价计征的，按房产原值一 次减除</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%后余值的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%计 缴；从租计征的，按租金收 入的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tc>
      </w:tr>
    </w:tbl>
    <w:p>
      <w:pPr>
        <w:pStyle w:val="Style111"/>
        <w:keepNext w:val="0"/>
        <w:keepLines w:val="0"/>
        <w:widowControl w:val="0"/>
        <w:shd w:val="clear" w:color="auto" w:fill="auto"/>
        <w:bidi w:val="0"/>
        <w:spacing w:before="0" w:after="0" w:line="432" w:lineRule="exact"/>
        <w:ind w:left="14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：根据财政部、国家税务总局《关于对电池、涂料征收消费税的通知》（财税</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16 </w:t>
      </w:r>
      <w:r>
        <w:rPr>
          <w:color w:val="000000"/>
          <w:spacing w:val="0"/>
          <w:w w:val="100"/>
          <w:position w:val="0"/>
        </w:rPr>
        <w:t>号文）的规定，子公司浙江传化涂料有限公司（以下简称传化涂料公司）自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日起，按涂料销售收入的</w:t>
      </w:r>
      <w:r>
        <w:rPr>
          <w:rFonts w:ascii="Times New Roman" w:eastAsia="Times New Roman" w:hAnsi="Times New Roman" w:cs="Times New Roman"/>
          <w:color w:val="000000"/>
          <w:spacing w:val="0"/>
          <w:w w:val="100"/>
          <w:position w:val="0"/>
        </w:rPr>
        <w:t>4</w:t>
      </w:r>
      <w:r>
        <w:rPr>
          <w:color w:val="000000"/>
          <w:spacing w:val="0"/>
          <w:w w:val="100"/>
          <w:position w:val="0"/>
        </w:rPr>
        <w:t>%计缴消费税。</w:t>
      </w:r>
    </w:p>
    <w:p>
      <w:pPr>
        <w:pStyle w:val="Style111"/>
        <w:keepNext w:val="0"/>
        <w:keepLines w:val="0"/>
        <w:widowControl w:val="0"/>
        <w:shd w:val="clear" w:color="auto" w:fill="auto"/>
        <w:bidi w:val="0"/>
        <w:spacing w:before="0" w:after="0" w:line="43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：根据财政部、国家税务总局发布的《关于全面推开营业税改征增值税试点的通知》</w:t>
      </w:r>
    </w:p>
    <w:p>
      <w:pPr>
        <w:pStyle w:val="Style111"/>
        <w:keepNext w:val="0"/>
        <w:keepLines w:val="0"/>
        <w:widowControl w:val="0"/>
        <w:shd w:val="clear" w:color="auto" w:fill="auto"/>
        <w:bidi w:val="0"/>
        <w:spacing w:before="0" w:after="200" w:line="437" w:lineRule="exact"/>
        <w:ind w:left="140" w:right="0" w:firstLine="0"/>
        <w:jc w:val="left"/>
      </w:pPr>
      <w:r>
        <w:rPr>
          <w:color w:val="000000"/>
          <w:spacing w:val="0"/>
          <w:w w:val="100"/>
          <w:position w:val="0"/>
        </w:rPr>
        <w:t>（财税</w:t>
      </w:r>
      <w:r>
        <w:rPr>
          <w:rFonts w:ascii="SimHei" w:eastAsia="SimHei" w:hAnsi="SimHei" w:cs="SimHei"/>
          <w:color w:val="000000"/>
          <w:spacing w:val="0"/>
          <w:w w:val="100"/>
          <w:position w:val="0"/>
          <w:sz w:val="18"/>
          <w:szCs w:val="18"/>
        </w:rPr>
        <w:t>〔</w:t>
      </w:r>
      <w:r>
        <w:rPr>
          <w:rFonts w:ascii="Times New Roman" w:eastAsia="Times New Roman" w:hAnsi="Times New Roman" w:cs="Times New Roman"/>
          <w:color w:val="000000"/>
          <w:spacing w:val="0"/>
          <w:w w:val="100"/>
          <w:position w:val="0"/>
        </w:rPr>
        <w:t>2016</w:t>
      </w:r>
      <w:r>
        <w:rPr>
          <w:rFonts w:ascii="SimHei" w:eastAsia="SimHei" w:hAnsi="SimHei" w:cs="SimHei"/>
          <w:color w:val="000000"/>
          <w:spacing w:val="0"/>
          <w:w w:val="100"/>
          <w:position w:val="0"/>
          <w:sz w:val="18"/>
          <w:szCs w:val="18"/>
        </w:rPr>
        <w:t>〕</w:t>
      </w:r>
      <w:r>
        <w:rPr>
          <w:rFonts w:ascii="Times New Roman" w:eastAsia="Times New Roman" w:hAnsi="Times New Roman" w:cs="Times New Roman"/>
          <w:color w:val="000000"/>
          <w:spacing w:val="0"/>
          <w:w w:val="100"/>
          <w:position w:val="0"/>
        </w:rPr>
        <w:t>36</w:t>
      </w:r>
      <w:r>
        <w:rPr>
          <w:color w:val="000000"/>
          <w:spacing w:val="0"/>
          <w:w w:val="100"/>
          <w:position w:val="0"/>
        </w:rPr>
        <w:t>号），公司子公司传化物流集团及其下属子公司的服务收入和让渡资产使 用权收入自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日起由缴纳营业税改为缴纳增值税。</w:t>
      </w:r>
    </w:p>
    <w:p>
      <w:pPr>
        <w:pStyle w:val="Style30"/>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不同税率的纳税主体企业所得税税率说明</w:t>
      </w:r>
    </w:p>
    <w:tbl>
      <w:tblPr>
        <w:tblOverlap w:val="never"/>
        <w:jc w:val="left"/>
        <w:tblLayout w:type="fixed"/>
      </w:tblPr>
      <w:tblGrid>
        <w:gridCol w:w="5952"/>
        <w:gridCol w:w="1733"/>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杭州传化精细化工有限公司（以下简称传化精细化工公司）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佛山市传化富联精细化工有限公司（以下简称传化富联公司）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传化涂料公司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浙江传化天松新材料有限公司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成都传化公路港物流有限公司（以下简称成都传化公路港公司）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Tanatex Chemicals Thailand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 xml:space="preserve">除 </w:t>
            </w:r>
            <w:r>
              <w:rPr>
                <w:color w:val="000000"/>
                <w:spacing w:val="0"/>
                <w:w w:val="100"/>
                <w:position w:val="0"/>
                <w:sz w:val="20"/>
                <w:szCs w:val="20"/>
              </w:rPr>
              <w:t>Tanatex Chemicals Thailand Co. ltd</w:t>
            </w:r>
            <w:r>
              <w:rPr>
                <w:color w:val="000000"/>
                <w:spacing w:val="0"/>
                <w:w w:val="100"/>
                <w:position w:val="0"/>
                <w:sz w:val="20"/>
                <w:szCs w:val="20"/>
              </w:rPr>
              <w:t>.之外的传化荷兰公司 及其境外子公司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（二）税收优惠</w:t>
      </w:r>
    </w:p>
    <w:p>
      <w:pPr>
        <w:pStyle w:val="Style111"/>
        <w:keepNext w:val="0"/>
        <w:keepLines w:val="0"/>
        <w:widowControl w:val="0"/>
        <w:shd w:val="clear" w:color="auto" w:fill="auto"/>
        <w:bidi w:val="0"/>
        <w:spacing w:before="0" w:after="0" w:line="430" w:lineRule="exact"/>
        <w:ind w:left="140" w:right="0" w:firstLine="420"/>
        <w:jc w:val="both"/>
      </w:pPr>
      <w:r>
        <w:rPr>
          <w:color w:val="000000"/>
          <w:spacing w:val="0"/>
          <w:w w:val="100"/>
          <w:position w:val="0"/>
        </w:rPr>
        <w:t>根据浙江省科学技术厅、浙江省财政厅、浙江省国家税务局、浙江省地方税务局颁发的 编号为</w:t>
      </w:r>
      <w:r>
        <w:rPr>
          <w:color w:val="000000"/>
          <w:spacing w:val="0"/>
          <w:w w:val="100"/>
          <w:position w:val="0"/>
        </w:rPr>
        <w:t>GF</w:t>
      </w:r>
      <w:r>
        <w:rPr>
          <w:rFonts w:ascii="Times New Roman" w:eastAsia="Times New Roman" w:hAnsi="Times New Roman" w:cs="Times New Roman"/>
          <w:color w:val="000000"/>
          <w:spacing w:val="0"/>
          <w:w w:val="100"/>
          <w:position w:val="0"/>
        </w:rPr>
        <w:t>201433000440</w:t>
      </w:r>
      <w:r>
        <w:rPr>
          <w:color w:val="000000"/>
          <w:spacing w:val="0"/>
          <w:w w:val="100"/>
          <w:position w:val="0"/>
        </w:rPr>
        <w:t xml:space="preserve">的高新技术企业证书，公司被认定为高新技术企业，根据税法规定 </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11"/>
        <w:keepNext w:val="0"/>
        <w:keepLines w:val="0"/>
        <w:widowControl w:val="0"/>
        <w:shd w:val="clear" w:color="auto" w:fill="auto"/>
        <w:bidi w:val="0"/>
        <w:spacing w:before="0" w:after="100" w:line="430" w:lineRule="exact"/>
        <w:ind w:left="140" w:right="0" w:firstLine="420"/>
        <w:jc w:val="both"/>
      </w:pPr>
      <w:r>
        <w:rPr>
          <w:color w:val="000000"/>
          <w:spacing w:val="0"/>
          <w:w w:val="100"/>
          <w:position w:val="0"/>
        </w:rPr>
        <w:t>根据浙江省科学技术厅、浙江省财政厅、浙江省国家税务局、浙江省地方税务局颁发的 编号为</w:t>
      </w:r>
      <w:r>
        <w:rPr>
          <w:color w:val="000000"/>
          <w:spacing w:val="0"/>
          <w:w w:val="100"/>
          <w:position w:val="0"/>
        </w:rPr>
        <w:t>GF</w:t>
      </w:r>
      <w:r>
        <w:rPr>
          <w:rFonts w:ascii="Times New Roman" w:eastAsia="Times New Roman" w:hAnsi="Times New Roman" w:cs="Times New Roman"/>
          <w:color w:val="000000"/>
          <w:spacing w:val="0"/>
          <w:w w:val="100"/>
          <w:position w:val="0"/>
        </w:rPr>
        <w:t>201433000158</w:t>
      </w:r>
      <w:r>
        <w:rPr>
          <w:color w:val="000000"/>
          <w:spacing w:val="0"/>
          <w:w w:val="100"/>
          <w:position w:val="0"/>
        </w:rPr>
        <w:t>的高新技术企业证书，子公司传化精细化工公司被认定为高新技术</w:t>
      </w:r>
    </w:p>
    <w:p>
      <w:pPr>
        <w:pStyle w:val="Style111"/>
        <w:keepNext w:val="0"/>
        <w:keepLines w:val="0"/>
        <w:widowControl w:val="0"/>
        <w:shd w:val="clear" w:color="auto" w:fill="auto"/>
        <w:bidi w:val="0"/>
        <w:spacing w:before="0" w:after="0" w:line="435" w:lineRule="exact"/>
        <w:ind w:left="0" w:right="0" w:firstLine="140"/>
        <w:jc w:val="left"/>
      </w:pPr>
      <w:r>
        <w:rPr>
          <w:color w:val="000000"/>
          <w:spacing w:val="0"/>
          <w:w w:val="100"/>
          <w:position w:val="0"/>
        </w:rPr>
        <w:t>企业，根据税法规定</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根据广东省科学技术厅、广东省财政厅、广东省国家税务局和广东省地方税务局粤科高 字〔</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26</w:t>
      </w:r>
      <w:r>
        <w:rPr>
          <w:color w:val="000000"/>
          <w:spacing w:val="0"/>
          <w:w w:val="100"/>
          <w:position w:val="0"/>
        </w:rPr>
        <w:t>号文，子公司传化富联公司被认定为高新技术企业，根据税法规定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根据浙江省科学技术厅、浙江省财政厅、浙江省国家税务局和浙江省地方税务局颁发的 编号为</w:t>
      </w:r>
      <w:r>
        <w:rPr>
          <w:color w:val="000000"/>
          <w:spacing w:val="0"/>
          <w:w w:val="100"/>
          <w:position w:val="0"/>
        </w:rPr>
        <w:t>GR</w:t>
      </w:r>
      <w:r>
        <w:rPr>
          <w:rFonts w:ascii="Times New Roman" w:eastAsia="Times New Roman" w:hAnsi="Times New Roman" w:cs="Times New Roman"/>
          <w:color w:val="000000"/>
          <w:spacing w:val="0"/>
          <w:w w:val="100"/>
          <w:position w:val="0"/>
        </w:rPr>
        <w:t>201533000611</w:t>
      </w:r>
      <w:r>
        <w:rPr>
          <w:color w:val="000000"/>
          <w:spacing w:val="0"/>
          <w:w w:val="100"/>
          <w:position w:val="0"/>
        </w:rPr>
        <w:t>的高新技术企业证书，子公司传化涂料公司被认定为高新技术企业， 根据税法规定，</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年度企业所得税减按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根据浙江省科学技术厅、浙江省财政厅、浙江省国家税务局、浙江省地方税务局颁发的 编号为</w:t>
      </w:r>
      <w:r>
        <w:rPr>
          <w:color w:val="000000"/>
          <w:spacing w:val="0"/>
          <w:w w:val="100"/>
          <w:position w:val="0"/>
        </w:rPr>
        <w:t>GR</w:t>
      </w:r>
      <w:r>
        <w:rPr>
          <w:rFonts w:ascii="Times New Roman" w:eastAsia="Times New Roman" w:hAnsi="Times New Roman" w:cs="Times New Roman"/>
          <w:color w:val="000000"/>
          <w:spacing w:val="0"/>
          <w:w w:val="100"/>
          <w:position w:val="0"/>
        </w:rPr>
        <w:t>201633000238</w:t>
      </w:r>
      <w:r>
        <w:rPr>
          <w:color w:val="000000"/>
          <w:spacing w:val="0"/>
          <w:w w:val="100"/>
          <w:position w:val="0"/>
        </w:rPr>
        <w:t>的高新技术企业证书，子公司浙江传化天松新材料有限公司被认定 为高新技术企业，根据税法规定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11"/>
        <w:keepNext w:val="0"/>
        <w:keepLines w:val="0"/>
        <w:widowControl w:val="0"/>
        <w:shd w:val="clear" w:color="auto" w:fill="auto"/>
        <w:bidi w:val="0"/>
        <w:spacing w:before="0" w:after="0" w:line="435" w:lineRule="exact"/>
        <w:ind w:left="140" w:right="0" w:firstLine="420"/>
        <w:jc w:val="both"/>
      </w:pPr>
      <w:r>
        <w:rPr>
          <w:color w:val="000000"/>
          <w:spacing w:val="0"/>
          <w:w w:val="100"/>
          <w:position w:val="0"/>
        </w:rPr>
        <w:t>根据《财政部、海关总署、国家税务总局关于深入实施西部大开发战略有关税收政策问 题的通知》(财税[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号)相关规定：“自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对设在西部地区的鼓励类产业企业减按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%的税率征收企业所得税。”公司子公司成都传化 公路港公司享受西部大开发企业所得税优惠，按</w:t>
      </w:r>
      <w:r>
        <w:rPr>
          <w:rFonts w:ascii="Times New Roman" w:eastAsia="Times New Roman" w:hAnsi="Times New Roman" w:cs="Times New Roman"/>
          <w:color w:val="000000"/>
          <w:spacing w:val="0"/>
          <w:w w:val="100"/>
          <w:position w:val="0"/>
        </w:rPr>
        <w:t>15</w:t>
      </w:r>
      <w:r>
        <w:rPr>
          <w:color w:val="000000"/>
          <w:spacing w:val="0"/>
          <w:w w:val="100"/>
          <w:position w:val="0"/>
        </w:rPr>
        <w:t>%的税率计缴。</w:t>
      </w:r>
    </w:p>
    <w:p>
      <w:pPr>
        <w:pStyle w:val="Style111"/>
        <w:keepNext w:val="0"/>
        <w:keepLines w:val="0"/>
        <w:widowControl w:val="0"/>
        <w:shd w:val="clear" w:color="auto" w:fill="auto"/>
        <w:bidi w:val="0"/>
        <w:spacing w:before="0" w:after="640" w:line="435" w:lineRule="exact"/>
        <w:ind w:left="140" w:right="0" w:firstLine="420"/>
        <w:jc w:val="both"/>
      </w:pPr>
      <w:r>
        <w:rPr>
          <w:color w:val="000000"/>
          <w:spacing w:val="0"/>
          <w:w w:val="100"/>
          <w:position w:val="0"/>
        </w:rPr>
        <w:t>根据泰国投资促进委员会</w:t>
      </w:r>
      <w:r>
        <w:rPr>
          <w:color w:val="000000"/>
          <w:spacing w:val="0"/>
          <w:w w:val="100"/>
          <w:position w:val="0"/>
        </w:rPr>
        <w:t>(B0I)</w:t>
      </w:r>
      <w:r>
        <w:rPr>
          <w:color w:val="000000"/>
          <w:spacing w:val="0"/>
          <w:w w:val="100"/>
          <w:position w:val="0"/>
        </w:rPr>
        <w:t>投资政策的相关规定，</w:t>
      </w:r>
      <w:r>
        <w:rPr>
          <w:color w:val="000000"/>
          <w:spacing w:val="0"/>
          <w:w w:val="100"/>
          <w:position w:val="0"/>
        </w:rPr>
        <w:t>Tanatex Chemicals Thailand CO Ltd</w:t>
      </w:r>
      <w:r>
        <w:rPr>
          <w:color w:val="000000"/>
          <w:spacing w:val="0"/>
          <w:w w:val="100"/>
          <w:position w:val="0"/>
        </w:rPr>
        <w:t>出口自产产品的利润免征企业所得税，内销及出口贸易产品的利润按</w:t>
      </w:r>
      <w:r>
        <w:rPr>
          <w:rFonts w:ascii="Times New Roman" w:eastAsia="Times New Roman" w:hAnsi="Times New Roman" w:cs="Times New Roman"/>
          <w:color w:val="000000"/>
          <w:spacing w:val="0"/>
          <w:w w:val="100"/>
          <w:position w:val="0"/>
        </w:rPr>
        <w:t>20</w:t>
      </w:r>
      <w:r>
        <w:rPr>
          <w:color w:val="000000"/>
          <w:spacing w:val="0"/>
          <w:w w:val="100"/>
          <w:position w:val="0"/>
        </w:rPr>
        <w:t>%的税率计缴企 业所得税。</w:t>
      </w:r>
    </w:p>
    <w:p>
      <w:pPr>
        <w:pStyle w:val="Style6"/>
        <w:keepNext w:val="0"/>
        <w:keepLines w:val="0"/>
        <w:widowControl w:val="0"/>
        <w:shd w:val="clear" w:color="auto" w:fill="auto"/>
        <w:bidi w:val="0"/>
        <w:spacing w:before="0" w:after="180" w:line="240" w:lineRule="auto"/>
        <w:ind w:left="0" w:right="0" w:firstLine="560"/>
        <w:jc w:val="left"/>
        <w:rPr>
          <w:sz w:val="20"/>
          <w:szCs w:val="20"/>
        </w:rPr>
      </w:pPr>
      <w:r>
        <w:rPr>
          <w:rFonts w:ascii="SimHei" w:eastAsia="SimHei" w:hAnsi="SimHei" w:cs="SimHei"/>
          <w:b/>
          <w:bCs/>
          <w:color w:val="000000"/>
          <w:spacing w:val="0"/>
          <w:w w:val="100"/>
          <w:position w:val="0"/>
          <w:sz w:val="20"/>
          <w:szCs w:val="20"/>
        </w:rPr>
        <w:t>五、合并财务报表项目注释</w:t>
      </w:r>
    </w:p>
    <w:p>
      <w:pPr>
        <w:pStyle w:val="Style111"/>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货币资金</w:t>
      </w:r>
    </w:p>
    <w:p>
      <w:pPr>
        <w:pStyle w:val="Style111"/>
        <w:keepNext w:val="0"/>
        <w:keepLines w:val="0"/>
        <w:widowControl w:val="0"/>
        <w:shd w:val="clear" w:color="auto" w:fill="auto"/>
        <w:bidi w:val="0"/>
        <w:spacing w:before="0" w:after="60" w:line="240" w:lineRule="auto"/>
        <w:ind w:left="0" w:right="0" w:firstLine="560"/>
        <w:jc w:val="left"/>
      </w:pPr>
      <w:r>
        <w:rPr>
          <w:color w:val="000000"/>
          <w:spacing w:val="0"/>
          <w:w w:val="100"/>
          <w:position w:val="0"/>
        </w:rPr>
        <w:t>⑴明细情况</w:t>
      </w:r>
    </w:p>
    <w:tbl>
      <w:tblPr>
        <w:tblOverlap w:val="never"/>
        <w:jc w:val="left"/>
        <w:tblLayout w:type="fixed"/>
      </w:tblPr>
      <w:tblGrid>
        <w:gridCol w:w="4392"/>
        <w:gridCol w:w="2126"/>
        <w:gridCol w:w="206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758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194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)其他货币资金中，保证金存款情况如下</w:t>
      </w:r>
    </w:p>
    <w:p>
      <w:pPr>
        <w:widowControl w:val="0"/>
        <w:spacing w:after="59" w:line="1" w:lineRule="exact"/>
      </w:pPr>
    </w:p>
    <w:tbl>
      <w:tblPr>
        <w:tblOverlap w:val="never"/>
        <w:jc w:val="left"/>
        <w:tblLayout w:type="fixed"/>
      </w:tblPr>
      <w:tblGrid>
        <w:gridCol w:w="2875"/>
        <w:gridCol w:w="2837"/>
        <w:gridCol w:w="287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保函保证金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spacing w:lineRule="exact" w:line="1"/>
        <w:rPr>
          <w:sz w:val="2"/>
          <w:szCs w:val="2"/>
        </w:rPr>
      </w:pPr>
      <w:r>
        <w:br w:type="page"/>
      </w:r>
    </w:p>
    <w:tbl>
      <w:tblPr>
        <w:tblOverlap w:val="never"/>
        <w:jc w:val="left"/>
        <w:tblLayout w:type="fixed"/>
      </w:tblPr>
      <w:tblGrid>
        <w:gridCol w:w="2875"/>
        <w:gridCol w:w="2837"/>
        <w:gridCol w:w="287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存出投资款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bl>
    <w:p>
      <w:pPr>
        <w:widowControl w:val="0"/>
        <w:spacing w:after="499"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.衍生金融资产</w:t>
      </w:r>
    </w:p>
    <w:tbl>
      <w:tblPr>
        <w:tblOverlap w:val="never"/>
        <w:jc w:val="left"/>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远期售汇合约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w:t>
            </w: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180" w:line="240" w:lineRule="auto"/>
        <w:ind w:left="0" w:right="0" w:firstLine="560"/>
        <w:jc w:val="both"/>
      </w:pPr>
      <w:bookmarkStart w:id="290" w:name="bookmark290"/>
      <w:bookmarkEnd w:id="290"/>
      <w:r>
        <w:rPr>
          <w:color w:val="000000"/>
          <w:spacing w:val="0"/>
          <w:w w:val="100"/>
          <w:position w:val="0"/>
        </w:rPr>
        <w:t>应收票据</w:t>
      </w:r>
    </w:p>
    <w:p>
      <w:pPr>
        <w:pStyle w:val="Style30"/>
        <w:keepNext w:val="0"/>
        <w:keepLines w:val="0"/>
        <w:widowControl w:val="0"/>
        <w:shd w:val="clear" w:color="auto" w:fill="auto"/>
        <w:bidi w:val="0"/>
        <w:spacing w:before="0" w:after="0" w:line="240" w:lineRule="auto"/>
        <w:ind w:left="538" w:right="0" w:firstLine="0"/>
        <w:jc w:val="left"/>
        <w:rPr>
          <w:sz w:val="20"/>
          <w:szCs w:val="20"/>
        </w:rPr>
      </w:pPr>
      <w:r>
        <w:rPr>
          <w:color w:val="000000"/>
          <w:spacing w:val="0"/>
          <w:w w:val="100"/>
          <w:position w:val="0"/>
          <w:sz w:val="20"/>
          <w:szCs w:val="20"/>
        </w:rPr>
        <w:t>⑴明细情况</w:t>
      </w:r>
    </w:p>
    <w:tbl>
      <w:tblPr>
        <w:tblOverlap w:val="never"/>
        <w:jc w:val="center"/>
        <w:tblLayout w:type="fixed"/>
      </w:tblPr>
      <w:tblGrid>
        <w:gridCol w:w="1378"/>
        <w:gridCol w:w="1526"/>
        <w:gridCol w:w="1008"/>
        <w:gridCol w:w="1498"/>
        <w:gridCol w:w="1498"/>
        <w:gridCol w:w="1032"/>
        <w:gridCol w:w="1574"/>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6"/>
                <w:szCs w:val="16"/>
              </w:rPr>
            </w:pPr>
            <w:r>
              <w:rPr>
                <w:color w:val="000000"/>
                <w:spacing w:val="0"/>
                <w:w w:val="100"/>
                <w:position w:val="0"/>
                <w:sz w:val="16"/>
                <w:szCs w:val="16"/>
              </w:rPr>
              <w:t>坏账</w:t>
            </w:r>
          </w:p>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60"/>
              <w:jc w:val="both"/>
              <w:rPr>
                <w:sz w:val="16"/>
                <w:szCs w:val="16"/>
              </w:rPr>
            </w:pPr>
            <w:r>
              <w:rPr>
                <w:color w:val="000000"/>
                <w:spacing w:val="0"/>
                <w:w w:val="100"/>
                <w:position w:val="0"/>
                <w:sz w:val="16"/>
                <w:szCs w:val="16"/>
              </w:rPr>
              <w:t>坏账</w:t>
            </w:r>
          </w:p>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账面价值</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645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072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645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6"/>
                <w:szCs w:val="16"/>
              </w:rPr>
            </w:pPr>
            <w:r>
              <w:rPr>
                <w:color w:val="000000"/>
                <w:spacing w:val="0"/>
                <w:w w:val="100"/>
                <w:position w:val="0"/>
                <w:sz w:val="16"/>
                <w:szCs w:val="16"/>
              </w:rPr>
              <w:t>减：抵销库存票</w:t>
            </w:r>
          </w:p>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972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r>
    </w:tbl>
    <w:p>
      <w:pPr>
        <w:pStyle w:val="Style30"/>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)期末公司已质押的应收票据情况</w:t>
      </w:r>
    </w:p>
    <w:p>
      <w:pPr>
        <w:widowControl w:val="0"/>
        <w:spacing w:after="39" w:line="1" w:lineRule="exact"/>
      </w:pPr>
    </w:p>
    <w:tbl>
      <w:tblPr>
        <w:tblOverlap w:val="never"/>
        <w:jc w:val="left"/>
        <w:tblLayout w:type="fixed"/>
      </w:tblPr>
      <w:tblGrid>
        <w:gridCol w:w="4718"/>
        <w:gridCol w:w="1920"/>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期末已质押金额</w:t>
            </w: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p>
        </w:tc>
        <w:tc>
          <w:tcPr>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c>
          <w:tcPr>
            <w:tcBorders/>
            <w:shd w:val="clear" w:color="auto" w:fill="FFFFFF"/>
            <w:vAlign w:val="top"/>
          </w:tcPr>
          <w:p>
            <w:pPr>
              <w:widowControl w:val="0"/>
              <w:rPr>
                <w:sz w:val="10"/>
                <w:szCs w:val="10"/>
              </w:rPr>
            </w:pPr>
          </w:p>
        </w:tc>
      </w:tr>
      <w:tr>
        <w:trPr>
          <w:trHeight w:val="446"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)期末公司已背书或贴现且在资产负债表日尚未到期的应收票据情况</w:t>
            </w:r>
          </w:p>
        </w:tc>
      </w:tr>
      <w:tr>
        <w:trPr>
          <w:trHeight w:val="29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期末未终止</w:t>
            </w:r>
          </w:p>
        </w:tc>
      </w:tr>
      <w:tr>
        <w:trPr>
          <w:trHeight w:val="298" w:hRule="exact"/>
        </w:trPr>
        <w:tc>
          <w:tcPr>
            <w:vMerge/>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银行承兑汇票的承兑人是商业银行，由于商业银行具有较高的信用，银行承兑汇票到期</w:t>
      </w:r>
    </w:p>
    <w:p>
      <w:pPr>
        <w:widowControl w:val="0"/>
        <w:spacing w:after="179" w:line="1" w:lineRule="exact"/>
      </w:pPr>
    </w:p>
    <w:p>
      <w:pPr>
        <w:pStyle w:val="Style111"/>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不获支付的可能性较低，故本公司将已背书或贴现的银行承兑汇票予以终止确认。但如果该</w:t>
      </w:r>
    </w:p>
    <w:p>
      <w:pPr>
        <w:pStyle w:val="Style111"/>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等票据到期不获支付，依据《票据法》之规定，公司仍将对持票人承担连带责任。</w:t>
      </w:r>
    </w:p>
    <w:p>
      <w:pPr>
        <w:pStyle w:val="Style111"/>
        <w:keepNext w:val="0"/>
        <w:keepLines w:val="0"/>
        <w:widowControl w:val="0"/>
        <w:numPr>
          <w:ilvl w:val="0"/>
          <w:numId w:val="37"/>
        </w:numPr>
        <w:shd w:val="clear" w:color="auto" w:fill="auto"/>
        <w:bidi w:val="0"/>
        <w:spacing w:before="0" w:after="40" w:line="240" w:lineRule="auto"/>
        <w:ind w:left="0" w:right="0" w:firstLine="560"/>
        <w:jc w:val="left"/>
      </w:pPr>
      <w:bookmarkStart w:id="291" w:name="bookmark291"/>
      <w:bookmarkEnd w:id="291"/>
      <w:r>
        <w:rPr>
          <w:color w:val="000000"/>
          <w:spacing w:val="0"/>
          <w:w w:val="100"/>
          <w:position w:val="0"/>
        </w:rPr>
        <w:t>期末公司因出票人未履约而将其转应收账款的票据情况</w:t>
      </w:r>
    </w:p>
    <w:p>
      <w:pPr>
        <w:pStyle w:val="Style111"/>
        <w:keepNext w:val="0"/>
        <w:keepLines w:val="0"/>
        <w:widowControl w:val="0"/>
        <w:shd w:val="clear" w:color="auto" w:fill="auto"/>
        <w:bidi w:val="0"/>
        <w:spacing w:before="0" w:after="180" w:line="302" w:lineRule="exact"/>
        <w:ind w:left="0" w:right="0" w:firstLine="0"/>
        <w:jc w:val="center"/>
      </w:pPr>
      <w:r>
        <w:rPr>
          <w:color w:val="000000"/>
          <w:spacing w:val="0"/>
          <w:w w:val="100"/>
          <w:position w:val="0"/>
        </w:rPr>
        <w:t>期末转应收</w:t>
        <w:br/>
        <w:t>账款金额</w:t>
      </w:r>
      <w:r>
        <w:br w:type="page"/>
      </w:r>
    </w:p>
    <w:tbl>
      <w:tblPr>
        <w:tblOverlap w:val="never"/>
        <w:jc w:val="left"/>
        <w:tblLayout w:type="fixed"/>
      </w:tblPr>
      <w:tblGrid>
        <w:gridCol w:w="4704"/>
        <w:gridCol w:w="1934"/>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180" w:line="240" w:lineRule="auto"/>
        <w:ind w:left="0" w:right="0" w:firstLine="560"/>
        <w:jc w:val="left"/>
      </w:pPr>
      <w:bookmarkStart w:id="292" w:name="bookmark292"/>
      <w:bookmarkEnd w:id="292"/>
      <w:r>
        <w:rPr>
          <w:color w:val="000000"/>
          <w:spacing w:val="0"/>
          <w:w w:val="100"/>
          <w:position w:val="0"/>
        </w:rPr>
        <w:t>应收账款</w:t>
      </w:r>
    </w:p>
    <w:p>
      <w:pPr>
        <w:pStyle w:val="Style111"/>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⑴明细情况</w:t>
      </w:r>
    </w:p>
    <w:p>
      <w:pPr>
        <w:pStyle w:val="Style111"/>
        <w:keepNext w:val="0"/>
        <w:keepLines w:val="0"/>
        <w:widowControl w:val="0"/>
        <w:shd w:val="clear" w:color="auto" w:fill="auto"/>
        <w:bidi w:val="0"/>
        <w:spacing w:before="0" w:after="80" w:line="240" w:lineRule="auto"/>
        <w:ind w:left="0" w:right="0" w:firstLine="560"/>
        <w:jc w:val="left"/>
      </w:pPr>
      <w:bookmarkStart w:id="293" w:name="bookmark293"/>
      <w:r>
        <w:rPr>
          <w:rFonts w:ascii="Times New Roman" w:eastAsia="Times New Roman" w:hAnsi="Times New Roman" w:cs="Times New Roman"/>
          <w:color w:val="000000"/>
          <w:spacing w:val="0"/>
          <w:w w:val="100"/>
          <w:position w:val="0"/>
        </w:rPr>
        <w:t>1</w:t>
      </w:r>
      <w:bookmarkEnd w:id="293"/>
      <w:r>
        <w:rPr>
          <w:color w:val="000000"/>
          <w:spacing w:val="0"/>
          <w:w w:val="100"/>
          <w:position w:val="0"/>
        </w:rPr>
        <w:t>）类别明细情况</w:t>
      </w:r>
    </w:p>
    <w:tbl>
      <w:tblPr>
        <w:tblOverlap w:val="never"/>
        <w:jc w:val="left"/>
        <w:tblLayout w:type="fixed"/>
      </w:tblPr>
      <w:tblGrid>
        <w:gridCol w:w="2117"/>
        <w:gridCol w:w="1565"/>
        <w:gridCol w:w="854"/>
        <w:gridCol w:w="1416"/>
        <w:gridCol w:w="1075"/>
        <w:gridCol w:w="1560"/>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计提比例陶</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单项金额重大并单项计 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按信用风险特征组合计 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462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单项金额不重大但单项</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（续上表）</w:t>
      </w:r>
    </w:p>
    <w:tbl>
      <w:tblPr>
        <w:tblOverlap w:val="never"/>
        <w:jc w:val="left"/>
        <w:tblLayout w:type="fixed"/>
      </w:tblPr>
      <w:tblGrid>
        <w:gridCol w:w="2126"/>
        <w:gridCol w:w="1560"/>
        <w:gridCol w:w="850"/>
        <w:gridCol w:w="1440"/>
        <w:gridCol w:w="1037"/>
        <w:gridCol w:w="157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计提比例陶</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单项金额重大并单项计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按信用风险特征组合计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309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单项金额不重大但单项</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625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left"/>
      </w:pPr>
      <w:bookmarkStart w:id="294" w:name="bookmark294"/>
      <w:r>
        <w:rPr>
          <w:rFonts w:ascii="Times New Roman" w:eastAsia="Times New Roman" w:hAnsi="Times New Roman" w:cs="Times New Roman"/>
          <w:color w:val="000000"/>
          <w:spacing w:val="0"/>
          <w:w w:val="100"/>
          <w:position w:val="0"/>
        </w:rPr>
        <w:t>2</w:t>
      </w:r>
      <w:bookmarkEnd w:id="294"/>
      <w:r>
        <w:rPr>
          <w:color w:val="000000"/>
          <w:spacing w:val="0"/>
          <w:w w:val="100"/>
          <w:position w:val="0"/>
        </w:rPr>
        <w:t>）组合中，采用账期分析法计提坏账准备的应收账款</w:t>
      </w:r>
    </w:p>
    <w:tbl>
      <w:tblPr>
        <w:tblOverlap w:val="never"/>
        <w:jc w:val="left"/>
        <w:tblLayout w:type="fixed"/>
      </w:tblPr>
      <w:tblGrid>
        <w:gridCol w:w="3125"/>
        <w:gridCol w:w="2266"/>
        <w:gridCol w:w="1862"/>
        <w:gridCol w:w="133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账期</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未逾期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天以内（含）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天（含）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361</w:t>
            </w:r>
            <w:r>
              <w:rPr>
                <w:color w:val="000000"/>
                <w:spacing w:val="0"/>
                <w:w w:val="100"/>
                <w:position w:val="0"/>
                <w:sz w:val="20"/>
                <w:szCs w:val="20"/>
              </w:rPr>
              <w:t>天及以上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left"/>
      </w:pPr>
      <w:bookmarkStart w:id="295" w:name="bookmark295"/>
      <w:r>
        <w:rPr>
          <w:rFonts w:ascii="Times New Roman" w:eastAsia="Times New Roman" w:hAnsi="Times New Roman" w:cs="Times New Roman"/>
          <w:color w:val="000000"/>
          <w:spacing w:val="0"/>
          <w:w w:val="100"/>
          <w:position w:val="0"/>
        </w:rPr>
        <w:t>3</w:t>
      </w:r>
      <w:bookmarkEnd w:id="295"/>
      <w:r>
        <w:rPr>
          <w:color w:val="000000"/>
          <w:spacing w:val="0"/>
          <w:w w:val="100"/>
          <w:position w:val="0"/>
        </w:rPr>
        <w:t>）组合中，采用账龄分析法计提坏账准备的应收账款</w:t>
      </w:r>
      <w:r>
        <w:br w:type="page"/>
      </w:r>
    </w:p>
    <w:tbl>
      <w:tblPr>
        <w:tblOverlap w:val="never"/>
        <w:jc w:val="left"/>
        <w:tblLayout w:type="fixed"/>
      </w:tblPr>
      <w:tblGrid>
        <w:gridCol w:w="2074"/>
        <w:gridCol w:w="2126"/>
        <w:gridCol w:w="2179"/>
        <w:gridCol w:w="2208"/>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r>
    </w:tbl>
    <w:p>
      <w:pPr>
        <w:widowControl w:val="0"/>
        <w:spacing w:after="79" w:line="1" w:lineRule="exact"/>
      </w:pPr>
    </w:p>
    <w:p>
      <w:pPr>
        <w:pStyle w:val="Style111"/>
        <w:keepNext w:val="0"/>
        <w:keepLines w:val="0"/>
        <w:widowControl w:val="0"/>
        <w:numPr>
          <w:ilvl w:val="0"/>
          <w:numId w:val="67"/>
        </w:numPr>
        <w:shd w:val="clear" w:color="auto" w:fill="auto"/>
        <w:bidi w:val="0"/>
        <w:spacing w:before="0" w:after="80" w:line="240" w:lineRule="auto"/>
        <w:ind w:left="0" w:right="0" w:firstLine="560"/>
        <w:jc w:val="left"/>
      </w:pPr>
      <w:bookmarkStart w:id="296" w:name="bookmark296"/>
      <w:bookmarkEnd w:id="296"/>
      <w:r>
        <w:rPr>
          <w:color w:val="000000"/>
          <w:spacing w:val="0"/>
          <w:w w:val="100"/>
          <w:position w:val="0"/>
        </w:rPr>
        <w:t>单项金额不重大但单项计提坏账准备账款</w:t>
      </w:r>
    </w:p>
    <w:tbl>
      <w:tblPr>
        <w:tblOverlap w:val="never"/>
        <w:jc w:val="center"/>
        <w:tblLayout w:type="fixed"/>
      </w:tblPr>
      <w:tblGrid>
        <w:gridCol w:w="2928"/>
        <w:gridCol w:w="1387"/>
        <w:gridCol w:w="1498"/>
        <w:gridCol w:w="763"/>
        <w:gridCol w:w="2486"/>
      </w:tblGrid>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计提比例 (%)</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欣悦棉整有限公司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826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预计完全收回存在困难</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杭州戴德实业有限公司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已胜诉，完全收回存在困难</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江苏元弘合成纤维有限公司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浙江奕弘控股集团有限公司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张家港保税区长江塑化有限公司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已申请破产清算，预计无法 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苏州瑞昱华化纤织造有限公司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惠州市金唐纺织有限公司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福建省晋江福联织造有限公司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浙江亚太染织有限公司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浙江春江印染有限公司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河南三合金属制品有限公司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已诉，完全收回存在困难</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山东省聊城市彩虹粉末涂料有限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已胜诉，完全收回存在困难</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绍兴腾达印染有限公司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鹤山市东迅纺织印染有限公司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已诉，完全收回存在困难</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天津鑫邦粉末涂料有限公司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已诉，完全收回存在困难</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收回存在困难</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69"/>
        </w:numPr>
        <w:shd w:val="clear" w:color="auto" w:fill="auto"/>
        <w:bidi w:val="0"/>
        <w:spacing w:before="0" w:after="180" w:line="240" w:lineRule="auto"/>
        <w:ind w:left="0" w:right="0" w:firstLine="560"/>
        <w:jc w:val="left"/>
      </w:pPr>
      <w:bookmarkStart w:id="297" w:name="bookmark297"/>
      <w:bookmarkEnd w:id="297"/>
      <w:r>
        <w:rPr>
          <w:color w:val="000000"/>
          <w:spacing w:val="0"/>
          <w:w w:val="100"/>
          <w:position w:val="0"/>
        </w:rPr>
        <w:t>本期计提、收回或转回的坏账准备情况</w:t>
      </w:r>
    </w:p>
    <w:p>
      <w:pPr>
        <w:pStyle w:val="Style111"/>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本期计提坏账准备</w:t>
      </w:r>
      <w:r>
        <w:rPr>
          <w:rFonts w:ascii="Times New Roman" w:eastAsia="Times New Roman" w:hAnsi="Times New Roman" w:cs="Times New Roman"/>
          <w:color w:val="000000"/>
          <w:spacing w:val="0"/>
          <w:w w:val="100"/>
          <w:position w:val="0"/>
        </w:rPr>
        <w:t>26</w:t>
      </w:r>
      <w:r>
        <w:rPr>
          <w:color w:val="000000"/>
          <w:spacing w:val="0"/>
          <w:w w:val="100"/>
          <w:position w:val="0"/>
        </w:rPr>
        <w:t xml:space="preserve">, </w:t>
      </w:r>
      <w:r>
        <w:rPr>
          <w:rFonts w:ascii="Times New Roman" w:eastAsia="Times New Roman" w:hAnsi="Times New Roman" w:cs="Times New Roman"/>
          <w:color w:val="000000"/>
          <w:spacing w:val="0"/>
          <w:w w:val="100"/>
          <w:position w:val="0"/>
        </w:rPr>
        <w:t>707</w:t>
      </w:r>
      <w:r>
        <w:rPr>
          <w:color w:val="000000"/>
          <w:spacing w:val="0"/>
          <w:w w:val="100"/>
          <w:position w:val="0"/>
        </w:rPr>
        <w:t xml:space="preserve">, </w:t>
      </w:r>
      <w:r>
        <w:rPr>
          <w:rFonts w:ascii="Times New Roman" w:eastAsia="Times New Roman" w:hAnsi="Times New Roman" w:cs="Times New Roman"/>
          <w:color w:val="000000"/>
          <w:spacing w:val="0"/>
          <w:w w:val="100"/>
          <w:position w:val="0"/>
        </w:rPr>
        <w:t>647</w:t>
      </w:r>
      <w:r>
        <w:rPr>
          <w:color w:val="000000"/>
          <w:spacing w:val="0"/>
          <w:w w:val="100"/>
          <w:position w:val="0"/>
        </w:rPr>
        <w:t xml:space="preserve">. </w:t>
      </w:r>
      <w:r>
        <w:rPr>
          <w:rFonts w:ascii="Times New Roman" w:eastAsia="Times New Roman" w:hAnsi="Times New Roman" w:cs="Times New Roman"/>
          <w:color w:val="000000"/>
          <w:spacing w:val="0"/>
          <w:w w:val="100"/>
          <w:position w:val="0"/>
        </w:rPr>
        <w:t>72</w:t>
      </w:r>
      <w:r>
        <w:rPr>
          <w:color w:val="000000"/>
          <w:spacing w:val="0"/>
          <w:w w:val="100"/>
          <w:position w:val="0"/>
        </w:rPr>
        <w:t>元，因预计未来现金流量现值回升而转回的坏账准备</w:t>
      </w:r>
    </w:p>
    <w:p>
      <w:pPr>
        <w:pStyle w:val="Style11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117</w:t>
      </w:r>
      <w:r>
        <w:rPr>
          <w:color w:val="000000"/>
          <w:spacing w:val="0"/>
          <w:w w:val="100"/>
          <w:position w:val="0"/>
        </w:rPr>
        <w:t>,</w:t>
      </w:r>
      <w:r>
        <w:rPr>
          <w:rFonts w:ascii="Times New Roman" w:eastAsia="Times New Roman" w:hAnsi="Times New Roman" w:cs="Times New Roman"/>
          <w:color w:val="000000"/>
          <w:spacing w:val="0"/>
          <w:w w:val="100"/>
          <w:position w:val="0"/>
        </w:rPr>
        <w:t>585</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元，因非同一控制企业合并转入的坏账准备</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103</w:t>
      </w:r>
      <w:r>
        <w:rPr>
          <w:color w:val="000000"/>
          <w:spacing w:val="0"/>
          <w:w w:val="100"/>
          <w:position w:val="0"/>
        </w:rPr>
        <w:t xml:space="preserve">, </w:t>
      </w:r>
      <w:r>
        <w:rPr>
          <w:rFonts w:ascii="Times New Roman" w:eastAsia="Times New Roman" w:hAnsi="Times New Roman" w:cs="Times New Roman"/>
          <w:color w:val="000000"/>
          <w:spacing w:val="0"/>
          <w:w w:val="100"/>
          <w:position w:val="0"/>
        </w:rPr>
        <w:t>674</w:t>
      </w:r>
      <w:r>
        <w:rPr>
          <w:color w:val="000000"/>
          <w:spacing w:val="0"/>
          <w:w w:val="100"/>
          <w:position w:val="0"/>
        </w:rPr>
        <w:t xml:space="preserve">. </w:t>
      </w:r>
      <w:r>
        <w:rPr>
          <w:rFonts w:ascii="Times New Roman" w:eastAsia="Times New Roman" w:hAnsi="Times New Roman" w:cs="Times New Roman"/>
          <w:color w:val="000000"/>
          <w:spacing w:val="0"/>
          <w:w w:val="100"/>
          <w:position w:val="0"/>
        </w:rPr>
        <w:t>91</w:t>
      </w:r>
      <w:r>
        <w:rPr>
          <w:color w:val="000000"/>
          <w:spacing w:val="0"/>
          <w:w w:val="100"/>
          <w:position w:val="0"/>
        </w:rPr>
        <w:t>元，因外币报表折</w:t>
      </w:r>
      <w:r>
        <w:br w:type="page"/>
      </w:r>
    </w:p>
    <w:p>
      <w:pPr>
        <w:pStyle w:val="Style111"/>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算增加的坏账准备</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215</w:t>
      </w:r>
      <w:r>
        <w:rPr>
          <w:color w:val="000000"/>
          <w:spacing w:val="0"/>
          <w:w w:val="100"/>
          <w:position w:val="0"/>
        </w:rPr>
        <w:t>.</w:t>
      </w:r>
      <w:r>
        <w:rPr>
          <w:rFonts w:ascii="Times New Roman" w:eastAsia="Times New Roman" w:hAnsi="Times New Roman" w:cs="Times New Roman"/>
          <w:color w:val="000000"/>
          <w:spacing w:val="0"/>
          <w:w w:val="100"/>
          <w:position w:val="0"/>
        </w:rPr>
        <w:t>43</w:t>
      </w:r>
      <w:r>
        <w:rPr>
          <w:color w:val="000000"/>
          <w:spacing w:val="0"/>
          <w:w w:val="100"/>
          <w:position w:val="0"/>
        </w:rPr>
        <w:t>元。</w:t>
      </w:r>
    </w:p>
    <w:p>
      <w:pPr>
        <w:pStyle w:val="Style111"/>
        <w:keepNext w:val="0"/>
        <w:keepLines w:val="0"/>
        <w:widowControl w:val="0"/>
        <w:numPr>
          <w:ilvl w:val="0"/>
          <w:numId w:val="69"/>
        </w:numPr>
        <w:shd w:val="clear" w:color="auto" w:fill="auto"/>
        <w:bidi w:val="0"/>
        <w:spacing w:before="0" w:after="180" w:line="240" w:lineRule="auto"/>
        <w:ind w:left="0" w:right="0" w:firstLine="560"/>
        <w:jc w:val="left"/>
      </w:pPr>
      <w:bookmarkStart w:id="298" w:name="bookmark298"/>
      <w:bookmarkEnd w:id="298"/>
      <w:r>
        <w:rPr>
          <w:color w:val="000000"/>
          <w:spacing w:val="0"/>
          <w:w w:val="100"/>
          <w:position w:val="0"/>
        </w:rPr>
        <w:t>本期实际核销的应收账款情况</w:t>
      </w:r>
    </w:p>
    <w:p>
      <w:pPr>
        <w:pStyle w:val="Style111"/>
        <w:keepNext w:val="0"/>
        <w:keepLines w:val="0"/>
        <w:widowControl w:val="0"/>
        <w:numPr>
          <w:ilvl w:val="0"/>
          <w:numId w:val="71"/>
        </w:numPr>
        <w:shd w:val="clear" w:color="auto" w:fill="auto"/>
        <w:tabs>
          <w:tab w:pos="899" w:val="left"/>
        </w:tabs>
        <w:bidi w:val="0"/>
        <w:spacing w:before="0" w:after="180" w:line="240" w:lineRule="auto"/>
        <w:ind w:left="0" w:right="0" w:firstLine="560"/>
        <w:jc w:val="left"/>
      </w:pPr>
      <w:bookmarkStart w:id="299" w:name="bookmark299"/>
      <w:bookmarkEnd w:id="299"/>
      <w:r>
        <w:rPr>
          <w:color w:val="000000"/>
          <w:spacing w:val="0"/>
          <w:w w:val="100"/>
          <w:position w:val="0"/>
        </w:rPr>
        <w:t>本期实际核销应收账款</w:t>
      </w: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589</w:t>
      </w:r>
      <w:r>
        <w:rPr>
          <w:color w:val="000000"/>
          <w:spacing w:val="0"/>
          <w:w w:val="100"/>
          <w:position w:val="0"/>
        </w:rPr>
        <w:t xml:space="preserve">, </w:t>
      </w:r>
      <w:r>
        <w:rPr>
          <w:rFonts w:ascii="Times New Roman" w:eastAsia="Times New Roman" w:hAnsi="Times New Roman" w:cs="Times New Roman"/>
          <w:color w:val="000000"/>
          <w:spacing w:val="0"/>
          <w:w w:val="100"/>
          <w:position w:val="0"/>
        </w:rPr>
        <w:t>281</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元。</w:t>
      </w:r>
    </w:p>
    <w:p>
      <w:pPr>
        <w:pStyle w:val="Style111"/>
        <w:keepNext w:val="0"/>
        <w:keepLines w:val="0"/>
        <w:widowControl w:val="0"/>
        <w:numPr>
          <w:ilvl w:val="0"/>
          <w:numId w:val="71"/>
        </w:numPr>
        <w:shd w:val="clear" w:color="auto" w:fill="auto"/>
        <w:tabs>
          <w:tab w:pos="918" w:val="left"/>
        </w:tabs>
        <w:bidi w:val="0"/>
        <w:spacing w:before="0" w:after="80" w:line="240" w:lineRule="auto"/>
        <w:ind w:left="0" w:right="0" w:firstLine="560"/>
        <w:jc w:val="left"/>
      </w:pPr>
      <w:bookmarkStart w:id="300" w:name="bookmark300"/>
      <w:bookmarkEnd w:id="300"/>
      <w:r>
        <w:rPr>
          <w:color w:val="000000"/>
          <w:spacing w:val="0"/>
          <w:w w:val="100"/>
          <w:position w:val="0"/>
        </w:rPr>
        <w:t>本期重要的应收账款核销情况</w:t>
      </w:r>
    </w:p>
    <w:tbl>
      <w:tblPr>
        <w:tblOverlap w:val="never"/>
        <w:jc w:val="left"/>
        <w:tblLayout w:type="fixed"/>
      </w:tblPr>
      <w:tblGrid>
        <w:gridCol w:w="2717"/>
        <w:gridCol w:w="926"/>
        <w:gridCol w:w="1354"/>
        <w:gridCol w:w="1234"/>
        <w:gridCol w:w="1190"/>
        <w:gridCol w:w="1166"/>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履行的 核销程序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款项是否由关</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联交易产生</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襄樊建山科技有限公司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724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rPr>
              <w:t>否</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湖北凝泰建筑材料有限公司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276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否</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Turbotron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绍兴县诺发贸易有限公司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四川神坤装备有限责任公司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浙江兴发交通建材有限公司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慈溪市振华建材有限公司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董事会审批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苍南给力实业有限公司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绍兴县江市纺织印染有限公司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302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Coral Chemicals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Saveh Resin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武汉毅峰印染有限公司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Unico N. 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GasserKunert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董事会或总 经理审批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34"/>
                <w:szCs w:val="34"/>
              </w:rPr>
            </w:pPr>
            <w:r>
              <w:rPr>
                <w:color w:val="000000"/>
                <w:spacing w:val="0"/>
                <w:w w:val="100"/>
                <w:position w:val="0"/>
                <w:sz w:val="34"/>
                <w:szCs w:val="34"/>
                <w:vertAlign w:val="subscript"/>
              </w:rPr>
              <w:t>否</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69"/>
        </w:numPr>
        <w:shd w:val="clear" w:color="auto" w:fill="auto"/>
        <w:bidi w:val="0"/>
        <w:spacing w:before="0" w:after="80" w:line="240" w:lineRule="auto"/>
        <w:ind w:left="0" w:right="0" w:firstLine="560"/>
        <w:jc w:val="left"/>
      </w:pPr>
      <w:bookmarkStart w:id="301" w:name="bookmark301"/>
      <w:bookmarkEnd w:id="301"/>
      <w:r>
        <w:rPr>
          <w:color w:val="000000"/>
          <w:spacing w:val="0"/>
          <w:w w:val="100"/>
          <w:position w:val="0"/>
        </w:rPr>
        <w:t>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left"/>
        <w:tblLayout w:type="fixed"/>
      </w:tblPr>
      <w:tblGrid>
        <w:gridCol w:w="3379"/>
        <w:gridCol w:w="1728"/>
        <w:gridCol w:w="1723"/>
        <w:gridCol w:w="1757"/>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占应收账款余额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营口市交通物流集团有限公司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六安市宝航物流有限公司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881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威远内华科工贸易有限公司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东莞市爱粤金属粉末有限公司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MERQUIAND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180" w:line="240" w:lineRule="auto"/>
        <w:ind w:left="0" w:right="0" w:firstLine="560"/>
        <w:jc w:val="left"/>
      </w:pPr>
      <w:bookmarkStart w:id="302" w:name="bookmark302"/>
      <w:bookmarkEnd w:id="302"/>
      <w:r>
        <w:rPr>
          <w:color w:val="000000"/>
          <w:spacing w:val="0"/>
          <w:w w:val="100"/>
          <w:position w:val="0"/>
        </w:rPr>
        <w:t>预付款项</w:t>
      </w:r>
      <w:r>
        <w:br w:type="page"/>
      </w: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)账龄分析</w:t>
      </w:r>
    </w:p>
    <w:tbl>
      <w:tblPr>
        <w:tblOverlap w:val="never"/>
        <w:jc w:val="center"/>
        <w:tblLayout w:type="fixed"/>
      </w:tblPr>
      <w:tblGrid>
        <w:gridCol w:w="1027"/>
        <w:gridCol w:w="1560"/>
        <w:gridCol w:w="850"/>
        <w:gridCol w:w="422"/>
        <w:gridCol w:w="1560"/>
        <w:gridCol w:w="1416"/>
        <w:gridCol w:w="710"/>
        <w:gridCol w:w="566"/>
        <w:gridCol w:w="1502"/>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5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坏账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坏账准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)预付款项金额前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tbl>
      <w:tblPr>
        <w:tblOverlap w:val="never"/>
        <w:jc w:val="left"/>
        <w:tblLayout w:type="fixed"/>
      </w:tblPr>
      <w:tblGrid>
        <w:gridCol w:w="4819"/>
        <w:gridCol w:w="1800"/>
        <w:gridCol w:w="1776"/>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占预付款项余额 的比例(%)</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中石油天然气股份有限公司四川成都销售分公司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广西北部湾铁集物流有限公司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52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北京福田戴姆勒汽车有限公司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97</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新疆天业(集团)有限公司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52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中国石油天然气股份有限公司辽河润滑油厂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38</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200" w:line="240" w:lineRule="auto"/>
        <w:ind w:left="0" w:right="0" w:firstLine="560"/>
        <w:jc w:val="left"/>
      </w:pPr>
      <w:bookmarkStart w:id="303" w:name="bookmark303"/>
      <w:bookmarkEnd w:id="303"/>
      <w:r>
        <w:rPr>
          <w:color w:val="000000"/>
          <w:spacing w:val="0"/>
          <w:w w:val="100"/>
          <w:position w:val="0"/>
        </w:rPr>
        <w:t>应收保理款</w:t>
      </w:r>
    </w:p>
    <w:p>
      <w:pPr>
        <w:pStyle w:val="Style111"/>
        <w:keepNext w:val="0"/>
        <w:keepLines w:val="0"/>
        <w:widowControl w:val="0"/>
        <w:shd w:val="clear" w:color="auto" w:fill="auto"/>
        <w:bidi w:val="0"/>
        <w:spacing w:before="0" w:after="60" w:line="240" w:lineRule="auto"/>
        <w:ind w:left="0" w:right="0" w:firstLine="560"/>
        <w:jc w:val="left"/>
      </w:pPr>
      <w:r>
        <w:rPr>
          <w:color w:val="000000"/>
          <w:spacing w:val="0"/>
          <w:w w:val="100"/>
          <w:position w:val="0"/>
        </w:rPr>
        <w:t>⑴明细情况</w:t>
      </w:r>
    </w:p>
    <w:tbl>
      <w:tblPr>
        <w:tblOverlap w:val="never"/>
        <w:jc w:val="left"/>
        <w:tblLayout w:type="fixed"/>
      </w:tblPr>
      <w:tblGrid>
        <w:gridCol w:w="2366"/>
        <w:gridCol w:w="1838"/>
        <w:gridCol w:w="1584"/>
        <w:gridCol w:w="1853"/>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种类</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五级风险分类组合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r>
      <w:tr>
        <w:trPr>
          <w:trHeight w:val="46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)五级风险分类组合</w:t>
      </w:r>
    </w:p>
    <w:p>
      <w:pPr>
        <w:widowControl w:val="0"/>
        <w:spacing w:after="59" w:line="1" w:lineRule="exact"/>
      </w:pPr>
    </w:p>
    <w:tbl>
      <w:tblPr>
        <w:tblOverlap w:val="never"/>
        <w:jc w:val="left"/>
        <w:tblLayout w:type="fixed"/>
      </w:tblPr>
      <w:tblGrid>
        <w:gridCol w:w="2122"/>
        <w:gridCol w:w="2270"/>
        <w:gridCol w:w="1858"/>
        <w:gridCol w:w="133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风险类别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200" w:line="240" w:lineRule="auto"/>
        <w:ind w:left="0" w:right="0" w:firstLine="560"/>
        <w:jc w:val="left"/>
      </w:pPr>
      <w:bookmarkStart w:id="304" w:name="bookmark304"/>
      <w:bookmarkEnd w:id="304"/>
      <w:r>
        <w:rPr>
          <w:color w:val="000000"/>
          <w:spacing w:val="0"/>
          <w:w w:val="100"/>
          <w:position w:val="0"/>
        </w:rPr>
        <w:t>应收利息</w:t>
      </w:r>
    </w:p>
    <w:p>
      <w:pPr>
        <w:pStyle w:val="Style111"/>
        <w:keepNext w:val="0"/>
        <w:keepLines w:val="0"/>
        <w:widowControl w:val="0"/>
        <w:shd w:val="clear" w:color="auto" w:fill="auto"/>
        <w:tabs>
          <w:tab w:pos="5346" w:val="left"/>
          <w:tab w:pos="7170" w:val="left"/>
        </w:tabs>
        <w:bidi w:val="0"/>
        <w:spacing w:before="0" w:after="200" w:line="240" w:lineRule="auto"/>
        <w:ind w:left="0" w:right="0" w:firstLine="340"/>
        <w:jc w:val="left"/>
      </w:pPr>
      <w:r>
        <w:rPr>
          <w:color w:val="000000"/>
          <w:spacing w:val="0"/>
          <w:w w:val="100"/>
          <w:position w:val="0"/>
        </w:rPr>
        <w:t>项目</w:t>
        <w:tab/>
        <w:t>期末数</w:t>
        <w:tab/>
        <w:t>期初数</w:t>
      </w:r>
      <w:r>
        <w:br w:type="page"/>
      </w:r>
    </w:p>
    <w:tbl>
      <w:tblPr>
        <w:tblOverlap w:val="never"/>
        <w:jc w:val="left"/>
        <w:tblLayout w:type="fixed"/>
      </w:tblPr>
      <w:tblGrid>
        <w:gridCol w:w="4723"/>
        <w:gridCol w:w="1915"/>
        <w:gridCol w:w="1757"/>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应收融资租赁利息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180" w:line="240" w:lineRule="auto"/>
        <w:ind w:left="0" w:right="0" w:firstLine="560"/>
        <w:jc w:val="left"/>
      </w:pPr>
      <w:bookmarkStart w:id="305" w:name="bookmark305"/>
      <w:bookmarkEnd w:id="305"/>
      <w:r>
        <w:rPr>
          <w:color w:val="000000"/>
          <w:spacing w:val="0"/>
          <w:w w:val="100"/>
          <w:position w:val="0"/>
        </w:rPr>
        <w:t>应收股利</w:t>
      </w: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⑴明细情况</w:t>
      </w:r>
    </w:p>
    <w:tbl>
      <w:tblPr>
        <w:tblOverlap w:val="never"/>
        <w:jc w:val="left"/>
        <w:tblLayout w:type="fixed"/>
      </w:tblPr>
      <w:tblGrid>
        <w:gridCol w:w="5054"/>
        <w:gridCol w:w="1790"/>
        <w:gridCol w:w="1742"/>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泰兴锦云染料有限公司(以下简称泰兴锦云公司)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江苏锦鸡实业股份有限公司(以下简称锦鸡股份公司)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bl>
    <w:p>
      <w:pPr>
        <w:widowControl w:val="0"/>
        <w:spacing w:after="79" w:line="1" w:lineRule="exact"/>
      </w:pPr>
    </w:p>
    <w:p>
      <w:pPr>
        <w:pStyle w:val="Style111"/>
        <w:keepNext w:val="0"/>
        <w:keepLines w:val="0"/>
        <w:widowControl w:val="0"/>
        <w:numPr>
          <w:ilvl w:val="0"/>
          <w:numId w:val="73"/>
        </w:numPr>
        <w:shd w:val="clear" w:color="auto" w:fill="auto"/>
        <w:bidi w:val="0"/>
        <w:spacing w:before="0" w:after="80" w:line="240" w:lineRule="auto"/>
        <w:ind w:left="0" w:right="0" w:firstLine="560"/>
        <w:jc w:val="left"/>
      </w:pPr>
      <w:bookmarkStart w:id="306" w:name="bookmark306"/>
      <w:bookmarkEnd w:id="306"/>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年以上重要的应收股利</w:t>
      </w:r>
    </w:p>
    <w:tbl>
      <w:tblPr>
        <w:tblOverlap w:val="never"/>
        <w:jc w:val="left"/>
        <w:tblLayout w:type="fixed"/>
      </w:tblPr>
      <w:tblGrid>
        <w:gridCol w:w="2520"/>
        <w:gridCol w:w="1627"/>
        <w:gridCol w:w="1238"/>
        <w:gridCol w:w="1704"/>
        <w:gridCol w:w="1498"/>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未收回的原因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是否发生减值 及其判断依据</w:t>
            </w:r>
          </w:p>
        </w:tc>
      </w:tr>
      <w:tr>
        <w:trPr>
          <w:trHeight w:val="8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按约定分期收取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预计如期收 回，不存在减 值迹象</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65"/>
        </w:numPr>
        <w:shd w:val="clear" w:color="auto" w:fill="auto"/>
        <w:bidi w:val="0"/>
        <w:spacing w:before="0" w:after="180" w:line="240" w:lineRule="auto"/>
        <w:ind w:left="0" w:right="0" w:firstLine="560"/>
        <w:jc w:val="left"/>
      </w:pPr>
      <w:bookmarkStart w:id="307" w:name="bookmark307"/>
      <w:bookmarkEnd w:id="307"/>
      <w:r>
        <w:rPr>
          <w:color w:val="000000"/>
          <w:spacing w:val="0"/>
          <w:w w:val="100"/>
          <w:position w:val="0"/>
        </w:rPr>
        <w:t>其他应收款</w:t>
      </w:r>
    </w:p>
    <w:p>
      <w:pPr>
        <w:pStyle w:val="Style111"/>
        <w:keepNext w:val="0"/>
        <w:keepLines w:val="0"/>
        <w:widowControl w:val="0"/>
        <w:numPr>
          <w:ilvl w:val="0"/>
          <w:numId w:val="75"/>
        </w:numPr>
        <w:shd w:val="clear" w:color="auto" w:fill="auto"/>
        <w:tabs>
          <w:tab w:pos="986" w:val="left"/>
        </w:tabs>
        <w:bidi w:val="0"/>
        <w:spacing w:before="0" w:after="180" w:line="240" w:lineRule="auto"/>
        <w:ind w:left="0" w:right="0" w:firstLine="560"/>
        <w:jc w:val="left"/>
      </w:pPr>
      <w:bookmarkStart w:id="308" w:name="bookmark308"/>
      <w:bookmarkEnd w:id="308"/>
      <w:r>
        <w:rPr>
          <w:color w:val="000000"/>
          <w:spacing w:val="0"/>
          <w:w w:val="100"/>
          <w:position w:val="0"/>
        </w:rPr>
        <w:t>明细情况</w:t>
      </w:r>
    </w:p>
    <w:p>
      <w:pPr>
        <w:pStyle w:val="Style11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p>
    <w:tbl>
      <w:tblPr>
        <w:tblOverlap w:val="never"/>
        <w:jc w:val="left"/>
        <w:tblLayout w:type="fixed"/>
      </w:tblPr>
      <w:tblGrid>
        <w:gridCol w:w="2270"/>
        <w:gridCol w:w="1522"/>
        <w:gridCol w:w="883"/>
        <w:gridCol w:w="1416"/>
        <w:gridCol w:w="1022"/>
        <w:gridCol w:w="1565"/>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计提比例陶</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单项金额重大并单项计提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按信用风险特征组合计提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单项金额不重大但单项计 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both"/>
      </w:pPr>
      <w:r>
        <w:rPr>
          <w:color w:val="000000"/>
          <w:spacing w:val="0"/>
          <w:w w:val="100"/>
          <w:position w:val="0"/>
        </w:rPr>
        <w:t>(续上表)</w:t>
      </w:r>
    </w:p>
    <w:tbl>
      <w:tblPr>
        <w:tblOverlap w:val="never"/>
        <w:jc w:val="left"/>
        <w:tblLayout w:type="fixed"/>
      </w:tblPr>
      <w:tblGrid>
        <w:gridCol w:w="2270"/>
        <w:gridCol w:w="1522"/>
        <w:gridCol w:w="883"/>
        <w:gridCol w:w="1421"/>
        <w:gridCol w:w="1003"/>
        <w:gridCol w:w="1579"/>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计提比例陶</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单项金额重大并单项计提</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按信用风险特征组合计提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bl>
    <w:p>
      <w:pPr>
        <w:spacing w:lineRule="exact" w:line="1"/>
        <w:rPr>
          <w:sz w:val="2"/>
          <w:szCs w:val="2"/>
        </w:rPr>
      </w:pPr>
      <w:r>
        <w:br w:type="page"/>
      </w:r>
    </w:p>
    <w:tbl>
      <w:tblPr>
        <w:tblOverlap w:val="never"/>
        <w:jc w:val="left"/>
        <w:tblLayout w:type="fixed"/>
      </w:tblPr>
      <w:tblGrid>
        <w:gridCol w:w="2270"/>
        <w:gridCol w:w="1522"/>
        <w:gridCol w:w="883"/>
        <w:gridCol w:w="1421"/>
        <w:gridCol w:w="1003"/>
        <w:gridCol w:w="1579"/>
      </w:tblGrid>
      <w:tr>
        <w:trPr>
          <w:trHeight w:val="47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单项金额不重大但单项计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)期末单项金额重大并单项计提坏账准备的其他应收款</w:t>
      </w:r>
    </w:p>
    <w:tbl>
      <w:tblPr>
        <w:tblOverlap w:val="never"/>
        <w:jc w:val="center"/>
        <w:tblLayout w:type="fixed"/>
      </w:tblPr>
      <w:tblGrid>
        <w:gridCol w:w="2126"/>
        <w:gridCol w:w="1584"/>
        <w:gridCol w:w="1536"/>
        <w:gridCol w:w="1205"/>
        <w:gridCol w:w="2582"/>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单位名称</w:t>
            </w:r>
            <w:r>
              <w:rPr>
                <w:color w:val="000000"/>
                <w:spacing w:val="0"/>
                <w:w w:val="100"/>
                <w:position w:val="0"/>
                <w:sz w:val="18"/>
                <w:szCs w:val="18"/>
              </w:rPr>
              <w:t>/自然人姓名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丁卫祥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预计难以收回，全额计提坏 账准备。</w:t>
            </w:r>
          </w:p>
        </w:tc>
      </w:tr>
      <w:tr>
        <w:trPr>
          <w:trHeight w:val="8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漳州高新技术产业开 发区财政局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系用地申请保证金，履约后 能全部收回，坏账风险较 小，不计提坏账准备</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71"/>
        </w:numPr>
        <w:shd w:val="clear" w:color="auto" w:fill="auto"/>
        <w:bidi w:val="0"/>
        <w:spacing w:before="0" w:after="80" w:line="240" w:lineRule="auto"/>
        <w:ind w:left="0" w:right="0" w:firstLine="560"/>
        <w:jc w:val="left"/>
      </w:pPr>
      <w:bookmarkStart w:id="309" w:name="bookmark309"/>
      <w:bookmarkEnd w:id="309"/>
      <w:r>
        <w:rPr>
          <w:color w:val="000000"/>
          <w:spacing w:val="0"/>
          <w:w w:val="100"/>
          <w:position w:val="0"/>
        </w:rPr>
        <w:t>组合中，采用账龄分析法计提坏账准备的其他应收款</w:t>
      </w:r>
    </w:p>
    <w:tbl>
      <w:tblPr>
        <w:tblOverlap w:val="never"/>
        <w:jc w:val="left"/>
        <w:tblLayout w:type="fixed"/>
      </w:tblPr>
      <w:tblGrid>
        <w:gridCol w:w="1747"/>
        <w:gridCol w:w="2270"/>
        <w:gridCol w:w="2266"/>
        <w:gridCol w:w="2304"/>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698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r>
    </w:tbl>
    <w:p>
      <w:pPr>
        <w:widowControl w:val="0"/>
        <w:spacing w:after="79" w:line="1" w:lineRule="exact"/>
      </w:pPr>
    </w:p>
    <w:p>
      <w:pPr>
        <w:pStyle w:val="Style111"/>
        <w:keepNext w:val="0"/>
        <w:keepLines w:val="0"/>
        <w:widowControl w:val="0"/>
        <w:numPr>
          <w:ilvl w:val="0"/>
          <w:numId w:val="71"/>
        </w:numPr>
        <w:shd w:val="clear" w:color="auto" w:fill="auto"/>
        <w:bidi w:val="0"/>
        <w:spacing w:before="0" w:after="80" w:line="240" w:lineRule="auto"/>
        <w:ind w:left="0" w:right="0" w:firstLine="560"/>
        <w:jc w:val="left"/>
      </w:pPr>
      <w:bookmarkStart w:id="310" w:name="bookmark310"/>
      <w:bookmarkEnd w:id="310"/>
      <w:r>
        <w:rPr>
          <w:color w:val="000000"/>
          <w:spacing w:val="0"/>
          <w:w w:val="100"/>
          <w:position w:val="0"/>
        </w:rPr>
        <w:t>期末单项金额不重大并单项计提坏账准备的其他应收款</w:t>
      </w:r>
    </w:p>
    <w:tbl>
      <w:tblPr>
        <w:tblOverlap w:val="never"/>
        <w:jc w:val="left"/>
        <w:tblLayout w:type="fixed"/>
      </w:tblPr>
      <w:tblGrid>
        <w:gridCol w:w="2117"/>
        <w:gridCol w:w="1454"/>
        <w:gridCol w:w="730"/>
        <w:gridCol w:w="725"/>
        <w:gridCol w:w="3701"/>
      </w:tblGrid>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坏账准 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计提比 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嘉兴市财政局港区分局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系项目建设履约保证金，履约后能全部收回， 坏账风险较小不计提坏账准备。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萧山临江高新技术产业 园区管理委员会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系项目建设履约保证金，履约后能全部收回， 坏账风险较小不计提坏账准备。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淮安市清河盐河生态科 技城投资发展有限公司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系应收政府客户奖励返还款，期后已经收回， 坏账风险小，不计提坏账准备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平湖市财政局国有土地 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系土地出让合同履约保证金额，履约后能全 部收回，坏账风险小，不计提坏账准备。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杭州市国土资源局萧山 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系项目竣工保证金，竣工后能全部收回，坏 账风险小，不计提坏账准备。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杭州大江东产业集聚区 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系土地出让合同建设履约保证金，履约后能</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全部收回，坏账风险小，不计提坏账准备</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衢州市柯城区人民政府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系项目竣工保证金，竣工后能全部收回，坏 账风险小，不计提坏账准备。</w:t>
            </w:r>
          </w:p>
        </w:tc>
      </w:tr>
      <w:tr>
        <w:trPr>
          <w:trHeight w:val="590"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重庆西部现代物流产业 园区开发有限责任公司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系项目建设履约保证金，履约后能全部收回， 坏账风险较小不计提坏账准备。</w:t>
            </w:r>
          </w:p>
        </w:tc>
      </w:tr>
    </w:tbl>
    <w:p>
      <w:pPr>
        <w:spacing w:lineRule="exact" w:line="1"/>
        <w:rPr>
          <w:sz w:val="2"/>
          <w:szCs w:val="2"/>
        </w:rPr>
      </w:pPr>
      <w:r>
        <w:br w:type="page"/>
      </w:r>
    </w:p>
    <w:tbl>
      <w:tblPr>
        <w:tblOverlap w:val="never"/>
        <w:jc w:val="left"/>
        <w:tblLayout w:type="fixed"/>
      </w:tblPr>
      <w:tblGrid>
        <w:gridCol w:w="2117"/>
        <w:gridCol w:w="1454"/>
        <w:gridCol w:w="730"/>
        <w:gridCol w:w="725"/>
        <w:gridCol w:w="3701"/>
      </w:tblGrid>
      <w:tr>
        <w:trPr>
          <w:trHeight w:val="59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杭州市富阳区土地储备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系土地招拍挂保证金，履约后能全部收回， 坏账风险小，不计提坏账准备</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平湖市国土资源局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系项目建设履约保证金，履约后能全部收回， 坏账风险较小</w:t>
            </w:r>
            <w:r>
              <w:rPr>
                <w:color w:val="000000"/>
                <w:spacing w:val="0"/>
                <w:w w:val="100"/>
                <w:position w:val="0"/>
                <w:sz w:val="22"/>
                <w:szCs w:val="22"/>
              </w:rPr>
              <w:t>，</w:t>
            </w:r>
            <w:r>
              <w:rPr>
                <w:color w:val="000000"/>
                <w:spacing w:val="0"/>
                <w:w w:val="100"/>
                <w:position w:val="0"/>
                <w:sz w:val="18"/>
                <w:szCs w:val="18"/>
              </w:rPr>
              <w:t>不计提坏账准备。</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重庆市沙坪坝区城乡建</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设委员会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系项目建设履约保证金，履约后能全部收回， 坏账风险较小</w:t>
            </w:r>
            <w:r>
              <w:rPr>
                <w:color w:val="000000"/>
                <w:spacing w:val="0"/>
                <w:w w:val="100"/>
                <w:position w:val="0"/>
                <w:sz w:val="22"/>
                <w:szCs w:val="22"/>
              </w:rPr>
              <w:t>，</w:t>
            </w:r>
            <w:r>
              <w:rPr>
                <w:color w:val="000000"/>
                <w:spacing w:val="0"/>
                <w:w w:val="100"/>
                <w:position w:val="0"/>
                <w:sz w:val="18"/>
                <w:szCs w:val="18"/>
              </w:rPr>
              <w:t>不计提坏账准备。</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平湖市财政局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系向政府交纳的工程押金，竣工后能全部收 回，坏账风险小，不计提坏账准备。</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成都电业局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系公司用电保证金，履约后能全部收回，坏 账风险较小，不计提坏账准备</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75"/>
        </w:numPr>
        <w:shd w:val="clear" w:color="auto" w:fill="auto"/>
        <w:bidi w:val="0"/>
        <w:spacing w:before="0" w:after="160" w:line="240" w:lineRule="auto"/>
        <w:ind w:left="0" w:right="0" w:firstLine="560"/>
        <w:jc w:val="left"/>
      </w:pPr>
      <w:bookmarkStart w:id="311" w:name="bookmark311"/>
      <w:bookmarkEnd w:id="311"/>
      <w:r>
        <w:rPr>
          <w:color w:val="000000"/>
          <w:spacing w:val="0"/>
          <w:w w:val="100"/>
          <w:position w:val="0"/>
        </w:rPr>
        <w:t>本期计提、收回或转回的坏账准备情况</w:t>
      </w:r>
    </w:p>
    <w:p>
      <w:pPr>
        <w:pStyle w:val="Style111"/>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本期计提坏账准备</w:t>
      </w:r>
      <w:r>
        <w:rPr>
          <w:rFonts w:ascii="Times New Roman" w:eastAsia="Times New Roman" w:hAnsi="Times New Roman" w:cs="Times New Roman"/>
          <w:color w:val="000000"/>
          <w:spacing w:val="0"/>
          <w:w w:val="100"/>
          <w:position w:val="0"/>
        </w:rPr>
        <w:t>292</w:t>
      </w:r>
      <w:r>
        <w:rPr>
          <w:color w:val="000000"/>
          <w:spacing w:val="0"/>
          <w:w w:val="100"/>
          <w:position w:val="0"/>
        </w:rPr>
        <w:t xml:space="preserve">, </w:t>
      </w:r>
      <w:r>
        <w:rPr>
          <w:rFonts w:ascii="Times New Roman" w:eastAsia="Times New Roman" w:hAnsi="Times New Roman" w:cs="Times New Roman"/>
          <w:color w:val="000000"/>
          <w:spacing w:val="0"/>
          <w:w w:val="100"/>
          <w:position w:val="0"/>
        </w:rPr>
        <w:t>619</w:t>
      </w:r>
      <w:r>
        <w:rPr>
          <w:color w:val="000000"/>
          <w:spacing w:val="0"/>
          <w:w w:val="100"/>
          <w:position w:val="0"/>
        </w:rPr>
        <w:t xml:space="preserve">. </w:t>
      </w:r>
      <w:r>
        <w:rPr>
          <w:rFonts w:ascii="Times New Roman" w:eastAsia="Times New Roman" w:hAnsi="Times New Roman" w:cs="Times New Roman"/>
          <w:color w:val="000000"/>
          <w:spacing w:val="0"/>
          <w:w w:val="100"/>
          <w:position w:val="0"/>
        </w:rPr>
        <w:t>38</w:t>
      </w:r>
      <w:r>
        <w:rPr>
          <w:color w:val="000000"/>
          <w:spacing w:val="0"/>
          <w:w w:val="100"/>
          <w:position w:val="0"/>
        </w:rPr>
        <w:t>元，因非同一控制企业合并转入的坏账准备</w:t>
      </w:r>
      <w:r>
        <w:rPr>
          <w:rFonts w:ascii="Times New Roman" w:eastAsia="Times New Roman" w:hAnsi="Times New Roman" w:cs="Times New Roman"/>
          <w:color w:val="000000"/>
          <w:spacing w:val="0"/>
          <w:w w:val="100"/>
          <w:position w:val="0"/>
        </w:rPr>
        <w:t>326</w:t>
      </w:r>
      <w:r>
        <w:rPr>
          <w:color w:val="000000"/>
          <w:spacing w:val="0"/>
          <w:w w:val="100"/>
          <w:position w:val="0"/>
        </w:rPr>
        <w:t xml:space="preserve">, </w:t>
      </w:r>
      <w:r>
        <w:rPr>
          <w:rFonts w:ascii="Times New Roman" w:eastAsia="Times New Roman" w:hAnsi="Times New Roman" w:cs="Times New Roman"/>
          <w:color w:val="000000"/>
          <w:spacing w:val="0"/>
          <w:w w:val="100"/>
          <w:position w:val="0"/>
        </w:rPr>
        <w:t>557</w:t>
      </w:r>
      <w:r>
        <w:rPr>
          <w:color w:val="000000"/>
          <w:spacing w:val="0"/>
          <w:w w:val="100"/>
          <w:position w:val="0"/>
        </w:rPr>
        <w:t xml:space="preserve">. </w:t>
      </w:r>
      <w:r>
        <w:rPr>
          <w:rFonts w:ascii="Times New Roman" w:eastAsia="Times New Roman" w:hAnsi="Times New Roman" w:cs="Times New Roman"/>
          <w:color w:val="000000"/>
          <w:spacing w:val="0"/>
          <w:w w:val="100"/>
          <w:position w:val="0"/>
        </w:rPr>
        <w:t>09</w:t>
      </w:r>
    </w:p>
    <w:p>
      <w:pPr>
        <w:pStyle w:val="Style111"/>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元，因外币报表折算减少的坏账准备</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306</w:t>
      </w:r>
      <w:r>
        <w:rPr>
          <w:color w:val="000000"/>
          <w:spacing w:val="0"/>
          <w:w w:val="100"/>
          <w:position w:val="0"/>
        </w:rPr>
        <w:t xml:space="preserve">. </w:t>
      </w:r>
      <w:r>
        <w:rPr>
          <w:rFonts w:ascii="Times New Roman" w:eastAsia="Times New Roman" w:hAnsi="Times New Roman" w:cs="Times New Roman"/>
          <w:color w:val="000000"/>
          <w:spacing w:val="0"/>
          <w:w w:val="100"/>
          <w:position w:val="0"/>
        </w:rPr>
        <w:t>62</w:t>
      </w:r>
      <w:r>
        <w:rPr>
          <w:color w:val="000000"/>
          <w:spacing w:val="0"/>
          <w:w w:val="100"/>
          <w:position w:val="0"/>
        </w:rPr>
        <w:t>元。</w:t>
      </w:r>
    </w:p>
    <w:p>
      <w:pPr>
        <w:pStyle w:val="Style111"/>
        <w:keepNext w:val="0"/>
        <w:keepLines w:val="0"/>
        <w:widowControl w:val="0"/>
        <w:numPr>
          <w:ilvl w:val="0"/>
          <w:numId w:val="75"/>
        </w:numPr>
        <w:shd w:val="clear" w:color="auto" w:fill="auto"/>
        <w:bidi w:val="0"/>
        <w:spacing w:before="0" w:after="80" w:line="240" w:lineRule="auto"/>
        <w:ind w:left="0" w:right="0" w:firstLine="560"/>
        <w:jc w:val="left"/>
      </w:pPr>
      <w:bookmarkStart w:id="312" w:name="bookmark312"/>
      <w:bookmarkEnd w:id="312"/>
      <w:r>
        <w:rPr>
          <w:color w:val="000000"/>
          <w:spacing w:val="0"/>
          <w:w w:val="100"/>
          <w:position w:val="0"/>
        </w:rPr>
        <w:t>其他应收款款项性质分类情况</w:t>
      </w:r>
    </w:p>
    <w:tbl>
      <w:tblPr>
        <w:tblOverlap w:val="never"/>
        <w:jc w:val="left"/>
        <w:tblLayout w:type="fixed"/>
      </w:tblPr>
      <w:tblGrid>
        <w:gridCol w:w="3686"/>
        <w:gridCol w:w="2410"/>
        <w:gridCol w:w="2491"/>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应收占用货款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r>
    </w:tbl>
    <w:p>
      <w:pPr>
        <w:widowControl w:val="0"/>
        <w:spacing w:after="79" w:line="1" w:lineRule="exact"/>
      </w:pPr>
    </w:p>
    <w:p>
      <w:pPr>
        <w:pStyle w:val="Style111"/>
        <w:keepNext w:val="0"/>
        <w:keepLines w:val="0"/>
        <w:widowControl w:val="0"/>
        <w:numPr>
          <w:ilvl w:val="0"/>
          <w:numId w:val="75"/>
        </w:numPr>
        <w:shd w:val="clear" w:color="auto" w:fill="auto"/>
        <w:bidi w:val="0"/>
        <w:spacing w:before="0" w:after="80" w:line="240" w:lineRule="auto"/>
        <w:ind w:left="0" w:right="0" w:firstLine="560"/>
        <w:jc w:val="left"/>
      </w:pPr>
      <w:bookmarkStart w:id="313" w:name="bookmark313"/>
      <w:bookmarkEnd w:id="313"/>
      <w:r>
        <w:rPr>
          <w:color w:val="000000"/>
          <w:spacing w:val="0"/>
          <w:w w:val="100"/>
          <w:position w:val="0"/>
        </w:rPr>
        <w:t>其他应收款金额前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left"/>
        <w:tblLayout w:type="fixed"/>
      </w:tblPr>
      <w:tblGrid>
        <w:gridCol w:w="1555"/>
        <w:gridCol w:w="1190"/>
        <w:gridCol w:w="1469"/>
        <w:gridCol w:w="1080"/>
        <w:gridCol w:w="1186"/>
        <w:gridCol w:w="1416"/>
        <w:gridCol w:w="691"/>
      </w:tblGrid>
      <w:tr>
        <w:trPr>
          <w:trHeight w:val="59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320"/>
              <w:jc w:val="both"/>
              <w:rPr>
                <w:sz w:val="18"/>
                <w:szCs w:val="18"/>
              </w:rPr>
            </w:pPr>
            <w:r>
              <w:rPr>
                <w:color w:val="000000"/>
                <w:spacing w:val="0"/>
                <w:w w:val="100"/>
                <w:position w:val="0"/>
                <w:sz w:val="18"/>
                <w:szCs w:val="18"/>
              </w:rPr>
              <w:t>单位名称</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/自然人姓名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占其他应收款 余额的比例(%)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是否为</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关联方</w:t>
            </w:r>
          </w:p>
        </w:tc>
      </w:tr>
      <w:tr>
        <w:trPr>
          <w:trHeight w:val="52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杨丽琴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vertAlign w:val="subscript"/>
              </w:rPr>
              <w:t>否</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丁卫祥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应收占用货</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vertAlign w:val="subscript"/>
              </w:rPr>
              <w:t>否</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漳州高新技术产 业开发区财政局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用地申请履 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vertAlign w:val="subscript"/>
              </w:rPr>
              <w:t>否</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嘉兴市财政局港 区分局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vertAlign w:val="subscript"/>
              </w:rPr>
              <w:t>否</w:t>
            </w:r>
          </w:p>
        </w:tc>
      </w:tr>
      <w:tr>
        <w:trPr>
          <w:trHeight w:val="73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7" w:lineRule="exact"/>
              <w:ind w:left="140" w:right="0" w:firstLine="0"/>
              <w:jc w:val="left"/>
              <w:rPr>
                <w:sz w:val="18"/>
                <w:szCs w:val="18"/>
              </w:rPr>
            </w:pPr>
            <w:r>
              <w:rPr>
                <w:color w:val="000000"/>
                <w:spacing w:val="0"/>
                <w:w w:val="100"/>
                <w:position w:val="0"/>
                <w:sz w:val="18"/>
                <w:szCs w:val="18"/>
              </w:rPr>
              <w:t>萧山临江高新技 术产业园区管理 委员会财政专户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vertAlign w:val="subscript"/>
              </w:rPr>
              <w:t>否</w:t>
            </w:r>
          </w:p>
        </w:tc>
      </w:tr>
      <w:tr>
        <w:trPr>
          <w:trHeight w:val="5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1"/>
        <w:keepNext w:val="0"/>
        <w:keepLines w:val="0"/>
        <w:widowControl w:val="0"/>
        <w:numPr>
          <w:ilvl w:val="0"/>
          <w:numId w:val="65"/>
        </w:numPr>
        <w:shd w:val="clear" w:color="auto" w:fill="auto"/>
        <w:bidi w:val="0"/>
        <w:spacing w:before="0" w:after="180" w:line="240" w:lineRule="auto"/>
        <w:ind w:left="0" w:right="0" w:firstLine="720"/>
        <w:jc w:val="left"/>
      </w:pPr>
      <w:bookmarkStart w:id="314" w:name="bookmark314"/>
      <w:bookmarkEnd w:id="314"/>
      <w:r>
        <w:rPr>
          <w:color w:val="000000"/>
          <w:spacing w:val="0"/>
          <w:w w:val="100"/>
          <w:position w:val="0"/>
        </w:rPr>
        <w:t>存货</w:t>
      </w:r>
    </w:p>
    <w:p>
      <w:pPr>
        <w:pStyle w:val="Style111"/>
        <w:keepNext w:val="0"/>
        <w:keepLines w:val="0"/>
        <w:widowControl w:val="0"/>
        <w:shd w:val="clear" w:color="auto" w:fill="auto"/>
        <w:bidi w:val="0"/>
        <w:spacing w:before="0" w:after="80" w:line="240" w:lineRule="auto"/>
        <w:ind w:left="0" w:right="0" w:firstLine="720"/>
        <w:jc w:val="left"/>
      </w:pPr>
      <w:r>
        <w:rPr>
          <w:color w:val="000000"/>
          <w:spacing w:val="0"/>
          <w:w w:val="100"/>
          <w:position w:val="0"/>
        </w:rPr>
        <w:t>⑴明细情况</w:t>
      </w:r>
    </w:p>
    <w:tbl>
      <w:tblPr>
        <w:tblOverlap w:val="never"/>
        <w:jc w:val="center"/>
        <w:tblLayout w:type="fixed"/>
      </w:tblPr>
      <w:tblGrid>
        <w:gridCol w:w="1181"/>
        <w:gridCol w:w="1291"/>
        <w:gridCol w:w="1229"/>
        <w:gridCol w:w="1291"/>
        <w:gridCol w:w="1416"/>
        <w:gridCol w:w="1277"/>
        <w:gridCol w:w="1310"/>
      </w:tblGrid>
      <w:tr>
        <w:trPr>
          <w:trHeight w:val="35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282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720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174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包装物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p>
    <w:tbl>
      <w:tblPr>
        <w:tblOverlap w:val="never"/>
        <w:jc w:val="center"/>
        <w:tblLayout w:type="fixed"/>
      </w:tblPr>
      <w:tblGrid>
        <w:gridCol w:w="1070"/>
        <w:gridCol w:w="1416"/>
        <w:gridCol w:w="1358"/>
        <w:gridCol w:w="1430"/>
        <w:gridCol w:w="1421"/>
        <w:gridCol w:w="566"/>
        <w:gridCol w:w="1450"/>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782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bl>
    <w:p>
      <w:pPr>
        <w:widowControl w:val="0"/>
        <w:spacing w:after="79" w:line="1" w:lineRule="exact"/>
      </w:pPr>
    </w:p>
    <w:p>
      <w:pPr>
        <w:pStyle w:val="Style11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注：本期其他增加系子公司传化荷兰公司收购</w:t>
      </w:r>
      <w:r>
        <w:rPr>
          <w:color w:val="000000"/>
          <w:spacing w:val="0"/>
          <w:w w:val="100"/>
          <w:position w:val="0"/>
        </w:rPr>
        <w:t>TPC Holding B.V</w:t>
      </w:r>
      <w:r>
        <w:rPr>
          <w:color w:val="000000"/>
          <w:spacing w:val="0"/>
          <w:w w:val="100"/>
          <w:position w:val="0"/>
        </w:rPr>
        <w:t>.而转入的存货跌价准</w:t>
      </w:r>
    </w:p>
    <w:p>
      <w:pPr>
        <w:pStyle w:val="Style111"/>
        <w:keepNext w:val="0"/>
        <w:keepLines w:val="0"/>
        <w:widowControl w:val="0"/>
        <w:shd w:val="clear" w:color="auto" w:fill="auto"/>
        <w:bidi w:val="0"/>
        <w:spacing w:before="0" w:after="0" w:line="442" w:lineRule="exact"/>
        <w:ind w:left="0" w:right="0" w:firstLine="300"/>
        <w:jc w:val="left"/>
      </w:pPr>
      <w:r>
        <w:rPr>
          <w:color w:val="000000"/>
          <w:spacing w:val="0"/>
          <w:w w:val="100"/>
          <w:position w:val="0"/>
          <w:shd w:val="clear" w:color="auto" w:fill="FFFFFF"/>
        </w:rPr>
        <w:t>备</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 xml:space="preserve">, </w:t>
      </w:r>
      <w:r>
        <w:rPr>
          <w:rFonts w:ascii="Times New Roman" w:eastAsia="Times New Roman" w:hAnsi="Times New Roman" w:cs="Times New Roman"/>
          <w:color w:val="000000"/>
          <w:spacing w:val="0"/>
          <w:w w:val="100"/>
          <w:position w:val="0"/>
          <w:shd w:val="clear" w:color="auto" w:fill="FFFFFF"/>
        </w:rPr>
        <w:t>848</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984</w:t>
      </w:r>
      <w:r>
        <w:rPr>
          <w:color w:val="000000"/>
          <w:spacing w:val="0"/>
          <w:w w:val="100"/>
          <w:position w:val="0"/>
          <w:shd w:val="clear" w:color="auto" w:fill="FFFFFF"/>
        </w:rPr>
        <w:t xml:space="preserve">. </w:t>
      </w:r>
      <w:r>
        <w:rPr>
          <w:rFonts w:ascii="Times New Roman" w:eastAsia="Times New Roman" w:hAnsi="Times New Roman" w:cs="Times New Roman"/>
          <w:color w:val="000000"/>
          <w:spacing w:val="0"/>
          <w:w w:val="100"/>
          <w:position w:val="0"/>
          <w:shd w:val="clear" w:color="auto" w:fill="FFFFFF"/>
        </w:rPr>
        <w:t>98</w:t>
      </w:r>
      <w:r>
        <w:rPr>
          <w:color w:val="000000"/>
          <w:spacing w:val="0"/>
          <w:w w:val="100"/>
          <w:position w:val="0"/>
          <w:shd w:val="clear" w:color="auto" w:fill="FFFFFF"/>
        </w:rPr>
        <w:t>，因外币报表折算而增加的存货跌价准备</w:t>
      </w:r>
      <w:r>
        <w:rPr>
          <w:rFonts w:ascii="Times New Roman" w:eastAsia="Times New Roman" w:hAnsi="Times New Roman" w:cs="Times New Roman"/>
          <w:color w:val="000000"/>
          <w:spacing w:val="0"/>
          <w:w w:val="100"/>
          <w:position w:val="0"/>
          <w:shd w:val="clear" w:color="auto" w:fill="FFFFFF"/>
        </w:rPr>
        <w:t>T31</w:t>
      </w:r>
      <w:r>
        <w:rPr>
          <w:color w:val="000000"/>
          <w:spacing w:val="0"/>
          <w:w w:val="100"/>
          <w:position w:val="0"/>
          <w:shd w:val="clear" w:color="auto" w:fill="FFFFFF"/>
        </w:rPr>
        <w:t xml:space="preserve">, </w:t>
      </w:r>
      <w:r>
        <w:rPr>
          <w:rFonts w:ascii="Times New Roman" w:eastAsia="Times New Roman" w:hAnsi="Times New Roman" w:cs="Times New Roman"/>
          <w:color w:val="000000"/>
          <w:spacing w:val="0"/>
          <w:w w:val="100"/>
          <w:position w:val="0"/>
          <w:shd w:val="clear" w:color="auto" w:fill="FFFFFF"/>
        </w:rPr>
        <w:t>202</w:t>
      </w:r>
      <w:r>
        <w:rPr>
          <w:color w:val="000000"/>
          <w:spacing w:val="0"/>
          <w:w w:val="100"/>
          <w:position w:val="0"/>
          <w:shd w:val="clear" w:color="auto" w:fill="FFFFFF"/>
        </w:rPr>
        <w:t xml:space="preserve">. </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元。</w:t>
      </w:r>
    </w:p>
    <w:p>
      <w:pPr>
        <w:pStyle w:val="Style111"/>
        <w:keepNext w:val="0"/>
        <w:keepLines w:val="0"/>
        <w:widowControl w:val="0"/>
        <w:numPr>
          <w:ilvl w:val="0"/>
          <w:numId w:val="73"/>
        </w:numPr>
        <w:shd w:val="clear" w:color="auto" w:fill="auto"/>
        <w:bidi w:val="0"/>
        <w:spacing w:before="0" w:after="0" w:line="442" w:lineRule="exact"/>
        <w:ind w:left="0" w:right="0" w:firstLine="720"/>
        <w:jc w:val="left"/>
      </w:pPr>
      <w:bookmarkStart w:id="315" w:name="bookmark315"/>
      <w:bookmarkEnd w:id="315"/>
      <w:r>
        <w:rPr>
          <w:color w:val="000000"/>
          <w:spacing w:val="0"/>
          <w:w w:val="100"/>
          <w:position w:val="0"/>
        </w:rPr>
        <w:t>其他说明</w:t>
      </w:r>
    </w:p>
    <w:p>
      <w:pPr>
        <w:pStyle w:val="Style111"/>
        <w:keepNext w:val="0"/>
        <w:keepLines w:val="0"/>
        <w:widowControl w:val="0"/>
        <w:shd w:val="clear" w:color="auto" w:fill="auto"/>
        <w:bidi w:val="0"/>
        <w:spacing w:before="0" w:after="80" w:line="442" w:lineRule="exact"/>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)存货一一开发成本</w:t>
      </w:r>
    </w:p>
    <w:tbl>
      <w:tblPr>
        <w:tblOverlap w:val="never"/>
        <w:jc w:val="center"/>
        <w:tblLayout w:type="fixed"/>
      </w:tblPr>
      <w:tblGrid>
        <w:gridCol w:w="1694"/>
        <w:gridCol w:w="1445"/>
        <w:gridCol w:w="1478"/>
        <w:gridCol w:w="1344"/>
        <w:gridCol w:w="1723"/>
        <w:gridCol w:w="171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开工时间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预计竣工时间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预计总投资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遵义公路港项</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贵阳公路港项</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68 </w:t>
            </w:r>
            <w:r>
              <w:rPr>
                <w:color w:val="000000"/>
                <w:spacing w:val="0"/>
                <w:w w:val="100"/>
                <w:position w:val="0"/>
                <w:sz w:val="20"/>
                <w:szCs w:val="20"/>
              </w:rPr>
              <w:t>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)存货一一开发产品</w:t>
      </w:r>
    </w:p>
    <w:p>
      <w:pPr>
        <w:pStyle w:val="Style111"/>
        <w:keepNext w:val="0"/>
        <w:keepLines w:val="0"/>
        <w:widowControl w:val="0"/>
        <w:shd w:val="clear" w:color="auto" w:fill="auto"/>
        <w:tabs>
          <w:tab w:pos="1700" w:val="left"/>
          <w:tab w:pos="2996" w:val="left"/>
          <w:tab w:pos="4378" w:val="left"/>
          <w:tab w:pos="5847" w:val="left"/>
          <w:tab w:pos="7402" w:val="left"/>
        </w:tabs>
        <w:bidi w:val="0"/>
        <w:spacing w:before="0" w:after="80" w:line="240" w:lineRule="auto"/>
        <w:ind w:left="0" w:right="0" w:firstLine="620"/>
        <w:jc w:val="left"/>
      </w:pPr>
      <w:r>
        <w:rPr>
          <w:color w:val="000000"/>
          <w:spacing w:val="0"/>
          <w:w w:val="100"/>
          <w:position w:val="0"/>
        </w:rPr>
        <w:t>项目名称</w:t>
        <w:tab/>
        <w:t>竣工时间</w:t>
        <w:tab/>
        <w:t>期初数</w:t>
        <w:tab/>
        <w:t>本期增加</w:t>
        <w:tab/>
        <w:t>本期减少</w:t>
        <w:tab/>
        <w:t>期末数</w:t>
      </w:r>
      <w:r>
        <w:br w:type="page"/>
      </w:r>
    </w:p>
    <w:tbl>
      <w:tblPr>
        <w:tblOverlap w:val="never"/>
        <w:jc w:val="center"/>
        <w:tblLayout w:type="fixed"/>
      </w:tblPr>
      <w:tblGrid>
        <w:gridCol w:w="1306"/>
        <w:gridCol w:w="1133"/>
        <w:gridCol w:w="1306"/>
        <w:gridCol w:w="1685"/>
        <w:gridCol w:w="1195"/>
        <w:gridCol w:w="1718"/>
      </w:tblGrid>
      <w:tr>
        <w:trPr>
          <w:trHeight w:val="595"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遵义公路港</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r>
    </w:tbl>
    <w:p>
      <w:pPr>
        <w:widowControl w:val="0"/>
        <w:spacing w:after="499" w:line="1" w:lineRule="exact"/>
      </w:pPr>
    </w:p>
    <w:p>
      <w:pPr>
        <w:pStyle w:val="Style30"/>
        <w:keepNext w:val="0"/>
        <w:keepLines w:val="0"/>
        <w:widowControl w:val="0"/>
        <w:shd w:val="clear" w:color="auto" w:fill="auto"/>
        <w:bidi w:val="0"/>
        <w:spacing w:before="0" w:after="0" w:line="240" w:lineRule="auto"/>
        <w:ind w:left="557" w:right="0" w:firstLine="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 </w:t>
      </w:r>
      <w:r>
        <w:rPr>
          <w:color w:val="000000"/>
          <w:spacing w:val="0"/>
          <w:w w:val="100"/>
          <w:position w:val="0"/>
          <w:sz w:val="20"/>
          <w:szCs w:val="20"/>
        </w:rPr>
        <w:t>一年内到期的非流动资产</w:t>
      </w:r>
    </w:p>
    <w:tbl>
      <w:tblPr>
        <w:tblOverlap w:val="never"/>
        <w:jc w:val="center"/>
        <w:tblLayout w:type="fixed"/>
      </w:tblPr>
      <w:tblGrid>
        <w:gridCol w:w="1277"/>
        <w:gridCol w:w="1416"/>
        <w:gridCol w:w="1133"/>
        <w:gridCol w:w="1421"/>
        <w:gridCol w:w="1061"/>
        <w:gridCol w:w="1123"/>
        <w:gridCol w:w="1157"/>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color w:val="000000"/>
          <w:spacing w:val="0"/>
          <w:w w:val="100"/>
          <w:position w:val="0"/>
          <w:sz w:val="20"/>
          <w:szCs w:val="20"/>
        </w:rPr>
        <w:t>其他流动资产</w:t>
      </w:r>
    </w:p>
    <w:tbl>
      <w:tblPr>
        <w:tblOverlap w:val="never"/>
        <w:jc w:val="center"/>
        <w:tblLayout w:type="fixed"/>
      </w:tblPr>
      <w:tblGrid>
        <w:gridCol w:w="4109"/>
        <w:gridCol w:w="2270"/>
        <w:gridCol w:w="220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留抵增值税进项税额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待摊仓储租赁费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待摊保险费等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预缴城建税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预缴水利建设专项资金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bl>
    <w:p>
      <w:pPr>
        <w:widowControl w:val="0"/>
        <w:spacing w:after="499" w:line="1" w:lineRule="exact"/>
      </w:pPr>
    </w:p>
    <w:p>
      <w:pPr>
        <w:pStyle w:val="Style111"/>
        <w:keepNext w:val="0"/>
        <w:keepLines w:val="0"/>
        <w:widowControl w:val="0"/>
        <w:shd w:val="clear" w:color="auto" w:fill="auto"/>
        <w:bidi w:val="0"/>
        <w:spacing w:before="0" w:after="200" w:line="240" w:lineRule="auto"/>
        <w:ind w:left="0" w:right="0" w:firstLine="98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可供出售金融资产</w:t>
      </w:r>
    </w:p>
    <w:p>
      <w:pPr>
        <w:pStyle w:val="Style111"/>
        <w:keepNext w:val="0"/>
        <w:keepLines w:val="0"/>
        <w:widowControl w:val="0"/>
        <w:shd w:val="clear" w:color="auto" w:fill="auto"/>
        <w:bidi w:val="0"/>
        <w:spacing w:before="0" w:after="80" w:line="240" w:lineRule="auto"/>
        <w:ind w:left="0" w:right="0" w:firstLine="980"/>
        <w:jc w:val="left"/>
      </w:pPr>
      <w:r>
        <w:rPr>
          <w:color w:val="000000"/>
          <w:spacing w:val="0"/>
          <w:w w:val="100"/>
          <w:position w:val="0"/>
        </w:rPr>
        <w:t>⑴明细情况</w:t>
      </w:r>
    </w:p>
    <w:tbl>
      <w:tblPr>
        <w:tblOverlap w:val="never"/>
        <w:jc w:val="center"/>
        <w:tblLayout w:type="fixed"/>
      </w:tblPr>
      <w:tblGrid>
        <w:gridCol w:w="2016"/>
        <w:gridCol w:w="1277"/>
        <w:gridCol w:w="994"/>
        <w:gridCol w:w="1555"/>
        <w:gridCol w:w="1277"/>
        <w:gridCol w:w="994"/>
        <w:gridCol w:w="1358"/>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40"/>
              <w:jc w:val="left"/>
              <w:rPr>
                <w:sz w:val="15"/>
                <w:szCs w:val="15"/>
              </w:rPr>
            </w:pPr>
            <w:r>
              <w:rPr>
                <w:color w:val="000000"/>
                <w:spacing w:val="0"/>
                <w:w w:val="100"/>
                <w:position w:val="0"/>
                <w:sz w:val="15"/>
                <w:szCs w:val="15"/>
              </w:rPr>
              <w:t>其中：按公允价值</w:t>
            </w:r>
          </w:p>
          <w:p>
            <w:pPr>
              <w:pStyle w:val="Style6"/>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按成本计量的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bl>
    <w:p>
      <w:pPr>
        <w:spacing w:lineRule="exact" w:line="1"/>
        <w:rPr>
          <w:sz w:val="2"/>
          <w:szCs w:val="2"/>
        </w:rPr>
      </w:pPr>
      <w:r>
        <w:br w:type="page"/>
      </w:r>
    </w:p>
    <w:p>
      <w:pPr>
        <w:pStyle w:val="Style66"/>
        <w:keepNext w:val="0"/>
        <w:keepLines w:val="0"/>
        <w:widowControl w:val="0"/>
        <w:shd w:val="clear" w:color="auto" w:fill="auto"/>
        <w:tabs>
          <w:tab w:pos="2094" w:val="left"/>
          <w:tab w:pos="4604" w:val="left"/>
          <w:tab w:pos="5894" w:val="left"/>
          <w:tab w:pos="8228" w:val="left"/>
        </w:tabs>
        <w:bidi w:val="0"/>
        <w:spacing w:before="0" w:after="220" w:line="240" w:lineRule="auto"/>
        <w:ind w:left="0" w:right="0" w:firstLine="260"/>
        <w:jc w:val="both"/>
      </w:pPr>
      <w:r>
        <w:rPr>
          <w:rFonts w:ascii="SimSun" w:eastAsia="SimSun" w:hAnsi="SimSun" w:cs="SimSun"/>
          <w:color w:val="000000"/>
          <w:spacing w:val="0"/>
          <w:w w:val="100"/>
          <w:position w:val="0"/>
        </w:rPr>
        <w:t>合 计</w:t>
        <w:tab/>
      </w:r>
      <w:r>
        <w:rPr>
          <w:color w:val="000000"/>
          <w:spacing w:val="0"/>
          <w:w w:val="100"/>
          <w:position w:val="0"/>
        </w:rPr>
        <w:t>358</w:t>
      </w:r>
      <w:r>
        <w:rPr>
          <w:rFonts w:ascii="SimSun" w:eastAsia="SimSun" w:hAnsi="SimSun" w:cs="SimSun"/>
          <w:color w:val="000000"/>
          <w:spacing w:val="0"/>
          <w:w w:val="100"/>
          <w:position w:val="0"/>
        </w:rPr>
        <w:t xml:space="preserve">, </w:t>
      </w:r>
      <w:r>
        <w:rPr>
          <w:color w:val="000000"/>
          <w:spacing w:val="0"/>
          <w:w w:val="100"/>
          <w:position w:val="0"/>
        </w:rPr>
        <w:t>482</w:t>
      </w:r>
      <w:r>
        <w:rPr>
          <w:rFonts w:ascii="SimSun" w:eastAsia="SimSun" w:hAnsi="SimSun" w:cs="SimSun"/>
          <w:color w:val="000000"/>
          <w:spacing w:val="0"/>
          <w:w w:val="100"/>
          <w:position w:val="0"/>
        </w:rPr>
        <w:t xml:space="preserve">, </w:t>
      </w:r>
      <w:r>
        <w:rPr>
          <w:color w:val="000000"/>
          <w:spacing w:val="0"/>
          <w:w w:val="100"/>
          <w:position w:val="0"/>
        </w:rPr>
        <w:t>571</w:t>
      </w:r>
      <w:r>
        <w:rPr>
          <w:rFonts w:ascii="SimSun" w:eastAsia="SimSun" w:hAnsi="SimSun" w:cs="SimSun"/>
          <w:color w:val="000000"/>
          <w:spacing w:val="0"/>
          <w:w w:val="100"/>
          <w:position w:val="0"/>
        </w:rPr>
        <w:t xml:space="preserve">. </w:t>
      </w:r>
      <w:r>
        <w:rPr>
          <w:color w:val="000000"/>
          <w:spacing w:val="0"/>
          <w:w w:val="100"/>
          <w:position w:val="0"/>
        </w:rPr>
        <w:t>00</w:t>
        <w:tab/>
        <w:t>358</w:t>
      </w:r>
      <w:r>
        <w:rPr>
          <w:rFonts w:ascii="SimSun" w:eastAsia="SimSun" w:hAnsi="SimSun" w:cs="SimSun"/>
          <w:color w:val="000000"/>
          <w:spacing w:val="0"/>
          <w:w w:val="100"/>
          <w:position w:val="0"/>
        </w:rPr>
        <w:t xml:space="preserve">, </w:t>
      </w:r>
      <w:r>
        <w:rPr>
          <w:color w:val="000000"/>
          <w:spacing w:val="0"/>
          <w:w w:val="100"/>
          <w:position w:val="0"/>
        </w:rPr>
        <w:t>482</w:t>
      </w:r>
      <w:r>
        <w:rPr>
          <w:rFonts w:ascii="SimSun" w:eastAsia="SimSun" w:hAnsi="SimSun" w:cs="SimSun"/>
          <w:color w:val="000000"/>
          <w:spacing w:val="0"/>
          <w:w w:val="100"/>
          <w:position w:val="0"/>
        </w:rPr>
        <w:t xml:space="preserve">, </w:t>
      </w:r>
      <w:r>
        <w:rPr>
          <w:color w:val="000000"/>
          <w:spacing w:val="0"/>
          <w:w w:val="100"/>
          <w:position w:val="0"/>
        </w:rPr>
        <w:t>571</w:t>
      </w:r>
      <w:r>
        <w:rPr>
          <w:rFonts w:ascii="SimSun" w:eastAsia="SimSun" w:hAnsi="SimSun" w:cs="SimSun"/>
          <w:color w:val="000000"/>
          <w:spacing w:val="0"/>
          <w:w w:val="100"/>
          <w:position w:val="0"/>
        </w:rPr>
        <w:t xml:space="preserve">. </w:t>
      </w:r>
      <w:r>
        <w:rPr>
          <w:color w:val="000000"/>
          <w:spacing w:val="0"/>
          <w:w w:val="100"/>
          <w:position w:val="0"/>
        </w:rPr>
        <w:t>00</w:t>
        <w:tab/>
        <w:t>287</w:t>
      </w:r>
      <w:r>
        <w:rPr>
          <w:rFonts w:ascii="SimSun" w:eastAsia="SimSun" w:hAnsi="SimSun" w:cs="SimSun"/>
          <w:color w:val="000000"/>
          <w:spacing w:val="0"/>
          <w:w w:val="100"/>
          <w:position w:val="0"/>
        </w:rPr>
        <w:t xml:space="preserve">, </w:t>
      </w:r>
      <w:r>
        <w:rPr>
          <w:color w:val="000000"/>
          <w:spacing w:val="0"/>
          <w:w w:val="100"/>
          <w:position w:val="0"/>
        </w:rPr>
        <w:t>482</w:t>
      </w:r>
      <w:r>
        <w:rPr>
          <w:rFonts w:ascii="SimSun" w:eastAsia="SimSun" w:hAnsi="SimSun" w:cs="SimSun"/>
          <w:color w:val="000000"/>
          <w:spacing w:val="0"/>
          <w:w w:val="100"/>
          <w:position w:val="0"/>
        </w:rPr>
        <w:t xml:space="preserve">, </w:t>
      </w:r>
      <w:r>
        <w:rPr>
          <w:color w:val="000000"/>
          <w:spacing w:val="0"/>
          <w:w w:val="100"/>
          <w:position w:val="0"/>
        </w:rPr>
        <w:t>571</w:t>
      </w:r>
      <w:r>
        <w:rPr>
          <w:rFonts w:ascii="SimSun" w:eastAsia="SimSun" w:hAnsi="SimSun" w:cs="SimSun"/>
          <w:color w:val="000000"/>
          <w:spacing w:val="0"/>
          <w:w w:val="100"/>
          <w:position w:val="0"/>
        </w:rPr>
        <w:t xml:space="preserve">. </w:t>
      </w:r>
      <w:r>
        <w:rPr>
          <w:color w:val="000000"/>
          <w:spacing w:val="0"/>
          <w:w w:val="100"/>
          <w:position w:val="0"/>
        </w:rPr>
        <w:t>00</w:t>
        <w:tab/>
        <w:t>287</w:t>
      </w:r>
      <w:r>
        <w:rPr>
          <w:rFonts w:ascii="SimSun" w:eastAsia="SimSun" w:hAnsi="SimSun" w:cs="SimSun"/>
          <w:color w:val="000000"/>
          <w:spacing w:val="0"/>
          <w:w w:val="100"/>
          <w:position w:val="0"/>
        </w:rPr>
        <w:t xml:space="preserve">, </w:t>
      </w:r>
      <w:r>
        <w:rPr>
          <w:color w:val="000000"/>
          <w:spacing w:val="0"/>
          <w:w w:val="100"/>
          <w:position w:val="0"/>
        </w:rPr>
        <w:t>482</w:t>
      </w:r>
      <w:r>
        <w:rPr>
          <w:rFonts w:ascii="SimSun" w:eastAsia="SimSun" w:hAnsi="SimSun" w:cs="SimSun"/>
          <w:color w:val="000000"/>
          <w:spacing w:val="0"/>
          <w:w w:val="100"/>
          <w:position w:val="0"/>
        </w:rPr>
        <w:t xml:space="preserve">, </w:t>
      </w:r>
      <w:r>
        <w:rPr>
          <w:color w:val="000000"/>
          <w:spacing w:val="0"/>
          <w:w w:val="100"/>
          <w:position w:val="0"/>
        </w:rPr>
        <w:t>571</w:t>
      </w:r>
      <w:r>
        <w:rPr>
          <w:rFonts w:ascii="SimSun" w:eastAsia="SimSun" w:hAnsi="SimSun" w:cs="SimSun"/>
          <w:color w:val="000000"/>
          <w:spacing w:val="0"/>
          <w:w w:val="100"/>
          <w:position w:val="0"/>
        </w:rPr>
        <w:t xml:space="preserve">. </w:t>
      </w:r>
      <w:r>
        <w:rPr>
          <w:color w:val="000000"/>
          <w:spacing w:val="0"/>
          <w:w w:val="100"/>
          <w:position w:val="0"/>
        </w:rPr>
        <w:t>00</w:t>
      </w:r>
    </w:p>
    <w:p>
      <w:pPr>
        <w:pStyle w:val="Style111"/>
        <w:keepNext w:val="0"/>
        <w:keepLines w:val="0"/>
        <w:widowControl w:val="0"/>
        <w:shd w:val="clear" w:color="auto" w:fill="auto"/>
        <w:bidi w:val="0"/>
        <w:spacing w:before="0" w:after="80" w:line="240" w:lineRule="auto"/>
        <w:ind w:left="0" w:right="0" w:firstLine="9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p>
    <w:tbl>
      <w:tblPr>
        <w:tblOverlap w:val="never"/>
        <w:jc w:val="center"/>
        <w:tblLayout w:type="fixed"/>
      </w:tblPr>
      <w:tblGrid>
        <w:gridCol w:w="2765"/>
        <w:gridCol w:w="1531"/>
        <w:gridCol w:w="1603"/>
        <w:gridCol w:w="1454"/>
        <w:gridCol w:w="1517"/>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被投资单位</w:t>
            </w:r>
          </w:p>
        </w:tc>
        <w:tc>
          <w:tcPr>
            <w:gridSpan w:val="4"/>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期末数</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成都传化置业有限公司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浙江传化公路港投资有限公司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0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内江传化置业有限公司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西部新时代能源投资股份有限 公司（以下简称西部能源公司）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浙江玉环永兴村镇银行有限公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锦鸡股份公司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上海发网供应链管理有限公司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车满满（北京）信息技术有限公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980"/>
        <w:jc w:val="left"/>
      </w:pPr>
      <w:r>
        <w:rPr>
          <w:color w:val="000000"/>
          <w:spacing w:val="0"/>
          <w:w w:val="100"/>
          <w:position w:val="0"/>
        </w:rPr>
        <w:t>（续上表）</w:t>
      </w:r>
    </w:p>
    <w:tbl>
      <w:tblPr>
        <w:tblOverlap w:val="never"/>
        <w:jc w:val="center"/>
        <w:tblLayout w:type="fixed"/>
      </w:tblPr>
      <w:tblGrid>
        <w:gridCol w:w="2606"/>
        <w:gridCol w:w="974"/>
        <w:gridCol w:w="984"/>
        <w:gridCol w:w="883"/>
        <w:gridCol w:w="768"/>
        <w:gridCol w:w="1190"/>
        <w:gridCol w:w="1181"/>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w:t>
            </w:r>
          </w:p>
        </w:tc>
        <w:tc>
          <w:tcPr>
            <w:gridSpan w:val="4"/>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在被投资单位 持股比例（%）</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 现金红利</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成都传化置业有限公司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浙江传化公路港投资有限公司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内江传化置业有限公司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西部新时代能源投资股份有限 公司（以下简称西部能源公司）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浙江玉环永兴村镇银行有限公</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锦鸡股份公司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上海发网供应链管理有限公司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车满满（北京）信息技术有限 公司（以下简称车满满公司）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）其他说明</w:t>
      </w:r>
    </w:p>
    <w:p>
      <w:pPr>
        <w:pStyle w:val="Style111"/>
        <w:keepNext w:val="0"/>
        <w:keepLines w:val="0"/>
        <w:widowControl w:val="0"/>
        <w:shd w:val="clear" w:color="auto" w:fill="auto"/>
        <w:bidi w:val="0"/>
        <w:spacing w:before="0" w:after="0" w:line="430" w:lineRule="exact"/>
        <w:ind w:left="540" w:right="56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）根据子公司传化物流集团与河南万联实业有限公司签订《郑州传化“公路港”综合 体项目合资经营协议》，双方共同出资设立浙江传化公路港投资有限公司，其中传化物流集 团出资</w:t>
      </w:r>
      <w:r>
        <w:rPr>
          <w:rFonts w:ascii="Times New Roman" w:eastAsia="Times New Roman" w:hAnsi="Times New Roman" w:cs="Times New Roman"/>
          <w:color w:val="000000"/>
          <w:spacing w:val="0"/>
          <w:w w:val="100"/>
          <w:position w:val="0"/>
        </w:rPr>
        <w:t>49</w:t>
      </w:r>
      <w:r>
        <w:rPr>
          <w:color w:val="000000"/>
          <w:spacing w:val="0"/>
          <w:w w:val="100"/>
          <w:position w:val="0"/>
        </w:rPr>
        <w:t>%,河南万联实业有限公司出资</w:t>
      </w:r>
      <w:r>
        <w:rPr>
          <w:rFonts w:ascii="Times New Roman" w:eastAsia="Times New Roman" w:hAnsi="Times New Roman" w:cs="Times New Roman"/>
          <w:color w:val="000000"/>
          <w:spacing w:val="0"/>
          <w:w w:val="100"/>
          <w:position w:val="0"/>
        </w:rPr>
        <w:t>51</w:t>
      </w:r>
      <w:r>
        <w:rPr>
          <w:color w:val="000000"/>
          <w:spacing w:val="0"/>
          <w:w w:val="100"/>
          <w:position w:val="0"/>
        </w:rPr>
        <w:t xml:space="preserve">%。浙江传化公路港投资有限公司及项目公司的 </w:t>
      </w:r>
      <w:r>
        <w:rPr>
          <w:color w:val="000000"/>
          <w:spacing w:val="0"/>
          <w:w w:val="100"/>
          <w:position w:val="0"/>
        </w:rPr>
        <w:t>利润由河南万联实业有限公司享有，传化物流集团不参与利润分配。河南万联实业有限公司 收购传化物流集团持有的全部股权前，浙江传化公路港投资有限公司及项目公司不进行利润 分配，如河南万联实业有限公司未按照协议约定收购甲方持有的全部股权投资时，传化物流 集团有权参与利润分配。河南万联实业有限公司需按照协议约定收购传化物流集团持有的全 部投资公司股权。鉴于此，尽管传化物流集团持有浙江传化公路港投资有限公司</w:t>
      </w:r>
      <w:r>
        <w:rPr>
          <w:rFonts w:ascii="Times New Roman" w:eastAsia="Times New Roman" w:hAnsi="Times New Roman" w:cs="Times New Roman"/>
          <w:color w:val="000000"/>
          <w:spacing w:val="0"/>
          <w:w w:val="100"/>
          <w:position w:val="0"/>
        </w:rPr>
        <w:t>49</w:t>
      </w:r>
      <w:r>
        <w:rPr>
          <w:color w:val="000000"/>
          <w:spacing w:val="0"/>
          <w:w w:val="100"/>
          <w:position w:val="0"/>
        </w:rPr>
        <w:t>%股权， 但对其仍不构成控制或重大影响，因此将对其投资列于本项目。</w:t>
      </w:r>
    </w:p>
    <w:p>
      <w:pPr>
        <w:pStyle w:val="Style111"/>
        <w:keepNext w:val="0"/>
        <w:keepLines w:val="0"/>
        <w:widowControl w:val="0"/>
        <w:shd w:val="clear" w:color="auto" w:fill="auto"/>
        <w:bidi w:val="0"/>
        <w:spacing w:before="0" w:after="600"/>
        <w:ind w:left="40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）根据子公司传化物流集团与成都传化置业有限公司签订的《内江电商城项目开发合 作协议》，双方共同出资设立内江传化置业有限公司，其中传化物流集团出资</w:t>
      </w:r>
      <w:r>
        <w:rPr>
          <w:rFonts w:ascii="Times New Roman" w:eastAsia="Times New Roman" w:hAnsi="Times New Roman" w:cs="Times New Roman"/>
          <w:color w:val="000000"/>
          <w:spacing w:val="0"/>
          <w:w w:val="100"/>
          <w:position w:val="0"/>
        </w:rPr>
        <w:t>60</w:t>
      </w:r>
      <w:r>
        <w:rPr>
          <w:color w:val="000000"/>
          <w:spacing w:val="0"/>
          <w:w w:val="100"/>
          <w:position w:val="0"/>
        </w:rPr>
        <w:t>%，成都传 化置业有限公司出资</w:t>
      </w:r>
      <w:r>
        <w:rPr>
          <w:rFonts w:ascii="Times New Roman" w:eastAsia="Times New Roman" w:hAnsi="Times New Roman" w:cs="Times New Roman"/>
          <w:color w:val="000000"/>
          <w:spacing w:val="0"/>
          <w:w w:val="100"/>
          <w:position w:val="0"/>
        </w:rPr>
        <w:t>40</w:t>
      </w:r>
      <w:r>
        <w:rPr>
          <w:color w:val="000000"/>
          <w:spacing w:val="0"/>
          <w:w w:val="100"/>
          <w:position w:val="0"/>
        </w:rPr>
        <w:t>%，内江传化置业有限公司取得土地后的工程建设、房产销售、日常 经营管理等均由成都传化置业有限公司负责，传化物流集团不参与内江传化置业有限公司分 红也不承担其亏损。传化物流集团持有的股权将全部按原价转让给成都传化置业有限公司。 根据约定，成都传化置业有限公司预先向传化物流集团支付</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万元，作为受让股权的履 约保证金（账列其他应付款）。鉴于此，尽管传化物流集团持有内江传化置业有限公司</w:t>
      </w:r>
      <w:r>
        <w:rPr>
          <w:rFonts w:ascii="Times New Roman" w:eastAsia="Times New Roman" w:hAnsi="Times New Roman" w:cs="Times New Roman"/>
          <w:color w:val="000000"/>
          <w:spacing w:val="0"/>
          <w:w w:val="100"/>
          <w:position w:val="0"/>
        </w:rPr>
        <w:t>60</w:t>
      </w:r>
      <w:r>
        <w:rPr>
          <w:color w:val="000000"/>
          <w:spacing w:val="0"/>
          <w:w w:val="100"/>
          <w:position w:val="0"/>
        </w:rPr>
        <w:t>% 股权，但对其仍不构成控制或重大影响，因此将对其投资列于本项目。</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color w:val="000000"/>
          <w:spacing w:val="0"/>
          <w:w w:val="100"/>
          <w:position w:val="0"/>
          <w:sz w:val="20"/>
          <w:szCs w:val="20"/>
        </w:rPr>
        <w:t>长期应收款</w:t>
      </w:r>
    </w:p>
    <w:tbl>
      <w:tblPr>
        <w:tblOverlap w:val="never"/>
        <w:jc w:val="center"/>
        <w:tblLayout w:type="fixed"/>
      </w:tblPr>
      <w:tblGrid>
        <w:gridCol w:w="2006"/>
        <w:gridCol w:w="1512"/>
        <w:gridCol w:w="1330"/>
        <w:gridCol w:w="1498"/>
        <w:gridCol w:w="739"/>
        <w:gridCol w:w="758"/>
        <w:gridCol w:w="787"/>
        <w:gridCol w:w="74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折现率 区间</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应收融资租赁款总额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980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减：未实现融资收益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应收融资租赁款净值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897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减：一年内到期的非流 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77"/>
        </w:numPr>
        <w:shd w:val="clear" w:color="auto" w:fill="auto"/>
        <w:bidi w:val="0"/>
        <w:spacing w:before="0" w:after="160" w:line="240" w:lineRule="auto"/>
        <w:ind w:left="0" w:right="0" w:firstLine="820"/>
        <w:jc w:val="left"/>
      </w:pPr>
      <w:bookmarkStart w:id="316" w:name="bookmark316"/>
      <w:bookmarkEnd w:id="316"/>
      <w:r>
        <w:rPr>
          <w:color w:val="000000"/>
          <w:spacing w:val="0"/>
          <w:w w:val="100"/>
          <w:position w:val="0"/>
        </w:rPr>
        <w:t>长期股权投资</w:t>
      </w:r>
    </w:p>
    <w:p>
      <w:pPr>
        <w:pStyle w:val="Style111"/>
        <w:keepNext w:val="0"/>
        <w:keepLines w:val="0"/>
        <w:widowControl w:val="0"/>
        <w:shd w:val="clear" w:color="auto" w:fill="auto"/>
        <w:bidi w:val="0"/>
        <w:spacing w:before="0" w:after="80" w:line="240" w:lineRule="auto"/>
        <w:ind w:left="0" w:right="0" w:firstLine="8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）分类情况</w:t>
      </w:r>
    </w:p>
    <w:tbl>
      <w:tblPr>
        <w:tblOverlap w:val="never"/>
        <w:jc w:val="center"/>
        <w:tblLayout w:type="fixed"/>
      </w:tblPr>
      <w:tblGrid>
        <w:gridCol w:w="1589"/>
        <w:gridCol w:w="1478"/>
        <w:gridCol w:w="931"/>
        <w:gridCol w:w="1478"/>
        <w:gridCol w:w="1502"/>
        <w:gridCol w:w="845"/>
        <w:gridCol w:w="1507"/>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42"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bl>
    <w:p>
      <w:pPr>
        <w:pStyle w:val="Style30"/>
        <w:keepNext w:val="0"/>
        <w:keepLines w:val="0"/>
        <w:widowControl w:val="0"/>
        <w:shd w:val="clear" w:color="auto" w:fill="auto"/>
        <w:bidi w:val="0"/>
        <w:spacing w:before="0" w:after="0" w:line="240" w:lineRule="auto"/>
        <w:ind w:left="749" w:right="0" w:firstLine="0"/>
        <w:jc w:val="left"/>
        <w:rPr>
          <w:sz w:val="20"/>
          <w:szCs w:val="20"/>
        </w:rPr>
      </w:pPr>
      <w:r>
        <w:rPr>
          <w:color w:val="000000"/>
          <w:spacing w:val="0"/>
          <w:w w:val="100"/>
          <w:position w:val="0"/>
          <w:sz w:val="20"/>
          <w:szCs w:val="20"/>
        </w:rPr>
        <w:t>⑵明细情况</w:t>
      </w:r>
    </w:p>
    <w:p>
      <w:pPr>
        <w:pStyle w:val="Style30"/>
        <w:keepNext w:val="0"/>
        <w:keepLines w:val="0"/>
        <w:widowControl w:val="0"/>
        <w:shd w:val="clear" w:color="auto" w:fill="auto"/>
        <w:tabs>
          <w:tab w:pos="2390" w:val="left"/>
          <w:tab w:pos="5501" w:val="left"/>
        </w:tabs>
        <w:bidi w:val="0"/>
        <w:spacing w:before="0" w:after="0" w:line="240" w:lineRule="auto"/>
        <w:ind w:left="792" w:right="0" w:firstLine="0"/>
        <w:jc w:val="left"/>
        <w:rPr>
          <w:sz w:val="18"/>
          <w:szCs w:val="18"/>
        </w:rPr>
      </w:pPr>
      <w:r>
        <w:rPr>
          <w:color w:val="000000"/>
          <w:spacing w:val="0"/>
          <w:w w:val="100"/>
          <w:position w:val="0"/>
          <w:sz w:val="18"/>
          <w:szCs w:val="18"/>
        </w:rPr>
        <w:t>被投资</w:t>
        <w:tab/>
        <w:t>期初数</w:t>
        <w:tab/>
        <w:t>本期增减变动</w:t>
      </w:r>
      <w:r>
        <w:br w:type="page"/>
      </w:r>
    </w:p>
    <w:tbl>
      <w:tblPr>
        <w:tblOverlap w:val="never"/>
        <w:jc w:val="center"/>
        <w:tblLayout w:type="fixed"/>
      </w:tblPr>
      <w:tblGrid>
        <w:gridCol w:w="1786"/>
        <w:gridCol w:w="1474"/>
        <w:gridCol w:w="1416"/>
        <w:gridCol w:w="1219"/>
        <w:gridCol w:w="1474"/>
        <w:gridCol w:w="1219"/>
      </w:tblGrid>
      <w:tr>
        <w:trPr>
          <w:trHeight w:val="595"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权益法下确认的投 资损益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其他综合 收益调整</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3" w:lineRule="exact"/>
              <w:ind w:left="140" w:right="0" w:firstLine="0"/>
              <w:jc w:val="left"/>
              <w:rPr>
                <w:sz w:val="18"/>
                <w:szCs w:val="18"/>
              </w:rPr>
            </w:pPr>
            <w:r>
              <w:rPr>
                <w:color w:val="000000"/>
                <w:spacing w:val="0"/>
                <w:w w:val="100"/>
                <w:position w:val="0"/>
                <w:sz w:val="18"/>
                <w:szCs w:val="18"/>
              </w:rPr>
              <w:t>杭州环特生物科技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浙江传化物流基地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908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687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宁波传化绿都置业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浙江瓦栏文化创意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上海点未信息技术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820"/>
        <w:jc w:val="left"/>
      </w:pPr>
      <w:r>
        <w:rPr>
          <w:color w:val="000000"/>
          <w:spacing w:val="0"/>
          <w:w w:val="100"/>
          <w:position w:val="0"/>
        </w:rPr>
        <w:t>（续上表）</w:t>
      </w:r>
    </w:p>
    <w:tbl>
      <w:tblPr>
        <w:tblOverlap w:val="never"/>
        <w:jc w:val="center"/>
        <w:tblLayout w:type="fixed"/>
      </w:tblPr>
      <w:tblGrid>
        <w:gridCol w:w="1843"/>
        <w:gridCol w:w="850"/>
        <w:gridCol w:w="1157"/>
        <w:gridCol w:w="912"/>
        <w:gridCol w:w="1387"/>
        <w:gridCol w:w="1474"/>
        <w:gridCol w:w="965"/>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被投资 单位</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减值准备 期末余额</w:t>
            </w:r>
          </w:p>
        </w:tc>
      </w:tr>
      <w:tr>
        <w:trPr>
          <w:trHeight w:val="58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其他权</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宣告发放现金</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股利或利润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计提减</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杭州环特生物科技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329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浙江传化物流基地</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宁波传化绿都置业</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浙江瓦栏文化创意</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上海点未信息技术</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77"/>
        </w:numPr>
        <w:shd w:val="clear" w:color="auto" w:fill="auto"/>
        <w:bidi w:val="0"/>
        <w:spacing w:before="0" w:after="200" w:line="240" w:lineRule="auto"/>
        <w:ind w:left="0" w:right="0" w:firstLine="820"/>
        <w:jc w:val="left"/>
      </w:pPr>
      <w:bookmarkStart w:id="317" w:name="bookmark317"/>
      <w:bookmarkEnd w:id="317"/>
      <w:r>
        <w:rPr>
          <w:color w:val="000000"/>
          <w:spacing w:val="0"/>
          <w:w w:val="100"/>
          <w:position w:val="0"/>
        </w:rPr>
        <w:t>投资性房地产</w:t>
      </w:r>
    </w:p>
    <w:p>
      <w:pPr>
        <w:pStyle w:val="Style111"/>
        <w:keepNext w:val="0"/>
        <w:keepLines w:val="0"/>
        <w:widowControl w:val="0"/>
        <w:shd w:val="clear" w:color="auto" w:fill="auto"/>
        <w:bidi w:val="0"/>
        <w:spacing w:before="0" w:after="80" w:line="240" w:lineRule="auto"/>
        <w:ind w:left="0" w:right="0" w:firstLine="820"/>
        <w:jc w:val="left"/>
      </w:pPr>
      <w:r>
        <w:rPr>
          <w:color w:val="000000"/>
          <w:spacing w:val="0"/>
          <w:w w:val="100"/>
          <w:position w:val="0"/>
        </w:rPr>
        <w:t>⑴明细情况</w:t>
      </w:r>
    </w:p>
    <w:tbl>
      <w:tblPr>
        <w:tblOverlap w:val="never"/>
        <w:jc w:val="center"/>
        <w:tblLayout w:type="fixed"/>
      </w:tblPr>
      <w:tblGrid>
        <w:gridCol w:w="2707"/>
        <w:gridCol w:w="1954"/>
        <w:gridCol w:w="1949"/>
        <w:gridCol w:w="1973"/>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882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）存货转入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）在建工程转入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r>
    </w:tbl>
    <w:p>
      <w:pPr>
        <w:spacing w:lineRule="exact" w:line="1"/>
        <w:rPr>
          <w:sz w:val="2"/>
          <w:szCs w:val="2"/>
        </w:rPr>
      </w:pPr>
      <w:r>
        <w:br w:type="page"/>
      </w:r>
    </w:p>
    <w:tbl>
      <w:tblPr>
        <w:tblOverlap w:val="never"/>
        <w:jc w:val="center"/>
        <w:tblLayout w:type="fixed"/>
      </w:tblPr>
      <w:tblGrid>
        <w:gridCol w:w="2707"/>
        <w:gridCol w:w="1954"/>
        <w:gridCol w:w="1949"/>
        <w:gridCol w:w="1973"/>
      </w:tblGrid>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）企业合并转入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3）企业合并转入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r>
      <w:tr>
        <w:trPr>
          <w:trHeight w:val="58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）未办妥产权证书的投资性房地产情况</w:t>
      </w:r>
    </w:p>
    <w:tbl>
      <w:tblPr>
        <w:tblOverlap w:val="never"/>
        <w:jc w:val="center"/>
        <w:tblLayout w:type="fixed"/>
      </w:tblPr>
      <w:tblGrid>
        <w:gridCol w:w="2981"/>
        <w:gridCol w:w="2952"/>
        <w:gridCol w:w="2986"/>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未办妥产权证书原因</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传化公路港发展项目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衢州公路港项目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包头公路港项目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遵义公路港项目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无锡公路港项目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淮北公路港项目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79"/>
        </w:numPr>
        <w:shd w:val="clear" w:color="auto" w:fill="auto"/>
        <w:bidi w:val="0"/>
        <w:spacing w:before="0" w:after="180" w:line="240" w:lineRule="auto"/>
        <w:ind w:left="0" w:right="0" w:firstLine="820"/>
        <w:jc w:val="left"/>
      </w:pPr>
      <w:bookmarkStart w:id="318" w:name="bookmark318"/>
      <w:bookmarkEnd w:id="318"/>
      <w:r>
        <w:rPr>
          <w:color w:val="000000"/>
          <w:spacing w:val="0"/>
          <w:w w:val="100"/>
          <w:position w:val="0"/>
        </w:rPr>
        <w:t>固定资产</w:t>
      </w:r>
    </w:p>
    <w:p>
      <w:pPr>
        <w:pStyle w:val="Style111"/>
        <w:keepNext w:val="0"/>
        <w:keepLines w:val="0"/>
        <w:widowControl w:val="0"/>
        <w:shd w:val="clear" w:color="auto" w:fill="auto"/>
        <w:bidi w:val="0"/>
        <w:spacing w:before="0" w:after="80" w:line="240" w:lineRule="auto"/>
        <w:ind w:left="0" w:right="0" w:firstLine="820"/>
        <w:jc w:val="left"/>
      </w:pPr>
      <w:r>
        <w:rPr>
          <w:color w:val="000000"/>
          <w:spacing w:val="0"/>
          <w:w w:val="100"/>
          <w:position w:val="0"/>
        </w:rPr>
        <w:t>⑴明细情况</w:t>
      </w:r>
    </w:p>
    <w:tbl>
      <w:tblPr>
        <w:tblOverlap w:val="never"/>
        <w:jc w:val="center"/>
        <w:tblLayout w:type="fixed"/>
      </w:tblPr>
      <w:tblGrid>
        <w:gridCol w:w="1843"/>
        <w:gridCol w:w="1450"/>
        <w:gridCol w:w="1301"/>
        <w:gridCol w:w="1296"/>
        <w:gridCol w:w="1306"/>
        <w:gridCol w:w="1608"/>
      </w:tblGrid>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合计</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629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719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726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）在建工程转入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542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793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w:t>
            </w:r>
          </w:p>
        </w:tc>
      </w:tr>
      <w:tr>
        <w:trPr>
          <w:trHeight w:val="30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）企业合并增加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r>
    </w:tbl>
    <w:p>
      <w:pPr>
        <w:spacing w:lineRule="exact" w:line="1"/>
        <w:rPr>
          <w:sz w:val="2"/>
          <w:szCs w:val="2"/>
        </w:rPr>
      </w:pPr>
      <w:r>
        <w:br w:type="page"/>
      </w:r>
    </w:p>
    <w:tbl>
      <w:tblPr>
        <w:tblOverlap w:val="never"/>
        <w:jc w:val="center"/>
        <w:tblLayout w:type="fixed"/>
      </w:tblPr>
      <w:tblGrid>
        <w:gridCol w:w="1843"/>
        <w:gridCol w:w="1450"/>
        <w:gridCol w:w="1301"/>
        <w:gridCol w:w="1296"/>
        <w:gridCol w:w="1306"/>
        <w:gridCol w:w="1608"/>
      </w:tblGrid>
      <w:tr>
        <w:trPr>
          <w:trHeight w:val="30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）外币折算差异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197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）外币折算差异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r>
      <w:tr>
        <w:trPr>
          <w:trHeight w:val="30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）未办妥产权证书的固定资产的情况</w:t>
      </w:r>
    </w:p>
    <w:tbl>
      <w:tblPr>
        <w:tblOverlap w:val="never"/>
        <w:jc w:val="center"/>
        <w:tblLayout w:type="fixed"/>
      </w:tblPr>
      <w:tblGrid>
        <w:gridCol w:w="2981"/>
        <w:gridCol w:w="2952"/>
        <w:gridCol w:w="2986"/>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未办妥产权证书原因</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公司技术中心</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天松新材料公司生产用房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传化涂料公司生产用房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南庄塑化公司生产用房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传化公路港发展项目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衢州公路港项目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遵义公路港项目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淄博公路港项目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沈阳物流项目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尚未办理完成</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宁波永升物流项目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土地系租赁，地面建筑物未能 办理权证</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79"/>
        </w:numPr>
        <w:shd w:val="clear" w:color="auto" w:fill="auto"/>
        <w:bidi w:val="0"/>
        <w:spacing w:before="0" w:after="180" w:line="240" w:lineRule="auto"/>
        <w:ind w:left="1260" w:right="0" w:firstLine="0"/>
        <w:jc w:val="left"/>
      </w:pPr>
      <w:bookmarkStart w:id="319" w:name="bookmark319"/>
      <w:bookmarkEnd w:id="319"/>
      <w:r>
        <w:rPr>
          <w:color w:val="000000"/>
          <w:spacing w:val="0"/>
          <w:w w:val="100"/>
          <w:position w:val="0"/>
        </w:rPr>
        <w:t>在建工程</w:t>
      </w:r>
    </w:p>
    <w:p>
      <w:pPr>
        <w:pStyle w:val="Style111"/>
        <w:keepNext w:val="0"/>
        <w:keepLines w:val="0"/>
        <w:widowControl w:val="0"/>
        <w:shd w:val="clear" w:color="auto" w:fill="auto"/>
        <w:bidi w:val="0"/>
        <w:spacing w:before="0" w:after="80" w:line="240" w:lineRule="auto"/>
        <w:ind w:left="12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right"/>
        <w:tblLayout w:type="fixed"/>
      </w:tblPr>
      <w:tblGrid>
        <w:gridCol w:w="1421"/>
        <w:gridCol w:w="1190"/>
        <w:gridCol w:w="1382"/>
        <w:gridCol w:w="1378"/>
        <w:gridCol w:w="811"/>
        <w:gridCol w:w="1301"/>
      </w:tblGrid>
      <w:tr>
        <w:trPr>
          <w:trHeight w:val="35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账面价值</w:t>
            </w:r>
          </w:p>
        </w:tc>
      </w:tr>
    </w:tbl>
    <w:p>
      <w:pPr>
        <w:spacing w:lineRule="exact" w:line="1"/>
        <w:rPr>
          <w:sz w:val="2"/>
          <w:szCs w:val="2"/>
        </w:rPr>
      </w:pPr>
      <w:r>
        <w:br w:type="page"/>
      </w:r>
    </w:p>
    <w:tbl>
      <w:tblPr>
        <w:tblOverlap w:val="never"/>
        <w:jc w:val="center"/>
        <w:tblLayout w:type="fixed"/>
      </w:tblPr>
      <w:tblGrid>
        <w:gridCol w:w="2544"/>
        <w:gridCol w:w="1382"/>
        <w:gridCol w:w="1190"/>
        <w:gridCol w:w="1382"/>
        <w:gridCol w:w="1378"/>
        <w:gridCol w:w="811"/>
        <w:gridCol w:w="1301"/>
      </w:tblGrid>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哈尔滨传化公路港项目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w:t>
            </w:r>
          </w:p>
        </w:tc>
      </w:tr>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长沙公路港建设项目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济南（泉胜）智能公路港项目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万吨丁二烯装置及配套工程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203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634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荷泽传化公路港项目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203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844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041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万吨纺织有机硅、有机氟及</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专用精细化学品项目（二期）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青岛公路港一期工程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r>
      <w:tr>
        <w:trPr>
          <w:trHeight w:val="3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r>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泉州传化公路港一期工程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r>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其他公路港工程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2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p>
    <w:tbl>
      <w:tblPr>
        <w:tblOverlap w:val="never"/>
        <w:jc w:val="center"/>
        <w:tblLayout w:type="fixed"/>
      </w:tblPr>
      <w:tblGrid>
        <w:gridCol w:w="1709"/>
        <w:gridCol w:w="1416"/>
        <w:gridCol w:w="1267"/>
        <w:gridCol w:w="1416"/>
        <w:gridCol w:w="1363"/>
        <w:gridCol w:w="1546"/>
        <w:gridCol w:w="1296"/>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预算数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转入固定资产/投资</w:t>
            </w:r>
          </w:p>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哈尔滨传化公路港项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r>
      <w:tr>
        <w:trPr>
          <w:trHeight w:val="437"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2"/>
                <w:szCs w:val="12"/>
                <w:vertAlign w:val="superscript"/>
              </w:rPr>
              <w:t>目</w:t>
            </w:r>
            <w:r>
              <w:rPr>
                <w:color w:val="000000"/>
                <w:spacing w:val="0"/>
                <w:w w:val="100"/>
                <w:position w:val="0"/>
                <w:sz w:val="15"/>
                <w:szCs w:val="15"/>
              </w:rPr>
              <w:t>长沙公路港建设项目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济南（泉胜）智能公路</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r>
      <w:tr>
        <w:trPr>
          <w:trHeight w:val="68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万吨丁二烯装</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置及配套工程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992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942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70 </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荷泽传化公路港项目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r>
      <w:tr>
        <w:trPr>
          <w:trHeight w:val="87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5" w:lineRule="exact"/>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万吨纺织有机 硅、有机氟及专用精细 化学品项目（二期）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青岛公路港一期工程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r>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无锡基地二期工程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416"/>
        <w:gridCol w:w="1267"/>
        <w:gridCol w:w="1416"/>
        <w:gridCol w:w="1363"/>
        <w:gridCol w:w="1546"/>
        <w:gridCol w:w="1296"/>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淮北传化公路港物流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济南金泰物流园区公</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沈阳陆港公路港项目</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泉州传化公路港一期</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987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其他公路港工程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r>
      <w:tr>
        <w:trPr>
          <w:trHeight w:val="58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1580" w:right="0" w:firstLine="0"/>
        <w:jc w:val="left"/>
        <w:rPr>
          <w:sz w:val="18"/>
          <w:szCs w:val="18"/>
        </w:rPr>
      </w:pPr>
      <w:r>
        <w:rPr>
          <w:color w:val="000000"/>
          <w:spacing w:val="0"/>
          <w:w w:val="100"/>
          <w:position w:val="0"/>
          <w:sz w:val="18"/>
          <w:szCs w:val="18"/>
        </w:rPr>
        <w:t>(续上表)</w:t>
      </w:r>
    </w:p>
    <w:tbl>
      <w:tblPr>
        <w:tblOverlap w:val="never"/>
        <w:jc w:val="center"/>
        <w:tblLayout w:type="fixed"/>
      </w:tblPr>
      <w:tblGrid>
        <w:gridCol w:w="2016"/>
        <w:gridCol w:w="1080"/>
        <w:gridCol w:w="1219"/>
        <w:gridCol w:w="1214"/>
        <w:gridCol w:w="1214"/>
        <w:gridCol w:w="1229"/>
        <w:gridCol w:w="1445"/>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工程累计投入占</w:t>
            </w:r>
          </w:p>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预算比例(%)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60"/>
              <w:jc w:val="left"/>
              <w:rPr>
                <w:sz w:val="15"/>
                <w:szCs w:val="15"/>
              </w:rPr>
            </w:pPr>
            <w:r>
              <w:rPr>
                <w:color w:val="000000"/>
                <w:spacing w:val="0"/>
                <w:w w:val="100"/>
                <w:position w:val="0"/>
                <w:sz w:val="15"/>
                <w:szCs w:val="15"/>
              </w:rPr>
              <w:t>工程</w:t>
            </w:r>
          </w:p>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进度(%)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利息资本</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化累计金额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本期利息</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资本化金额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本期利息资本化率</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资金来源</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哈尔滨传化公路港项目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长沙公路港建设项目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济南(泉胜)智能公路港项</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万吨丁二烯装置及配</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套工程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荷泽传化公路港项目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8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年产</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万吨纺织有机硅、</w:t>
            </w:r>
          </w:p>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有机氟及专用精细化学品</w:t>
            </w:r>
          </w:p>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项目(二期)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青岛公路港一期工程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杭州传化公路港项目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无锡基地二期工程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淮北传化公路港物流项目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济南金泰物流园区公路港</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沈阳陆港公路港项目改造</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泉州传化公路港一期工程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自筹/募集</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其他公路港工程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1"/>
        <w:keepNext w:val="0"/>
        <w:keepLines w:val="0"/>
        <w:widowControl w:val="0"/>
        <w:shd w:val="clear" w:color="auto" w:fill="auto"/>
        <w:bidi w:val="0"/>
        <w:spacing w:before="0" w:after="160" w:line="240" w:lineRule="auto"/>
        <w:ind w:left="15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:其他减少系处置部分在建工程。</w:t>
      </w:r>
    </w:p>
    <w:p>
      <w:pPr>
        <w:pStyle w:val="Style111"/>
        <w:keepNext w:val="0"/>
        <w:keepLines w:val="0"/>
        <w:widowControl w:val="0"/>
        <w:shd w:val="clear" w:color="auto" w:fill="auto"/>
        <w:bidi w:val="0"/>
        <w:spacing w:before="0" w:after="600" w:line="240" w:lineRule="auto"/>
        <w:ind w:left="15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：其他减少系改造支出转长期待摊费用。</w:t>
      </w:r>
    </w:p>
    <w:p>
      <w:pPr>
        <w:pStyle w:val="Style111"/>
        <w:keepNext w:val="0"/>
        <w:keepLines w:val="0"/>
        <w:widowControl w:val="0"/>
        <w:numPr>
          <w:ilvl w:val="0"/>
          <w:numId w:val="79"/>
        </w:numPr>
        <w:shd w:val="clear" w:color="auto" w:fill="auto"/>
        <w:bidi w:val="0"/>
        <w:spacing w:before="0" w:after="80" w:line="240" w:lineRule="auto"/>
        <w:ind w:left="1580" w:right="0" w:firstLine="0"/>
        <w:jc w:val="left"/>
      </w:pPr>
      <w:bookmarkStart w:id="320" w:name="bookmark320"/>
      <w:bookmarkEnd w:id="320"/>
      <w:r>
        <w:rPr>
          <w:color w:val="000000"/>
          <w:spacing w:val="0"/>
          <w:w w:val="100"/>
          <w:position w:val="0"/>
        </w:rPr>
        <w:t>工程物资</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专用材料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498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964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469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498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964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469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w:t>
            </w:r>
          </w:p>
        </w:tc>
      </w:tr>
    </w:tbl>
    <w:p>
      <w:pPr>
        <w:widowControl w:val="0"/>
        <w:spacing w:after="499" w:line="1" w:lineRule="exact"/>
      </w:pPr>
    </w:p>
    <w:p>
      <w:pPr>
        <w:pStyle w:val="Style111"/>
        <w:keepNext w:val="0"/>
        <w:keepLines w:val="0"/>
        <w:widowControl w:val="0"/>
        <w:numPr>
          <w:ilvl w:val="0"/>
          <w:numId w:val="79"/>
        </w:numPr>
        <w:shd w:val="clear" w:color="auto" w:fill="auto"/>
        <w:bidi w:val="0"/>
        <w:spacing w:before="0" w:after="200" w:line="240" w:lineRule="auto"/>
        <w:ind w:left="1580" w:right="0" w:firstLine="0"/>
        <w:jc w:val="left"/>
      </w:pPr>
      <w:bookmarkStart w:id="321" w:name="bookmark321"/>
      <w:bookmarkEnd w:id="321"/>
      <w:r>
        <w:rPr>
          <w:color w:val="000000"/>
          <w:spacing w:val="0"/>
          <w:w w:val="100"/>
          <w:position w:val="0"/>
        </w:rPr>
        <w:t>无形资产</w:t>
      </w:r>
    </w:p>
    <w:p>
      <w:pPr>
        <w:pStyle w:val="Style111"/>
        <w:keepNext w:val="0"/>
        <w:keepLines w:val="0"/>
        <w:widowControl w:val="0"/>
        <w:shd w:val="clear" w:color="auto" w:fill="auto"/>
        <w:bidi w:val="0"/>
        <w:spacing w:before="0" w:after="80" w:line="240" w:lineRule="auto"/>
        <w:ind w:left="1580" w:right="0" w:firstLine="0"/>
        <w:jc w:val="left"/>
      </w:pPr>
      <w:r>
        <w:rPr>
          <w:color w:val="000000"/>
          <w:spacing w:val="0"/>
          <w:w w:val="100"/>
          <w:position w:val="0"/>
        </w:rPr>
        <w:t>⑴明细情况</w:t>
      </w:r>
    </w:p>
    <w:tbl>
      <w:tblPr>
        <w:tblOverlap w:val="never"/>
        <w:jc w:val="center"/>
        <w:tblLayout w:type="fixed"/>
      </w:tblPr>
      <w:tblGrid>
        <w:gridCol w:w="1834"/>
        <w:gridCol w:w="1416"/>
        <w:gridCol w:w="1195"/>
        <w:gridCol w:w="1190"/>
        <w:gridCol w:w="1118"/>
        <w:gridCol w:w="1200"/>
        <w:gridCol w:w="1267"/>
        <w:gridCol w:w="1445"/>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80"/>
              <w:jc w:val="left"/>
              <w:rPr>
                <w:sz w:val="15"/>
                <w:szCs w:val="15"/>
              </w:rPr>
            </w:pPr>
            <w:r>
              <w:rPr>
                <w:color w:val="000000"/>
                <w:spacing w:val="0"/>
                <w:w w:val="100"/>
                <w:position w:val="0"/>
                <w:sz w:val="15"/>
                <w:szCs w:val="15"/>
              </w:rPr>
              <w:t>专利权及专</w:t>
            </w:r>
          </w:p>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专用软件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40"/>
              <w:jc w:val="left"/>
              <w:rPr>
                <w:sz w:val="15"/>
                <w:szCs w:val="15"/>
              </w:rPr>
            </w:pPr>
            <w:r>
              <w:rPr>
                <w:color w:val="000000"/>
                <w:spacing w:val="0"/>
                <w:w w:val="100"/>
                <w:position w:val="0"/>
                <w:sz w:val="15"/>
                <w:szCs w:val="15"/>
              </w:rPr>
              <w:t>排污权初始</w:t>
            </w:r>
          </w:p>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品牌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客户关系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合计</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195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）外币折算差额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）转投资性房地产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）外币折算差额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665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）转投资性房地产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834"/>
        <w:gridCol w:w="1416"/>
        <w:gridCol w:w="1195"/>
        <w:gridCol w:w="1190"/>
        <w:gridCol w:w="1118"/>
        <w:gridCol w:w="1200"/>
        <w:gridCol w:w="1267"/>
        <w:gridCol w:w="144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898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166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658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bl>
    <w:p>
      <w:pPr>
        <w:widowControl w:val="0"/>
        <w:spacing w:after="499" w:line="1" w:lineRule="exact"/>
      </w:pPr>
    </w:p>
    <w:p>
      <w:pPr>
        <w:pStyle w:val="Style111"/>
        <w:keepNext w:val="0"/>
        <w:keepLines w:val="0"/>
        <w:widowControl w:val="0"/>
        <w:numPr>
          <w:ilvl w:val="0"/>
          <w:numId w:val="79"/>
        </w:numPr>
        <w:shd w:val="clear" w:color="auto" w:fill="auto"/>
        <w:bidi w:val="0"/>
        <w:spacing w:before="0" w:after="180" w:line="240" w:lineRule="auto"/>
        <w:ind w:left="1580" w:right="0" w:firstLine="0"/>
        <w:jc w:val="left"/>
      </w:pPr>
      <w:bookmarkStart w:id="322" w:name="bookmark322"/>
      <w:bookmarkEnd w:id="322"/>
      <w:r>
        <w:rPr>
          <w:color w:val="000000"/>
          <w:spacing w:val="0"/>
          <w:w w:val="100"/>
          <w:position w:val="0"/>
        </w:rPr>
        <w:t>商誉</w:t>
      </w:r>
    </w:p>
    <w:p>
      <w:pPr>
        <w:pStyle w:val="Style111"/>
        <w:keepNext w:val="0"/>
        <w:keepLines w:val="0"/>
        <w:widowControl w:val="0"/>
        <w:shd w:val="clear" w:color="auto" w:fill="auto"/>
        <w:bidi w:val="0"/>
        <w:spacing w:before="0" w:after="80" w:line="240" w:lineRule="auto"/>
        <w:ind w:left="1580" w:right="0" w:firstLine="0"/>
        <w:jc w:val="left"/>
      </w:pPr>
      <w:r>
        <w:rPr>
          <w:color w:val="000000"/>
          <w:spacing w:val="0"/>
          <w:w w:val="100"/>
          <w:position w:val="0"/>
        </w:rPr>
        <w:t>⑴明细情况</w:t>
      </w:r>
    </w:p>
    <w:tbl>
      <w:tblPr>
        <w:tblOverlap w:val="never"/>
        <w:jc w:val="center"/>
        <w:tblLayout w:type="fixed"/>
      </w:tblPr>
      <w:tblGrid>
        <w:gridCol w:w="2256"/>
        <w:gridCol w:w="1387"/>
        <w:gridCol w:w="1483"/>
        <w:gridCol w:w="1680"/>
        <w:gridCol w:w="528"/>
        <w:gridCol w:w="1531"/>
      </w:tblGrid>
      <w:tr>
        <w:trPr>
          <w:trHeight w:val="34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被投资单位名称或形成商 誉的事项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本期</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期末数</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本期企业合并形成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外币报表折算差额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TPC Holding B. 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r>
      <w:tr>
        <w:trPr>
          <w:trHeight w:val="73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8" w:lineRule="exact"/>
              <w:ind w:left="140" w:right="0" w:firstLine="0"/>
              <w:jc w:val="left"/>
              <w:rPr>
                <w:sz w:val="18"/>
                <w:szCs w:val="18"/>
              </w:rPr>
            </w:pPr>
            <w:r>
              <w:rPr>
                <w:color w:val="000000"/>
                <w:spacing w:val="0"/>
                <w:w w:val="100"/>
                <w:position w:val="0"/>
                <w:sz w:val="18"/>
                <w:szCs w:val="18"/>
              </w:rPr>
              <w:t>杭州传化汇通公路港物流 有限公司（以下简称传化 汇通物流公司）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73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宁波传化天地物流有限公 司（以下简称传化天地物 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沈阳传化陆港物流有限公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15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）商誉的减值测试过程、参数及商誉减值损失确认方法</w:t>
      </w:r>
    </w:p>
    <w:p>
      <w:pPr>
        <w:pStyle w:val="Style111"/>
        <w:keepNext w:val="0"/>
        <w:keepLines w:val="0"/>
        <w:widowControl w:val="0"/>
        <w:shd w:val="clear" w:color="auto" w:fill="auto"/>
        <w:tabs>
          <w:tab w:pos="1919" w:val="left"/>
        </w:tabs>
        <w:bidi w:val="0"/>
        <w:spacing w:before="0" w:after="0" w:line="240" w:lineRule="auto"/>
        <w:ind w:left="1580" w:right="0" w:firstLine="0"/>
        <w:jc w:val="both"/>
      </w:pPr>
      <w:bookmarkStart w:id="323" w:name="bookmark323"/>
      <w:r>
        <w:rPr>
          <w:rFonts w:ascii="Times New Roman" w:eastAsia="Times New Roman" w:hAnsi="Times New Roman" w:cs="Times New Roman"/>
          <w:color w:val="000000"/>
          <w:spacing w:val="0"/>
          <w:w w:val="100"/>
          <w:position w:val="0"/>
          <w:shd w:val="clear" w:color="auto" w:fill="FFFFFF"/>
        </w:rPr>
        <w:t>1</w:t>
      </w:r>
      <w:bookmarkEnd w:id="323"/>
      <w:r>
        <w:rPr>
          <w:color w:val="000000"/>
          <w:spacing w:val="0"/>
          <w:w w:val="100"/>
          <w:position w:val="0"/>
          <w:shd w:val="clear" w:color="auto" w:fill="FFFFFF"/>
        </w:rPr>
        <w:t>）</w:t>
      </w:r>
      <w:r>
        <w:rPr>
          <w:color w:val="000000"/>
          <w:spacing w:val="0"/>
          <w:w w:val="100"/>
          <w:position w:val="0"/>
        </w:rPr>
        <w:tab/>
      </w:r>
      <w:r>
        <w:rPr>
          <w:color w:val="000000"/>
          <w:spacing w:val="0"/>
          <w:w w:val="100"/>
          <w:position w:val="0"/>
        </w:rPr>
        <w:t>TPC Holding B. V.</w:t>
      </w:r>
    </w:p>
    <w:p>
      <w:pPr>
        <w:pStyle w:val="Style111"/>
        <w:keepNext w:val="0"/>
        <w:keepLines w:val="0"/>
        <w:widowControl w:val="0"/>
        <w:shd w:val="clear" w:color="auto" w:fill="auto"/>
        <w:bidi w:val="0"/>
        <w:spacing w:before="0" w:after="0" w:line="439" w:lineRule="exact"/>
        <w:ind w:left="1180" w:right="0" w:firstLine="420"/>
        <w:jc w:val="both"/>
      </w:pPr>
      <w:r>
        <w:rPr>
          <w:color w:val="000000"/>
          <w:spacing w:val="0"/>
          <w:w w:val="100"/>
          <w:position w:val="0"/>
        </w:rPr>
        <w:t>经交易各方协商，</w:t>
      </w:r>
      <w:r>
        <w:rPr>
          <w:color w:val="000000"/>
          <w:spacing w:val="0"/>
          <w:w w:val="100"/>
          <w:position w:val="0"/>
        </w:rPr>
        <w:t xml:space="preserve">TPC Holding B. V. </w:t>
      </w:r>
      <w:r>
        <w:rPr>
          <w:rFonts w:ascii="Times New Roman" w:eastAsia="Times New Roman" w:hAnsi="Times New Roman" w:cs="Times New Roman"/>
          <w:color w:val="000000"/>
          <w:spacing w:val="0"/>
          <w:w w:val="100"/>
          <w:position w:val="0"/>
        </w:rPr>
        <w:t>100</w:t>
      </w:r>
      <w:r>
        <w:rPr>
          <w:color w:val="000000"/>
          <w:spacing w:val="0"/>
          <w:w w:val="100"/>
          <w:position w:val="0"/>
        </w:rPr>
        <w:t>%股权的交易价格为</w:t>
      </w:r>
      <w:r>
        <w:rPr>
          <w:rFonts w:ascii="Times New Roman" w:eastAsia="Times New Roman" w:hAnsi="Times New Roman" w:cs="Times New Roman"/>
          <w:color w:val="000000"/>
          <w:spacing w:val="0"/>
          <w:w w:val="100"/>
          <w:position w:val="0"/>
        </w:rPr>
        <w:t>101</w:t>
      </w:r>
      <w:r>
        <w:rPr>
          <w:color w:val="000000"/>
          <w:spacing w:val="0"/>
          <w:w w:val="100"/>
          <w:position w:val="0"/>
        </w:rPr>
        <w:t xml:space="preserve">, </w:t>
      </w:r>
      <w:r>
        <w:rPr>
          <w:rFonts w:ascii="Times New Roman" w:eastAsia="Times New Roman" w:hAnsi="Times New Roman" w:cs="Times New Roman"/>
          <w:color w:val="000000"/>
          <w:spacing w:val="0"/>
          <w:w w:val="100"/>
          <w:position w:val="0"/>
        </w:rPr>
        <w:t>688</w:t>
      </w:r>
      <w:r>
        <w:rPr>
          <w:color w:val="000000"/>
          <w:spacing w:val="0"/>
          <w:w w:val="100"/>
          <w:position w:val="0"/>
        </w:rPr>
        <w:t xml:space="preserve">, </w:t>
      </w:r>
      <w:r>
        <w:rPr>
          <w:rFonts w:ascii="Times New Roman" w:eastAsia="Times New Roman" w:hAnsi="Times New Roman" w:cs="Times New Roman"/>
          <w:color w:val="000000"/>
          <w:spacing w:val="0"/>
          <w:w w:val="100"/>
          <w:position w:val="0"/>
        </w:rPr>
        <w:t>076</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欧元，折 人民币</w:t>
      </w:r>
      <w:r>
        <w:rPr>
          <w:rFonts w:ascii="Times New Roman" w:eastAsia="Times New Roman" w:hAnsi="Times New Roman" w:cs="Times New Roman"/>
          <w:color w:val="000000"/>
          <w:spacing w:val="0"/>
          <w:w w:val="100"/>
          <w:position w:val="0"/>
        </w:rPr>
        <w:t>761</w:t>
      </w:r>
      <w:r>
        <w:rPr>
          <w:color w:val="000000"/>
          <w:spacing w:val="0"/>
          <w:w w:val="100"/>
          <w:position w:val="0"/>
        </w:rPr>
        <w:t>,</w:t>
      </w:r>
      <w:r>
        <w:rPr>
          <w:rFonts w:ascii="Times New Roman" w:eastAsia="Times New Roman" w:hAnsi="Times New Roman" w:cs="Times New Roman"/>
          <w:color w:val="000000"/>
          <w:spacing w:val="0"/>
          <w:w w:val="100"/>
          <w:position w:val="0"/>
        </w:rPr>
        <w:t>440</w:t>
      </w:r>
      <w:r>
        <w:rPr>
          <w:color w:val="000000"/>
          <w:spacing w:val="0"/>
          <w:w w:val="100"/>
          <w:position w:val="0"/>
        </w:rPr>
        <w:t>,</w:t>
      </w:r>
      <w:r>
        <w:rPr>
          <w:rFonts w:ascii="Times New Roman" w:eastAsia="Times New Roman" w:hAnsi="Times New Roman" w:cs="Times New Roman"/>
          <w:color w:val="000000"/>
          <w:spacing w:val="0"/>
          <w:w w:val="100"/>
          <w:position w:val="0"/>
        </w:rPr>
        <w:t>313</w:t>
      </w:r>
      <w:r>
        <w:rPr>
          <w:color w:val="000000"/>
          <w:spacing w:val="0"/>
          <w:w w:val="100"/>
          <w:position w:val="0"/>
        </w:rPr>
        <w:t>.</w:t>
      </w:r>
      <w:r>
        <w:rPr>
          <w:rFonts w:ascii="Times New Roman" w:eastAsia="Times New Roman" w:hAnsi="Times New Roman" w:cs="Times New Roman"/>
          <w:color w:val="000000"/>
          <w:spacing w:val="0"/>
          <w:w w:val="100"/>
          <w:position w:val="0"/>
        </w:rPr>
        <w:t>09</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color w:val="000000"/>
          <w:spacing w:val="0"/>
          <w:w w:val="100"/>
          <w:position w:val="0"/>
        </w:rPr>
        <w:t xml:space="preserve">TPC Holding B. V. </w:t>
      </w:r>
      <w:r>
        <w:rPr>
          <w:color w:val="000000"/>
          <w:spacing w:val="0"/>
          <w:w w:val="100"/>
          <w:position w:val="0"/>
        </w:rPr>
        <w:t>可辨认净资产公允价值的差额</w:t>
      </w:r>
      <w:r>
        <w:rPr>
          <w:rFonts w:ascii="Times New Roman" w:eastAsia="Times New Roman" w:hAnsi="Times New Roman" w:cs="Times New Roman"/>
          <w:color w:val="000000"/>
          <w:spacing w:val="0"/>
          <w:w w:val="100"/>
          <w:position w:val="0"/>
        </w:rPr>
        <w:t>136</w:t>
      </w:r>
      <w:r>
        <w:rPr>
          <w:color w:val="000000"/>
          <w:spacing w:val="0"/>
          <w:w w:val="100"/>
          <w:position w:val="0"/>
        </w:rPr>
        <w:t xml:space="preserve">, </w:t>
      </w:r>
      <w:r>
        <w:rPr>
          <w:rFonts w:ascii="Times New Roman" w:eastAsia="Times New Roman" w:hAnsi="Times New Roman" w:cs="Times New Roman"/>
          <w:color w:val="000000"/>
          <w:spacing w:val="0"/>
          <w:w w:val="100"/>
          <w:position w:val="0"/>
        </w:rPr>
        <w:t>849</w:t>
      </w:r>
      <w:r>
        <w:rPr>
          <w:color w:val="000000"/>
          <w:spacing w:val="0"/>
          <w:w w:val="100"/>
          <w:position w:val="0"/>
        </w:rPr>
        <w:t xml:space="preserve">, </w:t>
      </w:r>
      <w:r>
        <w:rPr>
          <w:rFonts w:ascii="Times New Roman" w:eastAsia="Times New Roman" w:hAnsi="Times New Roman" w:cs="Times New Roman"/>
          <w:color w:val="000000"/>
          <w:spacing w:val="0"/>
          <w:w w:val="100"/>
          <w:position w:val="0"/>
        </w:rPr>
        <w:t>239</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元在合并报表中确认为商誉。</w:t>
      </w:r>
    </w:p>
    <w:p>
      <w:pPr>
        <w:pStyle w:val="Style111"/>
        <w:keepNext w:val="0"/>
        <w:keepLines w:val="0"/>
        <w:widowControl w:val="0"/>
        <w:shd w:val="clear" w:color="auto" w:fill="auto"/>
        <w:bidi w:val="0"/>
        <w:spacing w:before="0" w:after="0" w:line="439" w:lineRule="exact"/>
        <w:ind w:left="1180" w:right="0" w:firstLine="420"/>
        <w:jc w:val="both"/>
      </w:pPr>
      <w:r>
        <w:rPr>
          <w:color w:val="000000"/>
          <w:spacing w:val="0"/>
          <w:w w:val="100"/>
          <w:position w:val="0"/>
        </w:rPr>
        <w:t xml:space="preserve">TPC Holding B. V.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日的企业价值按照预计未来现金流量的现值计算， 其预计现金流量根据公司批准的</w:t>
      </w:r>
      <w:r>
        <w:rPr>
          <w:rFonts w:ascii="Times New Roman" w:eastAsia="Times New Roman" w:hAnsi="Times New Roman" w:cs="Times New Roman"/>
          <w:color w:val="000000"/>
          <w:spacing w:val="0"/>
          <w:w w:val="100"/>
          <w:position w:val="0"/>
        </w:rPr>
        <w:t>10</w:t>
      </w:r>
      <w:r>
        <w:rPr>
          <w:color w:val="000000"/>
          <w:spacing w:val="0"/>
          <w:w w:val="100"/>
          <w:position w:val="0"/>
        </w:rPr>
        <w:t>年期现金流量预测为基础，现金流量预测使用的折现率 为</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年的现金流量根据</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%的营业收入增长率推断得出，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2025</w:t>
      </w:r>
      <w:r>
        <w:rPr>
          <w:color w:val="000000"/>
          <w:spacing w:val="0"/>
          <w:w w:val="100"/>
          <w:position w:val="0"/>
        </w:rPr>
        <w:t>年的现金流量根据</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50</w:t>
      </w:r>
      <w:r>
        <w:rPr>
          <w:color w:val="000000"/>
          <w:spacing w:val="0"/>
          <w:w w:val="100"/>
          <w:position w:val="0"/>
        </w:rPr>
        <w:t>%的营业收入增长率推断得出。</w:t>
      </w:r>
    </w:p>
    <w:p>
      <w:pPr>
        <w:pStyle w:val="Style111"/>
        <w:keepNext w:val="0"/>
        <w:keepLines w:val="0"/>
        <w:widowControl w:val="0"/>
        <w:shd w:val="clear" w:color="auto" w:fill="auto"/>
        <w:bidi w:val="0"/>
        <w:spacing w:before="0" w:after="0" w:line="439" w:lineRule="exact"/>
        <w:ind w:left="1580" w:right="0" w:firstLine="0"/>
        <w:jc w:val="both"/>
      </w:pPr>
      <w:r>
        <w:rPr>
          <w:color w:val="000000"/>
          <w:spacing w:val="0"/>
          <w:w w:val="100"/>
          <w:position w:val="0"/>
        </w:rPr>
        <w:t>减值测试中采用的其他关键数据包括：产品预计售价、销量、生产成本及其他相关费用。</w:t>
      </w:r>
    </w:p>
    <w:p>
      <w:pPr>
        <w:pStyle w:val="Style111"/>
        <w:keepNext w:val="0"/>
        <w:keepLines w:val="0"/>
        <w:widowControl w:val="0"/>
        <w:shd w:val="clear" w:color="auto" w:fill="auto"/>
        <w:bidi w:val="0"/>
        <w:spacing w:before="0" w:after="0" w:line="439" w:lineRule="exact"/>
        <w:ind w:left="1180" w:right="0" w:firstLine="420"/>
        <w:jc w:val="both"/>
      </w:pPr>
      <w:r>
        <w:rPr>
          <w:color w:val="000000"/>
          <w:spacing w:val="0"/>
          <w:w w:val="100"/>
          <w:position w:val="0"/>
        </w:rPr>
        <w:t>公司根据历史经验及对市场发展的预测确定上述关键数据。公司采用的折现率是反映公 司当前的加权平均资本成本。</w:t>
      </w:r>
    </w:p>
    <w:p>
      <w:pPr>
        <w:pStyle w:val="Style111"/>
        <w:keepNext w:val="0"/>
        <w:keepLines w:val="0"/>
        <w:widowControl w:val="0"/>
        <w:shd w:val="clear" w:color="auto" w:fill="auto"/>
        <w:bidi w:val="0"/>
        <w:spacing w:before="0" w:after="0" w:line="439" w:lineRule="exact"/>
        <w:ind w:left="1180" w:right="0" w:firstLine="420"/>
        <w:jc w:val="both"/>
      </w:pPr>
      <w:r>
        <w:rPr>
          <w:color w:val="000000"/>
          <w:spacing w:val="0"/>
          <w:w w:val="100"/>
          <w:position w:val="0"/>
        </w:rPr>
        <w:t>根据上述方法计算的</w:t>
      </w:r>
      <w:r>
        <w:rPr>
          <w:color w:val="000000"/>
          <w:spacing w:val="0"/>
          <w:w w:val="100"/>
          <w:position w:val="0"/>
        </w:rPr>
        <w:t xml:space="preserve">TPC Holding B. V.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日的企业价值为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29</w:t>
      </w:r>
      <w:r>
        <w:rPr>
          <w:color w:val="000000"/>
          <w:spacing w:val="0"/>
          <w:w w:val="100"/>
          <w:position w:val="0"/>
        </w:rPr>
        <w:t>亿欧元， 大于股权交易价格</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02</w:t>
      </w:r>
      <w:r>
        <w:rPr>
          <w:color w:val="000000"/>
          <w:spacing w:val="0"/>
          <w:w w:val="100"/>
          <w:position w:val="0"/>
        </w:rPr>
        <w:t>亿欧元，表明商誉未出现减值情况。</w:t>
      </w:r>
    </w:p>
    <w:p>
      <w:pPr>
        <w:pStyle w:val="Style111"/>
        <w:keepNext w:val="0"/>
        <w:keepLines w:val="0"/>
        <w:widowControl w:val="0"/>
        <w:shd w:val="clear" w:color="auto" w:fill="auto"/>
        <w:bidi w:val="0"/>
        <w:spacing w:before="0" w:after="0" w:line="439" w:lineRule="exact"/>
        <w:ind w:left="1180" w:right="0" w:firstLine="420"/>
        <w:jc w:val="both"/>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）传化富联公司、传化汇通物流公司、传化天地物流公司、沈阳传化陆港物流有限公 司</w:t>
      </w:r>
    </w:p>
    <w:p>
      <w:pPr>
        <w:pStyle w:val="Style111"/>
        <w:keepNext w:val="0"/>
        <w:keepLines w:val="0"/>
        <w:widowControl w:val="0"/>
        <w:shd w:val="clear" w:color="auto" w:fill="auto"/>
        <w:bidi w:val="0"/>
        <w:spacing w:before="0" w:after="120" w:line="439" w:lineRule="exact"/>
        <w:ind w:left="1580" w:right="0" w:firstLine="0"/>
        <w:jc w:val="both"/>
      </w:pPr>
      <w:r>
        <w:rPr>
          <w:color w:val="000000"/>
          <w:spacing w:val="0"/>
          <w:w w:val="100"/>
          <w:position w:val="0"/>
        </w:rPr>
        <w:t>上述公司的经营状况与合并日预测的经营情况相比未出现重大不利变化，商誉未出现减</w:t>
      </w:r>
      <w:r>
        <w:br w:type="page"/>
      </w:r>
    </w:p>
    <w:p>
      <w:pPr>
        <w:pStyle w:val="Style111"/>
        <w:keepNext w:val="0"/>
        <w:keepLines w:val="0"/>
        <w:widowControl w:val="0"/>
        <w:shd w:val="clear" w:color="auto" w:fill="auto"/>
        <w:bidi w:val="0"/>
        <w:spacing w:before="0" w:after="600" w:line="240" w:lineRule="auto"/>
        <w:ind w:left="1180" w:right="0" w:firstLine="0"/>
        <w:jc w:val="left"/>
      </w:pPr>
      <w:r>
        <w:rPr>
          <w:color w:val="000000"/>
          <w:spacing w:val="0"/>
          <w:w w:val="100"/>
          <w:position w:val="0"/>
        </w:rPr>
        <w:t>值情况。</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r>
        <w:rPr>
          <w:color w:val="000000"/>
          <w:spacing w:val="0"/>
          <w:w w:val="100"/>
          <w:position w:val="0"/>
          <w:sz w:val="20"/>
          <w:szCs w:val="20"/>
        </w:rPr>
        <w:t>长期待摊费用</w:t>
      </w:r>
    </w:p>
    <w:tbl>
      <w:tblPr>
        <w:tblOverlap w:val="never"/>
        <w:jc w:val="center"/>
        <w:tblLayout w:type="fixed"/>
      </w:tblPr>
      <w:tblGrid>
        <w:gridCol w:w="1512"/>
        <w:gridCol w:w="1392"/>
        <w:gridCol w:w="1392"/>
        <w:gridCol w:w="1392"/>
        <w:gridCol w:w="1478"/>
        <w:gridCol w:w="1421"/>
      </w:tblGrid>
      <w:tr>
        <w:trPr>
          <w:trHeight w:val="55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期末数</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装修改造费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网上应用平台建</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土地租赁费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房屋租赁费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热网管道安装费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传化合成材料公 司排污权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bl>
    <w:p>
      <w:pPr>
        <w:pStyle w:val="Style30"/>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注：其他减少系因剩余摊销期限不足一年而改列至其他流动资产。</w:t>
      </w:r>
    </w:p>
    <w:p>
      <w:pPr>
        <w:widowControl w:val="0"/>
        <w:spacing w:after="599" w:line="1" w:lineRule="exact"/>
      </w:pPr>
    </w:p>
    <w:p>
      <w:pPr>
        <w:pStyle w:val="Style111"/>
        <w:keepNext w:val="0"/>
        <w:keepLines w:val="0"/>
        <w:widowControl w:val="0"/>
        <w:shd w:val="clear" w:color="auto" w:fill="auto"/>
        <w:bidi w:val="0"/>
        <w:spacing w:before="0" w:after="180" w:line="240" w:lineRule="auto"/>
        <w:ind w:left="158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w:t>
      </w:r>
      <w:r>
        <w:rPr>
          <w:color w:val="000000"/>
          <w:spacing w:val="0"/>
          <w:w w:val="100"/>
          <w:position w:val="0"/>
        </w:rPr>
        <w:t>递延所得税资产、递延所得税负债</w:t>
      </w:r>
    </w:p>
    <w:p>
      <w:pPr>
        <w:pStyle w:val="Style111"/>
        <w:keepNext w:val="0"/>
        <w:keepLines w:val="0"/>
        <w:widowControl w:val="0"/>
        <w:numPr>
          <w:ilvl w:val="0"/>
          <w:numId w:val="81"/>
        </w:numPr>
        <w:shd w:val="clear" w:color="auto" w:fill="auto"/>
        <w:bidi w:val="0"/>
        <w:spacing w:before="0" w:after="100" w:line="240" w:lineRule="auto"/>
        <w:ind w:left="1580" w:right="0" w:firstLine="0"/>
        <w:jc w:val="left"/>
      </w:pPr>
      <w:bookmarkStart w:id="325" w:name="bookmark325"/>
      <w:bookmarkEnd w:id="325"/>
      <w:r>
        <w:rPr>
          <w:color w:val="000000"/>
          <w:spacing w:val="0"/>
          <w:w w:val="100"/>
          <w:position w:val="0"/>
        </w:rPr>
        <w:t>未经抵销的递延所得税资产</w:t>
      </w:r>
    </w:p>
    <w:tbl>
      <w:tblPr>
        <w:tblOverlap w:val="never"/>
        <w:jc w:val="center"/>
        <w:tblLayout w:type="fixed"/>
      </w:tblPr>
      <w:tblGrid>
        <w:gridCol w:w="2016"/>
        <w:gridCol w:w="1690"/>
        <w:gridCol w:w="1579"/>
        <w:gridCol w:w="1690"/>
        <w:gridCol w:w="1613"/>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可抵扣 暂时性差异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递延 所得税资产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可抵扣 暂时性差异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递延 所得税资产</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58</w:t>
            </w:r>
          </w:p>
        </w:tc>
      </w:tr>
      <w:tr>
        <w:trPr>
          <w:trHeight w:val="50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已计提未发放工资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r>
      <w:tr>
        <w:trPr>
          <w:trHeight w:val="50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内部交易未实现利 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未支付客户奖励款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衍生工具公允价值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)未经抵销的递延所得税负债</w:t>
      </w:r>
    </w:p>
    <w:p>
      <w:pPr>
        <w:widowControl w:val="0"/>
        <w:spacing w:after="99" w:line="1" w:lineRule="exact"/>
      </w:pPr>
    </w:p>
    <w:p>
      <w:pPr>
        <w:pStyle w:val="Style111"/>
        <w:keepNext w:val="0"/>
        <w:keepLines w:val="0"/>
        <w:widowControl w:val="0"/>
        <w:shd w:val="clear" w:color="auto" w:fill="auto"/>
        <w:tabs>
          <w:tab w:pos="3115" w:val="left"/>
          <w:tab w:pos="6336" w:val="left"/>
        </w:tabs>
        <w:bidi w:val="0"/>
        <w:spacing w:before="0" w:after="380" w:line="240" w:lineRule="auto"/>
        <w:ind w:left="0" w:right="0" w:firstLine="0"/>
        <w:jc w:val="center"/>
      </w:pPr>
      <w:r>
        <w:rPr>
          <w:color w:val="000000"/>
          <w:spacing w:val="0"/>
          <w:w w:val="100"/>
          <w:position w:val="0"/>
        </w:rPr>
        <w:t>项目</w:t>
        <w:tab/>
        <w:t>期末数</w:t>
        <w:tab/>
        <w:t>期初数</w:t>
      </w:r>
      <w:r>
        <w:br w:type="page"/>
      </w:r>
    </w:p>
    <w:tbl>
      <w:tblPr>
        <w:tblOverlap w:val="never"/>
        <w:jc w:val="center"/>
        <w:tblLayout w:type="fixed"/>
      </w:tblPr>
      <w:tblGrid>
        <w:gridCol w:w="2112"/>
        <w:gridCol w:w="1685"/>
        <w:gridCol w:w="1685"/>
        <w:gridCol w:w="1584"/>
        <w:gridCol w:w="1522"/>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应纳税 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递延 所得税负债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 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递延 所得税负债</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传化荷兰公司境外 子公司未计税利润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传化香港公司未计 税利润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w:t>
            </w:r>
          </w:p>
        </w:tc>
      </w:tr>
      <w:tr>
        <w:trPr>
          <w:trHeight w:val="87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锦鸡股份公司未处 置部分股权产生的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r>
      <w:tr>
        <w:trPr>
          <w:trHeight w:val="3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)未确认递延所得税资产明细</w:t>
      </w:r>
    </w:p>
    <w:p>
      <w:pPr>
        <w:widowControl w:val="0"/>
        <w:spacing w:after="39" w:line="1" w:lineRule="exact"/>
      </w:pPr>
    </w:p>
    <w:tbl>
      <w:tblPr>
        <w:tblOverlap w:val="never"/>
        <w:jc w:val="center"/>
        <w:tblLayout w:type="fixed"/>
      </w:tblPr>
      <w:tblGrid>
        <w:gridCol w:w="3850"/>
        <w:gridCol w:w="2294"/>
        <w:gridCol w:w="2458"/>
      </w:tblGrid>
      <w:tr>
        <w:trPr>
          <w:trHeight w:val="51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1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r>
        <w:trPr>
          <w:trHeight w:val="50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r>
      <w:tr>
        <w:trPr>
          <w:trHeight w:val="51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)未确认递延所得税资产的可抵扣亏损将于以下年度到期</w:t>
      </w:r>
    </w:p>
    <w:p>
      <w:pPr>
        <w:widowControl w:val="0"/>
        <w:spacing w:after="39" w:line="1" w:lineRule="exact"/>
      </w:pPr>
    </w:p>
    <w:tbl>
      <w:tblPr>
        <w:tblOverlap w:val="never"/>
        <w:jc w:val="center"/>
        <w:tblLayout w:type="fixed"/>
      </w:tblPr>
      <w:tblGrid>
        <w:gridCol w:w="1277"/>
        <w:gridCol w:w="2693"/>
        <w:gridCol w:w="2266"/>
        <w:gridCol w:w="2443"/>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color w:val="000000"/>
          <w:spacing w:val="0"/>
          <w:w w:val="100"/>
          <w:position w:val="0"/>
          <w:sz w:val="20"/>
          <w:szCs w:val="20"/>
        </w:rPr>
        <w:t>其他非流动资产</w:t>
      </w:r>
    </w:p>
    <w:tbl>
      <w:tblPr>
        <w:tblOverlap w:val="never"/>
        <w:jc w:val="center"/>
        <w:tblLayout w:type="fixed"/>
      </w:tblPr>
      <w:tblGrid>
        <w:gridCol w:w="1694"/>
        <w:gridCol w:w="1368"/>
        <w:gridCol w:w="1262"/>
        <w:gridCol w:w="1354"/>
        <w:gridCol w:w="1315"/>
        <w:gridCol w:w="1214"/>
        <w:gridCol w:w="133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账面价值</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预付土地款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645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137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877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877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预付物业租赁费［注］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260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预付设备工程款及专 项基础设施配套费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791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067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984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53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预付软件系统款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687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368"/>
        <w:gridCol w:w="1262"/>
        <w:gridCol w:w="1354"/>
        <w:gridCol w:w="1315"/>
        <w:gridCol w:w="1214"/>
        <w:gridCol w:w="1334"/>
      </w:tblGrid>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预付购车款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364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364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752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877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620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826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w:t>
            </w:r>
          </w:p>
        </w:tc>
      </w:tr>
    </w:tbl>
    <w:p>
      <w:pPr>
        <w:pStyle w:val="Style111"/>
        <w:keepNext w:val="0"/>
        <w:keepLines w:val="0"/>
        <w:widowControl w:val="0"/>
        <w:shd w:val="clear" w:color="auto" w:fill="auto"/>
        <w:bidi w:val="0"/>
        <w:spacing w:before="0" w:after="620" w:line="433" w:lineRule="exact"/>
        <w:ind w:left="5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日，公司子公司武汉传化致远公路港物流有限公司（以下简称武汉 传化致远公司）与武汉致远物流有限责任公司签订《物业租赁合同》，武汉传化致远公司整 体租用武汉致远物流有限责任公司建筑物及附属设备物业等，租赁期限为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2036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日，不含税租金总额为</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226</w:t>
      </w:r>
      <w:r>
        <w:rPr>
          <w:color w:val="000000"/>
          <w:spacing w:val="0"/>
          <w:w w:val="100"/>
          <w:position w:val="0"/>
        </w:rPr>
        <w:t xml:space="preserve">万元，本期武汉传化致远公司预付租赁费 </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226</w:t>
      </w:r>
      <w:r>
        <w:rPr>
          <w:color w:val="000000"/>
          <w:spacing w:val="0"/>
          <w:w w:val="100"/>
          <w:position w:val="0"/>
        </w:rPr>
        <w:t>万元，列本项目。</w:t>
      </w:r>
    </w:p>
    <w:p>
      <w:pPr>
        <w:pStyle w:val="Style111"/>
        <w:keepNext w:val="0"/>
        <w:keepLines w:val="0"/>
        <w:widowControl w:val="0"/>
        <w:numPr>
          <w:ilvl w:val="0"/>
          <w:numId w:val="83"/>
        </w:numPr>
        <w:shd w:val="clear" w:color="auto" w:fill="auto"/>
        <w:bidi w:val="0"/>
        <w:spacing w:before="0" w:after="180" w:line="240" w:lineRule="auto"/>
        <w:ind w:left="0" w:right="0" w:firstLine="940"/>
        <w:jc w:val="left"/>
      </w:pPr>
      <w:bookmarkStart w:id="326" w:name="bookmark326"/>
      <w:bookmarkEnd w:id="326"/>
      <w:r>
        <w:rPr>
          <w:color w:val="000000"/>
          <w:spacing w:val="0"/>
          <w:w w:val="100"/>
          <w:position w:val="0"/>
        </w:rPr>
        <w:t>短期借款</w:t>
      </w:r>
    </w:p>
    <w:p>
      <w:pPr>
        <w:pStyle w:val="Style111"/>
        <w:keepNext w:val="0"/>
        <w:keepLines w:val="0"/>
        <w:widowControl w:val="0"/>
        <w:shd w:val="clear" w:color="auto" w:fill="auto"/>
        <w:bidi w:val="0"/>
        <w:spacing w:before="0" w:after="80" w:line="240" w:lineRule="auto"/>
        <w:ind w:left="0" w:right="0" w:firstLine="94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抵押、质押及保证借款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94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111"/>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）质押借款</w:t>
      </w:r>
    </w:p>
    <w:tbl>
      <w:tblPr>
        <w:tblOverlap w:val="never"/>
        <w:jc w:val="center"/>
        <w:tblLayout w:type="fixed"/>
      </w:tblPr>
      <w:tblGrid>
        <w:gridCol w:w="960"/>
        <w:gridCol w:w="926"/>
        <w:gridCol w:w="1306"/>
        <w:gridCol w:w="826"/>
        <w:gridCol w:w="1387"/>
        <w:gridCol w:w="1387"/>
        <w:gridCol w:w="1066"/>
        <w:gridCol w:w="854"/>
      </w:tblGrid>
      <w:tr>
        <w:trPr>
          <w:trHeight w:val="6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质押物价值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借款最后</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备注</w:t>
            </w:r>
          </w:p>
        </w:tc>
      </w:tr>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中国农业银行 浙江省分行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东亚银行文晖 路支行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理财产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）抵押、质押及保证借款</w:t>
      </w:r>
    </w:p>
    <w:tbl>
      <w:tblPr>
        <w:tblOverlap w:val="never"/>
        <w:jc w:val="center"/>
        <w:tblLayout w:type="fixed"/>
      </w:tblPr>
      <w:tblGrid>
        <w:gridCol w:w="970"/>
        <w:gridCol w:w="2045"/>
        <w:gridCol w:w="1147"/>
        <w:gridCol w:w="1061"/>
        <w:gridCol w:w="1291"/>
        <w:gridCol w:w="1258"/>
        <w:gridCol w:w="1018"/>
        <w:gridCol w:w="552"/>
      </w:tblGrid>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借款人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抵押人/质押人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抵押</w:t>
            </w:r>
            <w:r>
              <w:rPr>
                <w:color w:val="000000"/>
                <w:spacing w:val="0"/>
                <w:w w:val="100"/>
                <w:position w:val="0"/>
                <w:sz w:val="16"/>
                <w:szCs w:val="16"/>
              </w:rPr>
              <w:t>/</w:t>
            </w:r>
            <w:r>
              <w:rPr>
                <w:color w:val="000000"/>
                <w:spacing w:val="0"/>
                <w:w w:val="100"/>
                <w:position w:val="0"/>
                <w:sz w:val="16"/>
                <w:szCs w:val="16"/>
              </w:rPr>
              <w:t>质押权</w:t>
            </w:r>
          </w:p>
          <w:p>
            <w:pPr>
              <w:pStyle w:val="Style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抵押/质押 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抵押/质押物价</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借款最后到</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6"/>
                <w:szCs w:val="16"/>
              </w:rPr>
              <w:t>备</w:t>
            </w:r>
          </w:p>
          <w:p>
            <w:pPr>
              <w:pStyle w:val="Style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注</w:t>
            </w:r>
          </w:p>
        </w:tc>
      </w:tr>
      <w:tr>
        <w:trPr>
          <w:trHeight w:val="7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传化天地 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传化天地物流公司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农村信用合 作社甬江信 用社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土地使用 权、房屋建 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738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TPC</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Holding</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B. V. </w:t>
            </w:r>
            <w:r>
              <w:rPr>
                <w:color w:val="000000"/>
                <w:spacing w:val="0"/>
                <w:w w:val="100"/>
                <w:position w:val="0"/>
                <w:sz w:val="16"/>
                <w:szCs w:val="16"/>
              </w:rPr>
              <w:t>、</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Tanatex</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Chemicals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tabs>
                <w:tab w:pos="1104" w:val="left"/>
              </w:tabs>
              <w:bidi w:val="0"/>
              <w:spacing w:before="0" w:after="0" w:line="240" w:lineRule="exact"/>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 xml:space="preserve">、 </w:t>
            </w:r>
            <w:r>
              <w:rPr>
                <w:color w:val="000000"/>
                <w:spacing w:val="0"/>
                <w:w w:val="100"/>
                <w:position w:val="0"/>
                <w:sz w:val="16"/>
                <w:szCs w:val="16"/>
              </w:rPr>
              <w:t>Tanatex</w:t>
              <w:tab/>
              <w:t>Chemicals</w:t>
            </w:r>
          </w:p>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(Tailand) Co. Ltd.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ING Bank N. </w:t>
            </w:r>
            <w:r>
              <w:rPr>
                <w:color w:val="000000"/>
                <w:spacing w:val="0"/>
                <w:w w:val="100"/>
                <w:position w:val="0"/>
                <w:sz w:val="16"/>
                <w:szCs w:val="16"/>
              </w:rPr>
              <w:t>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c>
          <w:tcPr>
            <w:vMerge w:val="restart"/>
            <w:tcBorders>
              <w:top w:val="single" w:sz="4"/>
              <w:left w:val="single" w:sz="4"/>
            </w:tcBorders>
            <w:shd w:val="clear" w:color="auto" w:fill="FFFFFF"/>
            <w:vAlign w:val="top"/>
          </w:tcPr>
          <w:p>
            <w:pPr>
              <w:widowControl w:val="0"/>
              <w:rPr>
                <w:sz w:val="10"/>
                <w:szCs w:val="10"/>
              </w:rPr>
            </w:pP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73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 &gt; Tanatex</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International B. V.</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股权</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sectPr>
          <w:headerReference w:type="default" r:id="rId38"/>
          <w:footerReference w:type="default" r:id="rId39"/>
          <w:footnotePr>
            <w:pos w:val="pageBottom"/>
            <w:numFmt w:val="decimal"/>
            <w:numRestart w:val="continuous"/>
          </w:footnotePr>
          <w:pgSz w:w="11900" w:h="16840"/>
          <w:pgMar w:top="1335" w:right="476" w:bottom="1388" w:left="758" w:header="0" w:footer="3" w:gutter="0"/>
          <w:cols w:space="720"/>
          <w:noEndnote/>
          <w:rtlGutter w:val="0"/>
          <w:docGrid w:linePitch="360"/>
        </w:sectPr>
      </w:pPr>
    </w:p>
    <w:p>
      <w:pPr>
        <w:widowControl w:val="0"/>
        <w:spacing w:line="1" w:lineRule="exact"/>
      </w:pPr>
      <w:r>
        <mc:AlternateContent>
          <mc:Choice Requires="wps">
            <w:drawing>
              <wp:anchor distT="6350" distB="0" distL="0" distR="0" simplePos="0" relativeHeight="125829386" behindDoc="0" locked="0" layoutInCell="1" allowOverlap="1">
                <wp:simplePos x="0" y="0"/>
                <wp:positionH relativeFrom="page">
                  <wp:posOffset>934720</wp:posOffset>
                </wp:positionH>
                <wp:positionV relativeFrom="paragraph">
                  <wp:posOffset>6350</wp:posOffset>
                </wp:positionV>
                <wp:extent cx="231775" cy="130810"/>
                <wp:wrapTopAndBottom/>
                <wp:docPr id="70" name="Shape 70"/>
                <a:graphic xmlns:a="http://schemas.openxmlformats.org/drawingml/2006/main">
                  <a:graphicData uri="http://schemas.microsoft.com/office/word/2010/wordprocessingShape">
                    <wps:wsp>
                      <wps:cNvSpPr txBox="1"/>
                      <wps:spPr>
                        <a:xfrm>
                          <a:ext cx="231775" cy="1308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 v.</w:t>
                            </w:r>
                          </w:p>
                        </w:txbxContent>
                      </wps:txbx>
                      <wps:bodyPr wrap="none" lIns="0" tIns="0" rIns="0" bIns="0">
                        <a:noAutoFit/>
                      </wps:bodyPr>
                    </wps:wsp>
                  </a:graphicData>
                </a:graphic>
              </wp:anchor>
            </w:drawing>
          </mc:Choice>
          <mc:Fallback>
            <w:pict>
              <v:shape id="_x0000_s1096" type="#_x0000_t202" style="position:absolute;margin-left:73.600000000000009pt;margin-top:0.5pt;width:18.25pt;height:10.300000000000001pt;z-index:-125829367;mso-wrap-distance-left:0;mso-wrap-distance-top:0.5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 v.</w:t>
                      </w:r>
                    </w:p>
                  </w:txbxContent>
                </v:textbox>
                <w10:wrap type="topAndBottom" anchorx="page"/>
              </v:shape>
            </w:pict>
          </mc:Fallback>
        </mc:AlternateContent>
      </w:r>
      <w:r>
        <mc:AlternateContent>
          <mc:Choice Requires="wps">
            <w:drawing>
              <wp:anchor distT="0" distB="6350" distL="0" distR="0" simplePos="0" relativeHeight="125829388" behindDoc="0" locked="0" layoutInCell="1" allowOverlap="1">
                <wp:simplePos x="0" y="0"/>
                <wp:positionH relativeFrom="page">
                  <wp:posOffset>1529080</wp:posOffset>
                </wp:positionH>
                <wp:positionV relativeFrom="paragraph">
                  <wp:posOffset>0</wp:posOffset>
                </wp:positionV>
                <wp:extent cx="1240790" cy="130810"/>
                <wp:wrapTopAndBottom/>
                <wp:docPr id="72" name="Shape 72"/>
                <a:graphic xmlns:a="http://schemas.openxmlformats.org/drawingml/2006/main">
                  <a:graphicData uri="http://schemas.microsoft.com/office/word/2010/wordprocessingShape">
                    <wps:wsp>
                      <wps:cNvSpPr txBox="1"/>
                      <wps:spPr>
                        <a:xfrm>
                          <a:ext cx="1240790" cy="1308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w:t>
                            </w:r>
                          </w:p>
                        </w:txbxContent>
                      </wps:txbx>
                      <wps:bodyPr wrap="none" lIns="0" tIns="0" rIns="0" bIns="0">
                        <a:noAutoFit/>
                      </wps:bodyPr>
                    </wps:wsp>
                  </a:graphicData>
                </a:graphic>
              </wp:anchor>
            </w:drawing>
          </mc:Choice>
          <mc:Fallback>
            <w:pict>
              <v:shape id="_x0000_s1098" type="#_x0000_t202" style="position:absolute;margin-left:120.40000000000001pt;margin-top:0;width:97.700000000000003pt;height:10.300000000000001pt;z-index:-125829365;mso-wrap-distance-left:0;mso-wrap-distance-right:0;mso-wrap-distance-bottom:0.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w:t>
                      </w:r>
                    </w:p>
                  </w:txbxContent>
                </v:textbox>
                <w10:wrap type="topAndBottom" anchorx="page"/>
              </v:shape>
            </w:pict>
          </mc:Fallback>
        </mc:AlternateContent>
      </w:r>
    </w:p>
    <w:p>
      <w:pPr>
        <w:pStyle w:val="Style76"/>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Tanatex International</w:t>
      </w:r>
    </w:p>
    <w:p>
      <w:pPr>
        <w:widowControl w:val="0"/>
        <w:spacing w:line="1" w:lineRule="exact"/>
        <w:sectPr>
          <w:footnotePr>
            <w:pos w:val="pageBottom"/>
            <w:numFmt w:val="decimal"/>
            <w:numRestart w:val="continuous"/>
          </w:footnotePr>
          <w:pgSz w:w="11900" w:h="16840"/>
          <w:pgMar w:top="1479" w:right="1570" w:bottom="1565" w:left="1618" w:header="0" w:footer="3" w:gutter="0"/>
          <w:cols w:space="720"/>
          <w:noEndnote/>
          <w:rtlGutter w:val="0"/>
          <w:docGrid w:linePitch="360"/>
        </w:sectPr>
      </w:pPr>
      <w:r>
        <mc:AlternateContent>
          <mc:Choice Requires="wps">
            <w:drawing>
              <wp:anchor distT="0" distB="9525" distL="0" distR="0" simplePos="0" relativeHeight="125829390" behindDoc="0" locked="0" layoutInCell="1" allowOverlap="1">
                <wp:simplePos x="0" y="0"/>
                <wp:positionH relativeFrom="page">
                  <wp:posOffset>1529080</wp:posOffset>
                </wp:positionH>
                <wp:positionV relativeFrom="paragraph">
                  <wp:posOffset>0</wp:posOffset>
                </wp:positionV>
                <wp:extent cx="1197610" cy="130810"/>
                <wp:wrapTopAndBottom/>
                <wp:docPr id="74" name="Shape 74"/>
                <a:graphic xmlns:a="http://schemas.openxmlformats.org/drawingml/2006/main">
                  <a:graphicData uri="http://schemas.microsoft.com/office/word/2010/wordprocessingShape">
                    <wps:wsp>
                      <wps:cNvSpPr txBox="1"/>
                      <wps:spPr>
                        <a:xfrm>
                          <a:ext cx="1197610" cy="1308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 V.</w:t>
                            </w:r>
                            <w:r>
                              <w:rPr>
                                <w:color w:val="000000"/>
                                <w:spacing w:val="0"/>
                                <w:w w:val="100"/>
                                <w:position w:val="0"/>
                                <w:sz w:val="16"/>
                                <w:szCs w:val="16"/>
                              </w:rPr>
                              <w:t>、</w:t>
                            </w:r>
                            <w:r>
                              <w:rPr>
                                <w:color w:val="000000"/>
                                <w:spacing w:val="0"/>
                                <w:w w:val="100"/>
                                <w:position w:val="0"/>
                                <w:sz w:val="16"/>
                                <w:szCs w:val="16"/>
                              </w:rPr>
                              <w:t>Tanatex IP B. V.</w:t>
                            </w:r>
                            <w:r>
                              <w:rPr>
                                <w:color w:val="000000"/>
                                <w:spacing w:val="0"/>
                                <w:w w:val="100"/>
                                <w:position w:val="0"/>
                                <w:sz w:val="16"/>
                                <w:szCs w:val="16"/>
                              </w:rPr>
                              <w:t>、</w:t>
                            </w:r>
                          </w:p>
                        </w:txbxContent>
                      </wps:txbx>
                      <wps:bodyPr wrap="none" lIns="0" tIns="0" rIns="0" bIns="0">
                        <a:noAutoFit/>
                      </wps:bodyPr>
                    </wps:wsp>
                  </a:graphicData>
                </a:graphic>
              </wp:anchor>
            </w:drawing>
          </mc:Choice>
          <mc:Fallback>
            <w:pict>
              <v:shape id="_x0000_s1100" type="#_x0000_t202" style="position:absolute;margin-left:120.40000000000001pt;margin-top:0;width:94.299999999999997pt;height:10.300000000000001pt;z-index:-125829363;mso-wrap-distance-left:0;mso-wrap-distance-right:0;mso-wrap-distance-bottom:0.7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 V.</w:t>
                      </w:r>
                      <w:r>
                        <w:rPr>
                          <w:color w:val="000000"/>
                          <w:spacing w:val="0"/>
                          <w:w w:val="100"/>
                          <w:position w:val="0"/>
                          <w:sz w:val="16"/>
                          <w:szCs w:val="16"/>
                        </w:rPr>
                        <w:t>、</w:t>
                      </w:r>
                      <w:r>
                        <w:rPr>
                          <w:color w:val="000000"/>
                          <w:spacing w:val="0"/>
                          <w:w w:val="100"/>
                          <w:position w:val="0"/>
                          <w:sz w:val="16"/>
                          <w:szCs w:val="16"/>
                        </w:rPr>
                        <w:t>Tanatex IP B. V.</w:t>
                      </w:r>
                      <w:r>
                        <w:rPr>
                          <w:color w:val="000000"/>
                          <w:spacing w:val="0"/>
                          <w:w w:val="100"/>
                          <w:position w:val="0"/>
                          <w:sz w:val="16"/>
                          <w:szCs w:val="16"/>
                        </w:rPr>
                        <w:t>、</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3625850</wp:posOffset>
                </wp:positionH>
                <wp:positionV relativeFrom="paragraph">
                  <wp:posOffset>0</wp:posOffset>
                </wp:positionV>
                <wp:extent cx="433070" cy="140335"/>
                <wp:wrapTopAndBottom/>
                <wp:docPr id="76" name="Shape 76"/>
                <a:graphic xmlns:a="http://schemas.openxmlformats.org/drawingml/2006/main">
                  <a:graphicData uri="http://schemas.microsoft.com/office/word/2010/wordprocessingShape">
                    <wps:wsp>
                      <wps:cNvSpPr txBox="1"/>
                      <wps:spPr>
                        <a:xfrm>
                          <a:ext cx="433070" cy="14033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银行账户</w:t>
                            </w:r>
                          </w:p>
                        </w:txbxContent>
                      </wps:txbx>
                      <wps:bodyPr wrap="none" lIns="0" tIns="0" rIns="0" bIns="0">
                        <a:noAutoFit/>
                      </wps:bodyPr>
                    </wps:wsp>
                  </a:graphicData>
                </a:graphic>
              </wp:anchor>
            </w:drawing>
          </mc:Choice>
          <mc:Fallback>
            <w:pict>
              <v:shape id="_x0000_s1102" type="#_x0000_t202" style="position:absolute;margin-left:285.5pt;margin-top:0;width:34.100000000000001pt;height:11.050000000000001pt;z-index:-125829361;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银行账户</w:t>
                      </w:r>
                    </w:p>
                  </w:txbxContent>
                </v:textbox>
                <w10:wrap type="topAndBottom" anchorx="page"/>
              </v:shape>
            </w:pict>
          </mc:Fallback>
        </mc:AlternateContent>
      </w:r>
    </w:p>
    <w:p>
      <w:pPr>
        <w:pStyle w:val="Style76"/>
        <w:keepNext w:val="0"/>
        <w:keepLines w:val="0"/>
        <w:widowControl w:val="0"/>
        <w:shd w:val="clear" w:color="auto" w:fill="auto"/>
        <w:bidi w:val="0"/>
        <w:spacing w:before="0" w:line="240" w:lineRule="auto"/>
        <w:ind w:left="0" w:right="0" w:firstLine="720"/>
        <w:jc w:val="both"/>
        <w:rPr>
          <w:sz w:val="16"/>
          <w:szCs w:val="16"/>
        </w:rPr>
      </w:pPr>
      <w:r>
        <w:rPr>
          <w:color w:val="000000"/>
          <w:spacing w:val="0"/>
          <w:w w:val="100"/>
          <w:position w:val="0"/>
          <w:sz w:val="16"/>
          <w:szCs w:val="16"/>
        </w:rPr>
        <w:t xml:space="preserve">TPCHolding </w:t>
      </w:r>
      <w:r>
        <w:rPr>
          <w:color w:val="000000"/>
          <w:spacing w:val="0"/>
          <w:w w:val="100"/>
          <w:position w:val="0"/>
          <w:sz w:val="16"/>
          <w:szCs w:val="16"/>
        </w:rPr>
        <w:t xml:space="preserve">、 </w:t>
      </w:r>
      <w:r>
        <w:rPr>
          <w:color w:val="000000"/>
          <w:spacing w:val="0"/>
          <w:w w:val="100"/>
          <w:position w:val="0"/>
          <w:sz w:val="16"/>
          <w:szCs w:val="16"/>
        </w:rPr>
        <w:t>Tanatex</w:t>
      </w:r>
    </w:p>
    <w:p>
      <w:pPr>
        <w:pStyle w:val="Style76"/>
        <w:keepNext w:val="0"/>
        <w:keepLines w:val="0"/>
        <w:widowControl w:val="0"/>
        <w:shd w:val="clear" w:color="auto" w:fill="auto"/>
        <w:bidi w:val="0"/>
        <w:spacing w:before="0" w:line="240" w:lineRule="auto"/>
        <w:ind w:left="0" w:right="0" w:firstLine="720"/>
        <w:jc w:val="left"/>
        <w:rPr>
          <w:sz w:val="16"/>
          <w:szCs w:val="16"/>
        </w:rPr>
      </w:pPr>
      <w:r>
        <w:rPr>
          <w:color w:val="000000"/>
          <w:spacing w:val="0"/>
          <w:w w:val="100"/>
          <w:position w:val="0"/>
          <w:sz w:val="16"/>
          <w:szCs w:val="16"/>
        </w:rPr>
        <w:t>Service GmbH</w:t>
      </w:r>
    </w:p>
    <w:p>
      <w:pPr>
        <w:pStyle w:val="Style7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Tanatex Chemicals B. v.</w:t>
      </w:r>
      <w:r>
        <w:rPr>
          <w:color w:val="000000"/>
          <w:spacing w:val="0"/>
          <w:w w:val="100"/>
          <w:position w:val="0"/>
          <w:sz w:val="16"/>
          <w:szCs w:val="16"/>
        </w:rPr>
        <w:t>、</w:t>
      </w:r>
    </w:p>
    <w:p>
      <w:pPr>
        <w:widowControl w:val="0"/>
        <w:spacing w:line="1" w:lineRule="exact"/>
      </w:pPr>
      <w:r>
        <mc:AlternateContent>
          <mc:Choice Requires="wps">
            <w:drawing>
              <wp:anchor distT="0" distB="152400" distL="0" distR="0" simplePos="0" relativeHeight="125829394" behindDoc="0" locked="0" layoutInCell="1" allowOverlap="1">
                <wp:simplePos x="0" y="0"/>
                <wp:positionH relativeFrom="page">
                  <wp:posOffset>1529080</wp:posOffset>
                </wp:positionH>
                <wp:positionV relativeFrom="paragraph">
                  <wp:posOffset>0</wp:posOffset>
                </wp:positionV>
                <wp:extent cx="1188720" cy="130810"/>
                <wp:wrapTopAndBottom/>
                <wp:docPr id="78" name="Shape 78"/>
                <a:graphic xmlns:a="http://schemas.openxmlformats.org/drawingml/2006/main">
                  <a:graphicData uri="http://schemas.microsoft.com/office/word/2010/wordprocessingShape">
                    <wps:wsp>
                      <wps:cNvSpPr txBox="1"/>
                      <wps:spPr>
                        <a:xfrm>
                          <a:ext cx="1188720" cy="1308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Tanatex International</w:t>
                            </w:r>
                          </w:p>
                        </w:txbxContent>
                      </wps:txbx>
                      <wps:bodyPr wrap="none" lIns="0" tIns="0" rIns="0" bIns="0">
                        <a:noAutoFit/>
                      </wps:bodyPr>
                    </wps:wsp>
                  </a:graphicData>
                </a:graphic>
              </wp:anchor>
            </w:drawing>
          </mc:Choice>
          <mc:Fallback>
            <w:pict>
              <v:shape id="_x0000_s1104" type="#_x0000_t202" style="position:absolute;margin-left:120.40000000000001pt;margin-top:0;width:93.600000000000009pt;height:10.300000000000001pt;z-index:-125829359;mso-wrap-distance-left:0;mso-wrap-distance-right:0;mso-wrap-distance-bottom:1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Tanatex International</w:t>
                      </w:r>
                    </w:p>
                  </w:txbxContent>
                </v:textbox>
                <w10:wrap type="topAndBottom" anchorx="page"/>
              </v:shape>
            </w:pict>
          </mc:Fallback>
        </mc:AlternateContent>
      </w:r>
      <w:r>
        <mc:AlternateContent>
          <mc:Choice Requires="wps">
            <w:drawing>
              <wp:anchor distT="155575" distB="0" distL="0" distR="0" simplePos="0" relativeHeight="125829396" behindDoc="0" locked="0" layoutInCell="1" allowOverlap="1">
                <wp:simplePos x="0" y="0"/>
                <wp:positionH relativeFrom="page">
                  <wp:posOffset>1529080</wp:posOffset>
                </wp:positionH>
                <wp:positionV relativeFrom="paragraph">
                  <wp:posOffset>155575</wp:posOffset>
                </wp:positionV>
                <wp:extent cx="1197610" cy="128270"/>
                <wp:wrapTopAndBottom/>
                <wp:docPr id="80" name="Shape 80"/>
                <a:graphic xmlns:a="http://schemas.openxmlformats.org/drawingml/2006/main">
                  <a:graphicData uri="http://schemas.microsoft.com/office/word/2010/wordprocessingShape">
                    <wps:wsp>
                      <wps:cNvSpPr txBox="1"/>
                      <wps:spPr>
                        <a:xfrm>
                          <a:ext cx="1197610"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w:t>
                            </w:r>
                          </w:p>
                        </w:txbxContent>
                      </wps:txbx>
                      <wps:bodyPr wrap="none" lIns="0" tIns="0" rIns="0" bIns="0">
                        <a:noAutoFit/>
                      </wps:bodyPr>
                    </wps:wsp>
                  </a:graphicData>
                </a:graphic>
              </wp:anchor>
            </w:drawing>
          </mc:Choice>
          <mc:Fallback>
            <w:pict>
              <v:shape id="_x0000_s1106" type="#_x0000_t202" style="position:absolute;margin-left:120.40000000000001pt;margin-top:12.25pt;width:94.299999999999997pt;height:10.1pt;z-index:-125829357;mso-wrap-distance-left:0;mso-wrap-distance-top:12.25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w:t>
                      </w:r>
                    </w:p>
                  </w:txbxContent>
                </v:textbox>
                <w10:wrap type="topAndBottom" anchorx="page"/>
              </v:shape>
            </w:pict>
          </mc:Fallback>
        </mc:AlternateContent>
      </w:r>
      <w:r>
        <mc:AlternateContent>
          <mc:Choice Requires="wps">
            <w:drawing>
              <wp:anchor distT="76200" distB="60960" distL="0" distR="0" simplePos="0" relativeHeight="125829398" behindDoc="0" locked="0" layoutInCell="1" allowOverlap="1">
                <wp:simplePos x="0" y="0"/>
                <wp:positionH relativeFrom="page">
                  <wp:posOffset>3623310</wp:posOffset>
                </wp:positionH>
                <wp:positionV relativeFrom="paragraph">
                  <wp:posOffset>76200</wp:posOffset>
                </wp:positionV>
                <wp:extent cx="1307465" cy="146050"/>
                <wp:wrapTopAndBottom/>
                <wp:docPr id="82" name="Shape 82"/>
                <a:graphic xmlns:a="http://schemas.openxmlformats.org/drawingml/2006/main">
                  <a:graphicData uri="http://schemas.microsoft.com/office/word/2010/wordprocessingShape">
                    <wps:wsp>
                      <wps:cNvSpPr txBox="1"/>
                      <wps:spPr>
                        <a:xfrm>
                          <a:ext cx="1307465" cy="146050"/>
                        </a:xfrm>
                        <a:prstGeom prst="rect"/>
                        <a:noFill/>
                      </wps:spPr>
                      <wps:txbx>
                        <w:txbxContent>
                          <w:p>
                            <w:pPr>
                              <w:pStyle w:val="Style66"/>
                              <w:keepNext w:val="0"/>
                              <w:keepLines w:val="0"/>
                              <w:widowControl w:val="0"/>
                              <w:shd w:val="clear" w:color="auto" w:fill="auto"/>
                              <w:tabs>
                                <w:tab w:pos="931"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tab/>
                            </w:r>
                            <w:r>
                              <w:rPr>
                                <w:color w:val="000000"/>
                                <w:spacing w:val="0"/>
                                <w:w w:val="100"/>
                                <w:position w:val="0"/>
                                <w:sz w:val="16"/>
                                <w:szCs w:val="16"/>
                              </w:rPr>
                              <w:t>61</w:t>
                            </w:r>
                            <w:r>
                              <w:rPr>
                                <w:rFonts w:ascii="SimSun" w:eastAsia="SimSun" w:hAnsi="SimSun" w:cs="SimSun"/>
                                <w:color w:val="000000"/>
                                <w:spacing w:val="0"/>
                                <w:w w:val="100"/>
                                <w:position w:val="0"/>
                                <w:sz w:val="16"/>
                                <w:szCs w:val="16"/>
                              </w:rPr>
                              <w:t>,</w:t>
                            </w:r>
                            <w:r>
                              <w:rPr>
                                <w:color w:val="000000"/>
                                <w:spacing w:val="0"/>
                                <w:w w:val="100"/>
                                <w:position w:val="0"/>
                                <w:sz w:val="16"/>
                                <w:szCs w:val="16"/>
                              </w:rPr>
                              <w:t>800</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134</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18</w:t>
                            </w:r>
                          </w:p>
                        </w:txbxContent>
                      </wps:txbx>
                      <wps:bodyPr wrap="none" lIns="0" tIns="0" rIns="0" bIns="0">
                        <a:noAutoFit/>
                      </wps:bodyPr>
                    </wps:wsp>
                  </a:graphicData>
                </a:graphic>
              </wp:anchor>
            </w:drawing>
          </mc:Choice>
          <mc:Fallback>
            <w:pict>
              <v:shape id="_x0000_s1108" type="#_x0000_t202" style="position:absolute;margin-left:285.30000000000001pt;margin-top:6.pt;width:102.95pt;height:11.5pt;z-index:-125829355;mso-wrap-distance-left:0;mso-wrap-distance-top:6.pt;mso-wrap-distance-right:0;mso-wrap-distance-bottom:4.7999999999999998pt;mso-position-horizontal-relative:page" filled="f" stroked="f">
                <v:textbox inset="0,0,0,0">
                  <w:txbxContent>
                    <w:p>
                      <w:pPr>
                        <w:pStyle w:val="Style66"/>
                        <w:keepNext w:val="0"/>
                        <w:keepLines w:val="0"/>
                        <w:widowControl w:val="0"/>
                        <w:shd w:val="clear" w:color="auto" w:fill="auto"/>
                        <w:tabs>
                          <w:tab w:pos="931"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tab/>
                      </w:r>
                      <w:r>
                        <w:rPr>
                          <w:color w:val="000000"/>
                          <w:spacing w:val="0"/>
                          <w:w w:val="100"/>
                          <w:position w:val="0"/>
                          <w:sz w:val="16"/>
                          <w:szCs w:val="16"/>
                        </w:rPr>
                        <w:t>61</w:t>
                      </w:r>
                      <w:r>
                        <w:rPr>
                          <w:rFonts w:ascii="SimSun" w:eastAsia="SimSun" w:hAnsi="SimSun" w:cs="SimSun"/>
                          <w:color w:val="000000"/>
                          <w:spacing w:val="0"/>
                          <w:w w:val="100"/>
                          <w:position w:val="0"/>
                          <w:sz w:val="16"/>
                          <w:szCs w:val="16"/>
                        </w:rPr>
                        <w:t>,</w:t>
                      </w:r>
                      <w:r>
                        <w:rPr>
                          <w:color w:val="000000"/>
                          <w:spacing w:val="0"/>
                          <w:w w:val="100"/>
                          <w:position w:val="0"/>
                          <w:sz w:val="16"/>
                          <w:szCs w:val="16"/>
                        </w:rPr>
                        <w:t>800</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134</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18</w:t>
                      </w:r>
                    </w:p>
                  </w:txbxContent>
                </v:textbox>
                <w10:wrap type="topAndBottom" anchorx="page"/>
              </v:shape>
            </w:pict>
          </mc:Fallback>
        </mc:AlternateContent>
      </w:r>
    </w:p>
    <w:p>
      <w:pPr>
        <w:widowControl w:val="0"/>
        <w:spacing w:line="1" w:lineRule="exact"/>
      </w:pPr>
      <w:r>
        <mc:AlternateContent>
          <mc:Choice Requires="wps">
            <w:drawing>
              <wp:anchor distT="12700" distB="2075815" distL="0" distR="0" simplePos="0" relativeHeight="125829400" behindDoc="0" locked="0" layoutInCell="1" allowOverlap="1">
                <wp:simplePos x="0" y="0"/>
                <wp:positionH relativeFrom="page">
                  <wp:posOffset>1529080</wp:posOffset>
                </wp:positionH>
                <wp:positionV relativeFrom="paragraph">
                  <wp:posOffset>12700</wp:posOffset>
                </wp:positionV>
                <wp:extent cx="841375" cy="133985"/>
                <wp:wrapTopAndBottom/>
                <wp:docPr id="84" name="Shape 84"/>
                <a:graphic xmlns:a="http://schemas.openxmlformats.org/drawingml/2006/main">
                  <a:graphicData uri="http://schemas.microsoft.com/office/word/2010/wordprocessingShape">
                    <wps:wsp>
                      <wps:cNvSpPr txBox="1"/>
                      <wps:spPr>
                        <a:xfrm>
                          <a:ext cx="841375"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 Holding B. V.</w:t>
                            </w:r>
                          </w:p>
                        </w:txbxContent>
                      </wps:txbx>
                      <wps:bodyPr wrap="none" lIns="0" tIns="0" rIns="0" bIns="0">
                        <a:noAutoFit/>
                      </wps:bodyPr>
                    </wps:wsp>
                  </a:graphicData>
                </a:graphic>
              </wp:anchor>
            </w:drawing>
          </mc:Choice>
          <mc:Fallback>
            <w:pict>
              <v:shape id="_x0000_s1110" type="#_x0000_t202" style="position:absolute;margin-left:120.40000000000001pt;margin-top:1.pt;width:66.25pt;height:10.550000000000001pt;z-index:-125829353;mso-wrap-distance-left:0;mso-wrap-distance-top:1.pt;mso-wrap-distance-right:0;mso-wrap-distance-bottom:163.4500000000000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 Holding B. V.</w:t>
                      </w:r>
                    </w:p>
                  </w:txbxContent>
                </v:textbox>
                <w10:wrap type="topAndBottom" anchorx="page"/>
              </v:shape>
            </w:pict>
          </mc:Fallback>
        </mc:AlternateContent>
      </w:r>
      <w:r>
        <mc:AlternateContent>
          <mc:Choice Requires="wps">
            <w:drawing>
              <wp:anchor distT="173990" distB="1920240" distL="0" distR="0" simplePos="0" relativeHeight="125829402" behindDoc="0" locked="0" layoutInCell="1" allowOverlap="1">
                <wp:simplePos x="0" y="0"/>
                <wp:positionH relativeFrom="page">
                  <wp:posOffset>1529080</wp:posOffset>
                </wp:positionH>
                <wp:positionV relativeFrom="paragraph">
                  <wp:posOffset>173990</wp:posOffset>
                </wp:positionV>
                <wp:extent cx="892810" cy="128270"/>
                <wp:wrapTopAndBottom/>
                <wp:docPr id="86" name="Shape 86"/>
                <a:graphic xmlns:a="http://schemas.openxmlformats.org/drawingml/2006/main">
                  <a:graphicData uri="http://schemas.microsoft.com/office/word/2010/wordprocessingShape">
                    <wps:wsp>
                      <wps:cNvSpPr txBox="1"/>
                      <wps:spPr>
                        <a:xfrm>
                          <a:ext cx="892810"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p>
                        </w:txbxContent>
                      </wps:txbx>
                      <wps:bodyPr wrap="none" lIns="0" tIns="0" rIns="0" bIns="0">
                        <a:noAutoFit/>
                      </wps:bodyPr>
                    </wps:wsp>
                  </a:graphicData>
                </a:graphic>
              </wp:anchor>
            </w:drawing>
          </mc:Choice>
          <mc:Fallback>
            <w:pict>
              <v:shape id="_x0000_s1112" type="#_x0000_t202" style="position:absolute;margin-left:120.40000000000001pt;margin-top:13.700000000000001pt;width:70.299999999999997pt;height:10.1pt;z-index:-125829351;mso-wrap-distance-left:0;mso-wrap-distance-top:13.700000000000001pt;mso-wrap-distance-right:0;mso-wrap-distance-bottom:151.2000000000000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p>
                  </w:txbxContent>
                </v:textbox>
                <w10:wrap type="topAndBottom" anchorx="page"/>
              </v:shape>
            </w:pict>
          </mc:Fallback>
        </mc:AlternateContent>
      </w:r>
      <w:r>
        <mc:AlternateContent>
          <mc:Choice Requires="wps">
            <w:drawing>
              <wp:anchor distT="326390" distB="1767840" distL="0" distR="0" simplePos="0" relativeHeight="125829404" behindDoc="0" locked="0" layoutInCell="1" allowOverlap="1">
                <wp:simplePos x="0" y="0"/>
                <wp:positionH relativeFrom="page">
                  <wp:posOffset>1529080</wp:posOffset>
                </wp:positionH>
                <wp:positionV relativeFrom="paragraph">
                  <wp:posOffset>326390</wp:posOffset>
                </wp:positionV>
                <wp:extent cx="1146175" cy="128270"/>
                <wp:wrapTopAndBottom/>
                <wp:docPr id="88" name="Shape 88"/>
                <a:graphic xmlns:a="http://schemas.openxmlformats.org/drawingml/2006/main">
                  <a:graphicData uri="http://schemas.microsoft.com/office/word/2010/wordprocessingShape">
                    <wps:wsp>
                      <wps:cNvSpPr txBox="1"/>
                      <wps:spPr>
                        <a:xfrm>
                          <a:ext cx="1146175"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wps:txbx>
                      <wps:bodyPr wrap="none" lIns="0" tIns="0" rIns="0" bIns="0">
                        <a:noAutoFit/>
                      </wps:bodyPr>
                    </wps:wsp>
                  </a:graphicData>
                </a:graphic>
              </wp:anchor>
            </w:drawing>
          </mc:Choice>
          <mc:Fallback>
            <w:pict>
              <v:shape id="_x0000_s1114" type="#_x0000_t202" style="position:absolute;margin-left:120.40000000000001pt;margin-top:25.699999999999999pt;width:90.25pt;height:10.1pt;z-index:-125829349;mso-wrap-distance-left:0;mso-wrap-distance-top:25.699999999999999pt;mso-wrap-distance-right:0;mso-wrap-distance-bottom:139.2000000000000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v:textbox>
                <w10:wrap type="topAndBottom" anchorx="page"/>
              </v:shape>
            </w:pict>
          </mc:Fallback>
        </mc:AlternateContent>
      </w:r>
      <w:r>
        <mc:AlternateContent>
          <mc:Choice Requires="wps">
            <w:drawing>
              <wp:anchor distT="478790" distB="1615440" distL="0" distR="0" simplePos="0" relativeHeight="125829406" behindDoc="0" locked="0" layoutInCell="1" allowOverlap="1">
                <wp:simplePos x="0" y="0"/>
                <wp:positionH relativeFrom="page">
                  <wp:posOffset>1529080</wp:posOffset>
                </wp:positionH>
                <wp:positionV relativeFrom="paragraph">
                  <wp:posOffset>478790</wp:posOffset>
                </wp:positionV>
                <wp:extent cx="1188720" cy="128270"/>
                <wp:wrapTopAndBottom/>
                <wp:docPr id="90" name="Shape 90"/>
                <a:graphic xmlns:a="http://schemas.openxmlformats.org/drawingml/2006/main">
                  <a:graphicData uri="http://schemas.microsoft.com/office/word/2010/wordprocessingShape">
                    <wps:wsp>
                      <wps:cNvSpPr txBox="1"/>
                      <wps:spPr>
                        <a:xfrm>
                          <a:ext cx="1188720"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International</w:t>
                            </w:r>
                          </w:p>
                        </w:txbxContent>
                      </wps:txbx>
                      <wps:bodyPr wrap="none" lIns="0" tIns="0" rIns="0" bIns="0">
                        <a:noAutoFit/>
                      </wps:bodyPr>
                    </wps:wsp>
                  </a:graphicData>
                </a:graphic>
              </wp:anchor>
            </w:drawing>
          </mc:Choice>
          <mc:Fallback>
            <w:pict>
              <v:shape id="_x0000_s1116" type="#_x0000_t202" style="position:absolute;margin-left:120.40000000000001pt;margin-top:37.700000000000003pt;width:93.600000000000009pt;height:10.1pt;z-index:-125829347;mso-wrap-distance-left:0;mso-wrap-distance-top:37.700000000000003pt;mso-wrap-distance-right:0;mso-wrap-distance-bottom:127.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International</w:t>
                      </w:r>
                    </w:p>
                  </w:txbxContent>
                </v:textbox>
                <w10:wrap type="topAndBottom" anchorx="page"/>
              </v:shape>
            </w:pict>
          </mc:Fallback>
        </mc:AlternateContent>
      </w:r>
      <w:r>
        <mc:AlternateContent>
          <mc:Choice Requires="wps">
            <w:drawing>
              <wp:anchor distT="631190" distB="1463040" distL="0" distR="0" simplePos="0" relativeHeight="125829408" behindDoc="0" locked="0" layoutInCell="1" allowOverlap="1">
                <wp:simplePos x="0" y="0"/>
                <wp:positionH relativeFrom="page">
                  <wp:posOffset>1529080</wp:posOffset>
                </wp:positionH>
                <wp:positionV relativeFrom="paragraph">
                  <wp:posOffset>631190</wp:posOffset>
                </wp:positionV>
                <wp:extent cx="231775" cy="128270"/>
                <wp:wrapTopAndBottom/>
                <wp:docPr id="92" name="Shape 92"/>
                <a:graphic xmlns:a="http://schemas.openxmlformats.org/drawingml/2006/main">
                  <a:graphicData uri="http://schemas.microsoft.com/office/word/2010/wordprocessingShape">
                    <wps:wsp>
                      <wps:cNvSpPr txBox="1"/>
                      <wps:spPr>
                        <a:xfrm>
                          <a:ext cx="231775"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p>
                        </w:txbxContent>
                      </wps:txbx>
                      <wps:bodyPr wrap="none" lIns="0" tIns="0" rIns="0" bIns="0">
                        <a:noAutoFit/>
                      </wps:bodyPr>
                    </wps:wsp>
                  </a:graphicData>
                </a:graphic>
              </wp:anchor>
            </w:drawing>
          </mc:Choice>
          <mc:Fallback>
            <w:pict>
              <v:shape id="_x0000_s1118" type="#_x0000_t202" style="position:absolute;margin-left:120.40000000000001pt;margin-top:49.700000000000003pt;width:18.25pt;height:10.1pt;z-index:-125829345;mso-wrap-distance-left:0;mso-wrap-distance-top:49.700000000000003pt;mso-wrap-distance-right:0;mso-wrap-distance-bottom:115.2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p>
                  </w:txbxContent>
                </v:textbox>
                <w10:wrap type="topAndBottom" anchorx="page"/>
              </v:shape>
            </w:pict>
          </mc:Fallback>
        </mc:AlternateContent>
      </w:r>
      <w:r>
        <mc:AlternateContent>
          <mc:Choice Requires="wps">
            <w:drawing>
              <wp:anchor distT="1280795" distB="813435" distL="0" distR="0" simplePos="0" relativeHeight="125829410" behindDoc="0" locked="0" layoutInCell="1" allowOverlap="1">
                <wp:simplePos x="0" y="0"/>
                <wp:positionH relativeFrom="page">
                  <wp:posOffset>1550035</wp:posOffset>
                </wp:positionH>
                <wp:positionV relativeFrom="paragraph">
                  <wp:posOffset>1280795</wp:posOffset>
                </wp:positionV>
                <wp:extent cx="1146175" cy="128270"/>
                <wp:wrapTopAndBottom/>
                <wp:docPr id="94" name="Shape 94"/>
                <a:graphic xmlns:a="http://schemas.openxmlformats.org/drawingml/2006/main">
                  <a:graphicData uri="http://schemas.microsoft.com/office/word/2010/wordprocessingShape">
                    <wps:wsp>
                      <wps:cNvSpPr txBox="1"/>
                      <wps:spPr>
                        <a:xfrm>
                          <a:ext cx="1146175"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wps:txbx>
                      <wps:bodyPr wrap="none" lIns="0" tIns="0" rIns="0" bIns="0">
                        <a:noAutoFit/>
                      </wps:bodyPr>
                    </wps:wsp>
                  </a:graphicData>
                </a:graphic>
              </wp:anchor>
            </w:drawing>
          </mc:Choice>
          <mc:Fallback>
            <w:pict>
              <v:shape id="_x0000_s1120" type="#_x0000_t202" style="position:absolute;margin-left:122.05pt;margin-top:100.85000000000001pt;width:90.25pt;height:10.1pt;z-index:-125829343;mso-wrap-distance-left:0;mso-wrap-distance-top:100.85000000000001pt;mso-wrap-distance-right:0;mso-wrap-distance-bottom:64.049999999999997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v:textbox>
                <w10:wrap type="topAndBottom" anchorx="page"/>
              </v:shape>
            </w:pict>
          </mc:Fallback>
        </mc:AlternateContent>
      </w:r>
      <w:r>
        <mc:AlternateContent>
          <mc:Choice Requires="wps">
            <w:drawing>
              <wp:anchor distT="104140" distB="542925" distL="0" distR="0" simplePos="0" relativeHeight="125829412" behindDoc="0" locked="0" layoutInCell="1" allowOverlap="1">
                <wp:simplePos x="0" y="0"/>
                <wp:positionH relativeFrom="page">
                  <wp:posOffset>3498215</wp:posOffset>
                </wp:positionH>
                <wp:positionV relativeFrom="paragraph">
                  <wp:posOffset>104140</wp:posOffset>
                </wp:positionV>
                <wp:extent cx="1505585" cy="1576070"/>
                <wp:wrapTopAndBottom/>
                <wp:docPr id="96" name="Shape 96"/>
                <a:graphic xmlns:a="http://schemas.openxmlformats.org/drawingml/2006/main">
                  <a:graphicData uri="http://schemas.microsoft.com/office/word/2010/wordprocessingShape">
                    <wps:wsp>
                      <wps:cNvSpPr txBox="1"/>
                      <wps:spPr>
                        <a:xfrm>
                          <a:ext cx="1505585" cy="1576070"/>
                        </a:xfrm>
                        <a:prstGeom prst="rect"/>
                        <a:noFill/>
                      </wps:spPr>
                      <wps:txbx>
                        <w:txbxContent>
                          <w:tbl>
                            <w:tblPr>
                              <w:tblOverlap w:val="never"/>
                              <w:jc w:val="left"/>
                              <w:tblLayout w:type="fixed"/>
                            </w:tblPr>
                            <w:tblGrid>
                              <w:gridCol w:w="1070"/>
                              <w:gridCol w:w="1301"/>
                            </w:tblGrid>
                            <w:tr>
                              <w:trPr>
                                <w:tblHeader/>
                                <w:trHeight w:val="10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版权和商标 方面的知识 产权保护</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经营设备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库存商品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53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可移动资产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2" type="#_x0000_t202" style="position:absolute;margin-left:275.44999999999999pt;margin-top:8.1999999999999993pt;width:118.55pt;height:124.10000000000001pt;z-index:-125829341;mso-wrap-distance-left:0;mso-wrap-distance-top:8.1999999999999993pt;mso-wrap-distance-right:0;mso-wrap-distance-bottom:42.75pt;mso-position-horizontal-relative:page" filled="f" stroked="f">
                <v:textbox inset="0,0,0,0">
                  <w:txbxContent>
                    <w:tbl>
                      <w:tblPr>
                        <w:tblOverlap w:val="never"/>
                        <w:jc w:val="left"/>
                        <w:tblLayout w:type="fixed"/>
                      </w:tblPr>
                      <w:tblGrid>
                        <w:gridCol w:w="1070"/>
                        <w:gridCol w:w="1301"/>
                      </w:tblGrid>
                      <w:tr>
                        <w:trPr>
                          <w:tblHeader/>
                          <w:trHeight w:val="10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版权和商标 方面的知识 产权保护</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经营设备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库存商品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53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可移动资产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3629025</wp:posOffset>
                </wp:positionH>
                <wp:positionV relativeFrom="paragraph">
                  <wp:posOffset>1710690</wp:posOffset>
                </wp:positionV>
                <wp:extent cx="429895" cy="140335"/>
                <wp:wrapNone/>
                <wp:docPr id="98" name="Shape 98"/>
                <a:graphic xmlns:a="http://schemas.openxmlformats.org/drawingml/2006/main">
                  <a:graphicData uri="http://schemas.microsoft.com/office/word/2010/wordprocessingShape">
                    <wps:wsp>
                      <wps:cNvSpPr txBox="1"/>
                      <wps:spPr>
                        <a:xfrm>
                          <a:ext cx="429895"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客户合同</w:t>
                            </w:r>
                          </w:p>
                        </w:txbxContent>
                      </wps:txbx>
                      <wps:bodyPr lIns="0" tIns="0" rIns="0" bIns="0">
                        <a:noAutoFit/>
                      </wps:bodyPr>
                    </wps:wsp>
                  </a:graphicData>
                </a:graphic>
              </wp:anchor>
            </w:drawing>
          </mc:Choice>
          <mc:Fallback>
            <w:pict>
              <v:shape id="_x0000_s1124" type="#_x0000_t202" style="position:absolute;margin-left:285.75pt;margin-top:134.69999999999999pt;width:33.850000000000001pt;height:11.050000000000001pt;z-index:25165772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客户合同</w:t>
                      </w:r>
                    </w:p>
                  </w:txbxContent>
                </v:textbox>
                <w10:wrap anchorx="page"/>
              </v:shape>
            </w:pict>
          </mc:Fallback>
        </mc:AlternateContent>
      </w:r>
      <w:r>
        <mc:AlternateContent>
          <mc:Choice Requires="wps">
            <w:drawing>
              <wp:anchor distT="2002790" distB="82550" distL="0" distR="0" simplePos="0" relativeHeight="125829414" behindDoc="0" locked="0" layoutInCell="1" allowOverlap="1">
                <wp:simplePos x="0" y="0"/>
                <wp:positionH relativeFrom="page">
                  <wp:posOffset>1038225</wp:posOffset>
                </wp:positionH>
                <wp:positionV relativeFrom="paragraph">
                  <wp:posOffset>2002790</wp:posOffset>
                </wp:positionV>
                <wp:extent cx="280670" cy="137160"/>
                <wp:wrapTopAndBottom/>
                <wp:docPr id="100" name="Shape 100"/>
                <a:graphic xmlns:a="http://schemas.openxmlformats.org/drawingml/2006/main">
                  <a:graphicData uri="http://schemas.microsoft.com/office/word/2010/wordprocessingShape">
                    <wps:wsp>
                      <wps:cNvSpPr txBox="1"/>
                      <wps:spPr>
                        <a:xfrm>
                          <a:ext cx="280670" cy="13716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xbxContent>
                      </wps:txbx>
                      <wps:bodyPr wrap="none" lIns="0" tIns="0" rIns="0" bIns="0">
                        <a:noAutoFit/>
                      </wps:bodyPr>
                    </wps:wsp>
                  </a:graphicData>
                </a:graphic>
              </wp:anchor>
            </w:drawing>
          </mc:Choice>
          <mc:Fallback>
            <w:pict>
              <v:shape id="_x0000_s1126" type="#_x0000_t202" style="position:absolute;margin-left:81.75pt;margin-top:157.70000000000002pt;width:22.100000000000001pt;height:10.800000000000001pt;z-index:-125829339;mso-wrap-distance-left:0;mso-wrap-distance-top:157.70000000000002pt;mso-wrap-distance-right:0;mso-wrap-distance-bottom:6.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xbxContent>
                </v:textbox>
                <w10:wrap type="topAndBottom" anchorx="page"/>
              </v:shape>
            </w:pict>
          </mc:Fallback>
        </mc:AlternateContent>
      </w:r>
      <w:r>
        <w:drawing>
          <wp:anchor distT="1908810" distB="0" distL="0" distR="0" simplePos="0" relativeHeight="125829416" behindDoc="0" locked="0" layoutInCell="1" allowOverlap="1">
            <wp:simplePos x="0" y="0"/>
            <wp:positionH relativeFrom="page">
              <wp:posOffset>1461770</wp:posOffset>
            </wp:positionH>
            <wp:positionV relativeFrom="paragraph">
              <wp:posOffset>1908810</wp:posOffset>
            </wp:positionV>
            <wp:extent cx="1329055" cy="316865"/>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40"/>
                    <a:stretch/>
                  </pic:blipFill>
                  <pic:spPr>
                    <a:xfrm>
                      <a:ext cx="1329055" cy="316865"/>
                    </a:xfrm>
                    <a:prstGeom prst="rect"/>
                  </pic:spPr>
                </pic:pic>
              </a:graphicData>
            </a:graphic>
          </wp:anchor>
        </w:drawing>
      </w:r>
      <w:r>
        <mc:AlternateContent>
          <mc:Choice Requires="wps">
            <w:drawing>
              <wp:anchor distT="2000250" distB="76200" distL="0" distR="0" simplePos="0" relativeHeight="125829417" behindDoc="0" locked="0" layoutInCell="1" allowOverlap="1">
                <wp:simplePos x="0" y="0"/>
                <wp:positionH relativeFrom="page">
                  <wp:posOffset>4214495</wp:posOffset>
                </wp:positionH>
                <wp:positionV relativeFrom="paragraph">
                  <wp:posOffset>2000250</wp:posOffset>
                </wp:positionV>
                <wp:extent cx="1524000" cy="146050"/>
                <wp:wrapTopAndBottom/>
                <wp:docPr id="104" name="Shape 104"/>
                <a:graphic xmlns:a="http://schemas.openxmlformats.org/drawingml/2006/main">
                  <a:graphicData uri="http://schemas.microsoft.com/office/word/2010/wordprocessingShape">
                    <wps:wsp>
                      <wps:cNvSpPr txBox="1"/>
                      <wps:spPr>
                        <a:xfrm>
                          <a:ext cx="1524000" cy="146050"/>
                        </a:xfrm>
                        <a:prstGeom prst="rect"/>
                        <a:noFill/>
                      </wps:spPr>
                      <wps:txbx>
                        <w:txbxContent>
                          <w:p>
                            <w:pPr>
                              <w:pStyle w:val="Style66"/>
                              <w:keepNext w:val="0"/>
                              <w:keepLines w:val="0"/>
                              <w:widowControl w:val="0"/>
                              <w:shd w:val="clear" w:color="auto" w:fill="auto"/>
                              <w:tabs>
                                <w:tab w:pos="1310" w:val="left"/>
                              </w:tabs>
                              <w:bidi w:val="0"/>
                              <w:spacing w:before="0" w:after="0" w:line="240" w:lineRule="auto"/>
                              <w:ind w:left="0" w:right="0" w:firstLine="0"/>
                              <w:jc w:val="left"/>
                              <w:rPr>
                                <w:sz w:val="16"/>
                                <w:szCs w:val="16"/>
                              </w:rPr>
                            </w:pPr>
                            <w:r>
                              <w:rPr>
                                <w:color w:val="000000"/>
                                <w:spacing w:val="0"/>
                                <w:w w:val="100"/>
                                <w:position w:val="0"/>
                                <w:sz w:val="16"/>
                                <w:szCs w:val="16"/>
                              </w:rPr>
                              <w:t>237</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063</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959</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23</w:t>
                              <w:tab/>
                              <w:t>25</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140</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797</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80</w:t>
                            </w:r>
                          </w:p>
                        </w:txbxContent>
                      </wps:txbx>
                      <wps:bodyPr wrap="none" lIns="0" tIns="0" rIns="0" bIns="0">
                        <a:noAutoFit/>
                      </wps:bodyPr>
                    </wps:wsp>
                  </a:graphicData>
                </a:graphic>
              </wp:anchor>
            </w:drawing>
          </mc:Choice>
          <mc:Fallback>
            <w:pict>
              <v:shape id="_x0000_s1130" type="#_x0000_t202" style="position:absolute;margin-left:331.85000000000002pt;margin-top:157.5pt;width:120.pt;height:11.5pt;z-index:-125829336;mso-wrap-distance-left:0;mso-wrap-distance-top:157.5pt;mso-wrap-distance-right:0;mso-wrap-distance-bottom:6.pt;mso-position-horizontal-relative:page" filled="f" stroked="f">
                <v:textbox inset="0,0,0,0">
                  <w:txbxContent>
                    <w:p>
                      <w:pPr>
                        <w:pStyle w:val="Style66"/>
                        <w:keepNext w:val="0"/>
                        <w:keepLines w:val="0"/>
                        <w:widowControl w:val="0"/>
                        <w:shd w:val="clear" w:color="auto" w:fill="auto"/>
                        <w:tabs>
                          <w:tab w:pos="1310" w:val="left"/>
                        </w:tabs>
                        <w:bidi w:val="0"/>
                        <w:spacing w:before="0" w:after="0" w:line="240" w:lineRule="auto"/>
                        <w:ind w:left="0" w:right="0" w:firstLine="0"/>
                        <w:jc w:val="left"/>
                        <w:rPr>
                          <w:sz w:val="16"/>
                          <w:szCs w:val="16"/>
                        </w:rPr>
                      </w:pPr>
                      <w:r>
                        <w:rPr>
                          <w:color w:val="000000"/>
                          <w:spacing w:val="0"/>
                          <w:w w:val="100"/>
                          <w:position w:val="0"/>
                          <w:sz w:val="16"/>
                          <w:szCs w:val="16"/>
                        </w:rPr>
                        <w:t>237</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063</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959</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23</w:t>
                        <w:tab/>
                        <w:t>25</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140</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797</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80</w:t>
                      </w:r>
                    </w:p>
                  </w:txbxContent>
                </v:textbox>
                <w10:wrap type="topAndBottom" anchorx="page"/>
              </v:shape>
            </w:pict>
          </mc:Fallback>
        </mc:AlternateContent>
      </w:r>
    </w:p>
    <w:p>
      <w:pPr>
        <w:pStyle w:val="Style111"/>
        <w:keepNext w:val="0"/>
        <w:keepLines w:val="0"/>
        <w:widowControl w:val="0"/>
        <w:shd w:val="clear" w:color="auto" w:fill="auto"/>
        <w:bidi w:val="0"/>
        <w:spacing w:before="0" w:after="80" w:line="240" w:lineRule="auto"/>
        <w:ind w:left="0" w:right="0" w:firstLine="580"/>
        <w:jc w:val="left"/>
      </w:pPr>
      <w:bookmarkStart w:id="328" w:name="bookmark328"/>
      <w:r>
        <w:rPr>
          <w:rFonts w:ascii="Times New Roman" w:eastAsia="Times New Roman" w:hAnsi="Times New Roman" w:cs="Times New Roman"/>
          <w:color w:val="000000"/>
          <w:spacing w:val="0"/>
          <w:w w:val="100"/>
          <w:position w:val="0"/>
        </w:rPr>
        <w:t>3</w:t>
      </w:r>
      <w:bookmarkEnd w:id="328"/>
      <w:r>
        <w:rPr>
          <w:color w:val="000000"/>
          <w:spacing w:val="0"/>
          <w:w w:val="100"/>
          <w:position w:val="0"/>
        </w:rPr>
        <w:t>）信用借款</w:t>
      </w:r>
    </w:p>
    <w:tbl>
      <w:tblPr>
        <w:tblOverlap w:val="never"/>
        <w:jc w:val="center"/>
        <w:tblLayout w:type="fixed"/>
      </w:tblPr>
      <w:tblGrid>
        <w:gridCol w:w="1310"/>
        <w:gridCol w:w="2410"/>
        <w:gridCol w:w="1699"/>
        <w:gridCol w:w="1560"/>
        <w:gridCol w:w="1733"/>
      </w:tblGrid>
      <w:tr>
        <w:trPr>
          <w:trHeight w:val="6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借款金融机构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借款最后到期日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9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传化物流集 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中国工商银行温州瓯海支行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浙江传化物流基地 有限公司对传化物 流集团发放的委托 贷款</w:t>
            </w:r>
          </w:p>
        </w:tc>
      </w:tr>
      <w:tr>
        <w:trPr>
          <w:trHeight w:val="57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中国进出口银行省分行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83"/>
        </w:numPr>
        <w:shd w:val="clear" w:color="auto" w:fill="auto"/>
        <w:bidi w:val="0"/>
        <w:spacing w:before="0" w:after="80" w:line="240" w:lineRule="auto"/>
        <w:ind w:left="0" w:right="0" w:firstLine="580"/>
        <w:jc w:val="left"/>
      </w:pPr>
      <w:bookmarkStart w:id="329" w:name="bookmark329"/>
      <w:bookmarkEnd w:id="329"/>
      <w:r>
        <w:rPr>
          <w:color w:val="000000"/>
          <w:spacing w:val="0"/>
          <w:w w:val="100"/>
          <w:position w:val="0"/>
        </w:rPr>
        <w:t>衍生金融负债</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利率掉期合约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83"/>
        </w:numPr>
        <w:shd w:val="clear" w:color="auto" w:fill="auto"/>
        <w:bidi w:val="0"/>
        <w:spacing w:before="0" w:after="80" w:line="240" w:lineRule="auto"/>
        <w:ind w:left="0" w:right="0" w:firstLine="580"/>
        <w:jc w:val="left"/>
      </w:pPr>
      <w:bookmarkStart w:id="330" w:name="bookmark330"/>
      <w:bookmarkEnd w:id="330"/>
      <w:r>
        <w:rPr>
          <w:color w:val="000000"/>
          <w:spacing w:val="0"/>
          <w:w w:val="100"/>
          <w:position w:val="0"/>
        </w:rPr>
        <w:t>应付票据</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减：抵销库存票据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80"/>
        <w:jc w:val="left"/>
      </w:pPr>
      <w:r>
        <w:rPr>
          <w:color w:val="000000"/>
          <w:spacing w:val="0"/>
          <w:w w:val="100"/>
          <w:position w:val="0"/>
        </w:rPr>
        <w:t>下一会计期间将到期的金额为</w:t>
      </w:r>
      <w:r>
        <w:rPr>
          <w:rFonts w:ascii="Times New Roman" w:eastAsia="Times New Roman" w:hAnsi="Times New Roman" w:cs="Times New Roman"/>
          <w:color w:val="000000"/>
          <w:spacing w:val="0"/>
          <w:w w:val="100"/>
          <w:position w:val="0"/>
        </w:rPr>
        <w:t>225</w:t>
      </w:r>
      <w:r>
        <w:rPr>
          <w:color w:val="000000"/>
          <w:spacing w:val="0"/>
          <w:w w:val="100"/>
          <w:position w:val="0"/>
        </w:rPr>
        <w:t xml:space="preserve">, </w:t>
      </w:r>
      <w:r>
        <w:rPr>
          <w:rFonts w:ascii="Times New Roman" w:eastAsia="Times New Roman" w:hAnsi="Times New Roman" w:cs="Times New Roman"/>
          <w:color w:val="000000"/>
          <w:spacing w:val="0"/>
          <w:w w:val="100"/>
          <w:position w:val="0"/>
        </w:rPr>
        <w:t>679</w:t>
      </w:r>
      <w:r>
        <w:rPr>
          <w:color w:val="000000"/>
          <w:spacing w:val="0"/>
          <w:w w:val="100"/>
          <w:position w:val="0"/>
        </w:rPr>
        <w:t xml:space="preserve">, </w:t>
      </w:r>
      <w:r>
        <w:rPr>
          <w:rFonts w:ascii="Times New Roman" w:eastAsia="Times New Roman" w:hAnsi="Times New Roman" w:cs="Times New Roman"/>
          <w:color w:val="000000"/>
          <w:spacing w:val="0"/>
          <w:w w:val="100"/>
          <w:position w:val="0"/>
        </w:rPr>
        <w:t>094</w:t>
      </w:r>
      <w:r>
        <w:rPr>
          <w:color w:val="000000"/>
          <w:spacing w:val="0"/>
          <w:w w:val="100"/>
          <w:position w:val="0"/>
        </w:rPr>
        <w:t xml:space="preserve">. </w:t>
      </w:r>
      <w:r>
        <w:rPr>
          <w:rFonts w:ascii="Times New Roman" w:eastAsia="Times New Roman" w:hAnsi="Times New Roman" w:cs="Times New Roman"/>
          <w:color w:val="000000"/>
          <w:spacing w:val="0"/>
          <w:w w:val="100"/>
          <w:position w:val="0"/>
        </w:rPr>
        <w:t>06</w:t>
      </w:r>
      <w:r>
        <w:rPr>
          <w:color w:val="000000"/>
          <w:spacing w:val="0"/>
          <w:w w:val="100"/>
          <w:position w:val="0"/>
        </w:rPr>
        <w:t>元。</w:t>
      </w:r>
      <w:r>
        <w:br w:type="page"/>
      </w:r>
    </w:p>
    <w:p>
      <w:pPr>
        <w:pStyle w:val="Style30"/>
        <w:keepNext w:val="0"/>
        <w:keepLines w:val="0"/>
        <w:widowControl w:val="0"/>
        <w:shd w:val="clear" w:color="auto" w:fill="auto"/>
        <w:bidi w:val="0"/>
        <w:spacing w:before="0" w:after="0" w:line="240" w:lineRule="auto"/>
        <w:ind w:left="595"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)其他说明</w:t>
      </w:r>
    </w:p>
    <w:tbl>
      <w:tblPr>
        <w:tblOverlap w:val="never"/>
        <w:jc w:val="center"/>
        <w:tblLayout w:type="fixed"/>
      </w:tblPr>
      <w:tblGrid>
        <w:gridCol w:w="1042"/>
        <w:gridCol w:w="1181"/>
        <w:gridCol w:w="3806"/>
        <w:gridCol w:w="1685"/>
        <w:gridCol w:w="1190"/>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出票人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票据开立条件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票据最后 到期日</w:t>
            </w:r>
          </w:p>
        </w:tc>
      </w:tr>
      <w:tr>
        <w:trPr>
          <w:trHeight w:val="81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招商银行 萧山支行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本公司以应收票据</w:t>
            </w:r>
            <w:r>
              <w:rPr>
                <w:rFonts w:ascii="Times New Roman" w:eastAsia="Times New Roman" w:hAnsi="Times New Roman" w:cs="Times New Roman"/>
                <w:color w:val="000000"/>
                <w:spacing w:val="0"/>
                <w:w w:val="100"/>
                <w:position w:val="0"/>
                <w:sz w:val="20"/>
                <w:szCs w:val="20"/>
              </w:rPr>
              <w:t>149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w:t>
            </w:r>
            <w:r>
              <w:rPr>
                <w:color w:val="000000"/>
                <w:spacing w:val="0"/>
                <w:w w:val="100"/>
                <w:position w:val="0"/>
                <w:sz w:val="20"/>
                <w:szCs w:val="20"/>
              </w:rPr>
              <w:t>元</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提供质押担保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r>
      <w:tr>
        <w:trPr>
          <w:trHeight w:val="82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8" w:lineRule="exact"/>
              <w:ind w:left="0" w:right="0" w:firstLine="0"/>
              <w:jc w:val="both"/>
              <w:rPr>
                <w:sz w:val="20"/>
                <w:szCs w:val="20"/>
              </w:rPr>
            </w:pPr>
            <w:r>
              <w:rPr>
                <w:color w:val="000000"/>
                <w:spacing w:val="0"/>
                <w:w w:val="100"/>
                <w:position w:val="0"/>
                <w:sz w:val="20"/>
                <w:szCs w:val="20"/>
              </w:rPr>
              <w:t>农行浙江 省分行营 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本公司存入银行承兑汇票保证金</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 </w:t>
            </w: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r>
        <w:trPr>
          <w:trHeight w:val="82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exact"/>
              <w:ind w:left="140" w:right="0" w:firstLine="0"/>
              <w:jc w:val="left"/>
              <w:rPr>
                <w:sz w:val="20"/>
                <w:szCs w:val="20"/>
              </w:rPr>
            </w:pPr>
            <w:r>
              <w:rPr>
                <w:color w:val="000000"/>
                <w:spacing w:val="0"/>
                <w:w w:val="100"/>
                <w:position w:val="0"/>
                <w:sz w:val="20"/>
                <w:szCs w:val="20"/>
              </w:rPr>
              <w:t>传化化 学品公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招商银行 萧山支行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传化化学品公司以应收票据</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元提供质押担保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10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传化涂</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料公司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8" w:lineRule="exact"/>
              <w:ind w:left="0" w:right="0" w:firstLine="0"/>
              <w:jc w:val="both"/>
              <w:rPr>
                <w:sz w:val="20"/>
                <w:szCs w:val="20"/>
              </w:rPr>
            </w:pPr>
            <w:r>
              <w:rPr>
                <w:color w:val="000000"/>
                <w:spacing w:val="0"/>
                <w:w w:val="100"/>
                <w:position w:val="0"/>
                <w:sz w:val="20"/>
                <w:szCs w:val="20"/>
              </w:rPr>
              <w:t>浙江萧山 农村商业 银行宁围 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传化涂料公司存入银行承兑汇票保证金</w:t>
            </w:r>
          </w:p>
          <w:p>
            <w:pPr>
              <w:pStyle w:val="Style6"/>
              <w:keepNext w:val="0"/>
              <w:keepLines w:val="0"/>
              <w:widowControl w:val="0"/>
              <w:shd w:val="clear" w:color="auto" w:fill="auto"/>
              <w:bidi w:val="0"/>
              <w:spacing w:before="0" w:after="0" w:line="24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元，同时由本公司提供保 证担保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r>
        <w:trPr>
          <w:trHeight w:val="16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1" w:lineRule="exact"/>
              <w:ind w:left="140" w:right="0" w:firstLine="0"/>
              <w:jc w:val="both"/>
              <w:rPr>
                <w:sz w:val="20"/>
                <w:szCs w:val="20"/>
              </w:rPr>
            </w:pPr>
            <w:r>
              <w:rPr>
                <w:color w:val="000000"/>
                <w:spacing w:val="0"/>
                <w:w w:val="100"/>
                <w:position w:val="0"/>
                <w:sz w:val="20"/>
                <w:szCs w:val="20"/>
              </w:rPr>
              <w:t>浙江天 松新材 料股份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both"/>
              <w:rPr>
                <w:sz w:val="20"/>
                <w:szCs w:val="20"/>
              </w:rPr>
            </w:pPr>
            <w:r>
              <w:rPr>
                <w:color w:val="000000"/>
                <w:spacing w:val="0"/>
                <w:w w:val="100"/>
                <w:position w:val="0"/>
                <w:sz w:val="20"/>
                <w:szCs w:val="20"/>
              </w:rPr>
              <w:t>交通银行 临安支行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8" w:lineRule="exact"/>
              <w:ind w:left="0" w:right="0" w:firstLine="0"/>
              <w:jc w:val="both"/>
              <w:rPr>
                <w:sz w:val="20"/>
                <w:szCs w:val="20"/>
              </w:rPr>
            </w:pPr>
            <w:r>
              <w:rPr>
                <w:color w:val="000000"/>
                <w:spacing w:val="0"/>
                <w:w w:val="100"/>
                <w:position w:val="0"/>
                <w:sz w:val="20"/>
                <w:szCs w:val="20"/>
              </w:rPr>
              <w:t>浙江天松新材料股份有限公司(以下简 称天松股份公司)在交通银行以应收票 据</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元质押，以及天松股 份公司在交通银行临安支行存入银行承 兑汇票保证金</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262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元，同时由 本公司提供保证担保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97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34" w:lineRule="exact"/>
              <w:ind w:left="140" w:right="0" w:firstLine="0"/>
              <w:jc w:val="both"/>
              <w:rPr>
                <w:sz w:val="20"/>
                <w:szCs w:val="20"/>
              </w:rPr>
            </w:pPr>
            <w:r>
              <w:rPr>
                <w:color w:val="000000"/>
                <w:spacing w:val="0"/>
                <w:w w:val="100"/>
                <w:position w:val="0"/>
                <w:sz w:val="20"/>
                <w:szCs w:val="20"/>
              </w:rPr>
              <w:t>临安市 南庄塑 化有限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交通银行 临安支行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临安市南庄塑化有限公司存入银行承兑 汇票保证金</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元，同时由本 公司提供保证担保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83"/>
        </w:numPr>
        <w:shd w:val="clear" w:color="auto" w:fill="auto"/>
        <w:bidi w:val="0"/>
        <w:spacing w:before="0" w:after="200" w:line="240" w:lineRule="auto"/>
        <w:ind w:left="0" w:right="0" w:firstLine="580"/>
        <w:jc w:val="left"/>
      </w:pPr>
      <w:bookmarkStart w:id="331" w:name="bookmark331"/>
      <w:bookmarkEnd w:id="331"/>
      <w:r>
        <w:rPr>
          <w:color w:val="000000"/>
          <w:spacing w:val="0"/>
          <w:w w:val="100"/>
          <w:position w:val="0"/>
        </w:rPr>
        <w:t>应付账款</w:t>
      </w:r>
    </w:p>
    <w:p>
      <w:pPr>
        <w:pStyle w:val="Style111"/>
        <w:keepNext w:val="0"/>
        <w:keepLines w:val="0"/>
        <w:widowControl w:val="0"/>
        <w:shd w:val="clear" w:color="auto" w:fill="auto"/>
        <w:bidi w:val="0"/>
        <w:spacing w:before="0" w:after="60" w:line="240" w:lineRule="auto"/>
        <w:ind w:left="0" w:right="0" w:firstLine="580"/>
        <w:jc w:val="left"/>
      </w:pPr>
      <w:r>
        <w:rPr>
          <w:color w:val="000000"/>
          <w:spacing w:val="0"/>
          <w:w w:val="100"/>
          <w:position w:val="0"/>
        </w:rPr>
        <w:t>⑴明细情况</w:t>
      </w:r>
    </w:p>
    <w:tbl>
      <w:tblPr>
        <w:tblOverlap w:val="never"/>
        <w:jc w:val="center"/>
        <w:tblLayout w:type="fixed"/>
      </w:tblPr>
      <w:tblGrid>
        <w:gridCol w:w="4718"/>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应付材料及劳务采购款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应付工程及设备款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年以上重要的应付账款</w:t>
      </w:r>
    </w:p>
    <w:p>
      <w:pPr>
        <w:widowControl w:val="0"/>
        <w:spacing w:after="59" w:line="1" w:lineRule="exact"/>
      </w:pPr>
    </w:p>
    <w:p>
      <w:pPr>
        <w:widowControl w:val="0"/>
        <w:spacing w:line="1" w:lineRule="exact"/>
      </w:pPr>
    </w:p>
    <w:tbl>
      <w:tblPr>
        <w:tblOverlap w:val="never"/>
        <w:jc w:val="center"/>
        <w:tblLayout w:type="fixed"/>
      </w:tblPr>
      <w:tblGrid>
        <w:gridCol w:w="3686"/>
        <w:gridCol w:w="2026"/>
        <w:gridCol w:w="287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未偿还或结转的原因</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青岛中建联合建设有限公司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大连金鼎石油化工机器有限公司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中国化学工程第十六建设有限公司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中船圣汇装备有限公司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1"/>
        <w:keepNext w:val="0"/>
        <w:keepLines w:val="0"/>
        <w:widowControl w:val="0"/>
        <w:numPr>
          <w:ilvl w:val="0"/>
          <w:numId w:val="83"/>
        </w:numPr>
        <w:shd w:val="clear" w:color="auto" w:fill="auto"/>
        <w:bidi w:val="0"/>
        <w:spacing w:before="0" w:after="180" w:line="240" w:lineRule="auto"/>
        <w:ind w:left="0" w:right="0" w:firstLine="560"/>
        <w:jc w:val="left"/>
      </w:pPr>
      <w:bookmarkStart w:id="332" w:name="bookmark332"/>
      <w:bookmarkEnd w:id="332"/>
      <w:r>
        <w:rPr>
          <w:color w:val="000000"/>
          <w:spacing w:val="0"/>
          <w:w w:val="100"/>
          <w:position w:val="0"/>
        </w:rPr>
        <w:t>预收款项</w:t>
      </w: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⑴明细情况</w:t>
      </w:r>
    </w:p>
    <w:tbl>
      <w:tblPr>
        <w:tblOverlap w:val="never"/>
        <w:jc w:val="center"/>
        <w:tblLayout w:type="fixed"/>
      </w:tblPr>
      <w:tblGrid>
        <w:gridCol w:w="4714"/>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预收货款及其他服务费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588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预收公路港配套设施系列服务与开发款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预收租金、管理费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年以上重要的预收款项</w:t>
      </w:r>
    </w:p>
    <w:tbl>
      <w:tblPr>
        <w:tblOverlap w:val="never"/>
        <w:jc w:val="center"/>
        <w:tblLayout w:type="fixed"/>
      </w:tblPr>
      <w:tblGrid>
        <w:gridCol w:w="3403"/>
        <w:gridCol w:w="2309"/>
        <w:gridCol w:w="287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未偿还或结转的原因</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成都金山房地产开发有限公司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湖北秦龙投资集团有限公司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贵州德坤商贸有限责任公司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商丘风驰汽车贸易有限公司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石家庄翼华众合投资集团有限公司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尚未正式结算</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83"/>
        </w:numPr>
        <w:shd w:val="clear" w:color="auto" w:fill="auto"/>
        <w:bidi w:val="0"/>
        <w:spacing w:before="0" w:after="180" w:line="240" w:lineRule="auto"/>
        <w:ind w:left="0" w:right="0" w:firstLine="560"/>
        <w:jc w:val="left"/>
      </w:pPr>
      <w:bookmarkStart w:id="333" w:name="bookmark333"/>
      <w:bookmarkEnd w:id="333"/>
      <w:r>
        <w:rPr>
          <w:color w:val="000000"/>
          <w:spacing w:val="0"/>
          <w:w w:val="100"/>
          <w:position w:val="0"/>
        </w:rPr>
        <w:t>应付职工薪酬</w:t>
      </w: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明细情况</w:t>
      </w:r>
    </w:p>
    <w:tbl>
      <w:tblPr>
        <w:tblOverlap w:val="never"/>
        <w:jc w:val="center"/>
        <w:tblLayout w:type="fixed"/>
      </w:tblPr>
      <w:tblGrid>
        <w:gridCol w:w="1651"/>
        <w:gridCol w:w="1709"/>
        <w:gridCol w:w="1915"/>
        <w:gridCol w:w="1843"/>
        <w:gridCol w:w="1733"/>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69 </w:t>
            </w:r>
            <w:r>
              <w:rPr>
                <w:color w:val="000000"/>
                <w:spacing w:val="0"/>
                <w:w w:val="100"/>
                <w:position w:val="0"/>
                <w:sz w:val="18"/>
                <w:szCs w:val="18"/>
              </w:rPr>
              <w:t>［</w:t>
            </w: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离职后福利一设</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46</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bl>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注：本期增加包括本期计提</w:t>
      </w:r>
      <w:r>
        <w:rPr>
          <w:rFonts w:ascii="Times New Roman" w:eastAsia="Times New Roman" w:hAnsi="Times New Roman" w:cs="Times New Roman"/>
          <w:color w:val="000000"/>
          <w:spacing w:val="0"/>
          <w:w w:val="100"/>
          <w:position w:val="0"/>
          <w:sz w:val="18"/>
          <w:szCs w:val="18"/>
        </w:rPr>
        <w:t>883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8"/>
          <w:szCs w:val="18"/>
        </w:rPr>
        <w:t>元，企业合并增加</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元，外币折算差异</w:t>
      </w:r>
    </w:p>
    <w:p>
      <w:pPr>
        <w:widowControl w:val="0"/>
        <w:spacing w:after="179" w:line="1" w:lineRule="exact"/>
      </w:pPr>
    </w:p>
    <w:p>
      <w:pPr>
        <w:pStyle w:val="Style6"/>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709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8"/>
          <w:szCs w:val="18"/>
        </w:rPr>
        <w:t>元。</w:t>
      </w: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)短期薪酬明细情况</w:t>
      </w:r>
    </w:p>
    <w:tbl>
      <w:tblPr>
        <w:tblOverlap w:val="never"/>
        <w:jc w:val="center"/>
        <w:tblLayout w:type="fixed"/>
      </w:tblPr>
      <w:tblGrid>
        <w:gridCol w:w="2520"/>
        <w:gridCol w:w="1565"/>
        <w:gridCol w:w="1550"/>
        <w:gridCol w:w="1594"/>
        <w:gridCol w:w="157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其中：医疗保险费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bl>
    <w:p>
      <w:pPr>
        <w:widowControl w:val="0"/>
        <w:spacing w:line="1" w:lineRule="exact"/>
      </w:pPr>
      <w:r>
        <w:br w:type="page"/>
      </w:r>
    </w:p>
    <w:tbl>
      <w:tblPr>
        <w:tblOverlap w:val="never"/>
        <w:jc w:val="center"/>
        <w:tblLayout w:type="fixed"/>
      </w:tblPr>
      <w:tblGrid>
        <w:gridCol w:w="2520"/>
        <w:gridCol w:w="1565"/>
        <w:gridCol w:w="1550"/>
        <w:gridCol w:w="1594"/>
        <w:gridCol w:w="157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bl>
    <w:p>
      <w:pPr>
        <w:widowControl w:val="0"/>
        <w:spacing w:after="79" w:line="1" w:lineRule="exact"/>
      </w:pPr>
    </w:p>
    <w:p>
      <w:pPr>
        <w:pStyle w:val="Style111"/>
        <w:keepNext w:val="0"/>
        <w:keepLines w:val="0"/>
        <w:widowControl w:val="0"/>
        <w:numPr>
          <w:ilvl w:val="0"/>
          <w:numId w:val="85"/>
        </w:numPr>
        <w:shd w:val="clear" w:color="auto" w:fill="auto"/>
        <w:bidi w:val="0"/>
        <w:spacing w:before="0" w:after="80" w:line="240" w:lineRule="auto"/>
        <w:ind w:left="0" w:right="0"/>
        <w:jc w:val="left"/>
      </w:pPr>
      <w:bookmarkStart w:id="334" w:name="bookmark334"/>
      <w:bookmarkEnd w:id="334"/>
      <w:r>
        <w:rPr>
          <w:color w:val="000000"/>
          <w:spacing w:val="0"/>
          <w:w w:val="100"/>
          <w:position w:val="0"/>
        </w:rPr>
        <w:t>设定提存计划明细情况</w:t>
      </w:r>
    </w:p>
    <w:tbl>
      <w:tblPr>
        <w:tblOverlap w:val="never"/>
        <w:jc w:val="center"/>
        <w:tblLayout w:type="fixed"/>
      </w:tblPr>
      <w:tblGrid>
        <w:gridCol w:w="2525"/>
        <w:gridCol w:w="1550"/>
        <w:gridCol w:w="1570"/>
        <w:gridCol w:w="1579"/>
        <w:gridCol w:w="1450"/>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期末数</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46</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226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360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bl>
    <w:p>
      <w:pPr>
        <w:widowControl w:val="0"/>
        <w:spacing w:after="499" w:line="1" w:lineRule="exact"/>
      </w:pPr>
    </w:p>
    <w:p>
      <w:pPr>
        <w:pStyle w:val="Style111"/>
        <w:keepNext w:val="0"/>
        <w:keepLines w:val="0"/>
        <w:widowControl w:val="0"/>
        <w:numPr>
          <w:ilvl w:val="0"/>
          <w:numId w:val="83"/>
        </w:numPr>
        <w:shd w:val="clear" w:color="auto" w:fill="auto"/>
        <w:bidi w:val="0"/>
        <w:spacing w:before="0" w:after="80" w:line="240" w:lineRule="auto"/>
        <w:ind w:left="0" w:right="0"/>
        <w:jc w:val="left"/>
      </w:pPr>
      <w:bookmarkStart w:id="335" w:name="bookmark335"/>
      <w:bookmarkEnd w:id="335"/>
      <w:r>
        <w:rPr>
          <w:color w:val="000000"/>
          <w:spacing w:val="0"/>
          <w:w w:val="100"/>
          <w:position w:val="0"/>
        </w:rPr>
        <w:t>应交税费</w:t>
      </w:r>
    </w:p>
    <w:tbl>
      <w:tblPr>
        <w:tblOverlap w:val="never"/>
        <w:jc w:val="center"/>
        <w:tblLayout w:type="fixed"/>
      </w:tblPr>
      <w:tblGrid>
        <w:gridCol w:w="3149"/>
        <w:gridCol w:w="2410"/>
        <w:gridCol w:w="2635"/>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代扣代缴个人所得税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844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堤围防护建设费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副食品价格调节基金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防洪保安资金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r>
        <w:rPr>
          <w:color w:val="000000"/>
          <w:spacing w:val="0"/>
          <w:w w:val="100"/>
          <w:position w:val="0"/>
          <w:sz w:val="20"/>
          <w:szCs w:val="20"/>
        </w:rPr>
        <w:t>应付利息</w:t>
      </w:r>
    </w:p>
    <w:tbl>
      <w:tblPr>
        <w:tblOverlap w:val="never"/>
        <w:jc w:val="center"/>
        <w:tblLayout w:type="fixed"/>
      </w:tblPr>
      <w:tblGrid>
        <w:gridCol w:w="4723"/>
        <w:gridCol w:w="1915"/>
        <w:gridCol w:w="1949"/>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color w:val="000000"/>
          <w:spacing w:val="0"/>
          <w:w w:val="100"/>
          <w:position w:val="0"/>
          <w:sz w:val="20"/>
          <w:szCs w:val="20"/>
        </w:rPr>
        <w:t>应付股利</w:t>
      </w:r>
    </w:p>
    <w:tbl>
      <w:tblPr>
        <w:tblOverlap w:val="never"/>
        <w:jc w:val="center"/>
        <w:tblLayout w:type="fixed"/>
      </w:tblPr>
      <w:tblGrid>
        <w:gridCol w:w="4723"/>
        <w:gridCol w:w="1915"/>
        <w:gridCol w:w="1949"/>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浙江传化化学集团有限公司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bl>
    <w:p>
      <w:pPr>
        <w:widowControl w:val="0"/>
        <w:spacing w:after="499" w:line="1" w:lineRule="exact"/>
      </w:pPr>
    </w:p>
    <w:p>
      <w:pPr>
        <w:pStyle w:val="Style111"/>
        <w:keepNext w:val="0"/>
        <w:keepLines w:val="0"/>
        <w:widowControl w:val="0"/>
        <w:numPr>
          <w:ilvl w:val="0"/>
          <w:numId w:val="87"/>
        </w:numPr>
        <w:shd w:val="clear" w:color="auto" w:fill="auto"/>
        <w:bidi w:val="0"/>
        <w:spacing w:before="0" w:after="200" w:line="240" w:lineRule="auto"/>
        <w:ind w:left="0" w:right="0" w:firstLine="940"/>
        <w:jc w:val="left"/>
      </w:pPr>
      <w:bookmarkStart w:id="336" w:name="bookmark336"/>
      <w:bookmarkEnd w:id="336"/>
      <w:r>
        <w:rPr>
          <w:color w:val="000000"/>
          <w:spacing w:val="0"/>
          <w:w w:val="100"/>
          <w:position w:val="0"/>
        </w:rPr>
        <w:t>其他应付款</w:t>
      </w:r>
    </w:p>
    <w:p>
      <w:pPr>
        <w:pStyle w:val="Style111"/>
        <w:keepNext w:val="0"/>
        <w:keepLines w:val="0"/>
        <w:widowControl w:val="0"/>
        <w:shd w:val="clear" w:color="auto" w:fill="auto"/>
        <w:bidi w:val="0"/>
        <w:spacing w:before="0" w:after="60" w:line="240" w:lineRule="auto"/>
        <w:ind w:left="0" w:right="0" w:firstLine="94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公路港入驻商户奖励款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应付股权受让款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年以上重要的其他应付款</w:t>
      </w:r>
    </w:p>
    <w:p>
      <w:pPr>
        <w:widowControl w:val="0"/>
        <w:spacing w:after="59" w:line="1" w:lineRule="exact"/>
      </w:pPr>
    </w:p>
    <w:p>
      <w:pPr>
        <w:widowControl w:val="0"/>
        <w:spacing w:line="1" w:lineRule="exact"/>
      </w:pPr>
    </w:p>
    <w:tbl>
      <w:tblPr>
        <w:tblOverlap w:val="never"/>
        <w:jc w:val="center"/>
        <w:tblLayout w:type="fixed"/>
      </w:tblPr>
      <w:tblGrid>
        <w:gridCol w:w="2995"/>
        <w:gridCol w:w="1834"/>
        <w:gridCol w:w="375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成都传化置业有限公司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内江传化置业有限公司股权交易履约 保证金</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浙江黄岩洲锽实业有限公司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暂借款，尚未结算</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重庆市渝万建设集团有限公司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履约保证金，尚未归还</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重庆弘颖商贸有限公司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暂借款，尚未结算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温州市鹿富物流有限公司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履约保证金，尚未归还</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贵州大恒物流有限责任公司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暂借款，尚未结算</w:t>
            </w:r>
          </w:p>
        </w:tc>
      </w:tr>
      <w:tr>
        <w:trPr>
          <w:trHeight w:val="50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山东凯华投资有限公司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暂借款及保证金，尚未结算</w:t>
            </w:r>
          </w:p>
        </w:tc>
      </w:tr>
    </w:tbl>
    <w:p>
      <w:pPr>
        <w:widowControl w:val="0"/>
        <w:spacing w:line="1" w:lineRule="exact"/>
      </w:pPr>
      <w:r>
        <w:br w:type="page"/>
      </w:r>
    </w:p>
    <w:tbl>
      <w:tblPr>
        <w:tblOverlap w:val="never"/>
        <w:jc w:val="center"/>
        <w:tblLayout w:type="fixed"/>
      </w:tblPr>
      <w:tblGrid>
        <w:gridCol w:w="2995"/>
        <w:gridCol w:w="1834"/>
        <w:gridCol w:w="375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四川南充鑫兴达车业有限公司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履约保证金，尚未归还</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湖北秦龙投资集团有限公司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暂借款，尚未结算</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重庆今力建筑工程有限公司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履约保证金，尚未归还</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87"/>
        </w:numPr>
        <w:shd w:val="clear" w:color="auto" w:fill="auto"/>
        <w:tabs>
          <w:tab w:pos="1380" w:val="left"/>
        </w:tabs>
        <w:bidi w:val="0"/>
        <w:spacing w:before="0" w:after="180" w:line="240" w:lineRule="auto"/>
        <w:ind w:left="0" w:right="0" w:firstLine="940"/>
        <w:jc w:val="left"/>
      </w:pPr>
      <w:bookmarkStart w:id="337" w:name="bookmark337"/>
      <w:bookmarkEnd w:id="337"/>
      <w:r>
        <w:rPr>
          <w:color w:val="000000"/>
          <w:spacing w:val="0"/>
          <w:w w:val="100"/>
          <w:position w:val="0"/>
        </w:rPr>
        <w:t>一年内到期的非流动负债</w:t>
      </w:r>
    </w:p>
    <w:p>
      <w:pPr>
        <w:pStyle w:val="Style111"/>
        <w:keepNext w:val="0"/>
        <w:keepLines w:val="0"/>
        <w:widowControl w:val="0"/>
        <w:shd w:val="clear" w:color="auto" w:fill="auto"/>
        <w:bidi w:val="0"/>
        <w:spacing w:before="0" w:after="80" w:line="240" w:lineRule="auto"/>
        <w:ind w:left="0" w:right="0" w:firstLine="94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111"/>
        <w:keepNext w:val="0"/>
        <w:keepLines w:val="0"/>
        <w:widowControl w:val="0"/>
        <w:numPr>
          <w:ilvl w:val="0"/>
          <w:numId w:val="89"/>
        </w:numPr>
        <w:shd w:val="clear" w:color="auto" w:fill="auto"/>
        <w:bidi w:val="0"/>
        <w:spacing w:before="0" w:after="80" w:line="240" w:lineRule="auto"/>
        <w:ind w:left="0" w:right="0" w:firstLine="940"/>
        <w:jc w:val="left"/>
      </w:pPr>
      <w:bookmarkStart w:id="338" w:name="bookmark338"/>
      <w:bookmarkEnd w:id="338"/>
      <w:r>
        <w:rPr>
          <w:color w:val="000000"/>
          <w:spacing w:val="0"/>
          <w:w w:val="100"/>
          <w:position w:val="0"/>
        </w:rPr>
        <w:t>保证借款</w:t>
      </w:r>
    </w:p>
    <w:tbl>
      <w:tblPr>
        <w:tblOverlap w:val="never"/>
        <w:jc w:val="center"/>
        <w:tblLayout w:type="fixed"/>
      </w:tblPr>
      <w:tblGrid>
        <w:gridCol w:w="1507"/>
        <w:gridCol w:w="1027"/>
        <w:gridCol w:w="1277"/>
        <w:gridCol w:w="590"/>
        <w:gridCol w:w="1354"/>
        <w:gridCol w:w="1550"/>
        <w:gridCol w:w="1517"/>
      </w:tblGrid>
      <w:tr>
        <w:trPr>
          <w:trHeight w:val="30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年利率</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折人民币金额</w:t>
            </w:r>
          </w:p>
        </w:tc>
      </w:tr>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EUR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杭州富阳传化物 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［注］该笔借款由传化集团有限公司(以下简称传化集团公司)提供保证担保。</w:t>
      </w:r>
    </w:p>
    <w:p>
      <w:pPr>
        <w:pStyle w:val="Style111"/>
        <w:keepNext w:val="0"/>
        <w:keepLines w:val="0"/>
        <w:widowControl w:val="0"/>
        <w:numPr>
          <w:ilvl w:val="0"/>
          <w:numId w:val="89"/>
        </w:numPr>
        <w:shd w:val="clear" w:color="auto" w:fill="auto"/>
        <w:bidi w:val="0"/>
        <w:spacing w:before="0" w:after="80" w:line="240" w:lineRule="auto"/>
        <w:ind w:left="0" w:right="0" w:firstLine="940"/>
        <w:jc w:val="left"/>
      </w:pPr>
      <w:bookmarkStart w:id="339" w:name="bookmark339"/>
      <w:bookmarkEnd w:id="339"/>
      <w:r>
        <w:rPr>
          <w:color w:val="000000"/>
          <w:spacing w:val="0"/>
          <w:w w:val="100"/>
          <w:position w:val="0"/>
        </w:rPr>
        <w:t>抵押/质押借款</w:t>
      </w:r>
    </w:p>
    <w:tbl>
      <w:tblPr>
        <w:tblOverlap w:val="never"/>
        <w:jc w:val="center"/>
        <w:tblLayout w:type="fixed"/>
      </w:tblPr>
      <w:tblGrid>
        <w:gridCol w:w="970"/>
        <w:gridCol w:w="2045"/>
        <w:gridCol w:w="1147"/>
        <w:gridCol w:w="1061"/>
        <w:gridCol w:w="1291"/>
        <w:gridCol w:w="1258"/>
        <w:gridCol w:w="1046"/>
      </w:tblGrid>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借款人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抵押人</w:t>
            </w:r>
            <w:r>
              <w:rPr>
                <w:color w:val="000000"/>
                <w:spacing w:val="0"/>
                <w:w w:val="100"/>
                <w:position w:val="0"/>
                <w:sz w:val="16"/>
                <w:szCs w:val="16"/>
              </w:rPr>
              <w:t>/</w:t>
            </w:r>
            <w:r>
              <w:rPr>
                <w:color w:val="000000"/>
                <w:spacing w:val="0"/>
                <w:w w:val="100"/>
                <w:position w:val="0"/>
                <w:sz w:val="16"/>
                <w:szCs w:val="16"/>
              </w:rPr>
              <w:t>质押人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抵押</w:t>
            </w:r>
            <w:r>
              <w:rPr>
                <w:color w:val="000000"/>
                <w:spacing w:val="0"/>
                <w:w w:val="100"/>
                <w:position w:val="0"/>
                <w:sz w:val="16"/>
                <w:szCs w:val="16"/>
              </w:rPr>
              <w:t>/</w:t>
            </w:r>
            <w:r>
              <w:rPr>
                <w:color w:val="000000"/>
                <w:spacing w:val="0"/>
                <w:w w:val="100"/>
                <w:position w:val="0"/>
                <w:sz w:val="16"/>
                <w:szCs w:val="16"/>
              </w:rPr>
              <w:t>质押权</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抵押/质押 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抵押/质押物价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借款到期日</w:t>
            </w:r>
          </w:p>
        </w:tc>
      </w:tr>
      <w:tr>
        <w:trPr>
          <w:trHeight w:val="4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TPC</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Holding</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B. V. </w:t>
            </w:r>
            <w:r>
              <w:rPr>
                <w:color w:val="000000"/>
                <w:spacing w:val="0"/>
                <w:w w:val="100"/>
                <w:position w:val="0"/>
                <w:sz w:val="16"/>
                <w:szCs w:val="16"/>
              </w:rPr>
              <w:t>、</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Tanatex</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Chemicals</w:t>
            </w:r>
          </w:p>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B. v.</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tabs>
                <w:tab w:pos="1104" w:val="left"/>
              </w:tabs>
              <w:bidi w:val="0"/>
              <w:spacing w:before="0" w:after="0" w:line="240" w:lineRule="exact"/>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 xml:space="preserve">、 </w:t>
            </w:r>
            <w:r>
              <w:rPr>
                <w:color w:val="000000"/>
                <w:spacing w:val="0"/>
                <w:w w:val="100"/>
                <w:position w:val="0"/>
                <w:sz w:val="16"/>
                <w:szCs w:val="16"/>
              </w:rPr>
              <w:t>Tanatex</w:t>
              <w:tab/>
              <w:t>Chemicals</w:t>
            </w:r>
          </w:p>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(Tailand) Co. Ltd.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ING Bank N. 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993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104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 &gt; Tanatex</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International B. V.</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21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 xml:space="preserve">、 </w:t>
            </w:r>
            <w:r>
              <w:rPr>
                <w:color w:val="000000"/>
                <w:spacing w:val="0"/>
                <w:w w:val="100"/>
                <w:position w:val="0"/>
                <w:sz w:val="16"/>
                <w:szCs w:val="16"/>
              </w:rPr>
              <w:t>Tanatex International 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 xml:space="preserve">、 </w:t>
            </w:r>
            <w:r>
              <w:rPr>
                <w:color w:val="000000"/>
                <w:spacing w:val="0"/>
                <w:w w:val="100"/>
                <w:position w:val="0"/>
                <w:sz w:val="16"/>
                <w:szCs w:val="16"/>
              </w:rPr>
              <w:t xml:space="preserve">TPCHolding </w:t>
            </w:r>
            <w:r>
              <w:rPr>
                <w:color w:val="000000"/>
                <w:spacing w:val="0"/>
                <w:w w:val="100"/>
                <w:position w:val="0"/>
                <w:sz w:val="16"/>
                <w:szCs w:val="16"/>
              </w:rPr>
              <w:t xml:space="preserve">、 </w:t>
            </w:r>
            <w:r>
              <w:rPr>
                <w:color w:val="000000"/>
                <w:spacing w:val="0"/>
                <w:w w:val="100"/>
                <w:position w:val="0"/>
                <w:sz w:val="16"/>
                <w:szCs w:val="16"/>
              </w:rPr>
              <w:t>Tanatex Service GmbH</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银行账户</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 xml:space="preserve">、 </w:t>
            </w:r>
            <w:r>
              <w:rPr>
                <w:color w:val="000000"/>
                <w:spacing w:val="0"/>
                <w:w w:val="100"/>
                <w:position w:val="0"/>
                <w:sz w:val="16"/>
                <w:szCs w:val="16"/>
              </w:rPr>
              <w:t>Tanatex International 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 xml:space="preserve">、 </w:t>
            </w:r>
            <w:r>
              <w:rPr>
                <w:color w:val="000000"/>
                <w:spacing w:val="0"/>
                <w:w w:val="100"/>
                <w:position w:val="0"/>
                <w:sz w:val="16"/>
                <w:szCs w:val="16"/>
              </w:rPr>
              <w:t>TPC Holding B.V.</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3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International</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版权和商标 方面的保护 知识产权</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970"/>
        <w:gridCol w:w="2045"/>
        <w:gridCol w:w="1147"/>
        <w:gridCol w:w="1061"/>
        <w:gridCol w:w="1291"/>
        <w:gridCol w:w="1258"/>
        <w:gridCol w:w="1046"/>
      </w:tblGrid>
      <w:tr>
        <w:trPr>
          <w:trHeight w:val="466"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 V.</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4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 v.</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635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56"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61"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可移动资产</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61"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客户合同</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325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404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91"/>
        </w:numPr>
        <w:shd w:val="clear" w:color="auto" w:fill="auto"/>
        <w:bidi w:val="0"/>
        <w:spacing w:before="0" w:after="180" w:line="240" w:lineRule="auto"/>
        <w:ind w:left="0" w:right="0" w:firstLine="940"/>
        <w:jc w:val="left"/>
      </w:pPr>
      <w:bookmarkStart w:id="340" w:name="bookmark340"/>
      <w:bookmarkEnd w:id="340"/>
      <w:r>
        <w:rPr>
          <w:color w:val="000000"/>
          <w:spacing w:val="0"/>
          <w:w w:val="100"/>
          <w:position w:val="0"/>
        </w:rPr>
        <w:t>长期借款</w:t>
      </w:r>
    </w:p>
    <w:p>
      <w:pPr>
        <w:pStyle w:val="Style111"/>
        <w:keepNext w:val="0"/>
        <w:keepLines w:val="0"/>
        <w:widowControl w:val="0"/>
        <w:shd w:val="clear" w:color="auto" w:fill="auto"/>
        <w:bidi w:val="0"/>
        <w:spacing w:before="0" w:after="80" w:line="240" w:lineRule="auto"/>
        <w:ind w:left="0" w:right="0" w:firstLine="94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抵押、质押及保证借款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111"/>
        <w:keepNext w:val="0"/>
        <w:keepLines w:val="0"/>
        <w:widowControl w:val="0"/>
        <w:numPr>
          <w:ilvl w:val="0"/>
          <w:numId w:val="93"/>
        </w:numPr>
        <w:shd w:val="clear" w:color="auto" w:fill="auto"/>
        <w:bidi w:val="0"/>
        <w:spacing w:before="0" w:after="80" w:line="240" w:lineRule="auto"/>
        <w:ind w:left="0" w:right="0" w:firstLine="940"/>
        <w:jc w:val="left"/>
      </w:pPr>
      <w:bookmarkStart w:id="341" w:name="bookmark341"/>
      <w:bookmarkEnd w:id="341"/>
      <w:r>
        <w:rPr>
          <w:color w:val="000000"/>
          <w:spacing w:val="0"/>
          <w:w w:val="100"/>
          <w:position w:val="0"/>
        </w:rPr>
        <w:t>抵押借款</w:t>
      </w:r>
    </w:p>
    <w:tbl>
      <w:tblPr>
        <w:tblOverlap w:val="never"/>
        <w:jc w:val="center"/>
        <w:tblLayout w:type="fixed"/>
      </w:tblPr>
      <w:tblGrid>
        <w:gridCol w:w="1186"/>
        <w:gridCol w:w="1171"/>
        <w:gridCol w:w="1354"/>
        <w:gridCol w:w="1186"/>
        <w:gridCol w:w="1565"/>
        <w:gridCol w:w="1416"/>
        <w:gridCol w:w="1166"/>
      </w:tblGrid>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借款人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借款最后到 期日</w:t>
            </w:r>
          </w:p>
        </w:tc>
      </w:tr>
      <w:tr>
        <w:trPr>
          <w:trHeight w:val="499"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济南传化泉 胜公路港物 流有限公司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济南传化泉 胜公路港物 流有限公司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中国工商银行 有限公司济南 天桥支行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87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温州传化公 路港物流有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温州传化公 路港物流有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中国工商银行 温州瓯海支行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93"/>
        </w:numPr>
        <w:shd w:val="clear" w:color="auto" w:fill="auto"/>
        <w:bidi w:val="0"/>
        <w:spacing w:before="0" w:after="80" w:line="240" w:lineRule="auto"/>
        <w:ind w:left="0" w:right="0" w:firstLine="940"/>
        <w:jc w:val="left"/>
      </w:pPr>
      <w:bookmarkStart w:id="342" w:name="bookmark342"/>
      <w:bookmarkEnd w:id="342"/>
      <w:r>
        <w:rPr>
          <w:color w:val="000000"/>
          <w:spacing w:val="0"/>
          <w:w w:val="100"/>
          <w:position w:val="0"/>
        </w:rPr>
        <w:t>保证借款</w:t>
      </w:r>
    </w:p>
    <w:tbl>
      <w:tblPr>
        <w:tblOverlap w:val="never"/>
        <w:jc w:val="center"/>
        <w:tblLayout w:type="fixed"/>
      </w:tblPr>
      <w:tblGrid>
        <w:gridCol w:w="1560"/>
        <w:gridCol w:w="1066"/>
        <w:gridCol w:w="1205"/>
        <w:gridCol w:w="797"/>
        <w:gridCol w:w="1402"/>
        <w:gridCol w:w="1714"/>
        <w:gridCol w:w="1560"/>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年利率</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折人民币金额</w:t>
            </w:r>
          </w:p>
        </w:tc>
      </w:tr>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EUR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037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660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杭州富阳传化物 流基地有限公司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RMB</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p>
      <w:pPr>
        <w:widowControl w:val="0"/>
        <w:spacing w:line="1" w:lineRule="exact"/>
      </w:pPr>
      <w:r>
        <w:drawing>
          <wp:anchor distT="0" distB="0" distL="0" distR="0" simplePos="0" relativeHeight="125829419" behindDoc="0" locked="0" layoutInCell="1" allowOverlap="1">
            <wp:simplePos x="0" y="0"/>
            <wp:positionH relativeFrom="page">
              <wp:posOffset>1559560</wp:posOffset>
            </wp:positionH>
            <wp:positionV relativeFrom="paragraph">
              <wp:posOffset>0</wp:posOffset>
            </wp:positionV>
            <wp:extent cx="676910" cy="292735"/>
            <wp:wrapTopAndBottom/>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42"/>
                    <a:stretch/>
                  </pic:blipFill>
                  <pic:spPr>
                    <a:xfrm>
                      <a:ext cx="676910" cy="292735"/>
                    </a:xfrm>
                    <a:prstGeom prst="rect"/>
                  </pic:spPr>
                </pic:pic>
              </a:graphicData>
            </a:graphic>
          </wp:anchor>
        </w:drawing>
      </w:r>
      <w:r>
        <w:drawing>
          <wp:anchor distT="0" distB="0" distL="0" distR="0" simplePos="0" relativeHeight="125829420" behindDoc="0" locked="0" layoutInCell="1" allowOverlap="1">
            <wp:simplePos x="0" y="0"/>
            <wp:positionH relativeFrom="page">
              <wp:posOffset>2236470</wp:posOffset>
            </wp:positionH>
            <wp:positionV relativeFrom="paragraph">
              <wp:posOffset>0</wp:posOffset>
            </wp:positionV>
            <wp:extent cx="768350" cy="292735"/>
            <wp:wrapTopAndBottom/>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44"/>
                    <a:stretch/>
                  </pic:blipFill>
                  <pic:spPr>
                    <a:xfrm>
                      <a:ext cx="768350" cy="292735"/>
                    </a:xfrm>
                    <a:prstGeom prst="rect"/>
                  </pic:spPr>
                </pic:pic>
              </a:graphicData>
            </a:graphic>
          </wp:anchor>
        </w:drawing>
      </w:r>
      <w:r>
        <w:drawing>
          <wp:anchor distT="0" distB="0" distL="0" distR="0" simplePos="0" relativeHeight="125829421" behindDoc="0" locked="0" layoutInCell="1" allowOverlap="1">
            <wp:simplePos x="0" y="0"/>
            <wp:positionH relativeFrom="page">
              <wp:posOffset>3001010</wp:posOffset>
            </wp:positionH>
            <wp:positionV relativeFrom="paragraph">
              <wp:posOffset>0</wp:posOffset>
            </wp:positionV>
            <wp:extent cx="506095" cy="292735"/>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46"/>
                    <a:stretch/>
                  </pic:blipFill>
                  <pic:spPr>
                    <a:xfrm>
                      <a:ext cx="506095" cy="292735"/>
                    </a:xfrm>
                    <a:prstGeom prst="rect"/>
                  </pic:spPr>
                </pic:pic>
              </a:graphicData>
            </a:graphic>
          </wp:anchor>
        </w:drawing>
      </w:r>
      <w:r>
        <w:drawing>
          <wp:anchor distT="0" distB="0" distL="0" distR="0" simplePos="0" relativeHeight="125829422" behindDoc="0" locked="0" layoutInCell="1" allowOverlap="1">
            <wp:simplePos x="0" y="0"/>
            <wp:positionH relativeFrom="page">
              <wp:posOffset>3507105</wp:posOffset>
            </wp:positionH>
            <wp:positionV relativeFrom="paragraph">
              <wp:posOffset>0</wp:posOffset>
            </wp:positionV>
            <wp:extent cx="890270" cy="292735"/>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48"/>
                    <a:stretch/>
                  </pic:blipFill>
                  <pic:spPr>
                    <a:xfrm>
                      <a:ext cx="890270" cy="292735"/>
                    </a:xfrm>
                    <a:prstGeom prst="rect"/>
                  </pic:spPr>
                </pic:pic>
              </a:graphicData>
            </a:graphic>
          </wp:anchor>
        </w:drawing>
      </w:r>
      <w:r>
        <w:drawing>
          <wp:anchor distT="0" distB="0" distL="0" distR="0" simplePos="0" relativeHeight="125829423" behindDoc="0" locked="0" layoutInCell="1" allowOverlap="1">
            <wp:simplePos x="0" y="0"/>
            <wp:positionH relativeFrom="page">
              <wp:posOffset>4397375</wp:posOffset>
            </wp:positionH>
            <wp:positionV relativeFrom="paragraph">
              <wp:posOffset>0</wp:posOffset>
            </wp:positionV>
            <wp:extent cx="1090930" cy="292735"/>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50"/>
                    <a:stretch/>
                  </pic:blipFill>
                  <pic:spPr>
                    <a:xfrm>
                      <a:ext cx="1090930" cy="292735"/>
                    </a:xfrm>
                    <a:prstGeom prst="rect"/>
                  </pic:spPr>
                </pic:pic>
              </a:graphicData>
            </a:graphic>
          </wp:anchor>
        </w:drawing>
      </w:r>
      <w:r>
        <mc:AlternateContent>
          <mc:Choice Requires="wps">
            <w:drawing>
              <wp:anchor distT="73025" distB="58420" distL="0" distR="0" simplePos="0" relativeHeight="125829424" behindDoc="0" locked="0" layoutInCell="1" allowOverlap="1">
                <wp:simplePos x="0" y="0"/>
                <wp:positionH relativeFrom="page">
                  <wp:posOffset>5567680</wp:posOffset>
                </wp:positionH>
                <wp:positionV relativeFrom="paragraph">
                  <wp:posOffset>73025</wp:posOffset>
                </wp:positionV>
                <wp:extent cx="831850" cy="161290"/>
                <wp:wrapTopAndBottom/>
                <wp:docPr id="116" name="Shape 116"/>
                <a:graphic xmlns:a="http://schemas.openxmlformats.org/drawingml/2006/main">
                  <a:graphicData uri="http://schemas.microsoft.com/office/word/2010/wordprocessingShape">
                    <wps:wsp>
                      <wps:cNvSpPr txBox="1"/>
                      <wps:spPr>
                        <a:xfrm>
                          <a:ext cx="831850" cy="1612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xbxContent>
                      </wps:txbx>
                      <wps:bodyPr wrap="none" lIns="0" tIns="0" rIns="0" bIns="0">
                        <a:noAutoFit/>
                      </wps:bodyPr>
                    </wps:wsp>
                  </a:graphicData>
                </a:graphic>
              </wp:anchor>
            </w:drawing>
          </mc:Choice>
          <mc:Fallback>
            <w:pict>
              <v:shape id="_x0000_s1142" type="#_x0000_t202" style="position:absolute;margin-left:438.40000000000003pt;margin-top:5.75pt;width:65.5pt;height:12.700000000000001pt;z-index:-125829329;mso-wrap-distance-left:0;mso-wrap-distance-top:5.75pt;mso-wrap-distance-right:0;mso-wrap-distance-bottom:4.600000000000000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xbxContent>
                </v:textbox>
                <w10:wrap type="topAndBottom" anchorx="page"/>
              </v:shape>
            </w:pict>
          </mc:Fallback>
        </mc:AlternateContent>
      </w:r>
    </w:p>
    <w:p>
      <w:pPr>
        <w:pStyle w:val="Style111"/>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［注］该笔借款由传化集团公司提供保证担保。</w:t>
      </w:r>
    </w:p>
    <w:p>
      <w:pPr>
        <w:pStyle w:val="Style111"/>
        <w:keepNext w:val="0"/>
        <w:keepLines w:val="0"/>
        <w:widowControl w:val="0"/>
        <w:numPr>
          <w:ilvl w:val="0"/>
          <w:numId w:val="93"/>
        </w:numPr>
        <w:shd w:val="clear" w:color="auto" w:fill="auto"/>
        <w:bidi w:val="0"/>
        <w:spacing w:before="0" w:after="80" w:line="240" w:lineRule="auto"/>
        <w:ind w:left="0" w:right="0" w:firstLine="580"/>
        <w:jc w:val="left"/>
      </w:pPr>
      <w:bookmarkStart w:id="343" w:name="bookmark343"/>
      <w:bookmarkEnd w:id="343"/>
      <w:r>
        <w:rPr>
          <w:color w:val="000000"/>
          <w:spacing w:val="0"/>
          <w:w w:val="100"/>
          <w:position w:val="0"/>
        </w:rPr>
        <w:t>信用贷款</w:t>
      </w:r>
    </w:p>
    <w:tbl>
      <w:tblPr>
        <w:tblOverlap w:val="never"/>
        <w:jc w:val="center"/>
        <w:tblLayout w:type="fixed"/>
      </w:tblPr>
      <w:tblGrid>
        <w:gridCol w:w="2160"/>
        <w:gridCol w:w="710"/>
        <w:gridCol w:w="1272"/>
        <w:gridCol w:w="1752"/>
        <w:gridCol w:w="1478"/>
        <w:gridCol w:w="1339"/>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年利率</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借款最后到期 日</w:t>
            </w:r>
          </w:p>
        </w:tc>
      </w:tr>
      <w:tr>
        <w:trPr>
          <w:trHeight w:val="30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vMerge/>
            <w:tcBorders>
              <w:left w:val="single" w:sz="4"/>
            </w:tcBorders>
            <w:shd w:val="clear" w:color="auto" w:fill="FFFFFF"/>
            <w:vAlign w:val="top"/>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济南传化泉胜公路港物 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50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93"/>
        </w:numPr>
        <w:shd w:val="clear" w:color="auto" w:fill="auto"/>
        <w:bidi w:val="0"/>
        <w:spacing w:before="0" w:after="0" w:line="240" w:lineRule="auto"/>
        <w:ind w:left="0" w:right="0" w:firstLine="580"/>
        <w:jc w:val="left"/>
      </w:pPr>
      <w:bookmarkStart w:id="344" w:name="bookmark344"/>
      <w:bookmarkEnd w:id="344"/>
      <w:r>
        <w:rPr>
          <w:color w:val="000000"/>
          <w:spacing w:val="0"/>
          <w:w w:val="100"/>
          <w:position w:val="0"/>
        </w:rPr>
        <w:t>抵押、质押及保证借款</w:t>
      </w:r>
    </w:p>
    <w:p>
      <w:pPr>
        <w:widowControl w:val="0"/>
        <w:spacing w:line="1" w:lineRule="exact"/>
      </w:pPr>
      <w:r>
        <mc:AlternateContent>
          <mc:Choice Requires="wps">
            <w:drawing>
              <wp:anchor distT="140335" distB="4614545" distL="0" distR="0" simplePos="0" relativeHeight="125829426" behindDoc="0" locked="0" layoutInCell="1" allowOverlap="1">
                <wp:simplePos x="0" y="0"/>
                <wp:positionH relativeFrom="page">
                  <wp:posOffset>876300</wp:posOffset>
                </wp:positionH>
                <wp:positionV relativeFrom="paragraph">
                  <wp:posOffset>140335</wp:posOffset>
                </wp:positionV>
                <wp:extent cx="1454150" cy="140335"/>
                <wp:wrapTopAndBottom/>
                <wp:docPr id="118" name="Shape 118"/>
                <a:graphic xmlns:a="http://schemas.openxmlformats.org/drawingml/2006/main">
                  <a:graphicData uri="http://schemas.microsoft.com/office/word/2010/wordprocessingShape">
                    <wps:wsp>
                      <wps:cNvSpPr txBox="1"/>
                      <wps:spPr>
                        <a:xfrm>
                          <a:ext cx="1454150" cy="140335"/>
                        </a:xfrm>
                        <a:prstGeom prst="rect"/>
                        <a:noFill/>
                      </wps:spPr>
                      <wps:txbx>
                        <w:txbxContent>
                          <w:p>
                            <w:pPr>
                              <w:pStyle w:val="Style76"/>
                              <w:keepNext w:val="0"/>
                              <w:keepLines w:val="0"/>
                              <w:widowControl w:val="0"/>
                              <w:shd w:val="clear" w:color="auto" w:fill="auto"/>
                              <w:tabs>
                                <w:tab w:pos="1166" w:val="left"/>
                              </w:tabs>
                              <w:bidi w:val="0"/>
                              <w:spacing w:before="0" w:after="0" w:line="240" w:lineRule="auto"/>
                              <w:ind w:left="0" w:right="0" w:firstLine="0"/>
                              <w:jc w:val="left"/>
                              <w:rPr>
                                <w:sz w:val="16"/>
                                <w:szCs w:val="16"/>
                              </w:rPr>
                            </w:pPr>
                            <w:r>
                              <w:rPr>
                                <w:color w:val="000000"/>
                                <w:spacing w:val="0"/>
                                <w:w w:val="100"/>
                                <w:position w:val="0"/>
                                <w:sz w:val="16"/>
                                <w:szCs w:val="16"/>
                              </w:rPr>
                              <w:t>借款人</w:t>
                              <w:tab/>
                              <w:t>抵押人/质押人</w:t>
                            </w:r>
                          </w:p>
                        </w:txbxContent>
                      </wps:txbx>
                      <wps:bodyPr wrap="none" lIns="0" tIns="0" rIns="0" bIns="0">
                        <a:noAutoFit/>
                      </wps:bodyPr>
                    </wps:wsp>
                  </a:graphicData>
                </a:graphic>
              </wp:anchor>
            </w:drawing>
          </mc:Choice>
          <mc:Fallback>
            <w:pict>
              <v:shape id="_x0000_s1144" type="#_x0000_t202" style="position:absolute;margin-left:69.pt;margin-top:11.050000000000001pt;width:114.5pt;height:11.050000000000001pt;z-index:-125829327;mso-wrap-distance-left:0;mso-wrap-distance-top:11.050000000000001pt;mso-wrap-distance-right:0;mso-wrap-distance-bottom:363.35000000000002pt;mso-position-horizontal-relative:page" filled="f" stroked="f">
                <v:textbox inset="0,0,0,0">
                  <w:txbxContent>
                    <w:p>
                      <w:pPr>
                        <w:pStyle w:val="Style76"/>
                        <w:keepNext w:val="0"/>
                        <w:keepLines w:val="0"/>
                        <w:widowControl w:val="0"/>
                        <w:shd w:val="clear" w:color="auto" w:fill="auto"/>
                        <w:tabs>
                          <w:tab w:pos="1166" w:val="left"/>
                        </w:tabs>
                        <w:bidi w:val="0"/>
                        <w:spacing w:before="0" w:after="0" w:line="240" w:lineRule="auto"/>
                        <w:ind w:left="0" w:right="0" w:firstLine="0"/>
                        <w:jc w:val="left"/>
                        <w:rPr>
                          <w:sz w:val="16"/>
                          <w:szCs w:val="16"/>
                        </w:rPr>
                      </w:pPr>
                      <w:r>
                        <w:rPr>
                          <w:color w:val="000000"/>
                          <w:spacing w:val="0"/>
                          <w:w w:val="100"/>
                          <w:position w:val="0"/>
                          <w:sz w:val="16"/>
                          <w:szCs w:val="16"/>
                        </w:rPr>
                        <w:t>借款人</w:t>
                        <w:tab/>
                        <w:t>抵押人/质押人</w:t>
                      </w:r>
                    </w:p>
                  </w:txbxContent>
                </v:textbox>
                <w10:wrap type="topAndBottom" anchorx="page"/>
              </v:shape>
            </w:pict>
          </mc:Fallback>
        </mc:AlternateContent>
      </w:r>
      <w:r>
        <mc:AlternateContent>
          <mc:Choice Requires="wps">
            <w:drawing>
              <wp:anchor distT="450850" distB="3971925" distL="0" distR="0" simplePos="0" relativeHeight="125829428" behindDoc="0" locked="0" layoutInCell="1" allowOverlap="1">
                <wp:simplePos x="0" y="0"/>
                <wp:positionH relativeFrom="page">
                  <wp:posOffset>1391920</wp:posOffset>
                </wp:positionH>
                <wp:positionV relativeFrom="paragraph">
                  <wp:posOffset>450850</wp:posOffset>
                </wp:positionV>
                <wp:extent cx="1240790" cy="472440"/>
                <wp:wrapTopAndBottom/>
                <wp:docPr id="120" name="Shape 120"/>
                <a:graphic xmlns:a="http://schemas.openxmlformats.org/drawingml/2006/main">
                  <a:graphicData uri="http://schemas.microsoft.com/office/word/2010/wordprocessingShape">
                    <wps:wsp>
                      <wps:cNvSpPr txBox="1"/>
                      <wps:spPr>
                        <a:xfrm>
                          <a:ext cx="1240790" cy="472440"/>
                        </a:xfrm>
                        <a:prstGeom prst="rect"/>
                        <a:noFill/>
                      </wps:spPr>
                      <wps:txbx>
                        <w:txbxContent>
                          <w:p>
                            <w:pPr>
                              <w:pStyle w:val="Style7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 xml:space="preserve">、 </w:t>
                            </w:r>
                            <w:r>
                              <w:rPr>
                                <w:color w:val="000000"/>
                                <w:spacing w:val="0"/>
                                <w:w w:val="100"/>
                                <w:position w:val="0"/>
                                <w:sz w:val="16"/>
                                <w:szCs w:val="16"/>
                              </w:rPr>
                              <w:t>Tanatex Chemicals (Tailand) Co. Ltd.</w:t>
                            </w:r>
                          </w:p>
                        </w:txbxContent>
                      </wps:txbx>
                      <wps:bodyPr lIns="0" tIns="0" rIns="0" bIns="0">
                        <a:noAutoFit/>
                      </wps:bodyPr>
                    </wps:wsp>
                  </a:graphicData>
                </a:graphic>
              </wp:anchor>
            </w:drawing>
          </mc:Choice>
          <mc:Fallback>
            <w:pict>
              <v:shape id="_x0000_s1146" type="#_x0000_t202" style="position:absolute;margin-left:109.60000000000001pt;margin-top:35.5pt;width:97.700000000000003pt;height:37.200000000000003pt;z-index:-125829325;mso-wrap-distance-left:0;mso-wrap-distance-top:35.5pt;mso-wrap-distance-right:0;mso-wrap-distance-bottom:312.75pt;mso-position-horizontal-relative:page" filled="f" stroked="f">
                <v:textbox inset="0,0,0,0">
                  <w:txbxContent>
                    <w:p>
                      <w:pPr>
                        <w:pStyle w:val="Style7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Tanatex Chemicals B. v.</w:t>
                      </w:r>
                      <w:r>
                        <w:rPr>
                          <w:color w:val="000000"/>
                          <w:spacing w:val="0"/>
                          <w:w w:val="100"/>
                          <w:position w:val="0"/>
                          <w:sz w:val="16"/>
                          <w:szCs w:val="16"/>
                        </w:rPr>
                        <w:t xml:space="preserve">、 </w:t>
                      </w:r>
                      <w:r>
                        <w:rPr>
                          <w:color w:val="000000"/>
                          <w:spacing w:val="0"/>
                          <w:w w:val="100"/>
                          <w:position w:val="0"/>
                          <w:sz w:val="16"/>
                          <w:szCs w:val="16"/>
                        </w:rPr>
                        <w:t>Tanatex Chemicals (Tailand) Co. Ltd.</w:t>
                      </w:r>
                    </w:p>
                  </w:txbxContent>
                </v:textbox>
                <w10:wrap type="topAndBottom" anchorx="page"/>
              </v:shape>
            </w:pict>
          </mc:Fallback>
        </mc:AlternateContent>
      </w:r>
      <w:r>
        <mc:AlternateContent>
          <mc:Choice Requires="wps">
            <w:drawing>
              <wp:anchor distT="984250" distB="1442085" distL="0" distR="0" simplePos="0" relativeHeight="125829430" behindDoc="0" locked="0" layoutInCell="1" allowOverlap="1">
                <wp:simplePos x="0" y="0"/>
                <wp:positionH relativeFrom="page">
                  <wp:posOffset>791210</wp:posOffset>
                </wp:positionH>
                <wp:positionV relativeFrom="paragraph">
                  <wp:posOffset>984250</wp:posOffset>
                </wp:positionV>
                <wp:extent cx="1847215" cy="2468880"/>
                <wp:wrapTopAndBottom/>
                <wp:docPr id="122" name="Shape 122"/>
                <a:graphic xmlns:a="http://schemas.openxmlformats.org/drawingml/2006/main">
                  <a:graphicData uri="http://schemas.microsoft.com/office/word/2010/wordprocessingShape">
                    <wps:wsp>
                      <wps:cNvSpPr txBox="1"/>
                      <wps:spPr>
                        <a:xfrm>
                          <a:ext cx="1847215" cy="2468880"/>
                        </a:xfrm>
                        <a:prstGeom prst="rect"/>
                        <a:noFill/>
                      </wps:spPr>
                      <wps:txbx>
                        <w:txbxContent>
                          <w:tbl>
                            <w:tblPr>
                              <w:tblOverlap w:val="never"/>
                              <w:jc w:val="left"/>
                              <w:tblLayout w:type="fixed"/>
                            </w:tblPr>
                            <w:tblGrid>
                              <w:gridCol w:w="864"/>
                              <w:gridCol w:w="2045"/>
                            </w:tblGrid>
                            <w:tr>
                              <w:trPr>
                                <w:tblHeader/>
                                <w:trHeight w:val="734" w:hRule="exact"/>
                              </w:trPr>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r>
                                    <w:rPr>
                                      <w:color w:val="000000"/>
                                      <w:spacing w:val="0"/>
                                      <w:w w:val="100"/>
                                      <w:position w:val="0"/>
                                      <w:sz w:val="16"/>
                                      <w:szCs w:val="16"/>
                                    </w:rPr>
                                    <w:t>Tanatex</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International B. V.</w:t>
                                  </w:r>
                                </w:p>
                              </w:tc>
                            </w:tr>
                            <w:tr>
                              <w:trPr>
                                <w:trHeight w:val="116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 xml:space="preserve">、 </w:t>
                                  </w:r>
                                  <w:r>
                                    <w:rPr>
                                      <w:color w:val="000000"/>
                                      <w:spacing w:val="0"/>
                                      <w:w w:val="100"/>
                                      <w:position w:val="0"/>
                                      <w:sz w:val="16"/>
                                      <w:szCs w:val="16"/>
                                    </w:rPr>
                                    <w:t>Tanatex International 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 xml:space="preserve">、 </w:t>
                                  </w:r>
                                  <w:r>
                                    <w:rPr>
                                      <w:color w:val="000000"/>
                                      <w:spacing w:val="0"/>
                                      <w:w w:val="100"/>
                                      <w:position w:val="0"/>
                                      <w:sz w:val="16"/>
                                      <w:szCs w:val="16"/>
                                    </w:rPr>
                                    <w:t xml:space="preserve">TPCHolding </w:t>
                                  </w:r>
                                  <w:r>
                                    <w:rPr>
                                      <w:color w:val="000000"/>
                                      <w:spacing w:val="0"/>
                                      <w:w w:val="100"/>
                                      <w:position w:val="0"/>
                                      <w:sz w:val="16"/>
                                      <w:szCs w:val="16"/>
                                    </w:rPr>
                                    <w:t xml:space="preserve">、 </w:t>
                                  </w:r>
                                  <w:r>
                                    <w:rPr>
                                      <w:color w:val="000000"/>
                                      <w:spacing w:val="0"/>
                                      <w:w w:val="100"/>
                                      <w:position w:val="0"/>
                                      <w:sz w:val="16"/>
                                      <w:szCs w:val="16"/>
                                    </w:rPr>
                                    <w:t>Tanatex Service GmbH</w:t>
                                  </w:r>
                                </w:p>
                              </w:tc>
                            </w:tr>
                            <w:tr>
                              <w:trPr>
                                <w:trHeight w:val="48" w:hRule="exact"/>
                              </w:trPr>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Holding</w:t>
                                  </w:r>
                                </w:p>
                              </w:tc>
                              <w:tc>
                                <w:tcPr>
                                  <w:vMerge/>
                                  <w:tcBorders>
                                    <w:left w:val="single" w:sz="4"/>
                                    <w:right w:val="single" w:sz="4"/>
                                  </w:tcBorders>
                                  <w:shd w:val="clear" w:color="auto" w:fill="FFFFFF"/>
                                  <w:vAlign w:val="bottom"/>
                                </w:tcPr>
                                <w:p>
                                  <w:pPr/>
                                </w:p>
                              </w:tc>
                            </w:tr>
                            <w:tr>
                              <w:trPr>
                                <w:trHeight w:val="77" w:hRule="exact"/>
                              </w:trPr>
                              <w:tc>
                                <w:tcPr>
                                  <w:vMerge/>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shd w:val="clear" w:color="auto" w:fill="FFFFFF"/>
                                  <w:vAlign w:val="top"/>
                                </w:tcPr>
                                <w:p>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tc>
                            </w:tr>
                            <w:tr>
                              <w:trPr>
                                <w:trHeight w:val="24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B.V. </w:t>
                                  </w:r>
                                  <w:r>
                                    <w:rPr>
                                      <w:color w:val="000000"/>
                                      <w:spacing w:val="0"/>
                                      <w:w w:val="100"/>
                                      <w:position w:val="0"/>
                                      <w:sz w:val="16"/>
                                      <w:szCs w:val="16"/>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International</w:t>
                                  </w:r>
                                </w:p>
                              </w:tc>
                            </w:tr>
                            <w:tr>
                              <w:trPr>
                                <w:trHeight w:val="24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Chemicals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 Holding B.V.</w:t>
                                  </w:r>
                                </w:p>
                              </w:tc>
                            </w:tr>
                            <w:tr>
                              <w:trPr>
                                <w:trHeight w:val="974" w:hRule="exact"/>
                              </w:trPr>
                              <w:tc>
                                <w:tcPr>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B.v.</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International</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B.V.</w:t>
                                  </w:r>
                                </w:p>
                              </w:tc>
                            </w:tr>
                          </w:tbl>
                          <w:p>
                            <w:pPr>
                              <w:widowControl w:val="0"/>
                              <w:spacing w:line="1" w:lineRule="exact"/>
                            </w:pPr>
                          </w:p>
                        </w:txbxContent>
                      </wps:txbx>
                      <wps:bodyPr lIns="0" tIns="0" rIns="0" bIns="0">
                        <a:noAutoFit/>
                      </wps:bodyPr>
                    </wps:wsp>
                  </a:graphicData>
                </a:graphic>
              </wp:anchor>
            </w:drawing>
          </mc:Choice>
          <mc:Fallback>
            <w:pict>
              <v:shape id="_x0000_s1148" type="#_x0000_t202" style="position:absolute;margin-left:62.300000000000004pt;margin-top:77.5pt;width:145.45000000000002pt;height:194.40000000000001pt;z-index:-125829323;mso-wrap-distance-left:0;mso-wrap-distance-top:77.5pt;mso-wrap-distance-right:0;mso-wrap-distance-bottom:113.55pt;mso-position-horizontal-relative:page" filled="f" stroked="f">
                <v:textbox inset="0,0,0,0">
                  <w:txbxContent>
                    <w:tbl>
                      <w:tblPr>
                        <w:tblOverlap w:val="never"/>
                        <w:jc w:val="left"/>
                        <w:tblLayout w:type="fixed"/>
                      </w:tblPr>
                      <w:tblGrid>
                        <w:gridCol w:w="864"/>
                        <w:gridCol w:w="2045"/>
                      </w:tblGrid>
                      <w:tr>
                        <w:trPr>
                          <w:tblHeader/>
                          <w:trHeight w:val="734" w:hRule="exact"/>
                        </w:trPr>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r>
                              <w:rPr>
                                <w:color w:val="000000"/>
                                <w:spacing w:val="0"/>
                                <w:w w:val="100"/>
                                <w:position w:val="0"/>
                                <w:sz w:val="16"/>
                                <w:szCs w:val="16"/>
                              </w:rPr>
                              <w:t>Tanatex</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International B. V.</w:t>
                            </w:r>
                          </w:p>
                        </w:tc>
                      </w:tr>
                      <w:tr>
                        <w:trPr>
                          <w:trHeight w:val="116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 xml:space="preserve">、 </w:t>
                            </w:r>
                            <w:r>
                              <w:rPr>
                                <w:color w:val="000000"/>
                                <w:spacing w:val="0"/>
                                <w:w w:val="100"/>
                                <w:position w:val="0"/>
                                <w:sz w:val="16"/>
                                <w:szCs w:val="16"/>
                              </w:rPr>
                              <w:t>Tanatex International 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 xml:space="preserve">、 </w:t>
                            </w:r>
                            <w:r>
                              <w:rPr>
                                <w:color w:val="000000"/>
                                <w:spacing w:val="0"/>
                                <w:w w:val="100"/>
                                <w:position w:val="0"/>
                                <w:sz w:val="16"/>
                                <w:szCs w:val="16"/>
                              </w:rPr>
                              <w:t xml:space="preserve">TPCHolding </w:t>
                            </w:r>
                            <w:r>
                              <w:rPr>
                                <w:color w:val="000000"/>
                                <w:spacing w:val="0"/>
                                <w:w w:val="100"/>
                                <w:position w:val="0"/>
                                <w:sz w:val="16"/>
                                <w:szCs w:val="16"/>
                              </w:rPr>
                              <w:t xml:space="preserve">、 </w:t>
                            </w:r>
                            <w:r>
                              <w:rPr>
                                <w:color w:val="000000"/>
                                <w:spacing w:val="0"/>
                                <w:w w:val="100"/>
                                <w:position w:val="0"/>
                                <w:sz w:val="16"/>
                                <w:szCs w:val="16"/>
                              </w:rPr>
                              <w:t>Tanatex Service GmbH</w:t>
                            </w:r>
                          </w:p>
                        </w:tc>
                      </w:tr>
                      <w:tr>
                        <w:trPr>
                          <w:trHeight w:val="48" w:hRule="exact"/>
                        </w:trPr>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Holding</w:t>
                            </w:r>
                          </w:p>
                        </w:tc>
                        <w:tc>
                          <w:tcPr>
                            <w:vMerge/>
                            <w:tcBorders>
                              <w:left w:val="single" w:sz="4"/>
                              <w:right w:val="single" w:sz="4"/>
                            </w:tcBorders>
                            <w:shd w:val="clear" w:color="auto" w:fill="FFFFFF"/>
                            <w:vAlign w:val="bottom"/>
                          </w:tcPr>
                          <w:p>
                            <w:pPr/>
                          </w:p>
                        </w:tc>
                      </w:tr>
                      <w:tr>
                        <w:trPr>
                          <w:trHeight w:val="77" w:hRule="exact"/>
                        </w:trPr>
                        <w:tc>
                          <w:tcPr>
                            <w:vMerge/>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shd w:val="clear" w:color="auto" w:fill="FFFFFF"/>
                            <w:vAlign w:val="top"/>
                          </w:tcPr>
                          <w:p>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r>
                              <w:rPr>
                                <w:color w:val="000000"/>
                                <w:spacing w:val="0"/>
                                <w:w w:val="100"/>
                                <w:position w:val="0"/>
                                <w:sz w:val="16"/>
                                <w:szCs w:val="16"/>
                              </w:rPr>
                              <w:t>、</w:t>
                            </w:r>
                          </w:p>
                        </w:tc>
                      </w:tr>
                      <w:tr>
                        <w:trPr>
                          <w:trHeight w:val="24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B.V. </w:t>
                            </w:r>
                            <w:r>
                              <w:rPr>
                                <w:color w:val="000000"/>
                                <w:spacing w:val="0"/>
                                <w:w w:val="100"/>
                                <w:position w:val="0"/>
                                <w:sz w:val="16"/>
                                <w:szCs w:val="16"/>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International</w:t>
                            </w:r>
                          </w:p>
                        </w:tc>
                      </w:tr>
                      <w:tr>
                        <w:trPr>
                          <w:trHeight w:val="24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r>
                              <w:rPr>
                                <w:color w:val="000000"/>
                                <w:spacing w:val="0"/>
                                <w:w w:val="100"/>
                                <w:position w:val="0"/>
                                <w:sz w:val="16"/>
                                <w:szCs w:val="16"/>
                              </w:rPr>
                              <w:t>、</w:t>
                            </w:r>
                            <w:r>
                              <w:rPr>
                                <w:color w:val="000000"/>
                                <w:spacing w:val="0"/>
                                <w:w w:val="100"/>
                                <w:position w:val="0"/>
                                <w:sz w:val="16"/>
                                <w:szCs w:val="16"/>
                              </w:rPr>
                              <w:t>Tanatex IP B.V.</w:t>
                            </w:r>
                            <w:r>
                              <w:rPr>
                                <w:color w:val="000000"/>
                                <w:spacing w:val="0"/>
                                <w:w w:val="100"/>
                                <w:position w:val="0"/>
                                <w:sz w:val="16"/>
                                <w:szCs w:val="16"/>
                              </w:rPr>
                              <w:t>、</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Chemicals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TPC Holding B.V.</w:t>
                            </w:r>
                          </w:p>
                        </w:tc>
                      </w:tr>
                      <w:tr>
                        <w:trPr>
                          <w:trHeight w:val="974" w:hRule="exact"/>
                        </w:trPr>
                        <w:tc>
                          <w:tcPr>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B.v.</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IP B.V.</w:t>
                            </w:r>
                            <w:r>
                              <w:rPr>
                                <w:color w:val="000000"/>
                                <w:spacing w:val="0"/>
                                <w:w w:val="100"/>
                                <w:position w:val="0"/>
                                <w:sz w:val="16"/>
                                <w:szCs w:val="16"/>
                              </w:rPr>
                              <w:t>、</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Chemicals B.v.</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Tanatex International</w:t>
                            </w:r>
                          </w:p>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B.V.</w:t>
                            </w:r>
                          </w:p>
                        </w:tc>
                      </w:tr>
                    </w:tbl>
                    <w:p>
                      <w:pPr>
                        <w:widowControl w:val="0"/>
                        <w:spacing w:line="1" w:lineRule="exact"/>
                      </w:pPr>
                    </w:p>
                  </w:txbxContent>
                </v:textbox>
                <w10:wrap type="topAndBottom" anchorx="page"/>
              </v:shape>
            </w:pict>
          </mc:Fallback>
        </mc:AlternateContent>
      </w:r>
      <w:r>
        <mc:AlternateContent>
          <mc:Choice Requires="wps">
            <w:drawing>
              <wp:anchor distT="3965575" distB="801370" distL="0" distR="0" simplePos="0" relativeHeight="125829432" behindDoc="0" locked="0" layoutInCell="1" allowOverlap="1">
                <wp:simplePos x="0" y="0"/>
                <wp:positionH relativeFrom="page">
                  <wp:posOffset>1412875</wp:posOffset>
                </wp:positionH>
                <wp:positionV relativeFrom="paragraph">
                  <wp:posOffset>3965575</wp:posOffset>
                </wp:positionV>
                <wp:extent cx="1146175" cy="128270"/>
                <wp:wrapTopAndBottom/>
                <wp:docPr id="124" name="Shape 124"/>
                <a:graphic xmlns:a="http://schemas.openxmlformats.org/drawingml/2006/main">
                  <a:graphicData uri="http://schemas.microsoft.com/office/word/2010/wordprocessingShape">
                    <wps:wsp>
                      <wps:cNvSpPr txBox="1"/>
                      <wps:spPr>
                        <a:xfrm>
                          <a:ext cx="1146175"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wps:txbx>
                      <wps:bodyPr wrap="none" lIns="0" tIns="0" rIns="0" bIns="0">
                        <a:noAutoFit/>
                      </wps:bodyPr>
                    </wps:wsp>
                  </a:graphicData>
                </a:graphic>
              </wp:anchor>
            </w:drawing>
          </mc:Choice>
          <mc:Fallback>
            <w:pict>
              <v:shape id="_x0000_s1150" type="#_x0000_t202" style="position:absolute;margin-left:111.25pt;margin-top:312.25pt;width:90.25pt;height:10.1pt;z-index:-125829321;mso-wrap-distance-left:0;mso-wrap-distance-top:312.25pt;mso-wrap-distance-right:0;mso-wrap-distance-bottom:63.10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Tanatex Chemicals B.v.</w:t>
                      </w:r>
                    </w:p>
                  </w:txbxContent>
                </v:textbox>
                <w10:wrap type="topAndBottom" anchorx="page"/>
              </v:shape>
            </w:pict>
          </mc:Fallback>
        </mc:AlternateContent>
      </w:r>
      <w:r>
        <mc:AlternateContent>
          <mc:Choice Requires="wps">
            <w:drawing>
              <wp:anchor distT="4685030" distB="73025" distL="0" distR="0" simplePos="0" relativeHeight="125829434" behindDoc="0" locked="0" layoutInCell="1" allowOverlap="1">
                <wp:simplePos x="0" y="0"/>
                <wp:positionH relativeFrom="page">
                  <wp:posOffset>901065</wp:posOffset>
                </wp:positionH>
                <wp:positionV relativeFrom="paragraph">
                  <wp:posOffset>4685030</wp:posOffset>
                </wp:positionV>
                <wp:extent cx="280670" cy="137160"/>
                <wp:wrapTopAndBottom/>
                <wp:docPr id="126" name="Shape 126"/>
                <a:graphic xmlns:a="http://schemas.openxmlformats.org/drawingml/2006/main">
                  <a:graphicData uri="http://schemas.microsoft.com/office/word/2010/wordprocessingShape">
                    <wps:wsp>
                      <wps:cNvSpPr txBox="1"/>
                      <wps:spPr>
                        <a:xfrm>
                          <a:ext cx="280670" cy="13716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xbxContent>
                      </wps:txbx>
                      <wps:bodyPr wrap="none" lIns="0" tIns="0" rIns="0" bIns="0">
                        <a:noAutoFit/>
                      </wps:bodyPr>
                    </wps:wsp>
                  </a:graphicData>
                </a:graphic>
              </wp:anchor>
            </w:drawing>
          </mc:Choice>
          <mc:Fallback>
            <w:pict>
              <v:shape id="_x0000_s1152" type="#_x0000_t202" style="position:absolute;margin-left:70.950000000000003pt;margin-top:368.90000000000003pt;width:22.100000000000001pt;height:10.800000000000001pt;z-index:-125829319;mso-wrap-distance-left:0;mso-wrap-distance-top:368.90000000000003pt;mso-wrap-distance-right:0;mso-wrap-distance-bottom:5.7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xbxContent>
                </v:textbox>
                <w10:wrap type="topAndBottom" anchorx="page"/>
              </v:shape>
            </w:pict>
          </mc:Fallback>
        </mc:AlternateContent>
      </w:r>
      <w:r>
        <mc:AlternateContent>
          <mc:Choice Requires="wps">
            <w:drawing>
              <wp:anchor distT="0" distB="0" distL="652145" distR="646430" simplePos="0" relativeHeight="125829436" behindDoc="0" locked="0" layoutInCell="1" allowOverlap="1">
                <wp:simplePos x="0" y="0"/>
                <wp:positionH relativeFrom="page">
                  <wp:posOffset>3348355</wp:posOffset>
                </wp:positionH>
                <wp:positionV relativeFrom="paragraph">
                  <wp:posOffset>0</wp:posOffset>
                </wp:positionV>
                <wp:extent cx="2255520" cy="4895215"/>
                <wp:wrapTopAndBottom/>
                <wp:docPr id="128" name="Shape 128"/>
                <a:graphic xmlns:a="http://schemas.openxmlformats.org/drawingml/2006/main">
                  <a:graphicData uri="http://schemas.microsoft.com/office/word/2010/wordprocessingShape">
                    <wps:wsp>
                      <wps:cNvSpPr txBox="1"/>
                      <wps:spPr>
                        <a:xfrm>
                          <a:ext cx="2255520" cy="4895215"/>
                        </a:xfrm>
                        <a:prstGeom prst="rect"/>
                        <a:noFill/>
                      </wps:spPr>
                      <wps:txbx>
                        <w:txbxContent>
                          <w:tbl>
                            <w:tblPr>
                              <w:tblOverlap w:val="never"/>
                              <w:jc w:val="left"/>
                              <w:tblLayout w:type="fixed"/>
                            </w:tblPr>
                            <w:tblGrid>
                              <w:gridCol w:w="1090"/>
                              <w:gridCol w:w="1291"/>
                              <w:gridCol w:w="1171"/>
                            </w:tblGrid>
                            <w:tr>
                              <w:trPr>
                                <w:tblHeade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抵押</w:t>
                                  </w:r>
                                  <w:r>
                                    <w:rPr>
                                      <w:color w:val="000000"/>
                                      <w:spacing w:val="0"/>
                                      <w:w w:val="100"/>
                                      <w:position w:val="0"/>
                                      <w:sz w:val="16"/>
                                      <w:szCs w:val="16"/>
                                    </w:rPr>
                                    <w:t>/</w:t>
                                  </w:r>
                                  <w:r>
                                    <w:rPr>
                                      <w:color w:val="000000"/>
                                      <w:spacing w:val="0"/>
                                      <w:w w:val="100"/>
                                      <w:position w:val="0"/>
                                      <w:sz w:val="16"/>
                                      <w:szCs w:val="16"/>
                                    </w:rPr>
                                    <w:t>质押 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抵押/质押物价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借款余额</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993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104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w:t>
                                  </w:r>
                                </w:p>
                              </w:tc>
                              <w:tc>
                                <w:tcPr>
                                  <w:tcBorders>
                                    <w:lef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银行账户</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版权和商标 方面的保护 知识产权</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可移动资产</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客户合同</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bl>
                          <w:p>
                            <w:pPr>
                              <w:widowControl w:val="0"/>
                              <w:spacing w:line="1" w:lineRule="exact"/>
                            </w:pPr>
                          </w:p>
                        </w:txbxContent>
                      </wps:txbx>
                      <wps:bodyPr lIns="0" tIns="0" rIns="0" bIns="0">
                        <a:noAutoFit/>
                      </wps:bodyPr>
                    </wps:wsp>
                  </a:graphicData>
                </a:graphic>
              </wp:anchor>
            </w:drawing>
          </mc:Choice>
          <mc:Fallback>
            <w:pict>
              <v:shape id="_x0000_s1154" type="#_x0000_t202" style="position:absolute;margin-left:263.64999999999998pt;margin-top:0;width:177.59999999999999pt;height:385.44999999999999pt;z-index:-125829317;mso-wrap-distance-left:51.350000000000001pt;mso-wrap-distance-right:50.899999999999999pt;mso-position-horizontal-relative:page" filled="f" stroked="f">
                <v:textbox inset="0,0,0,0">
                  <w:txbxContent>
                    <w:tbl>
                      <w:tblPr>
                        <w:tblOverlap w:val="never"/>
                        <w:jc w:val="left"/>
                        <w:tblLayout w:type="fixed"/>
                      </w:tblPr>
                      <w:tblGrid>
                        <w:gridCol w:w="1090"/>
                        <w:gridCol w:w="1291"/>
                        <w:gridCol w:w="1171"/>
                      </w:tblGrid>
                      <w:tr>
                        <w:trPr>
                          <w:tblHeade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抵押</w:t>
                            </w:r>
                            <w:r>
                              <w:rPr>
                                <w:color w:val="000000"/>
                                <w:spacing w:val="0"/>
                                <w:w w:val="100"/>
                                <w:position w:val="0"/>
                                <w:sz w:val="16"/>
                                <w:szCs w:val="16"/>
                              </w:rPr>
                              <w:t>/</w:t>
                            </w:r>
                            <w:r>
                              <w:rPr>
                                <w:color w:val="000000"/>
                                <w:spacing w:val="0"/>
                                <w:w w:val="100"/>
                                <w:position w:val="0"/>
                                <w:sz w:val="16"/>
                                <w:szCs w:val="16"/>
                              </w:rPr>
                              <w:t>质押 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抵押/质押物价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借款余额</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993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104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52</w:t>
                            </w:r>
                          </w:p>
                        </w:tc>
                        <w:tc>
                          <w:tcPr>
                            <w:tcBorders>
                              <w:lef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银行账户</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版权和商标 方面的保护 知识产权</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可移动资产</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客户合同</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2705100</wp:posOffset>
                </wp:positionH>
                <wp:positionV relativeFrom="paragraph">
                  <wp:posOffset>48895</wp:posOffset>
                </wp:positionV>
                <wp:extent cx="591185" cy="323215"/>
                <wp:wrapNone/>
                <wp:docPr id="130" name="Shape 130"/>
                <a:graphic xmlns:a="http://schemas.openxmlformats.org/drawingml/2006/main">
                  <a:graphicData uri="http://schemas.microsoft.com/office/word/2010/wordprocessingShape">
                    <wps:wsp>
                      <wps:cNvSpPr txBox="1"/>
                      <wps:spPr>
                        <a:xfrm>
                          <a:ext cx="591185" cy="323215"/>
                        </a:xfrm>
                        <a:prstGeom prst="rect"/>
                        <a:noFill/>
                      </wps:spPr>
                      <wps:txbx>
                        <w:txbxContent>
                          <w:p>
                            <w:pPr>
                              <w:pStyle w:val="Style3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抵押/质押权</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xbxContent>
                      </wps:txbx>
                      <wps:bodyPr lIns="0" tIns="0" rIns="0" bIns="0">
                        <a:noAutoFit/>
                      </wps:bodyPr>
                    </wps:wsp>
                  </a:graphicData>
                </a:graphic>
              </wp:anchor>
            </w:drawing>
          </mc:Choice>
          <mc:Fallback>
            <w:pict>
              <v:shape id="_x0000_s1156" type="#_x0000_t202" style="position:absolute;margin-left:213.pt;margin-top:3.8500000000000001pt;width:46.550000000000004pt;height:25.449999999999999pt;z-index:251657731;mso-wrap-distance-left:0;mso-wrap-distance-right:0;mso-position-horizontal-relative:page" filled="f" stroked="f">
                <v:textbox inset="0,0,0,0">
                  <w:txbxContent>
                    <w:p>
                      <w:pPr>
                        <w:pStyle w:val="Style3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抵押/质押权</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2696210</wp:posOffset>
                </wp:positionH>
                <wp:positionV relativeFrom="paragraph">
                  <wp:posOffset>2444750</wp:posOffset>
                </wp:positionV>
                <wp:extent cx="615950" cy="130810"/>
                <wp:wrapNone/>
                <wp:docPr id="132" name="Shape 132"/>
                <a:graphic xmlns:a="http://schemas.openxmlformats.org/drawingml/2006/main">
                  <a:graphicData uri="http://schemas.microsoft.com/office/word/2010/wordprocessingShape">
                    <wps:wsp>
                      <wps:cNvSpPr txBox="1"/>
                      <wps:spPr>
                        <a:xfrm>
                          <a:ext cx="615950" cy="1308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ING Bank N. V</w:t>
                            </w:r>
                          </w:p>
                        </w:txbxContent>
                      </wps:txbx>
                      <wps:bodyPr lIns="0" tIns="0" rIns="0" bIns="0">
                        <a:noAutoFit/>
                      </wps:bodyPr>
                    </wps:wsp>
                  </a:graphicData>
                </a:graphic>
              </wp:anchor>
            </w:drawing>
          </mc:Choice>
          <mc:Fallback>
            <w:pict>
              <v:shape id="_x0000_s1158" type="#_x0000_t202" style="position:absolute;margin-left:212.30000000000001pt;margin-top:192.5pt;width:48.5pt;height:10.300000000000001pt;z-index:25165773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ING Bank N. V</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5762625</wp:posOffset>
                </wp:positionH>
                <wp:positionV relativeFrom="paragraph">
                  <wp:posOffset>2453640</wp:posOffset>
                </wp:positionV>
                <wp:extent cx="433070" cy="146050"/>
                <wp:wrapNone/>
                <wp:docPr id="134" name="Shape 134"/>
                <a:graphic xmlns:a="http://schemas.openxmlformats.org/drawingml/2006/main">
                  <a:graphicData uri="http://schemas.microsoft.com/office/word/2010/wordprocessingShape">
                    <wps:wsp>
                      <wps:cNvSpPr txBox="1"/>
                      <wps:spPr>
                        <a:xfrm>
                          <a:ext cx="43307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xbxContent>
                      </wps:txbx>
                      <wps:bodyPr lIns="0" tIns="0" rIns="0" bIns="0">
                        <a:noAutoFit/>
                      </wps:bodyPr>
                    </wps:wsp>
                  </a:graphicData>
                </a:graphic>
              </wp:anchor>
            </w:drawing>
          </mc:Choice>
          <mc:Fallback>
            <w:pict>
              <v:shape id="_x0000_s1160" type="#_x0000_t202" style="position:absolute;margin-left:453.75pt;margin-top:193.20000000000002pt;width:34.100000000000001pt;height:11.5pt;z-index:25165773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5713730</wp:posOffset>
                </wp:positionH>
                <wp:positionV relativeFrom="paragraph">
                  <wp:posOffset>48895</wp:posOffset>
                </wp:positionV>
                <wp:extent cx="536575" cy="323215"/>
                <wp:wrapNone/>
                <wp:docPr id="136" name="Shape 136"/>
                <a:graphic xmlns:a="http://schemas.openxmlformats.org/drawingml/2006/main">
                  <a:graphicData uri="http://schemas.microsoft.com/office/word/2010/wordprocessingShape">
                    <wps:wsp>
                      <wps:cNvSpPr txBox="1"/>
                      <wps:spPr>
                        <a:xfrm>
                          <a:ext cx="536575" cy="323215"/>
                        </a:xfrm>
                        <a:prstGeom prst="rect"/>
                        <a:noFill/>
                      </wps:spPr>
                      <wps:txbx>
                        <w:txbxContent>
                          <w:p>
                            <w:pPr>
                              <w:pStyle w:val="Style3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借款最后到</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期日</w:t>
                            </w:r>
                          </w:p>
                        </w:txbxContent>
                      </wps:txbx>
                      <wps:bodyPr lIns="0" tIns="0" rIns="0" bIns="0">
                        <a:noAutoFit/>
                      </wps:bodyPr>
                    </wps:wsp>
                  </a:graphicData>
                </a:graphic>
              </wp:anchor>
            </w:drawing>
          </mc:Choice>
          <mc:Fallback>
            <w:pict>
              <v:shape id="_x0000_s1162" type="#_x0000_t202" style="position:absolute;margin-left:449.90000000000003pt;margin-top:3.8500000000000001pt;width:42.25pt;height:25.449999999999999pt;z-index:251657737;mso-wrap-distance-left:0;mso-wrap-distance-right:0;mso-position-horizontal-relative:page" filled="f" stroked="f">
                <v:textbox inset="0,0,0,0">
                  <w:txbxContent>
                    <w:p>
                      <w:pPr>
                        <w:pStyle w:val="Style3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借款最后到</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期日</w:t>
                      </w:r>
                    </w:p>
                  </w:txbxContent>
                </v:textbox>
                <w10:wrap anchorx="page"/>
              </v:shape>
            </w:pict>
          </mc:Fallback>
        </mc:AlternateContent>
      </w:r>
    </w:p>
    <w:p>
      <w:pPr>
        <w:pStyle w:val="Style111"/>
        <w:keepNext w:val="0"/>
        <w:keepLines w:val="0"/>
        <w:widowControl w:val="0"/>
        <w:numPr>
          <w:ilvl w:val="0"/>
          <w:numId w:val="91"/>
        </w:numPr>
        <w:shd w:val="clear" w:color="auto" w:fill="auto"/>
        <w:bidi w:val="0"/>
        <w:spacing w:before="0" w:after="200" w:line="240" w:lineRule="auto"/>
        <w:ind w:left="0" w:right="0" w:firstLine="580"/>
        <w:jc w:val="left"/>
      </w:pPr>
      <w:bookmarkStart w:id="345" w:name="bookmark345"/>
      <w:bookmarkEnd w:id="345"/>
      <w:r>
        <w:rPr>
          <w:color w:val="000000"/>
          <w:spacing w:val="0"/>
          <w:w w:val="100"/>
          <w:position w:val="0"/>
        </w:rPr>
        <w:t>应付债券</w:t>
      </w:r>
    </w:p>
    <w:p>
      <w:pPr>
        <w:pStyle w:val="Style111"/>
        <w:keepNext w:val="0"/>
        <w:keepLines w:val="0"/>
        <w:widowControl w:val="0"/>
        <w:shd w:val="clear" w:color="auto" w:fill="auto"/>
        <w:bidi w:val="0"/>
        <w:spacing w:before="0" w:after="80" w:line="240" w:lineRule="auto"/>
        <w:ind w:left="0" w:right="0" w:firstLine="580"/>
        <w:jc w:val="left"/>
      </w:pPr>
      <w:r>
        <w:rPr>
          <w:color w:val="000000"/>
          <w:spacing w:val="0"/>
          <w:w w:val="100"/>
          <w:position w:val="0"/>
        </w:rPr>
        <w:t>⑴明细情况</w:t>
      </w:r>
    </w:p>
    <w:tbl>
      <w:tblPr>
        <w:tblOverlap w:val="never"/>
        <w:jc w:val="left"/>
        <w:tblLayout w:type="fixed"/>
      </w:tblPr>
      <w:tblGrid>
        <w:gridCol w:w="4723"/>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625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625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)应付债券增减变动</w:t>
      </w:r>
    </w:p>
    <w:tbl>
      <w:tblPr>
        <w:tblOverlap w:val="never"/>
        <w:jc w:val="center"/>
        <w:tblLayout w:type="fixed"/>
      </w:tblPr>
      <w:tblGrid>
        <w:gridCol w:w="710"/>
        <w:gridCol w:w="1133"/>
        <w:gridCol w:w="850"/>
        <w:gridCol w:w="427"/>
        <w:gridCol w:w="989"/>
        <w:gridCol w:w="1018"/>
        <w:gridCol w:w="461"/>
        <w:gridCol w:w="1056"/>
        <w:gridCol w:w="917"/>
        <w:gridCol w:w="974"/>
        <w:gridCol w:w="1114"/>
      </w:tblGrid>
      <w:tr>
        <w:trPr>
          <w:trHeight w:val="60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债券</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发行</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债券</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本期</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按面值 计提利息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溢折价</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 偿还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8"/>
                <w:szCs w:val="8"/>
              </w:rPr>
            </w:pPr>
            <w:r>
              <w:rPr>
                <w:color w:val="000000"/>
                <w:spacing w:val="0"/>
                <w:w w:val="100"/>
                <w:position w:val="0"/>
                <w:sz w:val="9"/>
                <w:szCs w:val="9"/>
              </w:rPr>
              <w:t>传化</w:t>
            </w:r>
            <w:r>
              <w:rPr>
                <w:rFonts w:ascii="Times New Roman" w:eastAsia="Times New Roman" w:hAnsi="Times New Roman" w:cs="Times New Roman"/>
                <w:b/>
                <w:bCs/>
                <w:color w:val="000000"/>
                <w:spacing w:val="0"/>
                <w:w w:val="100"/>
                <w:position w:val="0"/>
                <w:sz w:val="8"/>
                <w:szCs w:val="8"/>
              </w:rPr>
              <w:t>2013</w:t>
            </w:r>
          </w:p>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年公司债券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2013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594</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240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623</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859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511</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625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25</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623</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859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511</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625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25</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95"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)其他说明</w:t>
      </w:r>
    </w:p>
    <w:tbl>
      <w:tblPr>
        <w:tblOverlap w:val="never"/>
        <w:jc w:val="left"/>
        <w:tblLayout w:type="fixed"/>
      </w:tblPr>
      <w:tblGrid>
        <w:gridCol w:w="1694"/>
        <w:gridCol w:w="1685"/>
        <w:gridCol w:w="1680"/>
        <w:gridCol w:w="1613"/>
        <w:gridCol w:w="1805"/>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明细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740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488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bl>
    <w:p>
      <w:pPr>
        <w:widowControl w:val="0"/>
        <w:spacing w:after="499" w:line="1" w:lineRule="exact"/>
      </w:pPr>
    </w:p>
    <w:p>
      <w:pPr>
        <w:pStyle w:val="Style111"/>
        <w:keepNext w:val="0"/>
        <w:keepLines w:val="0"/>
        <w:widowControl w:val="0"/>
        <w:numPr>
          <w:ilvl w:val="0"/>
          <w:numId w:val="91"/>
        </w:numPr>
        <w:shd w:val="clear" w:color="auto" w:fill="auto"/>
        <w:bidi w:val="0"/>
        <w:spacing w:before="0" w:after="200" w:line="240" w:lineRule="auto"/>
        <w:ind w:left="0" w:right="0" w:firstLine="580"/>
        <w:jc w:val="left"/>
      </w:pPr>
      <w:bookmarkStart w:id="346" w:name="bookmark346"/>
      <w:bookmarkEnd w:id="346"/>
      <w:r>
        <w:rPr>
          <w:color w:val="000000"/>
          <w:spacing w:val="0"/>
          <w:w w:val="100"/>
          <w:position w:val="0"/>
        </w:rPr>
        <w:t>长期应付款</w:t>
      </w:r>
    </w:p>
    <w:p>
      <w:pPr>
        <w:pStyle w:val="Style111"/>
        <w:keepNext w:val="0"/>
        <w:keepLines w:val="0"/>
        <w:widowControl w:val="0"/>
        <w:shd w:val="clear" w:color="auto" w:fill="auto"/>
        <w:bidi w:val="0"/>
        <w:spacing w:before="0" w:after="60" w:line="240" w:lineRule="auto"/>
        <w:ind w:left="0" w:right="0" w:firstLine="580"/>
        <w:jc w:val="left"/>
      </w:pPr>
      <w:r>
        <w:rPr>
          <w:color w:val="000000"/>
          <w:spacing w:val="0"/>
          <w:w w:val="100"/>
          <w:position w:val="0"/>
        </w:rPr>
        <w:t>⑴明细情况</w:t>
      </w:r>
    </w:p>
    <w:tbl>
      <w:tblPr>
        <w:tblOverlap w:val="never"/>
        <w:jc w:val="left"/>
        <w:tblLayout w:type="fixed"/>
      </w:tblPr>
      <w:tblGrid>
        <w:gridCol w:w="3686"/>
        <w:gridCol w:w="2410"/>
        <w:gridCol w:w="2491"/>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期初数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国开发展基金有限公司投资款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应付分红款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未确认融资费用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融资租赁保证金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)国开发展基金有限公司投资款增减变动情况</w:t>
      </w:r>
    </w:p>
    <w:p>
      <w:pPr>
        <w:widowControl w:val="0"/>
        <w:spacing w:after="59" w:line="1" w:lineRule="exact"/>
      </w:pPr>
    </w:p>
    <w:p>
      <w:pPr>
        <w:widowControl w:val="0"/>
        <w:spacing w:line="1" w:lineRule="exact"/>
      </w:pPr>
    </w:p>
    <w:tbl>
      <w:tblPr>
        <w:tblOverlap w:val="never"/>
        <w:jc w:val="left"/>
        <w:tblLayout w:type="fixed"/>
      </w:tblPr>
      <w:tblGrid>
        <w:gridCol w:w="1142"/>
        <w:gridCol w:w="1829"/>
        <w:gridCol w:w="1920"/>
        <w:gridCol w:w="1790"/>
        <w:gridCol w:w="1781"/>
      </w:tblGrid>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传化物流集团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传化化学品公司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r>
      <w:tr>
        <w:trPr>
          <w:trHeight w:val="41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应付分红款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39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本期增减 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应付分红款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应付分红款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widowControl w:val="0"/>
        <w:spacing w:line="1" w:lineRule="exact"/>
      </w:pPr>
      <w:r>
        <w:br w:type="page"/>
      </w:r>
    </w:p>
    <w:tbl>
      <w:tblPr>
        <w:tblOverlap w:val="never"/>
        <w:jc w:val="center"/>
        <w:tblLayout w:type="fixed"/>
      </w:tblPr>
      <w:tblGrid>
        <w:gridCol w:w="1142"/>
        <w:gridCol w:w="1829"/>
        <w:gridCol w:w="1920"/>
        <w:gridCol w:w="1790"/>
        <w:gridCol w:w="1781"/>
      </w:tblGrid>
      <w:tr>
        <w:trPr>
          <w:trHeight w:val="451" w:hRule="exact"/>
        </w:trPr>
        <w:tc>
          <w:tcPr>
            <w:vMerge w:val="restart"/>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未确认融资费用</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r>
        <w:trPr>
          <w:trHeight w:val="413"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bl>
    <w:p>
      <w:pPr>
        <w:pStyle w:val="Style30"/>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）其他说明</w:t>
      </w:r>
    </w:p>
    <w:p>
      <w:pPr>
        <w:pStyle w:val="Style111"/>
        <w:keepNext w:val="0"/>
        <w:keepLines w:val="0"/>
        <w:widowControl w:val="0"/>
        <w:shd w:val="clear" w:color="auto" w:fill="auto"/>
        <w:tabs>
          <w:tab w:pos="1165" w:val="left"/>
        </w:tabs>
        <w:bidi w:val="0"/>
        <w:spacing w:before="0" w:after="0" w:line="437" w:lineRule="exact"/>
        <w:ind w:left="400" w:right="0" w:firstLine="480"/>
        <w:jc w:val="both"/>
      </w:pPr>
      <w:bookmarkStart w:id="347" w:name="bookmark347"/>
      <w:r>
        <w:rPr>
          <w:rFonts w:ascii="Times New Roman" w:eastAsia="Times New Roman" w:hAnsi="Times New Roman" w:cs="Times New Roman"/>
          <w:color w:val="000000"/>
          <w:spacing w:val="0"/>
          <w:w w:val="100"/>
          <w:position w:val="0"/>
        </w:rPr>
        <w:t>1</w:t>
      </w:r>
      <w:bookmarkEnd w:id="347"/>
      <w:r>
        <w:rPr>
          <w:color w:val="000000"/>
          <w:spacing w:val="0"/>
          <w:w w:val="100"/>
          <w:position w:val="0"/>
        </w:rPr>
        <w:t>）</w:t>
        <w:tab/>
        <w:t>国开发展基金有限公司（以下简称国开基金公司）对传化物流集团增资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亿元人民 币，</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2030</w:t>
      </w:r>
      <w:r>
        <w:rPr>
          <w:color w:val="000000"/>
          <w:spacing w:val="0"/>
          <w:w w:val="100"/>
          <w:position w:val="0"/>
        </w:rPr>
        <w:t>年国开基金公司每年收回投资款</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125</w:t>
      </w:r>
      <w:r>
        <w:rPr>
          <w:color w:val="000000"/>
          <w:spacing w:val="0"/>
          <w:w w:val="100"/>
          <w:position w:val="0"/>
        </w:rPr>
        <w:t>万元，传化物流集团按每年</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 的投资收益率支付其投资收益，传化物流集团以下属子公司浙江传化公路港物流发展有限公 司拥有的土地使用权及地上在建工程、衢州传化公路港物流有限公司拥有的土地使用权及地 上在建工程、泉州传化公路港物流有限公司拥有的土地使用权及地上在建工程提供抵押担 保。</w:t>
      </w:r>
    </w:p>
    <w:p>
      <w:pPr>
        <w:pStyle w:val="Style111"/>
        <w:keepNext w:val="0"/>
        <w:keepLines w:val="0"/>
        <w:widowControl w:val="0"/>
        <w:shd w:val="clear" w:color="auto" w:fill="auto"/>
        <w:tabs>
          <w:tab w:pos="1165" w:val="left"/>
        </w:tabs>
        <w:bidi w:val="0"/>
        <w:spacing w:before="0" w:after="0" w:line="442" w:lineRule="exact"/>
        <w:ind w:left="400" w:right="0" w:firstLine="480"/>
        <w:jc w:val="both"/>
      </w:pPr>
      <w:bookmarkStart w:id="348" w:name="bookmark348"/>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国开基金公司对传化化学品公司增资</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万元人民币，</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年国开基 金公司每年收回投资款</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万元，传化化学品公司按每年</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%的投资收益率支付其投资 收益，传化化学品公司以拥有的土地使用权向国开基金公司提供抵押担保。</w:t>
      </w:r>
    </w:p>
    <w:p>
      <w:pPr>
        <w:pStyle w:val="Style111"/>
        <w:keepNext w:val="0"/>
        <w:keepLines w:val="0"/>
        <w:widowControl w:val="0"/>
        <w:shd w:val="clear" w:color="auto" w:fill="auto"/>
        <w:tabs>
          <w:tab w:pos="1207" w:val="left"/>
        </w:tabs>
        <w:bidi w:val="0"/>
        <w:spacing w:before="0" w:after="0" w:line="442" w:lineRule="exact"/>
        <w:ind w:left="0" w:right="0" w:firstLine="860"/>
        <w:jc w:val="left"/>
      </w:pPr>
      <w:bookmarkStart w:id="349" w:name="bookmark349"/>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融资租赁保证金</w:t>
      </w:r>
    </w:p>
    <w:p>
      <w:pPr>
        <w:pStyle w:val="Style111"/>
        <w:keepNext w:val="0"/>
        <w:keepLines w:val="0"/>
        <w:widowControl w:val="0"/>
        <w:shd w:val="clear" w:color="auto" w:fill="auto"/>
        <w:bidi w:val="0"/>
        <w:spacing w:before="0" w:after="620" w:line="442" w:lineRule="exact"/>
        <w:ind w:left="0" w:right="0" w:firstLine="860"/>
        <w:jc w:val="left"/>
      </w:pPr>
      <w:r>
        <w:rPr>
          <w:color w:val="000000"/>
          <w:spacing w:val="0"/>
          <w:w w:val="100"/>
          <w:position w:val="0"/>
        </w:rPr>
        <w:t>本期子公司天津传化融资租赁有限公司开展融资租赁业务，收取的保证金列本项目。</w:t>
      </w: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w:t>
      </w:r>
      <w:r>
        <w:rPr>
          <w:color w:val="000000"/>
          <w:spacing w:val="0"/>
          <w:w w:val="100"/>
          <w:position w:val="0"/>
          <w:sz w:val="20"/>
          <w:szCs w:val="20"/>
        </w:rPr>
        <w:t>预计负债</w:t>
      </w:r>
    </w:p>
    <w:tbl>
      <w:tblPr>
        <w:tblOverlap w:val="never"/>
        <w:jc w:val="center"/>
        <w:tblLayout w:type="fixed"/>
      </w:tblPr>
      <w:tblGrid>
        <w:gridCol w:w="1906"/>
        <w:gridCol w:w="1738"/>
        <w:gridCol w:w="1834"/>
        <w:gridCol w:w="3110"/>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解约补偿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设备定制合同解约，预计需支付 的补偿款</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污染准备金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TPC Holding B. V.</w:t>
            </w:r>
            <w:r>
              <w:rPr>
                <w:color w:val="000000"/>
                <w:spacing w:val="0"/>
                <w:w w:val="100"/>
                <w:position w:val="0"/>
                <w:sz w:val="20"/>
                <w:szCs w:val="20"/>
              </w:rPr>
              <w:t>预提的环境修 复费用</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95"/>
        </w:numPr>
        <w:shd w:val="clear" w:color="auto" w:fill="auto"/>
        <w:bidi w:val="0"/>
        <w:spacing w:before="0" w:after="200" w:line="240" w:lineRule="auto"/>
        <w:ind w:left="0" w:right="0" w:firstLine="860"/>
        <w:jc w:val="left"/>
      </w:pPr>
      <w:bookmarkStart w:id="350" w:name="bookmark350"/>
      <w:bookmarkEnd w:id="350"/>
      <w:r>
        <w:rPr>
          <w:color w:val="000000"/>
          <w:spacing w:val="0"/>
          <w:w w:val="100"/>
          <w:position w:val="0"/>
        </w:rPr>
        <w:t>递延收益</w:t>
      </w:r>
    </w:p>
    <w:p>
      <w:pPr>
        <w:pStyle w:val="Style111"/>
        <w:keepNext w:val="0"/>
        <w:keepLines w:val="0"/>
        <w:widowControl w:val="0"/>
        <w:shd w:val="clear" w:color="auto" w:fill="auto"/>
        <w:bidi w:val="0"/>
        <w:spacing w:before="0" w:after="60" w:line="240" w:lineRule="auto"/>
        <w:ind w:left="0" w:right="0" w:firstLine="860"/>
        <w:jc w:val="left"/>
      </w:pPr>
      <w:r>
        <w:rPr>
          <w:color w:val="000000"/>
          <w:spacing w:val="0"/>
          <w:w w:val="100"/>
          <w:position w:val="0"/>
        </w:rPr>
        <w:t>⑴明细情况</w:t>
      </w:r>
    </w:p>
    <w:tbl>
      <w:tblPr>
        <w:tblOverlap w:val="never"/>
        <w:jc w:val="left"/>
        <w:tblLayout w:type="fixed"/>
      </w:tblPr>
      <w:tblGrid>
        <w:gridCol w:w="970"/>
        <w:gridCol w:w="1474"/>
        <w:gridCol w:w="1478"/>
        <w:gridCol w:w="1474"/>
        <w:gridCol w:w="1478"/>
        <w:gridCol w:w="95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）政府补助明细情况</w:t>
      </w:r>
    </w:p>
    <w:p>
      <w:pPr>
        <w:widowControl w:val="0"/>
        <w:spacing w:after="59" w:line="1" w:lineRule="exact"/>
      </w:pPr>
    </w:p>
    <w:p>
      <w:pPr>
        <w:widowControl w:val="0"/>
        <w:spacing w:line="1" w:lineRule="exact"/>
      </w:pPr>
    </w:p>
    <w:tbl>
      <w:tblPr>
        <w:tblOverlap w:val="never"/>
        <w:jc w:val="center"/>
        <w:tblLayout w:type="fixed"/>
      </w:tblPr>
      <w:tblGrid>
        <w:gridCol w:w="1709"/>
        <w:gridCol w:w="1344"/>
        <w:gridCol w:w="1378"/>
        <w:gridCol w:w="1334"/>
        <w:gridCol w:w="883"/>
        <w:gridCol w:w="1334"/>
        <w:gridCol w:w="1248"/>
      </w:tblGrid>
      <w:tr>
        <w:trPr>
          <w:trHeight w:val="70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本期新增补助金</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本期计入营业外</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6"/>
                <w:szCs w:val="16"/>
              </w:rPr>
            </w:pPr>
            <w:r>
              <w:rPr>
                <w:color w:val="000000"/>
                <w:spacing w:val="0"/>
                <w:w w:val="100"/>
                <w:position w:val="0"/>
                <w:sz w:val="16"/>
                <w:szCs w:val="16"/>
              </w:rPr>
              <w:t>与资产相关/</w:t>
            </w:r>
          </w:p>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与收益相关</w:t>
            </w:r>
          </w:p>
        </w:tc>
      </w:tr>
      <w:tr>
        <w:trPr>
          <w:trHeight w:val="73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万吨/年顺丁橡胶 项目产业转型和升级 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bl>
    <w:p>
      <w:pPr>
        <w:widowControl w:val="0"/>
        <w:spacing w:line="1" w:lineRule="exact"/>
      </w:pPr>
      <w:r>
        <w:br w:type="page"/>
      </w:r>
    </w:p>
    <w:tbl>
      <w:tblPr>
        <w:tblOverlap w:val="never"/>
        <w:jc w:val="center"/>
        <w:tblLayout w:type="fixed"/>
      </w:tblPr>
      <w:tblGrid>
        <w:gridCol w:w="1709"/>
        <w:gridCol w:w="1344"/>
        <w:gridCol w:w="1378"/>
        <w:gridCol w:w="1334"/>
        <w:gridCol w:w="883"/>
        <w:gridCol w:w="1334"/>
        <w:gridCol w:w="1248"/>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南充公路港交通部车</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购税资金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重庆公路港产业扶持</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荆门公路港产业扶持</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发展基金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富阳基地物流园区项</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目建设资金补助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368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怀化公路港政府补助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临江项目填土款补助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387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727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833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年产</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万吨聚酯树脂</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项目基础设施补助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158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503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物流业转型升级项目</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73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万吨/年顺丁橡胶 装置及配套公用工程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229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718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685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淮北公路港物流行业</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与资产/收益</w:t>
            </w:r>
          </w:p>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物流业转型升级专项</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省级示范物流园区提</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升发展试点补助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海洋经济发展示范区</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建设项目专项资金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物流项目扶持产业发</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物流业调整和振兴项</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拆迁补偿款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与资产/收益</w:t>
            </w:r>
          </w:p>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泉州传化公路港技改</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和科研创新项目补助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546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546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与资产/收益</w:t>
            </w:r>
          </w:p>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相关</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荷泽传化公路港公共</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信息平台经营补助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538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841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1"/>
        <w:keepNext w:val="0"/>
        <w:keepLines w:val="0"/>
        <w:widowControl w:val="0"/>
        <w:numPr>
          <w:ilvl w:val="0"/>
          <w:numId w:val="95"/>
        </w:numPr>
        <w:shd w:val="clear" w:color="auto" w:fill="auto"/>
        <w:bidi w:val="0"/>
        <w:spacing w:before="0" w:after="100" w:line="240" w:lineRule="auto"/>
        <w:ind w:left="0" w:right="0" w:firstLine="860"/>
        <w:jc w:val="left"/>
      </w:pPr>
      <w:bookmarkStart w:id="351" w:name="bookmark351"/>
      <w:bookmarkEnd w:id="351"/>
      <w:r>
        <w:rPr>
          <w:color w:val="000000"/>
          <w:spacing w:val="0"/>
          <w:w w:val="100"/>
          <w:position w:val="0"/>
        </w:rPr>
        <w:t>股本</w:t>
      </w:r>
    </w:p>
    <w:tbl>
      <w:tblPr>
        <w:tblOverlap w:val="never"/>
        <w:jc w:val="center"/>
        <w:tblLayout w:type="fixed"/>
      </w:tblPr>
      <w:tblGrid>
        <w:gridCol w:w="936"/>
        <w:gridCol w:w="1627"/>
        <w:gridCol w:w="806"/>
        <w:gridCol w:w="811"/>
        <w:gridCol w:w="816"/>
        <w:gridCol w:w="768"/>
        <w:gridCol w:w="869"/>
        <w:gridCol w:w="1771"/>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本期增减变动（减少以“一”表示）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发行</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公积金</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p>
      <w:pPr>
        <w:pStyle w:val="Style111"/>
        <w:keepNext w:val="0"/>
        <w:keepLines w:val="0"/>
        <w:widowControl w:val="0"/>
        <w:numPr>
          <w:ilvl w:val="0"/>
          <w:numId w:val="95"/>
        </w:numPr>
        <w:shd w:val="clear" w:color="auto" w:fill="auto"/>
        <w:bidi w:val="0"/>
        <w:spacing w:before="0" w:after="180" w:line="240" w:lineRule="auto"/>
        <w:ind w:left="0" w:right="0" w:firstLine="860"/>
        <w:jc w:val="left"/>
      </w:pPr>
      <w:bookmarkStart w:id="352" w:name="bookmark352"/>
      <w:bookmarkEnd w:id="352"/>
      <w:r>
        <w:rPr>
          <w:color w:val="000000"/>
          <w:spacing w:val="0"/>
          <w:w w:val="100"/>
          <w:position w:val="0"/>
        </w:rPr>
        <w:t>资本公积</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⑴明细情况</w:t>
      </w:r>
    </w:p>
    <w:tbl>
      <w:tblPr>
        <w:tblOverlap w:val="never"/>
        <w:jc w:val="center"/>
        <w:tblLayout w:type="fixed"/>
      </w:tblPr>
      <w:tblGrid>
        <w:gridCol w:w="2102"/>
        <w:gridCol w:w="1795"/>
        <w:gridCol w:w="1550"/>
        <w:gridCol w:w="1344"/>
        <w:gridCol w:w="1795"/>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本期资本公积-其他资本公积增加系等待期内确认的股份支付费用</w:t>
      </w: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296</w:t>
      </w:r>
      <w:r>
        <w:rPr>
          <w:color w:val="000000"/>
          <w:spacing w:val="0"/>
          <w:w w:val="100"/>
          <w:position w:val="0"/>
        </w:rPr>
        <w:t xml:space="preserve">, </w:t>
      </w:r>
      <w:r>
        <w:rPr>
          <w:rFonts w:ascii="Times New Roman" w:eastAsia="Times New Roman" w:hAnsi="Times New Roman" w:cs="Times New Roman"/>
          <w:color w:val="000000"/>
          <w:spacing w:val="0"/>
          <w:w w:val="100"/>
          <w:position w:val="0"/>
        </w:rPr>
        <w:t>900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11"/>
        <w:keepNext w:val="0"/>
        <w:keepLines w:val="0"/>
        <w:widowControl w:val="0"/>
        <w:shd w:val="clear" w:color="auto" w:fill="auto"/>
        <w:bidi w:val="0"/>
        <w:spacing w:before="0" w:after="600" w:line="240" w:lineRule="auto"/>
        <w:ind w:left="0" w:right="0" w:firstLine="460"/>
        <w:jc w:val="left"/>
      </w:pPr>
      <w:r>
        <w:rPr>
          <w:color w:val="000000"/>
          <w:spacing w:val="0"/>
          <w:w w:val="100"/>
          <w:position w:val="0"/>
        </w:rPr>
        <w:t>有关情况详见本财务报表附注十一(二)之说明。</w:t>
      </w:r>
    </w:p>
    <w:p>
      <w:pPr>
        <w:pStyle w:val="Style111"/>
        <w:keepNext w:val="0"/>
        <w:keepLines w:val="0"/>
        <w:widowControl w:val="0"/>
        <w:numPr>
          <w:ilvl w:val="0"/>
          <w:numId w:val="95"/>
        </w:numPr>
        <w:shd w:val="clear" w:color="auto" w:fill="auto"/>
        <w:bidi w:val="0"/>
        <w:spacing w:before="0" w:after="80" w:line="240" w:lineRule="auto"/>
        <w:ind w:left="0" w:right="0" w:firstLine="860"/>
        <w:jc w:val="left"/>
      </w:pPr>
      <w:bookmarkStart w:id="353" w:name="bookmark353"/>
      <w:bookmarkEnd w:id="353"/>
      <w:r>
        <w:rPr>
          <w:color w:val="000000"/>
          <w:spacing w:val="0"/>
          <w:w w:val="100"/>
          <w:position w:val="0"/>
        </w:rPr>
        <w:t>其他综合收益</w:t>
      </w:r>
    </w:p>
    <w:tbl>
      <w:tblPr>
        <w:tblOverlap w:val="never"/>
        <w:jc w:val="center"/>
        <w:tblLayout w:type="fixed"/>
      </w:tblPr>
      <w:tblGrid>
        <w:gridCol w:w="1613"/>
        <w:gridCol w:w="1195"/>
        <w:gridCol w:w="1339"/>
        <w:gridCol w:w="787"/>
        <w:gridCol w:w="365"/>
        <w:gridCol w:w="1339"/>
        <w:gridCol w:w="634"/>
        <w:gridCol w:w="1315"/>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121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本期所得税前发生 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8" w:lineRule="exact"/>
              <w:ind w:left="0" w:right="0" w:firstLine="0"/>
              <w:jc w:val="center"/>
              <w:rPr>
                <w:sz w:val="16"/>
                <w:szCs w:val="16"/>
              </w:rPr>
            </w:pPr>
            <w:r>
              <w:rPr>
                <w:color w:val="000000"/>
                <w:spacing w:val="0"/>
                <w:w w:val="100"/>
                <w:position w:val="0"/>
                <w:sz w:val="16"/>
                <w:szCs w:val="16"/>
              </w:rPr>
              <w:t>减：前期计 入其他综 合收益当 期转入损 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减：</w:t>
            </w:r>
          </w:p>
          <w:p>
            <w:pPr>
              <w:pStyle w:val="Style6"/>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所得 税费 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税后归属于母公司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税后 归属 于少 数股 东</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6"/>
                <w:szCs w:val="16"/>
              </w:rPr>
            </w:pPr>
            <w:r>
              <w:rPr>
                <w:color w:val="000000"/>
                <w:spacing w:val="0"/>
                <w:w w:val="100"/>
                <w:position w:val="0"/>
                <w:sz w:val="16"/>
                <w:szCs w:val="16"/>
              </w:rPr>
              <w:t>以后将重分类进损</w:t>
            </w:r>
          </w:p>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123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center"/>
              <w:rPr>
                <w:sz w:val="16"/>
                <w:szCs w:val="16"/>
              </w:rPr>
            </w:pPr>
            <w:r>
              <w:rPr>
                <w:color w:val="000000"/>
                <w:spacing w:val="0"/>
                <w:w w:val="100"/>
                <w:position w:val="0"/>
                <w:sz w:val="16"/>
                <w:szCs w:val="16"/>
              </w:rPr>
              <w:t>其中：外币财务报表 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123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r>
      <w:tr>
        <w:trPr>
          <w:trHeight w:val="451"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r>
    </w:tbl>
    <w:p>
      <w:pPr>
        <w:widowControl w:val="0"/>
        <w:spacing w:after="499" w:line="1" w:lineRule="exact"/>
      </w:pPr>
    </w:p>
    <w:p>
      <w:pPr>
        <w:pStyle w:val="Style111"/>
        <w:keepNext w:val="0"/>
        <w:keepLines w:val="0"/>
        <w:widowControl w:val="0"/>
        <w:numPr>
          <w:ilvl w:val="0"/>
          <w:numId w:val="95"/>
        </w:numPr>
        <w:shd w:val="clear" w:color="auto" w:fill="auto"/>
        <w:bidi w:val="0"/>
        <w:spacing w:before="0" w:after="80" w:line="240" w:lineRule="auto"/>
        <w:ind w:left="0" w:right="0" w:firstLine="860"/>
        <w:jc w:val="left"/>
      </w:pPr>
      <w:bookmarkStart w:id="354" w:name="bookmark354"/>
      <w:bookmarkEnd w:id="354"/>
      <w:r>
        <w:rPr>
          <w:color w:val="000000"/>
          <w:spacing w:val="0"/>
          <w:w w:val="100"/>
          <w:position w:val="0"/>
        </w:rPr>
        <w:t>盈余公积</w:t>
      </w:r>
    </w:p>
    <w:p>
      <w:pPr>
        <w:pStyle w:val="Style11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明细情况</w:t>
      </w:r>
    </w:p>
    <w:tbl>
      <w:tblPr>
        <w:tblOverlap w:val="never"/>
        <w:jc w:val="center"/>
        <w:tblLayout w:type="fixed"/>
      </w:tblPr>
      <w:tblGrid>
        <w:gridCol w:w="2126"/>
        <w:gridCol w:w="1781"/>
        <w:gridCol w:w="1550"/>
        <w:gridCol w:w="1550"/>
        <w:gridCol w:w="1810"/>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r>
    </w:tbl>
    <w:p>
      <w:pPr>
        <w:widowControl w:val="0"/>
        <w:spacing w:after="79" w:line="1" w:lineRule="exact"/>
      </w:pPr>
    </w:p>
    <w:p>
      <w:pPr>
        <w:pStyle w:val="Style111"/>
        <w:keepNext w:val="0"/>
        <w:keepLines w:val="0"/>
        <w:widowControl w:val="0"/>
        <w:shd w:val="clear" w:color="auto" w:fill="auto"/>
        <w:bidi w:val="0"/>
        <w:spacing w:before="0" w:after="60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)本期增加系按</w:t>
      </w:r>
      <w:r>
        <w:rPr>
          <w:rFonts w:ascii="Times New Roman" w:eastAsia="Times New Roman" w:hAnsi="Times New Roman" w:cs="Times New Roman"/>
          <w:color w:val="000000"/>
          <w:spacing w:val="0"/>
          <w:w w:val="100"/>
          <w:position w:val="0"/>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111"/>
        <w:keepNext w:val="0"/>
        <w:keepLines w:val="0"/>
        <w:widowControl w:val="0"/>
        <w:numPr>
          <w:ilvl w:val="0"/>
          <w:numId w:val="95"/>
        </w:numPr>
        <w:shd w:val="clear" w:color="auto" w:fill="auto"/>
        <w:bidi w:val="0"/>
        <w:spacing w:before="0" w:after="80" w:line="240" w:lineRule="auto"/>
        <w:ind w:left="0" w:right="0" w:firstLine="860"/>
        <w:jc w:val="left"/>
      </w:pPr>
      <w:bookmarkStart w:id="355" w:name="bookmark355"/>
      <w:bookmarkEnd w:id="355"/>
      <w:r>
        <w:rPr>
          <w:color w:val="000000"/>
          <w:spacing w:val="0"/>
          <w:w w:val="100"/>
          <w:position w:val="0"/>
        </w:rPr>
        <w:t>未分配利润</w:t>
      </w:r>
    </w:p>
    <w:tbl>
      <w:tblPr>
        <w:tblOverlap w:val="never"/>
        <w:jc w:val="center"/>
        <w:tblLayout w:type="fixed"/>
      </w:tblPr>
      <w:tblGrid>
        <w:gridCol w:w="4723"/>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调整期初未分配利润合计数(调增+,调减</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bl>
    <w:p>
      <w:pPr>
        <w:widowControl w:val="0"/>
        <w:spacing w:line="1" w:lineRule="exact"/>
      </w:pPr>
      <w:r>
        <w:br w:type="page"/>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bl>
    <w:p>
      <w:pPr>
        <w:widowControl w:val="0"/>
        <w:spacing w:after="519" w:line="1" w:lineRule="exact"/>
      </w:pP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（二）合并利润表项目注释</w:t>
      </w:r>
    </w:p>
    <w:p>
      <w:pPr>
        <w:pStyle w:val="Style111"/>
        <w:keepNext w:val="0"/>
        <w:keepLines w:val="0"/>
        <w:widowControl w:val="0"/>
        <w:shd w:val="clear" w:color="auto" w:fill="auto"/>
        <w:bidi w:val="0"/>
        <w:spacing w:before="0" w:after="8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营业收入/营业成本</w:t>
      </w:r>
    </w:p>
    <w:tbl>
      <w:tblPr>
        <w:tblOverlap w:val="never"/>
        <w:jc w:val="center"/>
        <w:tblLayout w:type="fixed"/>
      </w:tblPr>
      <w:tblGrid>
        <w:gridCol w:w="1699"/>
        <w:gridCol w:w="1704"/>
        <w:gridCol w:w="1699"/>
        <w:gridCol w:w="1704"/>
        <w:gridCol w:w="1781"/>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成本</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962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bl>
    <w:p>
      <w:pPr>
        <w:widowControl w:val="0"/>
        <w:spacing w:after="5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利息收入</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保理收入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11"/>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税金及附加</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)其他说明</w:t>
      </w:r>
    </w:p>
    <w:p>
      <w:pPr>
        <w:pStyle w:val="Style111"/>
        <w:keepNext w:val="0"/>
        <w:keepLines w:val="0"/>
        <w:widowControl w:val="0"/>
        <w:shd w:val="clear" w:color="auto" w:fill="auto"/>
        <w:bidi w:val="0"/>
        <w:spacing w:before="0" w:after="600" w:line="440" w:lineRule="exact"/>
        <w:ind w:left="460" w:right="0" w:firstLine="400"/>
        <w:jc w:val="left"/>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号)以及《关于〈增值税会计处理 规定〉有关问题的解读》，本公司将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月印花税、房产税、土地使用税、车船税 的发生额列报于“税金及附加”项目，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月之前的发生额仍列报于“管理费用”项 目。</w:t>
      </w: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销售费用</w:t>
      </w:r>
    </w:p>
    <w:tbl>
      <w:tblPr>
        <w:tblOverlap w:val="never"/>
        <w:jc w:val="center"/>
        <w:tblLayout w:type="fixed"/>
      </w:tblPr>
      <w:tblGrid>
        <w:gridCol w:w="4723"/>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上年同期数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职工薪酬及业务费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运输装卸费及出口报关费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广告及业务宣传费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办公及业务招待费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折旧和摊销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2"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管理费用</w:t>
      </w:r>
    </w:p>
    <w:tbl>
      <w:tblPr>
        <w:tblOverlap w:val="never"/>
        <w:jc w:val="center"/>
        <w:tblLayout w:type="fixed"/>
      </w:tblPr>
      <w:tblGrid>
        <w:gridCol w:w="4723"/>
        <w:gridCol w:w="1915"/>
        <w:gridCol w:w="1949"/>
      </w:tblGrid>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上年同期数</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 、差旅费、汽车费用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外部咨询费及中介机构费用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折旧和摊销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r>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广告及业务宣传费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r>
    </w:tbl>
    <w:p>
      <w:pPr>
        <w:widowControl w:val="0"/>
        <w:spacing w:line="1" w:lineRule="exact"/>
      </w:pPr>
      <w:r>
        <w:br w:type="page"/>
      </w:r>
    </w:p>
    <w:tbl>
      <w:tblPr>
        <w:tblOverlap w:val="never"/>
        <w:jc w:val="center"/>
        <w:tblLayout w:type="fixed"/>
      </w:tblPr>
      <w:tblGrid>
        <w:gridCol w:w="4723"/>
        <w:gridCol w:w="1915"/>
        <w:gridCol w:w="179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停工损失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883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75</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2"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财务费用</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2"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资产减值损失</w:t>
      </w:r>
    </w:p>
    <w:tbl>
      <w:tblPr>
        <w:tblOverlap w:val="never"/>
        <w:jc w:val="center"/>
        <w:tblLayout w:type="fixed"/>
      </w:tblPr>
      <w:tblGrid>
        <w:gridCol w:w="4723"/>
        <w:gridCol w:w="1920"/>
        <w:gridCol w:w="1944"/>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988</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267</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147</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112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在建工程减值损失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7"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公允价值变动收益</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衍生金融工具公允价值变动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投资收益</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bl>
    <w:p>
      <w:pPr>
        <w:widowControl w:val="0"/>
        <w:spacing w:line="1" w:lineRule="exact"/>
      </w:pPr>
      <w:r>
        <w:br w:type="page"/>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理财产品投资收益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理财产品到期赎回的投资收益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丧失重大影响后，剩余股权按公允价值重新计量 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国债逆回购交易收益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处置衍生金融资产产生的投资收益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委托贷款利息收入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p>
        </w:tc>
      </w:tr>
    </w:tbl>
    <w:p>
      <w:pPr>
        <w:widowControl w:val="0"/>
        <w:spacing w:after="499" w:line="1" w:lineRule="exact"/>
      </w:pPr>
    </w:p>
    <w:p>
      <w:pPr>
        <w:pStyle w:val="Style111"/>
        <w:keepNext w:val="0"/>
        <w:keepLines w:val="0"/>
        <w:widowControl w:val="0"/>
        <w:shd w:val="clear" w:color="auto" w:fill="auto"/>
        <w:bidi w:val="0"/>
        <w:spacing w:before="0" w:after="200" w:line="240" w:lineRule="auto"/>
        <w:ind w:left="0" w:right="0" w:firstLine="62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营业外收入</w:t>
      </w:r>
    </w:p>
    <w:p>
      <w:pPr>
        <w:pStyle w:val="Style111"/>
        <w:keepNext w:val="0"/>
        <w:keepLines w:val="0"/>
        <w:widowControl w:val="0"/>
        <w:shd w:val="clear" w:color="auto" w:fill="auto"/>
        <w:bidi w:val="0"/>
        <w:spacing w:before="0" w:after="60" w:line="240" w:lineRule="auto"/>
        <w:ind w:left="0" w:right="0" w:firstLine="620"/>
        <w:jc w:val="left"/>
      </w:pPr>
      <w:r>
        <w:rPr>
          <w:color w:val="000000"/>
          <w:spacing w:val="0"/>
          <w:w w:val="100"/>
          <w:position w:val="0"/>
        </w:rPr>
        <w:t>⑴明细情况</w:t>
      </w:r>
    </w:p>
    <w:tbl>
      <w:tblPr>
        <w:tblOverlap w:val="never"/>
        <w:jc w:val="center"/>
        <w:tblLayout w:type="fixed"/>
      </w:tblPr>
      <w:tblGrid>
        <w:gridCol w:w="2712"/>
        <w:gridCol w:w="1896"/>
        <w:gridCol w:w="1925"/>
        <w:gridCol w:w="2054"/>
      </w:tblGrid>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31" w:lineRule="exact"/>
              <w:ind w:left="460" w:right="0" w:hanging="460"/>
              <w:jc w:val="left"/>
              <w:rPr>
                <w:sz w:val="20"/>
                <w:szCs w:val="20"/>
              </w:rPr>
            </w:pPr>
            <w:r>
              <w:rPr>
                <w:color w:val="000000"/>
                <w:spacing w:val="0"/>
                <w:w w:val="100"/>
                <w:position w:val="0"/>
                <w:sz w:val="20"/>
                <w:szCs w:val="20"/>
              </w:rPr>
              <w:t>计入本期非经常性 损益的金额</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无法支付款项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r>
      <w:tr>
        <w:trPr>
          <w:trHeight w:val="4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)政府补助明细</w:t>
      </w:r>
    </w:p>
    <w:p>
      <w:pPr>
        <w:widowControl w:val="0"/>
        <w:spacing w:after="59" w:line="1" w:lineRule="exact"/>
      </w:pPr>
    </w:p>
    <w:p>
      <w:pPr>
        <w:widowControl w:val="0"/>
        <w:spacing w:line="1" w:lineRule="exact"/>
      </w:pPr>
    </w:p>
    <w:tbl>
      <w:tblPr>
        <w:tblOverlap w:val="never"/>
        <w:jc w:val="center"/>
        <w:tblLayout w:type="fixed"/>
      </w:tblPr>
      <w:tblGrid>
        <w:gridCol w:w="2866"/>
        <w:gridCol w:w="1896"/>
        <w:gridCol w:w="1771"/>
        <w:gridCol w:w="2150"/>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与资产相关/ 与收益相关</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项目补贴、扶持资金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与收益相关</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拆迁奖励款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与资产相关</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递延收益摊销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与收益/资产相关</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物流平台补助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与收益相关</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财政贴息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与收益相关</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技术创新补助或奖励资金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与收益相关</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福利企业增值税返还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与收益相关</w:t>
            </w:r>
          </w:p>
        </w:tc>
      </w:tr>
    </w:tbl>
    <w:p>
      <w:pPr>
        <w:widowControl w:val="0"/>
        <w:spacing w:line="1" w:lineRule="exact"/>
      </w:pPr>
      <w:r>
        <w:br w:type="page"/>
      </w:r>
    </w:p>
    <w:tbl>
      <w:tblPr>
        <w:tblOverlap w:val="never"/>
        <w:jc w:val="center"/>
        <w:tblLayout w:type="fixed"/>
      </w:tblPr>
      <w:tblGrid>
        <w:gridCol w:w="2866"/>
        <w:gridCol w:w="1896"/>
        <w:gridCol w:w="1771"/>
        <w:gridCol w:w="2150"/>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539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与收益相关</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技术标准质量奖励资金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与收益相关</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与收益相关</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color w:val="000000"/>
          <w:spacing w:val="0"/>
          <w:w w:val="100"/>
          <w:position w:val="0"/>
          <w:sz w:val="20"/>
          <w:szCs w:val="20"/>
        </w:rPr>
        <w:t>营业外支出</w:t>
      </w:r>
    </w:p>
    <w:tbl>
      <w:tblPr>
        <w:tblOverlap w:val="never"/>
        <w:jc w:val="center"/>
        <w:tblLayout w:type="fixed"/>
      </w:tblPr>
      <w:tblGrid>
        <w:gridCol w:w="2846"/>
        <w:gridCol w:w="1829"/>
        <w:gridCol w:w="1704"/>
        <w:gridCol w:w="2208"/>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计入本期非经常性 损益的金额</w:t>
            </w:r>
          </w:p>
        </w:tc>
      </w:tr>
      <w:tr>
        <w:trPr>
          <w:trHeight w:val="50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捐赠支出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水利建设专项资金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堤围防护建设费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r>
      <w:tr>
        <w:trPr>
          <w:trHeight w:val="6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bl>
    <w:p>
      <w:pPr>
        <w:widowControl w:val="0"/>
        <w:spacing w:after="499" w:line="1" w:lineRule="exact"/>
      </w:pPr>
    </w:p>
    <w:p>
      <w:pPr>
        <w:pStyle w:val="Style111"/>
        <w:keepNext w:val="0"/>
        <w:keepLines w:val="0"/>
        <w:widowControl w:val="0"/>
        <w:shd w:val="clear" w:color="auto" w:fill="auto"/>
        <w:bidi w:val="0"/>
        <w:spacing w:before="0" w:after="200" w:line="240" w:lineRule="auto"/>
        <w:ind w:left="0" w:right="0" w:firstLine="62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color w:val="000000"/>
          <w:spacing w:val="0"/>
          <w:w w:val="100"/>
          <w:position w:val="0"/>
        </w:rPr>
        <w:t>所得税费用</w:t>
      </w:r>
    </w:p>
    <w:p>
      <w:pPr>
        <w:pStyle w:val="Style111"/>
        <w:keepNext w:val="0"/>
        <w:keepLines w:val="0"/>
        <w:widowControl w:val="0"/>
        <w:shd w:val="clear" w:color="auto" w:fill="auto"/>
        <w:bidi w:val="0"/>
        <w:spacing w:before="0" w:after="80" w:line="240" w:lineRule="auto"/>
        <w:ind w:left="0" w:right="0" w:firstLine="620"/>
        <w:jc w:val="left"/>
      </w:pPr>
      <w:r>
        <w:rPr>
          <w:color w:val="000000"/>
          <w:spacing w:val="0"/>
          <w:w w:val="100"/>
          <w:position w:val="0"/>
        </w:rPr>
        <w:t>⑴明细情况</w:t>
      </w:r>
    </w:p>
    <w:tbl>
      <w:tblPr>
        <w:tblOverlap w:val="never"/>
        <w:jc w:val="center"/>
        <w:tblLayout w:type="fixed"/>
      </w:tblPr>
      <w:tblGrid>
        <w:gridCol w:w="4723"/>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)会计利润与所得税费用调整过程</w:t>
      </w:r>
    </w:p>
    <w:tbl>
      <w:tblPr>
        <w:tblOverlap w:val="never"/>
        <w:jc w:val="center"/>
        <w:tblLayout w:type="fixed"/>
      </w:tblPr>
      <w:tblGrid>
        <w:gridCol w:w="4718"/>
        <w:gridCol w:w="1920"/>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按适用税率计算的所得税费用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bl>
    <w:p>
      <w:pPr>
        <w:widowControl w:val="0"/>
        <w:spacing w:line="1" w:lineRule="exact"/>
      </w:pPr>
      <w:r>
        <w:br w:type="page"/>
      </w:r>
    </w:p>
    <w:tbl>
      <w:tblPr>
        <w:tblOverlap w:val="never"/>
        <w:jc w:val="center"/>
        <w:tblLayout w:type="fixed"/>
      </w:tblPr>
      <w:tblGrid>
        <w:gridCol w:w="4718"/>
        <w:gridCol w:w="1920"/>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使用前期未确认递延所得税资产的可抵扣亏损的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948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本期未确认递延所得税资产的可抵扣暂时性差异 或可抵扣亏损的影响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研发费用加计扣除的影响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经批准的财产损失税前扣除的影响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传化荷兰公司未计税利润的影响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其他综合收益的税后净额</w:t>
      </w:r>
    </w:p>
    <w:p>
      <w:pPr>
        <w:pStyle w:val="Style111"/>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其他综合收益的税后净额详见本财务报表附注合并资产负债表项目注释之其他综合收</w:t>
      </w:r>
    </w:p>
    <w:p>
      <w:pPr>
        <w:pStyle w:val="Style111"/>
        <w:keepNext w:val="0"/>
        <w:keepLines w:val="0"/>
        <w:widowControl w:val="0"/>
        <w:shd w:val="clear" w:color="auto" w:fill="auto"/>
        <w:bidi w:val="0"/>
        <w:spacing w:before="0" w:after="640" w:line="240" w:lineRule="auto"/>
        <w:ind w:left="0" w:right="0" w:firstLine="140"/>
        <w:jc w:val="left"/>
      </w:pPr>
      <w:r>
        <w:rPr>
          <w:color w:val="000000"/>
          <w:spacing w:val="0"/>
          <w:w w:val="100"/>
          <w:position w:val="0"/>
        </w:rPr>
        <w:t>益说明。</w:t>
      </w:r>
    </w:p>
    <w:p>
      <w:pPr>
        <w:pStyle w:val="Style111"/>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（三）合并现金流量表项目注释</w:t>
      </w:r>
    </w:p>
    <w:p>
      <w:pPr>
        <w:pStyle w:val="Style11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收到其他与经营活动有关的现金</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收到的与收益相关的政府补助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收到的银行存款利息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收到的经营户奖励款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收到的其他款项净额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支付其他与经营活动有关的现金</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支付的差旅费、汽车费等支出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支付的广告及业务宣传费等支出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支付的业务招待费等支出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支付的咨询费及中介机构费等支出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r>
    </w:tbl>
    <w:p>
      <w:pPr>
        <w:widowControl w:val="0"/>
        <w:spacing w:line="1" w:lineRule="exact"/>
      </w:pPr>
      <w:r>
        <w:br w:type="page"/>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支付的押金、保证金等支出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946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74</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支付的经营户奖励款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支付的办公费等支出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874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支付的装卸费、出口费等支出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支付的技术开发费等支出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支付的租赁费、捐赠等支出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465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支付的其他往来净额及支出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收到其他与投资活动有关的现金</w:t>
      </w:r>
    </w:p>
    <w:tbl>
      <w:tblPr>
        <w:tblOverlap w:val="never"/>
        <w:jc w:val="center"/>
        <w:tblLayout w:type="fixed"/>
      </w:tblPr>
      <w:tblGrid>
        <w:gridCol w:w="4963"/>
        <w:gridCol w:w="167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收到的与资产有关的政府补助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收回的内江传化置业有限公司暂借款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收到的工程保证金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收回的成都传化物流基地有限公司暂借款及利息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收到的竣工保证金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收回的定陶鲁意建筑开发工程有限公司暂借款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收到的项目合作保证金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支付其他与投资活动有关的现金</w:t>
      </w:r>
    </w:p>
    <w:tbl>
      <w:tblPr>
        <w:tblOverlap w:val="never"/>
        <w:jc w:val="center"/>
        <w:tblLayout w:type="fixed"/>
      </w:tblPr>
      <w:tblGrid>
        <w:gridCol w:w="4723"/>
        <w:gridCol w:w="1915"/>
        <w:gridCol w:w="1949"/>
      </w:tblGrid>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支付的土地竞买保证金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支付的项目建设履约保证金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支付的常山驰鑫贸易有限公司暂借款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归还的工程保证金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支付的内江传化置业有限公司暂借款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支付湖北物流锦龙园有限公司暂借款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widowControl w:val="0"/>
        <w:spacing w:after="499" w:line="1" w:lineRule="exact"/>
      </w:pPr>
    </w:p>
    <w:p>
      <w:pPr>
        <w:pStyle w:val="Style111"/>
        <w:keepNext w:val="0"/>
        <w:keepLines w:val="0"/>
        <w:widowControl w:val="0"/>
        <w:shd w:val="clear" w:color="auto" w:fill="auto"/>
        <w:bidi w:val="0"/>
        <w:spacing w:before="0" w:after="50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收到其他与筹资活动有关的现金</w:t>
      </w:r>
      <w:r>
        <w:br w:type="page"/>
      </w:r>
    </w:p>
    <w:tbl>
      <w:tblPr>
        <w:tblOverlap w:val="never"/>
        <w:jc w:val="center"/>
        <w:tblLayout w:type="fixed"/>
      </w:tblPr>
      <w:tblGrid>
        <w:gridCol w:w="4675"/>
        <w:gridCol w:w="1987"/>
        <w:gridCol w:w="1733"/>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收到的包头市交投正全投资基金管理有限公司暂 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收到的营口市交通物流集团有限公司暂借款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收到的淄博鲁中公铁物流项目管理有限公司暂借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收到的山西高通物流有限公司暂借款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收到的武汉致远物流有限责任公司暂借款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收到的浙江黄岩洲锽实业有限公司暂借款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收到的无锡澄远运输有限公司暂借款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收到的贵州大恒物流有限责任公司暂借款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收到的杭州汉邦化纤有限公司暂借款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收到的无棣鑫岳化工有限公司暂借款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widowControl w:val="0"/>
        <w:spacing w:after="4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2"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支付其他与筹资活动有关的现金</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归还的营口市交通物流集团有限公司暂借款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归还的重庆弘颖商贸有限公司暂借款及利息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归还的杭州汉邦化纤有限公司暂借款及利息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归还的沈阳沈西物流有限公司暂借款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支付的包头市交投正全投资基金管理有限公司借 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归还的国瑾薇暂借款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归还的成都培翔商贸有限公司投资款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支付的浙江黄岩洲锽实业有限公司借款利息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支付的贵州大恒物流有限责任公司借款利息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归还的传化集团公司暂借款及利息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87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现金流量表补充资料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补充资料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上年同期数</w:t>
            </w:r>
          </w:p>
        </w:tc>
      </w:tr>
    </w:tbl>
    <w:p>
      <w:pPr>
        <w:widowControl w:val="0"/>
        <w:spacing w:line="1" w:lineRule="exact"/>
      </w:pPr>
      <w:r>
        <w:br w:type="page"/>
      </w:r>
    </w:p>
    <w:tbl>
      <w:tblPr>
        <w:tblOverlap w:val="never"/>
        <w:jc w:val="center"/>
        <w:tblLayout w:type="fixed"/>
      </w:tblPr>
      <w:tblGrid>
        <w:gridCol w:w="4723"/>
        <w:gridCol w:w="1915"/>
        <w:gridCol w:w="1949"/>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775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920" w:right="0" w:firstLine="0"/>
              <w:jc w:val="left"/>
              <w:rPr>
                <w:sz w:val="18"/>
                <w:szCs w:val="18"/>
              </w:rPr>
            </w:pPr>
            <w:r>
              <w:rPr>
                <w:color w:val="000000"/>
                <w:spacing w:val="0"/>
                <w:w w:val="100"/>
                <w:position w:val="0"/>
                <w:sz w:val="18"/>
                <w:szCs w:val="18"/>
              </w:rPr>
              <w:t>固定资产折旧、油气资产折耗、生产性生物资 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83" w:lineRule="exact"/>
              <w:ind w:left="920" w:right="0" w:firstLine="0"/>
              <w:jc w:val="left"/>
              <w:rPr>
                <w:sz w:val="18"/>
                <w:szCs w:val="18"/>
              </w:rPr>
            </w:pPr>
            <w:r>
              <w:rPr>
                <w:color w:val="000000"/>
                <w:spacing w:val="0"/>
                <w:w w:val="100"/>
                <w:position w:val="0"/>
                <w:sz w:val="18"/>
                <w:szCs w:val="18"/>
              </w:rPr>
              <w:t>处置固定资产、无形资产和其他长期资产的 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bl>
    <w:p>
      <w:pPr>
        <w:widowControl w:val="0"/>
        <w:spacing w:after="79" w:line="1" w:lineRule="exact"/>
      </w:pPr>
    </w:p>
    <w:p>
      <w:pPr>
        <w:pStyle w:val="Style1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r>
        <w:br w:type="page"/>
      </w:r>
    </w:p>
    <w:tbl>
      <w:tblPr>
        <w:tblOverlap w:val="never"/>
        <w:jc w:val="center"/>
        <w:tblLayout w:type="fixed"/>
      </w:tblPr>
      <w:tblGrid>
        <w:gridCol w:w="4723"/>
        <w:gridCol w:w="1915"/>
        <w:gridCol w:w="1949"/>
      </w:tblGrid>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本期数</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本期发生的企业合并于本期支付的现金或现金等价物</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w:t>
            </w:r>
            <w:r>
              <w:rPr>
                <w:color w:val="000000"/>
                <w:spacing w:val="0"/>
                <w:w w:val="100"/>
                <w:position w:val="0"/>
                <w:sz w:val="18"/>
                <w:szCs w:val="18"/>
              </w:rPr>
              <w:t>TPC Holding B. V.</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沈阳传化陆港物流有限公司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传化汇通物流公司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传化天地物流公司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减：购买日子公司持有的现金及现金等价物</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827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988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w:t>
            </w:r>
            <w:r>
              <w:rPr>
                <w:color w:val="000000"/>
                <w:spacing w:val="0"/>
                <w:w w:val="100"/>
                <w:position w:val="0"/>
                <w:sz w:val="18"/>
                <w:szCs w:val="18"/>
              </w:rPr>
              <w:t>TPC Holding B. V.</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387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24</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沈阳传化陆港物流有限公司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传化汇通物流公司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传化天地物流公司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加：以前期间发生的企业合并于本期支付的现金或现金等 价物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取得子公司支付的现金净额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)本期收到的处置子公司的现金净额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本期数</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本期处置子公司于本期收到的现金或现金等价物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减：丧失控制权日子公司持有的现金及现金等价物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加：以前期间处置子公司于本期收到的现金或现金等价物</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其中：锦鸡股份公司</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处置子公司收到的现金净额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)现金和现金等价物的构成</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期初数</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拆放同业款项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23"/>
        <w:gridCol w:w="1915"/>
        <w:gridCol w:w="1949"/>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78" w:lineRule="exact"/>
              <w:ind w:left="980" w:right="0" w:hanging="480"/>
              <w:jc w:val="left"/>
              <w:rPr>
                <w:sz w:val="18"/>
                <w:szCs w:val="18"/>
              </w:rPr>
            </w:pPr>
            <w:r>
              <w:rPr>
                <w:color w:val="000000"/>
                <w:spacing w:val="0"/>
                <w:w w:val="100"/>
                <w:position w:val="0"/>
                <w:sz w:val="18"/>
                <w:szCs w:val="18"/>
              </w:rPr>
              <w:t>其中：母公司或集团内子公司使用受限制的现金及现 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）现金流量表补充资料的说明</w:t>
      </w:r>
    </w:p>
    <w:p>
      <w:pPr>
        <w:pStyle w:val="Style111"/>
        <w:keepNext w:val="0"/>
        <w:keepLines w:val="0"/>
        <w:widowControl w:val="0"/>
        <w:shd w:val="clear" w:color="auto" w:fill="auto"/>
        <w:bidi w:val="0"/>
        <w:spacing w:before="0" w:after="0" w:line="437" w:lineRule="exact"/>
        <w:ind w:left="0" w:right="0" w:firstLine="560"/>
        <w:jc w:val="left"/>
      </w:pPr>
      <w:r>
        <w:rPr>
          <w:color w:val="000000"/>
          <w:spacing w:val="0"/>
          <w:w w:val="100"/>
          <w:position w:val="0"/>
        </w:rPr>
        <w:t>期末货币资金中银行承兑汇票保证金及利息</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429</w:t>
      </w:r>
      <w:r>
        <w:rPr>
          <w:color w:val="000000"/>
          <w:spacing w:val="0"/>
          <w:w w:val="100"/>
          <w:position w:val="0"/>
        </w:rPr>
        <w:t>,</w:t>
      </w:r>
      <w:r>
        <w:rPr>
          <w:rFonts w:ascii="Times New Roman" w:eastAsia="Times New Roman" w:hAnsi="Times New Roman" w:cs="Times New Roman"/>
          <w:color w:val="000000"/>
          <w:spacing w:val="0"/>
          <w:w w:val="100"/>
          <w:position w:val="0"/>
        </w:rPr>
        <w:t>150</w:t>
      </w:r>
      <w:r>
        <w:rPr>
          <w:color w:val="000000"/>
          <w:spacing w:val="0"/>
          <w:w w:val="100"/>
          <w:position w:val="0"/>
        </w:rPr>
        <w:t>.</w:t>
      </w:r>
      <w:r>
        <w:rPr>
          <w:rFonts w:ascii="Times New Roman" w:eastAsia="Times New Roman" w:hAnsi="Times New Roman" w:cs="Times New Roman"/>
          <w:color w:val="000000"/>
          <w:spacing w:val="0"/>
          <w:w w:val="100"/>
          <w:position w:val="0"/>
        </w:rPr>
        <w:t>57</w:t>
      </w:r>
      <w:r>
        <w:rPr>
          <w:color w:val="000000"/>
          <w:spacing w:val="0"/>
          <w:w w:val="100"/>
          <w:position w:val="0"/>
        </w:rPr>
        <w:t>元、保函保证金</w:t>
      </w:r>
    </w:p>
    <w:p>
      <w:pPr>
        <w:pStyle w:val="Style111"/>
        <w:keepNext w:val="0"/>
        <w:keepLines w:val="0"/>
        <w:widowControl w:val="0"/>
        <w:numPr>
          <w:ilvl w:val="0"/>
          <w:numId w:val="97"/>
        </w:numPr>
        <w:shd w:val="clear" w:color="auto" w:fill="auto"/>
        <w:tabs>
          <w:tab w:pos="479" w:val="left"/>
        </w:tabs>
        <w:bidi w:val="0"/>
        <w:spacing w:before="0" w:after="0" w:line="437" w:lineRule="exact"/>
        <w:ind w:left="140" w:right="0" w:firstLine="0"/>
        <w:jc w:val="left"/>
      </w:pPr>
      <w:bookmarkStart w:id="356" w:name="bookmark356"/>
      <w:bookmarkEnd w:id="356"/>
      <w:r>
        <w:rPr>
          <w:rFonts w:ascii="Times New Roman" w:eastAsia="Times New Roman" w:hAnsi="Times New Roman" w:cs="Times New Roman"/>
          <w:color w:val="000000"/>
          <w:spacing w:val="0"/>
          <w:w w:val="100"/>
          <w:position w:val="0"/>
        </w:rPr>
        <w:t>450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元、用于开具履约保函而质押的银行存款</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253</w:t>
      </w:r>
      <w:r>
        <w:rPr>
          <w:color w:val="000000"/>
          <w:spacing w:val="0"/>
          <w:w w:val="100"/>
          <w:position w:val="0"/>
        </w:rPr>
        <w:t>,</w:t>
      </w:r>
      <w:r>
        <w:rPr>
          <w:rFonts w:ascii="Times New Roman" w:eastAsia="Times New Roman" w:hAnsi="Times New Roman" w:cs="Times New Roman"/>
          <w:color w:val="000000"/>
          <w:spacing w:val="0"/>
          <w:w w:val="100"/>
          <w:position w:val="0"/>
        </w:rPr>
        <w:t>538</w:t>
      </w:r>
      <w:r>
        <w:rPr>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元和其他保证金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132</w:t>
      </w:r>
      <w:r>
        <w:rPr>
          <w:color w:val="000000"/>
          <w:spacing w:val="0"/>
          <w:w w:val="100"/>
          <w:position w:val="0"/>
        </w:rPr>
        <w:t xml:space="preserve">, </w:t>
      </w:r>
      <w:r>
        <w:rPr>
          <w:rFonts w:ascii="Times New Roman" w:eastAsia="Times New Roman" w:hAnsi="Times New Roman" w:cs="Times New Roman"/>
          <w:color w:val="000000"/>
          <w:spacing w:val="0"/>
          <w:w w:val="100"/>
          <w:position w:val="0"/>
        </w:rPr>
        <w:t>928</w:t>
      </w:r>
      <w:r>
        <w:rPr>
          <w:color w:val="000000"/>
          <w:spacing w:val="0"/>
          <w:w w:val="100"/>
          <w:position w:val="0"/>
        </w:rPr>
        <w:t xml:space="preserve">. </w:t>
      </w:r>
      <w:r>
        <w:rPr>
          <w:rFonts w:ascii="Times New Roman" w:eastAsia="Times New Roman" w:hAnsi="Times New Roman" w:cs="Times New Roman"/>
          <w:color w:val="000000"/>
          <w:spacing w:val="0"/>
          <w:w w:val="100"/>
          <w:position w:val="0"/>
        </w:rPr>
        <w:t>86</w:t>
      </w:r>
      <w:r>
        <w:rPr>
          <w:color w:val="000000"/>
          <w:spacing w:val="0"/>
          <w:w w:val="100"/>
          <w:position w:val="0"/>
        </w:rPr>
        <w:t>元不属于现金及现金等价物。</w:t>
      </w:r>
    </w:p>
    <w:p>
      <w:pPr>
        <w:pStyle w:val="Style111"/>
        <w:keepNext w:val="0"/>
        <w:keepLines w:val="0"/>
        <w:widowControl w:val="0"/>
        <w:shd w:val="clear" w:color="auto" w:fill="auto"/>
        <w:bidi w:val="0"/>
        <w:spacing w:before="0" w:after="420" w:line="437" w:lineRule="exact"/>
        <w:ind w:left="140" w:right="0" w:firstLine="420"/>
        <w:jc w:val="left"/>
      </w:pPr>
      <w:r>
        <w:rPr>
          <w:color w:val="000000"/>
          <w:spacing w:val="0"/>
          <w:w w:val="100"/>
          <w:position w:val="0"/>
        </w:rPr>
        <w:t>期初货币资金中银行承兑汇票保证金及利息</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951</w:t>
      </w:r>
      <w:r>
        <w:rPr>
          <w:color w:val="000000"/>
          <w:spacing w:val="0"/>
          <w:w w:val="100"/>
          <w:position w:val="0"/>
        </w:rPr>
        <w:t xml:space="preserve">, </w:t>
      </w:r>
      <w:r>
        <w:rPr>
          <w:rFonts w:ascii="Times New Roman" w:eastAsia="Times New Roman" w:hAnsi="Times New Roman" w:cs="Times New Roman"/>
          <w:color w:val="000000"/>
          <w:spacing w:val="0"/>
          <w:w w:val="100"/>
          <w:position w:val="0"/>
        </w:rPr>
        <w:t>037</w:t>
      </w:r>
      <w:r>
        <w:rPr>
          <w:color w:val="000000"/>
          <w:spacing w:val="0"/>
          <w:w w:val="100"/>
          <w:position w:val="0"/>
        </w:rPr>
        <w:t xml:space="preserve">. </w:t>
      </w:r>
      <w:r>
        <w:rPr>
          <w:rFonts w:ascii="Times New Roman" w:eastAsia="Times New Roman" w:hAnsi="Times New Roman" w:cs="Times New Roman"/>
          <w:color w:val="000000"/>
          <w:spacing w:val="0"/>
          <w:w w:val="100"/>
          <w:position w:val="0"/>
        </w:rPr>
        <w:t>04</w:t>
      </w:r>
      <w:r>
        <w:rPr>
          <w:color w:val="000000"/>
          <w:spacing w:val="0"/>
          <w:w w:val="100"/>
          <w:position w:val="0"/>
        </w:rPr>
        <w:t>元、保函保证金</w:t>
      </w:r>
      <w:r>
        <w:rPr>
          <w:rFonts w:ascii="Times New Roman" w:eastAsia="Times New Roman" w:hAnsi="Times New Roman" w:cs="Times New Roman"/>
          <w:color w:val="000000"/>
          <w:spacing w:val="0"/>
          <w:w w:val="100"/>
          <w:position w:val="0"/>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00 </w:t>
      </w:r>
      <w:r>
        <w:rPr>
          <w:color w:val="000000"/>
          <w:spacing w:val="0"/>
          <w:w w:val="100"/>
          <w:position w:val="0"/>
        </w:rPr>
        <w:t>元和用于开具履约保函而质押的银行存款</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051</w:t>
      </w:r>
      <w:r>
        <w:rPr>
          <w:color w:val="000000"/>
          <w:spacing w:val="0"/>
          <w:w w:val="100"/>
          <w:position w:val="0"/>
        </w:rPr>
        <w:t xml:space="preserve">, </w:t>
      </w:r>
      <w:r>
        <w:rPr>
          <w:rFonts w:ascii="Times New Roman" w:eastAsia="Times New Roman" w:hAnsi="Times New Roman" w:cs="Times New Roman"/>
          <w:color w:val="000000"/>
          <w:spacing w:val="0"/>
          <w:w w:val="100"/>
          <w:position w:val="0"/>
        </w:rPr>
        <w:t>479</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元不属于现金及现金等价物。</w:t>
      </w:r>
    </w:p>
    <w:p>
      <w:pPr>
        <w:pStyle w:val="Style111"/>
        <w:keepNext w:val="0"/>
        <w:keepLines w:val="0"/>
        <w:widowControl w:val="0"/>
        <w:shd w:val="clear" w:color="auto" w:fill="auto"/>
        <w:bidi w:val="0"/>
        <w:spacing w:before="0" w:after="0" w:line="437" w:lineRule="exact"/>
        <w:ind w:left="0" w:right="0" w:firstLine="560"/>
        <w:jc w:val="left"/>
      </w:pPr>
      <w:r>
        <w:rPr>
          <w:color w:val="000000"/>
          <w:spacing w:val="0"/>
          <w:w w:val="100"/>
          <w:position w:val="0"/>
        </w:rPr>
        <w:t>（四）合并所有者权益变动表项目注释</w:t>
      </w:r>
    </w:p>
    <w:p>
      <w:pPr>
        <w:pStyle w:val="Style111"/>
        <w:keepNext w:val="0"/>
        <w:keepLines w:val="0"/>
        <w:widowControl w:val="0"/>
        <w:shd w:val="clear" w:color="auto" w:fill="auto"/>
        <w:bidi w:val="0"/>
        <w:spacing w:before="0" w:after="640" w:line="437" w:lineRule="exact"/>
        <w:ind w:left="0" w:right="0" w:firstLine="560"/>
        <w:jc w:val="left"/>
      </w:pPr>
      <w:r>
        <w:rPr>
          <w:color w:val="000000"/>
          <w:spacing w:val="0"/>
          <w:w w:val="100"/>
          <w:position w:val="0"/>
        </w:rPr>
        <w:t>详见本财务报表附注五（一）之说明</w:t>
      </w:r>
    </w:p>
    <w:p>
      <w:pPr>
        <w:pStyle w:val="Style111"/>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（五）其他</w:t>
      </w:r>
    </w:p>
    <w:p>
      <w:pPr>
        <w:pStyle w:val="Style11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所有权或使用权受到限制的资产</w:t>
      </w:r>
    </w:p>
    <w:tbl>
      <w:tblPr>
        <w:tblOverlap w:val="never"/>
        <w:jc w:val="center"/>
        <w:tblLayout w:type="fixed"/>
      </w:tblPr>
      <w:tblGrid>
        <w:gridCol w:w="2885"/>
        <w:gridCol w:w="2362"/>
        <w:gridCol w:w="3341"/>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银行承兑汇票、保函等保证金</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为开立票据提供质押担保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为借款提供质押担保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为开立票据提供质押担保</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为借款提供抵押担保</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为长期借款或为国开基金公司借款 提供抵押担保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为借款提供抵押担保</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为长期借款或为国开基金公司借款</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提供抵押担保</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为国开基金公司借款提供抵押担保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外币货币性项目</w:t>
            </w:r>
          </w:p>
        </w:tc>
      </w:tr>
      <w:tr>
        <w:trPr>
          <w:trHeight w:val="5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gridSpan w:val="2"/>
            <w:tcBorders>
              <w:top w:val="single" w:sz="4"/>
              <w:bottom w:val="single" w:sz="4"/>
            </w:tcBorders>
            <w:shd w:val="clear" w:color="auto" w:fill="FFFFFF"/>
            <w:vAlign w:val="top"/>
          </w:tcPr>
          <w:p>
            <w:pPr>
              <w:pStyle w:val="Style6"/>
              <w:keepNext w:val="0"/>
              <w:keepLines w:val="0"/>
              <w:widowControl w:val="0"/>
              <w:shd w:val="clear" w:color="auto" w:fill="auto"/>
              <w:tabs>
                <w:tab w:pos="2508" w:val="left"/>
                <w:tab w:pos="3938" w:val="left"/>
              </w:tabs>
              <w:bidi w:val="0"/>
              <w:spacing w:before="0" w:after="0" w:line="240" w:lineRule="auto"/>
              <w:ind w:left="0" w:right="0" w:firstLine="540"/>
              <w:jc w:val="left"/>
              <w:rPr>
                <w:sz w:val="20"/>
                <w:szCs w:val="20"/>
              </w:rPr>
            </w:pPr>
            <w:r>
              <w:rPr>
                <w:color w:val="000000"/>
                <w:spacing w:val="0"/>
                <w:w w:val="100"/>
                <w:position w:val="0"/>
                <w:sz w:val="20"/>
                <w:szCs w:val="20"/>
              </w:rPr>
              <w:t>甘目士以矛</w:t>
            </w:r>
            <w:r>
              <w:rPr>
                <w:i/>
                <w:iCs/>
                <w:color w:val="000000"/>
                <w:spacing w:val="0"/>
                <w:w w:val="100"/>
                <w:position w:val="0"/>
                <w:sz w:val="20"/>
                <w:szCs w:val="20"/>
              </w:rPr>
              <w:t>4谯</w:t>
            </w:r>
            <w:r>
              <w:rPr>
                <w:color w:val="000000"/>
                <w:spacing w:val="0"/>
                <w:w w:val="100"/>
                <w:position w:val="0"/>
                <w:sz w:val="20"/>
                <w:szCs w:val="20"/>
              </w:rPr>
              <w:tab/>
              <w:t>士匚首、'厂为</w:t>
              <w:tab/>
              <w:t>期末折算成人民</w:t>
            </w:r>
          </w:p>
          <w:p>
            <w:pPr>
              <w:pStyle w:val="Style6"/>
              <w:keepNext w:val="0"/>
              <w:keepLines w:val="0"/>
              <w:widowControl w:val="0"/>
              <w:shd w:val="clear" w:color="auto" w:fill="auto"/>
              <w:tabs>
                <w:tab w:pos="2513" w:val="left"/>
                <w:tab w:pos="4370" w:val="left"/>
              </w:tabs>
              <w:bidi w:val="0"/>
              <w:spacing w:before="0" w:after="0" w:line="240" w:lineRule="auto"/>
              <w:ind w:left="0" w:right="0" w:firstLine="540"/>
              <w:jc w:val="left"/>
              <w:rPr>
                <w:sz w:val="20"/>
                <w:szCs w:val="20"/>
              </w:rPr>
            </w:pPr>
            <w:r>
              <w:rPr>
                <w:color w:val="000000"/>
                <w:spacing w:val="0"/>
                <w:w w:val="100"/>
                <w:position w:val="0"/>
                <w:sz w:val="20"/>
                <w:szCs w:val="20"/>
              </w:rPr>
              <w:t>期末外币余额</w:t>
              <w:tab/>
              <w:t>折算汇率</w:t>
              <w:tab/>
              <w:t>币余额</w:t>
            </w:r>
          </w:p>
        </w:tc>
      </w:tr>
    </w:tbl>
    <w:p>
      <w:pPr>
        <w:widowControl w:val="0"/>
        <w:spacing w:line="1" w:lineRule="exact"/>
      </w:pPr>
      <w:r>
        <w:br w:type="page"/>
      </w:r>
    </w:p>
    <w:tbl>
      <w:tblPr>
        <w:tblOverlap w:val="never"/>
        <w:jc w:val="center"/>
        <w:tblLayout w:type="fixed"/>
      </w:tblPr>
      <w:tblGrid>
        <w:gridCol w:w="2880"/>
        <w:gridCol w:w="2078"/>
        <w:gridCol w:w="1555"/>
        <w:gridCol w:w="1949"/>
      </w:tblGrid>
      <w:tr>
        <w:trPr>
          <w:trHeight w:val="509" w:hRule="exact"/>
        </w:trPr>
        <w:tc>
          <w:tcPr>
            <w:gridSpan w:val="3"/>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塔卡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阿根廷比索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印度卢布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r>
      <w:tr>
        <w:trPr>
          <w:trHeight w:val="3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阿根廷比索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333333"/>
                <w:spacing w:val="0"/>
                <w:w w:val="100"/>
                <w:position w:val="0"/>
                <w:sz w:val="20"/>
                <w:szCs w:val="2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333333"/>
                <w:spacing w:val="0"/>
                <w:w w:val="100"/>
                <w:position w:val="0"/>
                <w:sz w:val="20"/>
                <w:szCs w:val="2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阿根廷比索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9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英镑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bl>
    <w:p>
      <w:pPr>
        <w:widowControl w:val="0"/>
        <w:spacing w:line="1" w:lineRule="exact"/>
      </w:pPr>
      <w:r>
        <w:br w:type="page"/>
      </w:r>
    </w:p>
    <w:tbl>
      <w:tblPr>
        <w:tblOverlap w:val="never"/>
        <w:jc w:val="center"/>
        <w:tblLayout w:type="fixed"/>
      </w:tblPr>
      <w:tblGrid>
        <w:gridCol w:w="2880"/>
        <w:gridCol w:w="2078"/>
        <w:gridCol w:w="1555"/>
        <w:gridCol w:w="1949"/>
      </w:tblGrid>
      <w:tr>
        <w:trPr>
          <w:trHeight w:val="41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卢布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r>
      <w:tr>
        <w:trPr>
          <w:trHeight w:val="50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bl>
    <w:p>
      <w:pPr>
        <w:widowControl w:val="0"/>
        <w:spacing w:after="519" w:line="1" w:lineRule="exact"/>
      </w:pPr>
    </w:p>
    <w:p>
      <w:pPr>
        <w:pStyle w:val="Style6"/>
        <w:keepNext w:val="0"/>
        <w:keepLines w:val="0"/>
        <w:widowControl w:val="0"/>
        <w:shd w:val="clear" w:color="auto" w:fill="auto"/>
        <w:bidi w:val="0"/>
        <w:spacing w:before="0" w:after="180" w:line="240" w:lineRule="auto"/>
        <w:ind w:left="0" w:right="0" w:firstLine="560"/>
        <w:jc w:val="left"/>
        <w:rPr>
          <w:sz w:val="20"/>
          <w:szCs w:val="20"/>
        </w:rPr>
      </w:pPr>
      <w:r>
        <w:rPr>
          <w:rFonts w:ascii="SimHei" w:eastAsia="SimHei" w:hAnsi="SimHei" w:cs="SimHei"/>
          <w:b/>
          <w:bCs/>
          <w:color w:val="000000"/>
          <w:spacing w:val="0"/>
          <w:w w:val="100"/>
          <w:position w:val="0"/>
          <w:sz w:val="20"/>
          <w:szCs w:val="20"/>
        </w:rPr>
        <w:t>六' 合并范围的变更</w:t>
      </w:r>
    </w:p>
    <w:p>
      <w:pPr>
        <w:pStyle w:val="Style111"/>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(一)非同一控制下企业合并</w:t>
      </w:r>
    </w:p>
    <w:p>
      <w:pPr>
        <w:pStyle w:val="Style111"/>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本期发生的非同一控制下企业合并</w:t>
      </w:r>
    </w:p>
    <w:p>
      <w:pPr>
        <w:pStyle w:val="Style111"/>
        <w:keepNext w:val="0"/>
        <w:keepLines w:val="0"/>
        <w:widowControl w:val="0"/>
        <w:numPr>
          <w:ilvl w:val="0"/>
          <w:numId w:val="99"/>
        </w:numPr>
        <w:shd w:val="clear" w:color="auto" w:fill="auto"/>
        <w:bidi w:val="0"/>
        <w:spacing w:before="0" w:after="80" w:line="240" w:lineRule="auto"/>
        <w:ind w:left="0" w:right="0" w:firstLine="560"/>
        <w:jc w:val="left"/>
      </w:pPr>
      <w:bookmarkStart w:id="357" w:name="bookmark357"/>
      <w:bookmarkEnd w:id="357"/>
      <w:r>
        <w:rPr>
          <w:color w:val="000000"/>
          <w:spacing w:val="0"/>
          <w:w w:val="100"/>
          <w:position w:val="0"/>
        </w:rPr>
        <w:t>基本情况</w:t>
      </w:r>
    </w:p>
    <w:tbl>
      <w:tblPr>
        <w:tblOverlap w:val="never"/>
        <w:jc w:val="center"/>
        <w:tblLayout w:type="fixed"/>
      </w:tblPr>
      <w:tblGrid>
        <w:gridCol w:w="2856"/>
        <w:gridCol w:w="1301"/>
        <w:gridCol w:w="2184"/>
        <w:gridCol w:w="1094"/>
        <w:gridCol w:w="1152"/>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股权取得 时点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股权取得 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股权取得 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股权取得 方式</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TPC Holding B. 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761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沈阳传化陆港物流有限公司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r>
      <w:tr>
        <w:trPr>
          <w:trHeight w:val="55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传化天地物流公司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r>
    </w:tbl>
    <w:p>
      <w:pPr>
        <w:sectPr>
          <w:footnotePr>
            <w:pos w:val="pageBottom"/>
            <w:numFmt w:val="decimal"/>
            <w:numRestart w:val="continuous"/>
          </w:footnotePr>
          <w:type w:val="continuous"/>
          <w:pgSz w:w="11900" w:h="16840"/>
          <w:pgMar w:top="1412" w:right="1001" w:bottom="1455" w:left="1218" w:header="0" w:footer="3" w:gutter="0"/>
          <w:cols w:space="720"/>
          <w:noEndnote/>
          <w:rtlGutter w:val="0"/>
          <w:docGrid w:linePitch="360"/>
        </w:sectPr>
      </w:pPr>
    </w:p>
    <w:p>
      <w:pPr>
        <w:widowControl w:val="0"/>
        <w:spacing w:after="179" w:line="1" w:lineRule="exact"/>
      </w:pPr>
    </w:p>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2126"/>
        <w:gridCol w:w="1315"/>
        <w:gridCol w:w="1704"/>
        <w:gridCol w:w="1704"/>
        <w:gridCol w:w="1738"/>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购买日的 确定依据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购买日至期末 被购买方的收入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购买日至期末被 购买方的净利润</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TPC Holding B. 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办妥股权交割公</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证手续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45</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沈阳传化陆港物流</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完成变更登记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完成变更登记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73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传化天地物流公司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7" w:lineRule="exact"/>
              <w:ind w:left="0" w:right="0" w:firstLine="0"/>
              <w:jc w:val="left"/>
              <w:rPr>
                <w:sz w:val="20"/>
                <w:szCs w:val="20"/>
              </w:rPr>
            </w:pPr>
            <w:r>
              <w:rPr>
                <w:color w:val="000000"/>
                <w:spacing w:val="0"/>
                <w:w w:val="100"/>
                <w:position w:val="0"/>
                <w:sz w:val="20"/>
                <w:szCs w:val="20"/>
              </w:rPr>
              <w:t>完成变更登记并 支付股权购买价 款的大部分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01"/>
        </w:numPr>
        <w:shd w:val="clear" w:color="auto" w:fill="auto"/>
        <w:bidi w:val="0"/>
        <w:spacing w:before="0" w:after="180" w:line="240" w:lineRule="auto"/>
        <w:ind w:left="1580" w:right="0" w:firstLine="0"/>
        <w:jc w:val="left"/>
      </w:pPr>
      <w:bookmarkStart w:id="358" w:name="bookmark358"/>
      <w:bookmarkEnd w:id="358"/>
      <w:r>
        <w:rPr>
          <w:color w:val="000000"/>
          <w:spacing w:val="0"/>
          <w:w w:val="100"/>
          <w:position w:val="0"/>
        </w:rPr>
        <w:t>合并成本及商誉</w:t>
      </w:r>
    </w:p>
    <w:p>
      <w:pPr>
        <w:pStyle w:val="Style111"/>
        <w:keepNext w:val="0"/>
        <w:keepLines w:val="0"/>
        <w:widowControl w:val="0"/>
        <w:shd w:val="clear" w:color="auto" w:fill="auto"/>
        <w:bidi w:val="0"/>
        <w:spacing w:before="0" w:after="80" w:line="240" w:lineRule="auto"/>
        <w:ind w:left="1580" w:right="0" w:firstLine="0"/>
        <w:jc w:val="left"/>
      </w:pPr>
      <w:r>
        <w:rPr>
          <w:color w:val="000000"/>
          <w:spacing w:val="0"/>
          <w:w w:val="100"/>
          <w:position w:val="0"/>
        </w:rPr>
        <w:t>⑴明细情况</w:t>
      </w:r>
    </w:p>
    <w:tbl>
      <w:tblPr>
        <w:tblOverlap w:val="never"/>
        <w:jc w:val="center"/>
        <w:tblLayout w:type="fixed"/>
      </w:tblPr>
      <w:tblGrid>
        <w:gridCol w:w="2693"/>
        <w:gridCol w:w="1699"/>
        <w:gridCol w:w="1421"/>
        <w:gridCol w:w="1522"/>
        <w:gridCol w:w="1627"/>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TPC Holding B. V.</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沈阳传化陆港物 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传化天地物流公司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合并成本合计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减:取得的可辨认净资产公允价 值份额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商誉/合并成本小于取得的可辨 认净资产公允价值份额的金额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1580" w:right="0" w:firstLine="0"/>
        <w:jc w:val="left"/>
      </w:pPr>
      <w:bookmarkStart w:id="359" w:name="bookmark359"/>
      <w:r>
        <w:rPr>
          <w:color w:val="000000"/>
          <w:spacing w:val="0"/>
          <w:w w:val="100"/>
          <w:position w:val="0"/>
        </w:rPr>
        <w:t>（</w:t>
      </w:r>
      <w:bookmarkEnd w:id="359"/>
      <w:r>
        <w:rPr>
          <w:rFonts w:ascii="Times New Roman" w:eastAsia="Times New Roman" w:hAnsi="Times New Roman" w:cs="Times New Roman"/>
          <w:color w:val="000000"/>
          <w:spacing w:val="0"/>
          <w:w w:val="100"/>
          <w:position w:val="0"/>
        </w:rPr>
        <w:t>2</w:t>
      </w:r>
      <w:r>
        <w:rPr>
          <w:color w:val="000000"/>
          <w:spacing w:val="0"/>
          <w:w w:val="100"/>
          <w:position w:val="0"/>
        </w:rPr>
        <w:t>）合并成本公允价值的确定方法、或有对价及其变动的说明</w:t>
      </w:r>
    </w:p>
    <w:p>
      <w:pPr>
        <w:pStyle w:val="Style111"/>
        <w:keepNext w:val="0"/>
        <w:keepLines w:val="0"/>
        <w:widowControl w:val="0"/>
        <w:shd w:val="clear" w:color="auto" w:fill="auto"/>
        <w:tabs>
          <w:tab w:pos="1919" w:val="left"/>
        </w:tabs>
        <w:bidi w:val="0"/>
        <w:spacing w:before="0" w:after="0" w:line="240" w:lineRule="auto"/>
        <w:ind w:left="1580" w:right="0" w:firstLine="0"/>
        <w:jc w:val="both"/>
      </w:pPr>
      <w:bookmarkStart w:id="360" w:name="bookmark360"/>
      <w:r>
        <w:rPr>
          <w:rFonts w:ascii="Times New Roman" w:eastAsia="Times New Roman" w:hAnsi="Times New Roman" w:cs="Times New Roman"/>
          <w:color w:val="000000"/>
          <w:spacing w:val="0"/>
          <w:w w:val="100"/>
          <w:position w:val="0"/>
          <w:shd w:val="clear" w:color="auto" w:fill="FFFFFF"/>
        </w:rPr>
        <w:t>1</w:t>
      </w:r>
      <w:bookmarkEnd w:id="360"/>
      <w:r>
        <w:rPr>
          <w:color w:val="000000"/>
          <w:spacing w:val="0"/>
          <w:w w:val="100"/>
          <w:position w:val="0"/>
          <w:shd w:val="clear" w:color="auto" w:fill="FFFFFF"/>
        </w:rPr>
        <w:t>）</w:t>
      </w:r>
      <w:r>
        <w:rPr>
          <w:color w:val="000000"/>
          <w:spacing w:val="0"/>
          <w:w w:val="100"/>
          <w:position w:val="0"/>
        </w:rPr>
        <w:tab/>
      </w:r>
      <w:r>
        <w:rPr>
          <w:color w:val="000000"/>
          <w:spacing w:val="0"/>
          <w:w w:val="100"/>
          <w:position w:val="0"/>
        </w:rPr>
        <w:t>TPC Holding B. V.</w:t>
      </w:r>
    </w:p>
    <w:p>
      <w:pPr>
        <w:pStyle w:val="Style111"/>
        <w:keepNext w:val="0"/>
        <w:keepLines w:val="0"/>
        <w:widowControl w:val="0"/>
        <w:shd w:val="clear" w:color="auto" w:fill="auto"/>
        <w:bidi w:val="0"/>
        <w:spacing w:before="0" w:after="180" w:line="436" w:lineRule="exact"/>
        <w:ind w:left="1160" w:right="0" w:firstLine="420"/>
        <w:jc w:val="both"/>
      </w:pPr>
      <w:r>
        <w:rPr>
          <w:color w:val="000000"/>
          <w:spacing w:val="0"/>
          <w:w w:val="100"/>
          <w:position w:val="0"/>
        </w:rPr>
        <w:t>本期公司子公司传化荷兰公司以现金支付的方式购买</w:t>
      </w:r>
      <w:r>
        <w:rPr>
          <w:color w:val="000000"/>
          <w:spacing w:val="0"/>
          <w:w w:val="100"/>
          <w:position w:val="0"/>
        </w:rPr>
        <w:t xml:space="preserve">TPC HOLDING B. V. </w:t>
      </w:r>
      <w:r>
        <w:rPr>
          <w:rFonts w:ascii="Times New Roman" w:eastAsia="Times New Roman" w:hAnsi="Times New Roman" w:cs="Times New Roman"/>
          <w:color w:val="000000"/>
          <w:spacing w:val="0"/>
          <w:w w:val="100"/>
          <w:position w:val="0"/>
        </w:rPr>
        <w:t>100</w:t>
      </w:r>
      <w:r>
        <w:rPr>
          <w:color w:val="000000"/>
          <w:spacing w:val="0"/>
          <w:w w:val="100"/>
          <w:position w:val="0"/>
        </w:rPr>
        <w:t>%的股权， 合并成本公允价值</w:t>
      </w:r>
      <w:r>
        <w:rPr>
          <w:color w:val="000000"/>
          <w:spacing w:val="0"/>
          <w:w w:val="100"/>
          <w:position w:val="0"/>
          <w:sz w:val="22"/>
          <w:szCs w:val="22"/>
        </w:rPr>
        <w:t>由荷兰普华永道咨询公司（以下简称</w:t>
      </w:r>
      <w:r>
        <w:rPr>
          <w:color w:val="000000"/>
          <w:spacing w:val="0"/>
          <w:w w:val="100"/>
          <w:position w:val="0"/>
          <w:sz w:val="22"/>
          <w:szCs w:val="22"/>
        </w:rPr>
        <w:t>PWC）</w:t>
      </w:r>
      <w:r>
        <w:rPr>
          <w:color w:val="000000"/>
          <w:spacing w:val="0"/>
          <w:w w:val="100"/>
          <w:position w:val="0"/>
          <w:sz w:val="22"/>
          <w:szCs w:val="22"/>
        </w:rPr>
        <w:t>采用市场倍数法评估确定， 确定的股权价值为</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975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60</w:t>
      </w:r>
      <w:r>
        <w:rPr>
          <w:color w:val="000000"/>
          <w:spacing w:val="0"/>
          <w:w w:val="100"/>
          <w:position w:val="0"/>
          <w:sz w:val="22"/>
          <w:szCs w:val="22"/>
        </w:rPr>
        <w:t>万欧元，</w:t>
      </w:r>
      <w:r>
        <w:rPr>
          <w:color w:val="000000"/>
          <w:spacing w:val="0"/>
          <w:w w:val="100"/>
          <w:position w:val="0"/>
        </w:rPr>
        <w:t>经交易各方协商确定交易价格为</w:t>
      </w:r>
      <w:r>
        <w:rPr>
          <w:rFonts w:ascii="Times New Roman" w:eastAsia="Times New Roman" w:hAnsi="Times New Roman" w:cs="Times New Roman"/>
          <w:color w:val="000000"/>
          <w:spacing w:val="0"/>
          <w:w w:val="100"/>
          <w:position w:val="0"/>
        </w:rPr>
        <w:t>101</w:t>
      </w:r>
      <w:r>
        <w:rPr>
          <w:color w:val="000000"/>
          <w:spacing w:val="0"/>
          <w:w w:val="100"/>
          <w:position w:val="0"/>
        </w:rPr>
        <w:t xml:space="preserve">, </w:t>
      </w:r>
      <w:r>
        <w:rPr>
          <w:rFonts w:ascii="Times New Roman" w:eastAsia="Times New Roman" w:hAnsi="Times New Roman" w:cs="Times New Roman"/>
          <w:color w:val="000000"/>
          <w:spacing w:val="0"/>
          <w:w w:val="100"/>
          <w:position w:val="0"/>
        </w:rPr>
        <w:t>688</w:t>
      </w:r>
      <w:r>
        <w:rPr>
          <w:color w:val="000000"/>
          <w:spacing w:val="0"/>
          <w:w w:val="100"/>
          <w:position w:val="0"/>
        </w:rPr>
        <w:t xml:space="preserve">, </w:t>
      </w:r>
      <w:r>
        <w:rPr>
          <w:rFonts w:ascii="Times New Roman" w:eastAsia="Times New Roman" w:hAnsi="Times New Roman" w:cs="Times New Roman"/>
          <w:color w:val="000000"/>
          <w:spacing w:val="0"/>
          <w:w w:val="100"/>
          <w:position w:val="0"/>
        </w:rPr>
        <w:t>076</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欧 元，折人民币</w:t>
      </w:r>
      <w:r>
        <w:rPr>
          <w:rFonts w:ascii="Times New Roman" w:eastAsia="Times New Roman" w:hAnsi="Times New Roman" w:cs="Times New Roman"/>
          <w:color w:val="000000"/>
          <w:spacing w:val="0"/>
          <w:w w:val="100"/>
          <w:position w:val="0"/>
        </w:rPr>
        <w:t>761</w:t>
      </w:r>
      <w:r>
        <w:rPr>
          <w:color w:val="000000"/>
          <w:spacing w:val="0"/>
          <w:w w:val="100"/>
          <w:position w:val="0"/>
        </w:rPr>
        <w:t>,</w:t>
      </w:r>
      <w:r>
        <w:rPr>
          <w:rFonts w:ascii="Times New Roman" w:eastAsia="Times New Roman" w:hAnsi="Times New Roman" w:cs="Times New Roman"/>
          <w:color w:val="000000"/>
          <w:spacing w:val="0"/>
          <w:w w:val="100"/>
          <w:position w:val="0"/>
        </w:rPr>
        <w:t>440</w:t>
      </w:r>
      <w:r>
        <w:rPr>
          <w:color w:val="000000"/>
          <w:spacing w:val="0"/>
          <w:w w:val="100"/>
          <w:position w:val="0"/>
        </w:rPr>
        <w:t>,</w:t>
      </w:r>
      <w:r>
        <w:rPr>
          <w:rFonts w:ascii="Times New Roman" w:eastAsia="Times New Roman" w:hAnsi="Times New Roman" w:cs="Times New Roman"/>
          <w:color w:val="000000"/>
          <w:spacing w:val="0"/>
          <w:w w:val="100"/>
          <w:position w:val="0"/>
        </w:rPr>
        <w:t>313</w:t>
      </w:r>
      <w:r>
        <w:rPr>
          <w:color w:val="000000"/>
          <w:spacing w:val="0"/>
          <w:w w:val="100"/>
          <w:position w:val="0"/>
        </w:rPr>
        <w:t>.</w:t>
      </w:r>
      <w:r>
        <w:rPr>
          <w:rFonts w:ascii="Times New Roman" w:eastAsia="Times New Roman" w:hAnsi="Times New Roman" w:cs="Times New Roman"/>
          <w:color w:val="000000"/>
          <w:spacing w:val="0"/>
          <w:w w:val="100"/>
          <w:position w:val="0"/>
        </w:rPr>
        <w:t>09</w:t>
      </w:r>
      <w:r>
        <w:rPr>
          <w:color w:val="000000"/>
          <w:spacing w:val="0"/>
          <w:w w:val="100"/>
          <w:position w:val="0"/>
        </w:rPr>
        <w:t>元。</w:t>
      </w:r>
    </w:p>
    <w:p>
      <w:pPr>
        <w:pStyle w:val="Style111"/>
        <w:keepNext w:val="0"/>
        <w:keepLines w:val="0"/>
        <w:widowControl w:val="0"/>
        <w:shd w:val="clear" w:color="auto" w:fill="auto"/>
        <w:tabs>
          <w:tab w:pos="1938" w:val="left"/>
        </w:tabs>
        <w:bidi w:val="0"/>
        <w:spacing w:before="0" w:after="0" w:line="456" w:lineRule="auto"/>
        <w:ind w:left="1580" w:right="0" w:firstLine="0"/>
        <w:jc w:val="left"/>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沈阳传化陆港物流有限公司</w:t>
      </w:r>
    </w:p>
    <w:p>
      <w:pPr>
        <w:pStyle w:val="Style111"/>
        <w:keepNext w:val="0"/>
        <w:keepLines w:val="0"/>
        <w:widowControl w:val="0"/>
        <w:shd w:val="clear" w:color="auto" w:fill="auto"/>
        <w:bidi w:val="0"/>
        <w:spacing w:before="0" w:after="180" w:line="436" w:lineRule="exact"/>
        <w:ind w:left="1160" w:right="0" w:firstLine="420"/>
        <w:jc w:val="both"/>
      </w:pPr>
      <w:r>
        <w:rPr>
          <w:color w:val="000000"/>
          <w:spacing w:val="0"/>
          <w:w w:val="100"/>
          <w:position w:val="0"/>
        </w:rPr>
        <w:t>本期公司子公司传化物流集团收购沈阳传化陆港物流有限公司</w:t>
      </w:r>
      <w:r>
        <w:rPr>
          <w:rFonts w:ascii="Times New Roman" w:eastAsia="Times New Roman" w:hAnsi="Times New Roman" w:cs="Times New Roman"/>
          <w:color w:val="000000"/>
          <w:spacing w:val="0"/>
          <w:w w:val="100"/>
          <w:position w:val="0"/>
        </w:rPr>
        <w:t>80</w:t>
      </w:r>
      <w:r>
        <w:rPr>
          <w:color w:val="000000"/>
          <w:spacing w:val="0"/>
          <w:w w:val="100"/>
          <w:position w:val="0"/>
        </w:rPr>
        <w:t>%股权，合并成本公允 价值的确定系以辽宁中正兴业房地产土地评估有限公司出具的《房地产估价结果报告》（辽 中正评〔</w:t>
      </w:r>
      <w:r>
        <w:rPr>
          <w:rFonts w:ascii="Times New Roman" w:eastAsia="Times New Roman" w:hAnsi="Times New Roman" w:cs="Times New Roman"/>
          <w:color w:val="000000"/>
          <w:spacing w:val="0"/>
          <w:w w:val="100"/>
          <w:position w:val="0"/>
        </w:rPr>
        <w:t>2016</w:t>
      </w:r>
      <w:r>
        <w:rPr>
          <w:color w:val="000000"/>
          <w:spacing w:val="0"/>
          <w:w w:val="100"/>
          <w:position w:val="0"/>
        </w:rPr>
        <w:t>）字第</w:t>
      </w:r>
      <w:r>
        <w:rPr>
          <w:rFonts w:ascii="Times New Roman" w:eastAsia="Times New Roman" w:hAnsi="Times New Roman" w:cs="Times New Roman"/>
          <w:color w:val="000000"/>
          <w:spacing w:val="0"/>
          <w:w w:val="100"/>
          <w:position w:val="0"/>
        </w:rPr>
        <w:t>10005</w:t>
      </w:r>
      <w:r>
        <w:rPr>
          <w:color w:val="000000"/>
          <w:spacing w:val="0"/>
          <w:w w:val="100"/>
          <w:position w:val="0"/>
        </w:rPr>
        <w:t>号）为基础确定，沈阳传化陆港物流有限公司以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日为评估 基准日的房地产评估价值为</w:t>
      </w:r>
      <w:r>
        <w:rPr>
          <w:rFonts w:ascii="Times New Roman" w:eastAsia="Times New Roman" w:hAnsi="Times New Roman" w:cs="Times New Roman"/>
          <w:color w:val="000000"/>
          <w:spacing w:val="0"/>
          <w:w w:val="100"/>
          <w:position w:val="0"/>
        </w:rPr>
        <w:t>73</w:t>
      </w:r>
      <w:r>
        <w:rPr>
          <w:color w:val="000000"/>
          <w:spacing w:val="0"/>
          <w:w w:val="100"/>
          <w:position w:val="0"/>
        </w:rPr>
        <w:t xml:space="preserve">, </w:t>
      </w:r>
      <w:r>
        <w:rPr>
          <w:rFonts w:ascii="Times New Roman" w:eastAsia="Times New Roman" w:hAnsi="Times New Roman" w:cs="Times New Roman"/>
          <w:color w:val="000000"/>
          <w:spacing w:val="0"/>
          <w:w w:val="100"/>
          <w:position w:val="0"/>
        </w:rPr>
        <w:t>146</w:t>
      </w:r>
      <w:r>
        <w:rPr>
          <w:color w:val="000000"/>
          <w:spacing w:val="0"/>
          <w:w w:val="100"/>
          <w:position w:val="0"/>
        </w:rPr>
        <w:t xml:space="preserve">, </w:t>
      </w:r>
      <w:r>
        <w:rPr>
          <w:rFonts w:ascii="Times New Roman" w:eastAsia="Times New Roman" w:hAnsi="Times New Roman" w:cs="Times New Roman"/>
          <w:color w:val="000000"/>
          <w:spacing w:val="0"/>
          <w:w w:val="100"/>
          <w:position w:val="0"/>
        </w:rPr>
        <w:t>493</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元，经交易各方协商确定交易价格为</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840</w:t>
      </w:r>
      <w:r>
        <w:rPr>
          <w:color w:val="000000"/>
          <w:spacing w:val="0"/>
          <w:w w:val="100"/>
          <w:position w:val="0"/>
        </w:rPr>
        <w:t>万元。</w:t>
      </w:r>
    </w:p>
    <w:p>
      <w:pPr>
        <w:pStyle w:val="Style111"/>
        <w:keepNext w:val="0"/>
        <w:keepLines w:val="0"/>
        <w:widowControl w:val="0"/>
        <w:shd w:val="clear" w:color="auto" w:fill="auto"/>
        <w:tabs>
          <w:tab w:pos="1938" w:val="left"/>
        </w:tabs>
        <w:bidi w:val="0"/>
        <w:spacing w:before="0" w:after="0" w:line="456" w:lineRule="auto"/>
        <w:ind w:left="1580" w:right="0" w:firstLine="0"/>
        <w:jc w:val="both"/>
      </w:pPr>
      <w:bookmarkStart w:id="362" w:name="bookmark362"/>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传化汇通物流公司</w:t>
      </w:r>
    </w:p>
    <w:p>
      <w:pPr>
        <w:pStyle w:val="Style111"/>
        <w:keepNext w:val="0"/>
        <w:keepLines w:val="0"/>
        <w:widowControl w:val="0"/>
        <w:shd w:val="clear" w:color="auto" w:fill="auto"/>
        <w:bidi w:val="0"/>
        <w:spacing w:before="0" w:after="0" w:line="436" w:lineRule="exact"/>
        <w:ind w:left="1160" w:right="0" w:firstLine="420"/>
        <w:jc w:val="both"/>
      </w:pPr>
      <w:r>
        <w:rPr>
          <w:color w:val="000000"/>
          <w:spacing w:val="0"/>
          <w:w w:val="100"/>
          <w:position w:val="0"/>
        </w:rPr>
        <w:t>本期公司子公司传化物流集团收购传化汇通物流公司</w:t>
      </w:r>
      <w:r>
        <w:rPr>
          <w:rFonts w:ascii="Times New Roman" w:eastAsia="Times New Roman" w:hAnsi="Times New Roman" w:cs="Times New Roman"/>
          <w:color w:val="000000"/>
          <w:spacing w:val="0"/>
          <w:w w:val="100"/>
          <w:position w:val="0"/>
        </w:rPr>
        <w:t>70</w:t>
      </w:r>
      <w:r>
        <w:rPr>
          <w:color w:val="000000"/>
          <w:spacing w:val="0"/>
          <w:w w:val="100"/>
          <w:position w:val="0"/>
        </w:rPr>
        <w:t>%股权，合并成本公允价值的确 定系以坤元资产评估有限公司出具的《杭州金弘科技有限公司股东拟进行股权转让涉及的该 公司股东全部权益价值评估项目资产评估报告》（坤元评报〔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442</w:t>
      </w:r>
      <w:r>
        <w:rPr>
          <w:color w:val="000000"/>
          <w:spacing w:val="0"/>
          <w:w w:val="100"/>
          <w:position w:val="0"/>
        </w:rPr>
        <w:t xml:space="preserve">号）为基础确定，传 </w:t>
      </w:r>
      <w:r>
        <w:rPr>
          <w:color w:val="000000"/>
          <w:spacing w:val="0"/>
          <w:w w:val="100"/>
          <w:position w:val="0"/>
        </w:rPr>
        <w:t>化汇通物流公司以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日为评估基准日的股东全部权益采用收益法确定的评估 价值为</w:t>
      </w:r>
      <w:r>
        <w:rPr>
          <w:rFonts w:ascii="Times New Roman" w:eastAsia="Times New Roman" w:hAnsi="Times New Roman" w:cs="Times New Roman"/>
          <w:color w:val="000000"/>
          <w:spacing w:val="0"/>
          <w:w w:val="100"/>
          <w:position w:val="0"/>
        </w:rPr>
        <w:t>108</w:t>
      </w:r>
      <w:r>
        <w:rPr>
          <w:color w:val="000000"/>
          <w:spacing w:val="0"/>
          <w:w w:val="100"/>
          <w:position w:val="0"/>
        </w:rPr>
        <w:t xml:space="preserve">, </w:t>
      </w:r>
      <w:r>
        <w:rPr>
          <w:rFonts w:ascii="Times New Roman" w:eastAsia="Times New Roman" w:hAnsi="Times New Roman" w:cs="Times New Roman"/>
          <w:color w:val="000000"/>
          <w:spacing w:val="0"/>
          <w:w w:val="100"/>
          <w:position w:val="0"/>
        </w:rPr>
        <w:t>050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元，经交易各方协商确定交易价格为</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111"/>
        <w:keepNext w:val="0"/>
        <w:keepLines w:val="0"/>
        <w:widowControl w:val="0"/>
        <w:numPr>
          <w:ilvl w:val="0"/>
          <w:numId w:val="103"/>
        </w:numPr>
        <w:shd w:val="clear" w:color="auto" w:fill="auto"/>
        <w:bidi w:val="0"/>
        <w:spacing w:before="0" w:after="0" w:line="435" w:lineRule="exact"/>
        <w:ind w:left="1580" w:right="0" w:firstLine="0"/>
        <w:jc w:val="both"/>
      </w:pPr>
      <w:bookmarkStart w:id="363" w:name="bookmark363"/>
      <w:bookmarkEnd w:id="363"/>
      <w:r>
        <w:rPr>
          <w:color w:val="000000"/>
          <w:spacing w:val="0"/>
          <w:w w:val="100"/>
          <w:position w:val="0"/>
        </w:rPr>
        <w:t>传化天地物流公司</w:t>
      </w:r>
    </w:p>
    <w:p>
      <w:pPr>
        <w:pStyle w:val="Style111"/>
        <w:keepNext w:val="0"/>
        <w:keepLines w:val="0"/>
        <w:widowControl w:val="0"/>
        <w:shd w:val="clear" w:color="auto" w:fill="auto"/>
        <w:bidi w:val="0"/>
        <w:spacing w:before="0" w:after="0" w:line="435" w:lineRule="exact"/>
        <w:ind w:left="1160" w:right="0" w:firstLine="420"/>
        <w:jc w:val="both"/>
      </w:pPr>
      <w:r>
        <w:rPr>
          <w:color w:val="000000"/>
          <w:spacing w:val="0"/>
          <w:w w:val="100"/>
          <w:position w:val="0"/>
        </w:rPr>
        <w:t>本期公司子公司传化物流集团收购传化天地物流公司</w:t>
      </w:r>
      <w:r>
        <w:rPr>
          <w:rFonts w:ascii="Times New Roman" w:eastAsia="Times New Roman" w:hAnsi="Times New Roman" w:cs="Times New Roman"/>
          <w:color w:val="000000"/>
          <w:spacing w:val="0"/>
          <w:w w:val="100"/>
          <w:position w:val="0"/>
        </w:rPr>
        <w:t>80</w:t>
      </w:r>
      <w:r>
        <w:rPr>
          <w:color w:val="000000"/>
          <w:spacing w:val="0"/>
          <w:w w:val="100"/>
          <w:position w:val="0"/>
        </w:rPr>
        <w:t>%股权，合并成本公允价值的确 定系以中联资产评估集团有限公司出具的《传化物流集团有限公司拟收购宁波时代永升物流 有限公司</w:t>
      </w:r>
      <w:r>
        <w:rPr>
          <w:rFonts w:ascii="Times New Roman" w:eastAsia="Times New Roman" w:hAnsi="Times New Roman" w:cs="Times New Roman"/>
          <w:color w:val="000000"/>
          <w:spacing w:val="0"/>
          <w:w w:val="100"/>
          <w:position w:val="0"/>
        </w:rPr>
        <w:t>80</w:t>
      </w:r>
      <w:r>
        <w:rPr>
          <w:color w:val="000000"/>
          <w:spacing w:val="0"/>
          <w:w w:val="100"/>
          <w:position w:val="0"/>
        </w:rPr>
        <w:t>%股权涉及的资产及负债评估项目资产评估报告》(中联评报字</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1854</w:t>
      </w:r>
      <w:r>
        <w:rPr>
          <w:color w:val="000000"/>
          <w:spacing w:val="0"/>
          <w:w w:val="100"/>
          <w:position w:val="0"/>
        </w:rPr>
        <w:t>号) 为基础确定，传化天地物流公司以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日为评估基准日的股东全部权益采用资 产基础法确定的评估价值为</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255</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万元，经交易各方协商确定交易价格为</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840</w:t>
      </w:r>
      <w:r>
        <w:rPr>
          <w:color w:val="000000"/>
          <w:spacing w:val="0"/>
          <w:w w:val="100"/>
          <w:position w:val="0"/>
        </w:rPr>
        <w:t>万元。</w:t>
      </w:r>
    </w:p>
    <w:p>
      <w:pPr>
        <w:pStyle w:val="Style111"/>
        <w:keepNext w:val="0"/>
        <w:keepLines w:val="0"/>
        <w:widowControl w:val="0"/>
        <w:numPr>
          <w:ilvl w:val="0"/>
          <w:numId w:val="105"/>
        </w:numPr>
        <w:shd w:val="clear" w:color="auto" w:fill="auto"/>
        <w:bidi w:val="0"/>
        <w:spacing w:before="0" w:after="0" w:line="435" w:lineRule="exact"/>
        <w:ind w:left="1580" w:right="0" w:firstLine="0"/>
        <w:jc w:val="both"/>
      </w:pPr>
      <w:bookmarkStart w:id="364" w:name="bookmark364"/>
      <w:bookmarkEnd w:id="364"/>
      <w:r>
        <w:rPr>
          <w:color w:val="000000"/>
          <w:spacing w:val="0"/>
          <w:w w:val="100"/>
          <w:position w:val="0"/>
        </w:rPr>
        <w:t>大额商誉形成的主要原因</w:t>
      </w:r>
    </w:p>
    <w:p>
      <w:pPr>
        <w:pStyle w:val="Style111"/>
        <w:keepNext w:val="0"/>
        <w:keepLines w:val="0"/>
        <w:widowControl w:val="0"/>
        <w:numPr>
          <w:ilvl w:val="0"/>
          <w:numId w:val="107"/>
        </w:numPr>
        <w:shd w:val="clear" w:color="auto" w:fill="auto"/>
        <w:tabs>
          <w:tab w:pos="1919" w:val="left"/>
        </w:tabs>
        <w:bidi w:val="0"/>
        <w:spacing w:before="0" w:after="0" w:line="435" w:lineRule="exact"/>
        <w:ind w:left="1580" w:right="0" w:firstLine="0"/>
        <w:jc w:val="both"/>
      </w:pPr>
      <w:bookmarkStart w:id="365" w:name="bookmark365"/>
      <w:bookmarkEnd w:id="365"/>
      <w:r>
        <w:rPr>
          <w:color w:val="000000"/>
          <w:spacing w:val="0"/>
          <w:w w:val="100"/>
          <w:position w:val="0"/>
        </w:rPr>
        <w:t>TPC Holding B. V.</w:t>
      </w:r>
    </w:p>
    <w:p>
      <w:pPr>
        <w:pStyle w:val="Style111"/>
        <w:keepNext w:val="0"/>
        <w:keepLines w:val="0"/>
        <w:widowControl w:val="0"/>
        <w:shd w:val="clear" w:color="auto" w:fill="auto"/>
        <w:bidi w:val="0"/>
        <w:spacing w:before="0" w:after="0" w:line="435" w:lineRule="exact"/>
        <w:ind w:left="1160" w:right="0" w:firstLine="420"/>
        <w:jc w:val="both"/>
      </w:pPr>
      <w:r>
        <w:rPr>
          <w:color w:val="000000"/>
          <w:spacing w:val="0"/>
          <w:w w:val="100"/>
          <w:position w:val="0"/>
        </w:rPr>
        <w:t>本次交易系</w:t>
      </w:r>
      <w:r>
        <w:rPr>
          <w:color w:val="000000"/>
          <w:spacing w:val="0"/>
          <w:w w:val="100"/>
          <w:position w:val="0"/>
        </w:rPr>
        <w:t>PWC</w:t>
      </w:r>
      <w:r>
        <w:rPr>
          <w:color w:val="000000"/>
          <w:spacing w:val="0"/>
          <w:w w:val="100"/>
          <w:position w:val="0"/>
        </w:rPr>
        <w:t>以市场倍数法评估确定的价值为基础确定。交易作价大于</w:t>
      </w:r>
      <w:r>
        <w:rPr>
          <w:color w:val="000000"/>
          <w:spacing w:val="0"/>
          <w:w w:val="100"/>
          <w:position w:val="0"/>
        </w:rPr>
        <w:t>TPC Holding B. V.</w:t>
      </w:r>
      <w:r>
        <w:rPr>
          <w:color w:val="000000"/>
          <w:spacing w:val="0"/>
          <w:w w:val="100"/>
          <w:position w:val="0"/>
        </w:rPr>
        <w:t>合并日可辨认净资产公允价值，因而形成大额商誉。</w:t>
      </w:r>
    </w:p>
    <w:p>
      <w:pPr>
        <w:pStyle w:val="Style111"/>
        <w:keepNext w:val="0"/>
        <w:keepLines w:val="0"/>
        <w:widowControl w:val="0"/>
        <w:numPr>
          <w:ilvl w:val="0"/>
          <w:numId w:val="107"/>
        </w:numPr>
        <w:shd w:val="clear" w:color="auto" w:fill="auto"/>
        <w:tabs>
          <w:tab w:pos="1938" w:val="left"/>
        </w:tabs>
        <w:bidi w:val="0"/>
        <w:spacing w:before="0" w:after="0" w:line="435" w:lineRule="exact"/>
        <w:ind w:left="1580" w:right="0" w:firstLine="0"/>
        <w:jc w:val="both"/>
      </w:pPr>
      <w:bookmarkStart w:id="366" w:name="bookmark366"/>
      <w:bookmarkEnd w:id="366"/>
      <w:r>
        <w:rPr>
          <w:color w:val="000000"/>
          <w:spacing w:val="0"/>
          <w:w w:val="100"/>
          <w:position w:val="0"/>
        </w:rPr>
        <w:t>传化汇通物流公司</w:t>
      </w:r>
    </w:p>
    <w:p>
      <w:pPr>
        <w:pStyle w:val="Style111"/>
        <w:keepNext w:val="0"/>
        <w:keepLines w:val="0"/>
        <w:widowControl w:val="0"/>
        <w:shd w:val="clear" w:color="auto" w:fill="auto"/>
        <w:bidi w:val="0"/>
        <w:spacing w:before="0" w:after="0" w:line="435" w:lineRule="exact"/>
        <w:ind w:left="1160" w:right="0" w:firstLine="420"/>
        <w:jc w:val="both"/>
      </w:pPr>
      <w:r>
        <w:rPr>
          <w:color w:val="000000"/>
          <w:spacing w:val="0"/>
          <w:w w:val="100"/>
          <w:position w:val="0"/>
        </w:rPr>
        <w:t>本次交易系以收益法确定的评估价值为基础确定。交易作价大于传化物流集团享有的传 化汇通物流公司合并日可辨认净资产公允价值的份额，因而形成大额商誉。</w:t>
      </w:r>
    </w:p>
    <w:p>
      <w:pPr>
        <w:pStyle w:val="Style111"/>
        <w:keepNext w:val="0"/>
        <w:keepLines w:val="0"/>
        <w:widowControl w:val="0"/>
        <w:numPr>
          <w:ilvl w:val="0"/>
          <w:numId w:val="107"/>
        </w:numPr>
        <w:shd w:val="clear" w:color="auto" w:fill="auto"/>
        <w:tabs>
          <w:tab w:pos="1938" w:val="left"/>
        </w:tabs>
        <w:bidi w:val="0"/>
        <w:spacing w:before="0" w:after="0" w:line="435" w:lineRule="exact"/>
        <w:ind w:left="1580" w:right="0" w:firstLine="0"/>
        <w:jc w:val="both"/>
      </w:pPr>
      <w:bookmarkStart w:id="367" w:name="bookmark367"/>
      <w:bookmarkEnd w:id="367"/>
      <w:r>
        <w:rPr>
          <w:color w:val="000000"/>
          <w:spacing w:val="0"/>
          <w:w w:val="100"/>
          <w:position w:val="0"/>
        </w:rPr>
        <w:t>传化天地物流公司</w:t>
      </w:r>
    </w:p>
    <w:p>
      <w:pPr>
        <w:pStyle w:val="Style111"/>
        <w:keepNext w:val="0"/>
        <w:keepLines w:val="0"/>
        <w:widowControl w:val="0"/>
        <w:shd w:val="clear" w:color="auto" w:fill="auto"/>
        <w:bidi w:val="0"/>
        <w:spacing w:before="0" w:after="180" w:line="435" w:lineRule="exact"/>
        <w:ind w:left="1160" w:right="1120" w:firstLine="420"/>
        <w:jc w:val="both"/>
      </w:pPr>
      <w:r>
        <w:rPr>
          <w:color w:val="000000"/>
          <w:spacing w:val="0"/>
          <w:w w:val="100"/>
          <w:position w:val="0"/>
        </w:rPr>
        <w:t>本次交易系以资产基础法确定的评估价值为基础确定。公司除考虑资产增值外，另对传 化天地物流公司现有的物流业务以及收购后客户关系的流入进行了估价，导致交易作价大于 传化物流集团享有的传化天地物流公司合并日可辨认净资产公允价值的份额，因而形成大额 商誉。</w:t>
      </w:r>
    </w:p>
    <w:p>
      <w:pPr>
        <w:pStyle w:val="Style111"/>
        <w:keepNext w:val="0"/>
        <w:keepLines w:val="0"/>
        <w:widowControl w:val="0"/>
        <w:numPr>
          <w:ilvl w:val="0"/>
          <w:numId w:val="101"/>
        </w:numPr>
        <w:shd w:val="clear" w:color="auto" w:fill="auto"/>
        <w:bidi w:val="0"/>
        <w:spacing w:before="0" w:after="180" w:line="240" w:lineRule="auto"/>
        <w:ind w:left="1580" w:right="0" w:firstLine="0"/>
        <w:jc w:val="left"/>
      </w:pPr>
      <w:bookmarkStart w:id="368" w:name="bookmark368"/>
      <w:bookmarkEnd w:id="368"/>
      <w:r>
        <w:rPr>
          <w:color w:val="000000"/>
          <w:spacing w:val="0"/>
          <w:w w:val="100"/>
          <w:position w:val="0"/>
        </w:rPr>
        <w:t>被购买方于购买日可辨认资产、负债</w:t>
      </w:r>
    </w:p>
    <w:p>
      <w:pPr>
        <w:pStyle w:val="Style111"/>
        <w:keepNext w:val="0"/>
        <w:keepLines w:val="0"/>
        <w:widowControl w:val="0"/>
        <w:shd w:val="clear" w:color="auto" w:fill="auto"/>
        <w:bidi w:val="0"/>
        <w:spacing w:before="0" w:after="80" w:line="240" w:lineRule="auto"/>
        <w:ind w:left="1580" w:right="0" w:firstLine="0"/>
        <w:jc w:val="left"/>
      </w:pPr>
      <w:r>
        <w:rPr>
          <w:color w:val="000000"/>
          <w:spacing w:val="0"/>
          <w:w w:val="100"/>
          <w:position w:val="0"/>
        </w:rPr>
        <w:t>⑴明细情况</w:t>
      </w:r>
    </w:p>
    <w:tbl>
      <w:tblPr>
        <w:tblOverlap w:val="never"/>
        <w:jc w:val="center"/>
        <w:tblLayout w:type="fixed"/>
      </w:tblPr>
      <w:tblGrid>
        <w:gridCol w:w="912"/>
        <w:gridCol w:w="1272"/>
        <w:gridCol w:w="1277"/>
        <w:gridCol w:w="1205"/>
        <w:gridCol w:w="1190"/>
        <w:gridCol w:w="1190"/>
        <w:gridCol w:w="1200"/>
        <w:gridCol w:w="1190"/>
        <w:gridCol w:w="1224"/>
      </w:tblGrid>
      <w:tr>
        <w:trPr>
          <w:trHeight w:val="47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TPC Holding B. V.</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沈阳传化陆港物流有限公司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传化汇通物流公司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传化天地物流公司</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购买日</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账面价值</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633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147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677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387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249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759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其他应收</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其他流动</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r>
    </w:tbl>
    <w:p>
      <w:pPr>
        <w:spacing w:lineRule="exact" w:line="1"/>
        <w:rPr>
          <w:sz w:val="2"/>
          <w:szCs w:val="2"/>
        </w:rPr>
      </w:pPr>
      <w:r>
        <w:br w:type="page"/>
      </w:r>
    </w:p>
    <w:tbl>
      <w:tblPr>
        <w:tblOverlap w:val="never"/>
        <w:jc w:val="center"/>
        <w:tblLayout w:type="fixed"/>
      </w:tblPr>
      <w:tblGrid>
        <w:gridCol w:w="912"/>
        <w:gridCol w:w="1272"/>
        <w:gridCol w:w="1277"/>
        <w:gridCol w:w="1205"/>
        <w:gridCol w:w="1190"/>
        <w:gridCol w:w="1190"/>
        <w:gridCol w:w="1200"/>
        <w:gridCol w:w="1190"/>
        <w:gridCol w:w="1224"/>
      </w:tblGrid>
      <w:tr>
        <w:trPr>
          <w:trHeight w:val="523" w:hRule="exact"/>
        </w:trPr>
        <w:tc>
          <w:tcPr>
            <w:gridSpan w:val="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投资性房</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871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349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912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长期待摊</w:t>
            </w:r>
          </w:p>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其他非流</w:t>
            </w:r>
          </w:p>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递延所得</w:t>
            </w:r>
          </w:p>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759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492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042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074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674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衍生金融</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应付职工</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其他应付</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递延所得</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外币报表</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减：少数 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w:t>
            </w: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取得的净</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15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）可辨认资产、负债公允价值的确定方法</w:t>
      </w:r>
    </w:p>
    <w:p>
      <w:pPr>
        <w:pStyle w:val="Style111"/>
        <w:keepNext w:val="0"/>
        <w:keepLines w:val="0"/>
        <w:widowControl w:val="0"/>
        <w:shd w:val="clear" w:color="auto" w:fill="auto"/>
        <w:tabs>
          <w:tab w:pos="1919" w:val="left"/>
        </w:tabs>
        <w:bidi w:val="0"/>
        <w:spacing w:before="0" w:after="180" w:line="240" w:lineRule="auto"/>
        <w:ind w:left="1580" w:right="0" w:firstLine="0"/>
        <w:jc w:val="both"/>
      </w:pPr>
      <w:bookmarkStart w:id="369" w:name="bookmark369"/>
      <w:r>
        <w:rPr>
          <w:rFonts w:ascii="Times New Roman" w:eastAsia="Times New Roman" w:hAnsi="Times New Roman" w:cs="Times New Roman"/>
          <w:color w:val="000000"/>
          <w:spacing w:val="0"/>
          <w:w w:val="100"/>
          <w:position w:val="0"/>
          <w:shd w:val="clear" w:color="auto" w:fill="FFFFFF"/>
        </w:rPr>
        <w:t>1</w:t>
      </w:r>
      <w:bookmarkEnd w:id="369"/>
      <w:r>
        <w:rPr>
          <w:color w:val="000000"/>
          <w:spacing w:val="0"/>
          <w:w w:val="100"/>
          <w:position w:val="0"/>
          <w:shd w:val="clear" w:color="auto" w:fill="FFFFFF"/>
        </w:rPr>
        <w:t>）</w:t>
      </w:r>
      <w:r>
        <w:rPr>
          <w:color w:val="000000"/>
          <w:spacing w:val="0"/>
          <w:w w:val="100"/>
          <w:position w:val="0"/>
        </w:rPr>
        <w:tab/>
      </w:r>
      <w:r>
        <w:rPr>
          <w:color w:val="000000"/>
          <w:spacing w:val="0"/>
          <w:w w:val="100"/>
          <w:position w:val="0"/>
        </w:rPr>
        <w:t>TPC Holding B. V.</w:t>
      </w:r>
    </w:p>
    <w:p>
      <w:pPr>
        <w:pStyle w:val="Style1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可辨认资产、负债公允价值经</w:t>
      </w:r>
      <w:r>
        <w:rPr>
          <w:color w:val="000000"/>
          <w:spacing w:val="0"/>
          <w:w w:val="100"/>
          <w:position w:val="0"/>
        </w:rPr>
        <w:t xml:space="preserve">Ernst </w:t>
      </w:r>
      <w:r>
        <w:rPr>
          <w:color w:val="000000"/>
          <w:spacing w:val="0"/>
          <w:w w:val="100"/>
          <w:position w:val="0"/>
        </w:rPr>
        <w:t xml:space="preserve">&amp; </w:t>
      </w:r>
      <w:r>
        <w:rPr>
          <w:color w:val="000000"/>
          <w:spacing w:val="0"/>
          <w:w w:val="100"/>
          <w:position w:val="0"/>
        </w:rPr>
        <w:t>Young</w:t>
      </w: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日为基准日出具的</w:t>
      </w:r>
    </w:p>
    <w:p>
      <w:pPr>
        <w:pStyle w:val="Style111"/>
        <w:keepNext w:val="0"/>
        <w:keepLines w:val="0"/>
        <w:widowControl w:val="0"/>
        <w:shd w:val="clear" w:color="auto" w:fill="auto"/>
        <w:bidi w:val="0"/>
        <w:spacing w:before="0" w:after="180" w:line="439" w:lineRule="exact"/>
        <w:ind w:left="1260" w:right="0" w:firstLine="0"/>
        <w:jc w:val="left"/>
      </w:pPr>
      <w:r>
        <w:rPr>
          <w:color w:val="000000"/>
          <w:spacing w:val="0"/>
          <w:w w:val="100"/>
          <w:position w:val="0"/>
        </w:rPr>
        <w:t>《Purchase Price allocation support of TPC Holding B. V.</w:t>
      </w:r>
      <w:r>
        <w:rPr>
          <w:color w:val="000000"/>
          <w:spacing w:val="0"/>
          <w:w w:val="100"/>
          <w:position w:val="0"/>
        </w:rPr>
        <w:t>》评估确定。</w:t>
      </w:r>
    </w:p>
    <w:p>
      <w:pPr>
        <w:pStyle w:val="Style111"/>
        <w:keepNext w:val="0"/>
        <w:keepLines w:val="0"/>
        <w:widowControl w:val="0"/>
        <w:shd w:val="clear" w:color="auto" w:fill="auto"/>
        <w:tabs>
          <w:tab w:pos="1938" w:val="left"/>
        </w:tabs>
        <w:bidi w:val="0"/>
        <w:spacing w:before="0" w:after="0" w:line="458" w:lineRule="auto"/>
        <w:ind w:left="1580" w:right="0" w:firstLine="0"/>
        <w:jc w:val="both"/>
      </w:pPr>
      <w:bookmarkStart w:id="370" w:name="bookmark370"/>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r>
      <w:r>
        <w:rPr>
          <w:color w:val="000000"/>
          <w:spacing w:val="0"/>
          <w:w w:val="100"/>
          <w:position w:val="0"/>
        </w:rPr>
        <w:t>沈阳传化陆港物流有限公司</w:t>
      </w:r>
    </w:p>
    <w:p>
      <w:pPr>
        <w:pStyle w:val="Style111"/>
        <w:keepNext w:val="0"/>
        <w:keepLines w:val="0"/>
        <w:widowControl w:val="0"/>
        <w:shd w:val="clear" w:color="auto" w:fill="auto"/>
        <w:bidi w:val="0"/>
        <w:spacing w:before="0" w:after="180" w:line="439" w:lineRule="exact"/>
        <w:ind w:left="1160" w:right="0" w:firstLine="420"/>
        <w:jc w:val="both"/>
      </w:pPr>
      <w:r>
        <w:rPr>
          <w:color w:val="000000"/>
          <w:spacing w:val="0"/>
          <w:w w:val="100"/>
          <w:position w:val="0"/>
        </w:rPr>
        <w:t>可辨认资产、负债公允价值经辽宁中正兴业房地产土地评估有限公司以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日为评估基准日出具的《房地产估价结果报告》（辽中正评〔</w:t>
      </w:r>
      <w:r>
        <w:rPr>
          <w:rFonts w:ascii="Times New Roman" w:eastAsia="Times New Roman" w:hAnsi="Times New Roman" w:cs="Times New Roman"/>
          <w:color w:val="000000"/>
          <w:spacing w:val="0"/>
          <w:w w:val="100"/>
          <w:position w:val="0"/>
        </w:rPr>
        <w:t>2016</w:t>
      </w:r>
      <w:r>
        <w:rPr>
          <w:color w:val="000000"/>
          <w:spacing w:val="0"/>
          <w:w w:val="100"/>
          <w:position w:val="0"/>
        </w:rPr>
        <w:t>）字第</w:t>
      </w:r>
      <w:r>
        <w:rPr>
          <w:rFonts w:ascii="Times New Roman" w:eastAsia="Times New Roman" w:hAnsi="Times New Roman" w:cs="Times New Roman"/>
          <w:color w:val="000000"/>
          <w:spacing w:val="0"/>
          <w:w w:val="100"/>
          <w:position w:val="0"/>
        </w:rPr>
        <w:t>10005</w:t>
      </w:r>
      <w:r>
        <w:rPr>
          <w:color w:val="000000"/>
          <w:spacing w:val="0"/>
          <w:w w:val="100"/>
          <w:position w:val="0"/>
        </w:rPr>
        <w:t>号）评估确 定。</w:t>
      </w:r>
    </w:p>
    <w:p>
      <w:pPr>
        <w:pStyle w:val="Style111"/>
        <w:keepNext w:val="0"/>
        <w:keepLines w:val="0"/>
        <w:widowControl w:val="0"/>
        <w:shd w:val="clear" w:color="auto" w:fill="auto"/>
        <w:tabs>
          <w:tab w:pos="1938" w:val="left"/>
        </w:tabs>
        <w:bidi w:val="0"/>
        <w:spacing w:before="0" w:after="0" w:line="458" w:lineRule="auto"/>
        <w:ind w:left="1580" w:right="0" w:firstLine="0"/>
        <w:jc w:val="both"/>
      </w:pPr>
      <w:bookmarkStart w:id="371" w:name="bookmark371"/>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传化汇通物流公司</w:t>
      </w:r>
    </w:p>
    <w:p>
      <w:pPr>
        <w:pStyle w:val="Style111"/>
        <w:keepNext w:val="0"/>
        <w:keepLines w:val="0"/>
        <w:widowControl w:val="0"/>
        <w:shd w:val="clear" w:color="auto" w:fill="auto"/>
        <w:bidi w:val="0"/>
        <w:spacing w:before="0" w:after="180" w:line="439" w:lineRule="exact"/>
        <w:ind w:left="1580" w:right="0" w:firstLine="0"/>
        <w:jc w:val="both"/>
      </w:pPr>
      <w:r>
        <w:rPr>
          <w:color w:val="000000"/>
          <w:spacing w:val="0"/>
          <w:w w:val="100"/>
          <w:position w:val="0"/>
        </w:rPr>
        <w:t>可辨认资产、负债公允价值经坤元资产评估有限公司以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w:t>
        <w:br w:type="page"/>
      </w:r>
      <w:r>
        <w:rPr>
          <w:color w:val="000000"/>
          <w:spacing w:val="0"/>
          <w:w w:val="100"/>
          <w:position w:val="0"/>
        </w:rPr>
        <w:t>出具了《杭州金弘科技有限公司股东拟进行股权转让涉及的该公司股东全部权益价值评估项 目资产评估报告》（坤元评报〔</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442</w:t>
      </w:r>
      <w:r>
        <w:rPr>
          <w:color w:val="000000"/>
          <w:spacing w:val="0"/>
          <w:w w:val="100"/>
          <w:position w:val="0"/>
        </w:rPr>
        <w:t>号）评估确定。</w:t>
      </w:r>
    </w:p>
    <w:p>
      <w:pPr>
        <w:pStyle w:val="Style111"/>
        <w:keepNext w:val="0"/>
        <w:keepLines w:val="0"/>
        <w:widowControl w:val="0"/>
        <w:shd w:val="clear" w:color="auto" w:fill="auto"/>
        <w:bidi w:val="0"/>
        <w:spacing w:before="0" w:after="0" w:line="442" w:lineRule="auto"/>
        <w:ind w:left="1580" w:right="0" w:firstLine="0"/>
        <w:jc w:val="left"/>
      </w:pPr>
      <w:bookmarkStart w:id="372" w:name="bookmark372"/>
      <w:r>
        <w:rPr>
          <w:rFonts w:ascii="Times New Roman" w:eastAsia="Times New Roman" w:hAnsi="Times New Roman" w:cs="Times New Roman"/>
          <w:color w:val="000000"/>
          <w:spacing w:val="0"/>
          <w:w w:val="100"/>
          <w:position w:val="0"/>
        </w:rPr>
        <w:t>4</w:t>
      </w:r>
      <w:bookmarkEnd w:id="372"/>
      <w:r>
        <w:rPr>
          <w:color w:val="000000"/>
          <w:spacing w:val="0"/>
          <w:w w:val="100"/>
          <w:position w:val="0"/>
        </w:rPr>
        <w:t>）传化天地物流公司</w:t>
      </w:r>
    </w:p>
    <w:p>
      <w:pPr>
        <w:pStyle w:val="Style111"/>
        <w:keepNext w:val="0"/>
        <w:keepLines w:val="0"/>
        <w:widowControl w:val="0"/>
        <w:shd w:val="clear" w:color="auto" w:fill="auto"/>
        <w:bidi w:val="0"/>
        <w:spacing w:before="0" w:after="180" w:line="432" w:lineRule="exact"/>
        <w:ind w:left="1100" w:right="1120" w:firstLine="0"/>
        <w:jc w:val="right"/>
      </w:pPr>
      <w:r>
        <w:rPr>
          <w:color w:val="000000"/>
          <w:spacing w:val="0"/>
          <w:w w:val="100"/>
          <w:position w:val="0"/>
        </w:rPr>
        <w:t>可辨认资产、负债公允价值经中联资产评估集团有限公司以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 准日出具了《传化物流集团有限公司拟收购宁波时代永升物流有限公司</w:t>
      </w:r>
      <w:r>
        <w:rPr>
          <w:rFonts w:ascii="Times New Roman" w:eastAsia="Times New Roman" w:hAnsi="Times New Roman" w:cs="Times New Roman"/>
          <w:color w:val="000000"/>
          <w:spacing w:val="0"/>
          <w:w w:val="100"/>
          <w:position w:val="0"/>
        </w:rPr>
        <w:t>80</w:t>
      </w:r>
      <w:r>
        <w:rPr>
          <w:color w:val="000000"/>
          <w:spacing w:val="0"/>
          <w:w w:val="100"/>
          <w:position w:val="0"/>
        </w:rPr>
        <w:t>%股权涉及的资产</w:t>
      </w:r>
    </w:p>
    <w:p>
      <w:pPr>
        <w:pStyle w:val="Style111"/>
        <w:keepNext w:val="0"/>
        <w:keepLines w:val="0"/>
        <w:widowControl w:val="0"/>
        <w:shd w:val="clear" w:color="auto" w:fill="auto"/>
        <w:bidi w:val="0"/>
        <w:spacing w:before="0" w:after="180" w:line="240" w:lineRule="auto"/>
        <w:ind w:left="1140" w:right="0" w:firstLine="0"/>
        <w:jc w:val="left"/>
      </w:pPr>
      <w:r>
        <w:rPr>
          <w:color w:val="000000"/>
          <w:spacing w:val="0"/>
          <w:w w:val="100"/>
          <w:position w:val="0"/>
        </w:rPr>
        <w:t>及负债评估项目资产评估报告》（中联评报字〔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1854</w:t>
      </w:r>
      <w:r>
        <w:rPr>
          <w:color w:val="000000"/>
          <w:spacing w:val="0"/>
          <w:w w:val="100"/>
          <w:position w:val="0"/>
        </w:rPr>
        <w:t>号）评估确定。</w:t>
      </w:r>
    </w:p>
    <w:p>
      <w:pPr>
        <w:pStyle w:val="Style111"/>
        <w:keepNext w:val="0"/>
        <w:keepLines w:val="0"/>
        <w:widowControl w:val="0"/>
        <w:shd w:val="clear" w:color="auto" w:fill="auto"/>
        <w:bidi w:val="0"/>
        <w:spacing w:before="0" w:after="180" w:line="240" w:lineRule="auto"/>
        <w:ind w:left="1680" w:right="0" w:firstLine="0"/>
        <w:jc w:val="left"/>
      </w:pPr>
      <w:r>
        <w:rPr>
          <w:color w:val="000000"/>
          <w:spacing w:val="0"/>
          <w:w w:val="100"/>
          <w:position w:val="0"/>
        </w:rPr>
        <w:t>（二）其他原因的合并范围变动</w:t>
      </w:r>
    </w:p>
    <w:p>
      <w:pPr>
        <w:pStyle w:val="Style111"/>
        <w:keepNext w:val="0"/>
        <w:keepLines w:val="0"/>
        <w:widowControl w:val="0"/>
        <w:numPr>
          <w:ilvl w:val="0"/>
          <w:numId w:val="109"/>
        </w:numPr>
        <w:shd w:val="clear" w:color="auto" w:fill="auto"/>
        <w:bidi w:val="0"/>
        <w:spacing w:before="0" w:after="80" w:line="240" w:lineRule="auto"/>
        <w:ind w:left="1580" w:right="0" w:firstLine="0"/>
        <w:jc w:val="left"/>
      </w:pPr>
      <w:bookmarkStart w:id="373" w:name="bookmark373"/>
      <w:bookmarkEnd w:id="373"/>
      <w:r>
        <w:rPr>
          <w:color w:val="000000"/>
          <w:spacing w:val="0"/>
          <w:w w:val="100"/>
          <w:position w:val="0"/>
        </w:rPr>
        <w:t>合并范围增加</w:t>
      </w:r>
    </w:p>
    <w:tbl>
      <w:tblPr>
        <w:tblOverlap w:val="never"/>
        <w:jc w:val="center"/>
        <w:tblLayout w:type="fixed"/>
      </w:tblPr>
      <w:tblGrid>
        <w:gridCol w:w="629"/>
        <w:gridCol w:w="2962"/>
        <w:gridCol w:w="850"/>
        <w:gridCol w:w="1416"/>
        <w:gridCol w:w="1747"/>
        <w:gridCol w:w="787"/>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股权取</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得方式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持股比 例（%）</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传化荷兰公司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EUR</w:t>
            </w:r>
            <w:r>
              <w:rPr>
                <w:rFonts w:ascii="Times New Roman" w:eastAsia="Times New Roman" w:hAnsi="Times New Roman" w:cs="Times New Roman"/>
                <w:color w:val="000000"/>
                <w:spacing w:val="0"/>
                <w:w w:val="100"/>
                <w:position w:val="0"/>
                <w:sz w:val="18"/>
                <w:szCs w:val="18"/>
              </w:rPr>
              <w:t>104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福建传化德峰汽车销售有限公司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泉州传化供应链管理有限公司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淮安传化石油销售有限公司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包头传化交投顺意城市物流中心有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包头传化交投石油销售有限公司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包头传化交投汽贸有限公司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南充传化石油销售有限公司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南充传化机动车检测有限公司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长沙传化供应链管理有限公司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无锡传化宝航城市物流有限公司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淮北传化物流投资有限公司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淄博传化金泰公路港物流有限公司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淄博传化惠达物流供应链有限公司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传化商业保理有限公司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上海传化海江公路港物流有限公司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传化保险经纪有限公司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杭州传化货嘀科技有限公司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六安传化信实公路港物流有限公司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天津传化融资租赁有限公司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浙江传化陆鲸科技有限公司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629"/>
        <w:gridCol w:w="2962"/>
        <w:gridCol w:w="850"/>
        <w:gridCol w:w="1416"/>
        <w:gridCol w:w="1747"/>
        <w:gridCol w:w="787"/>
      </w:tblGrid>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漳州传化公路港物流有限公司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沧州传化物流发展有限公司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沧州传化公路港物流有限公司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杭州传金所互联网金融服务有限公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杭州传化公路港建设有限公司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合肥传化信实公路港物流有限公司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Transfar Logistics International Holdings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杭州传化运联科技有限公司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青岛传化平宇供应链管理有限公司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杭州货嘀物流有限公司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杭州旺载物流有限公司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宜宾传化公路港物流有限公司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怀化传化公路港物流有限公司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武汉传化致远公路港物流有限公司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深圳传化供应链有限公司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上海传化物流信息科技有限公司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天津港传化物流有限公司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尚未出资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杭州传化唯迅新材料有限公司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11"/>
        <w:keepNext w:val="0"/>
        <w:keepLines w:val="0"/>
        <w:widowControl w:val="0"/>
        <w:numPr>
          <w:ilvl w:val="0"/>
          <w:numId w:val="109"/>
        </w:numPr>
        <w:shd w:val="clear" w:color="auto" w:fill="auto"/>
        <w:bidi w:val="0"/>
        <w:spacing w:before="0" w:after="80" w:line="240" w:lineRule="auto"/>
        <w:ind w:left="1580" w:right="0" w:firstLine="0"/>
        <w:jc w:val="left"/>
      </w:pPr>
      <w:bookmarkStart w:id="374" w:name="bookmark374"/>
      <w:bookmarkEnd w:id="374"/>
      <w:r>
        <w:rPr>
          <w:color w:val="000000"/>
          <w:spacing w:val="0"/>
          <w:w w:val="100"/>
          <w:position w:val="0"/>
        </w:rPr>
        <w:t>合并范围减少</w:t>
      </w:r>
    </w:p>
    <w:tbl>
      <w:tblPr>
        <w:tblOverlap w:val="never"/>
        <w:jc w:val="center"/>
        <w:tblLayout w:type="fixed"/>
      </w:tblPr>
      <w:tblGrid>
        <w:gridCol w:w="1738"/>
        <w:gridCol w:w="1704"/>
        <w:gridCol w:w="1704"/>
        <w:gridCol w:w="1704"/>
        <w:gridCol w:w="1738"/>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期初至处置日 净利润</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成都安途商贸有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w:t>
            </w:r>
          </w:p>
        </w:tc>
      </w:tr>
    </w:tbl>
    <w:p>
      <w:pPr>
        <w:widowControl w:val="0"/>
        <w:spacing w:after="539" w:line="1" w:lineRule="exact"/>
      </w:pPr>
    </w:p>
    <w:p>
      <w:pPr>
        <w:pStyle w:val="Style6"/>
        <w:keepNext w:val="0"/>
        <w:keepLines w:val="0"/>
        <w:widowControl w:val="0"/>
        <w:shd w:val="clear" w:color="auto" w:fill="auto"/>
        <w:bidi w:val="0"/>
        <w:spacing w:before="0" w:after="180" w:line="240" w:lineRule="auto"/>
        <w:ind w:left="1580" w:right="0" w:firstLine="0"/>
        <w:jc w:val="left"/>
        <w:rPr>
          <w:sz w:val="20"/>
          <w:szCs w:val="20"/>
        </w:rPr>
      </w:pPr>
      <w:r>
        <w:rPr>
          <w:rFonts w:ascii="SimHei" w:eastAsia="SimHei" w:hAnsi="SimHei" w:cs="SimHei"/>
          <w:b/>
          <w:bCs/>
          <w:color w:val="000000"/>
          <w:spacing w:val="0"/>
          <w:w w:val="100"/>
          <w:position w:val="0"/>
          <w:sz w:val="20"/>
          <w:szCs w:val="20"/>
        </w:rPr>
        <w:t>七'在其他主体中的权益</w:t>
      </w:r>
    </w:p>
    <w:p>
      <w:pPr>
        <w:pStyle w:val="Style111"/>
        <w:keepNext w:val="0"/>
        <w:keepLines w:val="0"/>
        <w:widowControl w:val="0"/>
        <w:shd w:val="clear" w:color="auto" w:fill="auto"/>
        <w:bidi w:val="0"/>
        <w:spacing w:before="0" w:after="180" w:line="240" w:lineRule="auto"/>
        <w:ind w:left="1580" w:right="0" w:firstLine="0"/>
        <w:jc w:val="left"/>
      </w:pPr>
      <w:r>
        <w:rPr>
          <w:color w:val="000000"/>
          <w:spacing w:val="0"/>
          <w:w w:val="100"/>
          <w:position w:val="0"/>
        </w:rPr>
        <w:t>(一)在重要子公司中的权益</w:t>
      </w:r>
    </w:p>
    <w:p>
      <w:pPr>
        <w:pStyle w:val="Style111"/>
        <w:keepNext w:val="0"/>
        <w:keepLines w:val="0"/>
        <w:widowControl w:val="0"/>
        <w:numPr>
          <w:ilvl w:val="0"/>
          <w:numId w:val="111"/>
        </w:numPr>
        <w:shd w:val="clear" w:color="auto" w:fill="auto"/>
        <w:bidi w:val="0"/>
        <w:spacing w:before="0" w:after="180" w:line="240" w:lineRule="auto"/>
        <w:ind w:left="1580" w:right="0" w:firstLine="0"/>
        <w:jc w:val="left"/>
      </w:pPr>
      <w:bookmarkStart w:id="375" w:name="bookmark375"/>
      <w:bookmarkEnd w:id="375"/>
      <w:r>
        <w:rPr>
          <w:color w:val="000000"/>
          <w:spacing w:val="0"/>
          <w:w w:val="100"/>
          <w:position w:val="0"/>
        </w:rPr>
        <w:t>重要子公司的构成</w:t>
      </w:r>
    </w:p>
    <w:p>
      <w:pPr>
        <w:pStyle w:val="Style111"/>
        <w:keepNext w:val="0"/>
        <w:keepLines w:val="0"/>
        <w:widowControl w:val="0"/>
        <w:shd w:val="clear" w:color="auto" w:fill="auto"/>
        <w:bidi w:val="0"/>
        <w:spacing w:before="0" w:after="180" w:line="240" w:lineRule="auto"/>
        <w:ind w:left="15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)基本情况</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持股比例陶</w:t>
      </w:r>
    </w:p>
    <w:p>
      <w:pPr>
        <w:pStyle w:val="Style6"/>
        <w:keepNext w:val="0"/>
        <w:keepLines w:val="0"/>
        <w:widowControl w:val="0"/>
        <w:shd w:val="clear" w:color="auto" w:fill="auto"/>
        <w:tabs>
          <w:tab w:pos="1334" w:val="left"/>
          <w:tab w:pos="3864" w:val="left"/>
          <w:tab w:leader="hyphen" w:pos="6182" w:val="left"/>
          <w:tab w:leader="hyphen" w:pos="7133" w:val="left"/>
        </w:tabs>
        <w:bidi w:val="0"/>
        <w:spacing w:before="0" w:after="0" w:line="240" w:lineRule="auto"/>
        <w:ind w:left="0" w:right="0" w:firstLine="0"/>
        <w:jc w:val="center"/>
        <w:rPr>
          <w:sz w:val="18"/>
          <w:szCs w:val="18"/>
        </w:rPr>
      </w:pPr>
      <w:r>
        <w:rPr>
          <w:color w:val="000000"/>
          <w:spacing w:val="0"/>
          <w:w w:val="100"/>
          <w:position w:val="0"/>
          <w:sz w:val="18"/>
          <w:szCs w:val="18"/>
        </w:rPr>
        <w:t>子公司名称</w:t>
        <w:tab/>
        <w:t>主要经营地 注册地</w:t>
        <w:tab/>
        <w:t>业务性质</w:t>
        <w:tab/>
        <w:tab/>
        <w:t>取得方式</w:t>
      </w:r>
    </w:p>
    <w:p>
      <w:pPr>
        <w:pStyle w:val="Style6"/>
        <w:keepNext w:val="0"/>
        <w:keepLines w:val="0"/>
        <w:widowControl w:val="0"/>
        <w:shd w:val="clear" w:color="auto" w:fill="auto"/>
        <w:tabs>
          <w:tab w:pos="7993" w:val="left"/>
        </w:tabs>
        <w:bidi w:val="0"/>
        <w:spacing w:before="0" w:after="180" w:line="240" w:lineRule="auto"/>
        <w:ind w:left="6860" w:right="0" w:firstLine="0"/>
        <w:jc w:val="left"/>
        <w:rPr>
          <w:sz w:val="18"/>
          <w:szCs w:val="18"/>
        </w:rPr>
      </w:pPr>
      <w:r>
        <w:rPr>
          <w:color w:val="000000"/>
          <w:spacing w:val="0"/>
          <w:w w:val="100"/>
          <w:position w:val="0"/>
          <w:sz w:val="18"/>
          <w:szCs w:val="18"/>
        </w:rPr>
        <w:t>直接</w:t>
        <w:tab/>
        <w:t>间接</w:t>
      </w:r>
      <w:r>
        <w:br w:type="page"/>
      </w:r>
    </w:p>
    <w:tbl>
      <w:tblPr>
        <w:tblOverlap w:val="never"/>
        <w:jc w:val="center"/>
        <w:tblLayout w:type="fixed"/>
      </w:tblPr>
      <w:tblGrid>
        <w:gridCol w:w="1800"/>
        <w:gridCol w:w="989"/>
        <w:gridCol w:w="1243"/>
        <w:gridCol w:w="1334"/>
        <w:gridCol w:w="1296"/>
        <w:gridCol w:w="960"/>
        <w:gridCol w:w="1234"/>
      </w:tblGrid>
      <w:tr>
        <w:trPr>
          <w:trHeight w:val="52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传化化学品公司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sz w:val="18"/>
                <w:szCs w:val="18"/>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传化合成材料公司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上海传化誉辉新材 料科技有限公司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1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8"/>
                <w:szCs w:val="18"/>
              </w:rPr>
              <w:t>92</w:t>
            </w:r>
            <w:r>
              <w:rPr>
                <w:color w:val="000000"/>
                <w:spacing w:val="0"/>
                <w:w w:val="100"/>
                <w:position w:val="0"/>
                <w:sz w:val="18"/>
                <w:szCs w:val="18"/>
              </w:rPr>
              <w:t xml:space="preserve">. </w:t>
            </w:r>
            <w:r>
              <w:rPr>
                <w:rFonts w:ascii="Times New Roman" w:eastAsia="Times New Roman" w:hAnsi="Times New Roman" w:cs="Times New Roman"/>
                <w:i/>
                <w:iCs/>
                <w:color w:val="000000"/>
                <w:spacing w:val="0"/>
                <w:w w:val="100"/>
                <w:position w:val="0"/>
                <w:sz w:val="15"/>
                <w:szCs w:val="15"/>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杭州传化建筑新材 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浙江传化化工科技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浙江平湖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浙江平湖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浙江传化橡胶有限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山东传化凯岳化工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山东无棣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山东无棣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传化涂料公司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杭州传化唯迅新材 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浙江临安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浙江临安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临安市南庄塑化有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浙江临安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浙江临安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浙江传化天松新材</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浙江平湖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浙江平湖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传化（香港）有限公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非同一控制 下企业合并</w:t>
            </w:r>
          </w:p>
        </w:tc>
      </w:tr>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广东顺德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广东顺德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非同一控制 下企业合并</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sz w:val="18"/>
                <w:szCs w:val="18"/>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传化公路港物流有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成都传化公路港公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四川成都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成都传化石油销售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四川成都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石化产品销售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苏州传化公路港物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江苏苏州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40" w:line="240" w:lineRule="auto"/>
              <w:ind w:left="140" w:right="0" w:firstLine="0"/>
              <w:jc w:val="left"/>
              <w:rPr>
                <w:sz w:val="18"/>
                <w:szCs w:val="18"/>
              </w:rPr>
            </w:pPr>
            <w:r>
              <w:rPr>
                <w:color w:val="000000"/>
                <w:spacing w:val="0"/>
                <w:w w:val="100"/>
                <w:position w:val="0"/>
                <w:sz w:val="18"/>
                <w:szCs w:val="18"/>
              </w:rPr>
              <w:t>浙江传化公路港物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衢州传化公路港物 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浙江衢州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浙江衢州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浙江路港互通信息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信息技术服务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青岛传化公路港物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山东青岛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泉州传化公路港物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福建晋江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福建晋江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淮安传化公路港物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江苏淮安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江苏淮安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物流运输行业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bl>
    <w:p>
      <w:pPr>
        <w:sectPr>
          <w:footnotePr>
            <w:pos w:val="pageBottom"/>
            <w:numFmt w:val="decimal"/>
            <w:numRestart w:val="continuous"/>
          </w:footnotePr>
          <w:pgSz w:w="11900" w:h="16840"/>
          <w:pgMar w:top="1345" w:right="620" w:bottom="1446" w:left="620"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800"/>
        <w:gridCol w:w="989"/>
        <w:gridCol w:w="1243"/>
        <w:gridCol w:w="1334"/>
        <w:gridCol w:w="1296"/>
        <w:gridCol w:w="960"/>
        <w:gridCol w:w="1234"/>
      </w:tblGrid>
      <w:tr>
        <w:trPr>
          <w:trHeight w:val="55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南充传化公路港物 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四川南充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四川南充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长沙传化公路港物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湖南长沙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无锡传化公路港物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江苏无锡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江苏无锡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杭州富阳传化物流 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同一控制下 企业合并</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淮北传化公路港物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安徽淮北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安徽淮北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杭州众成供应链管</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淄博传化金泰公路 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山东淄博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山东淄博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传化商业保理有限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上海传化海江公路 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杭州传化货嘀科技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天津传化融资租赁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浙江传化陆鲸科技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商丘传化公路港物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设立</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重庆传化公路港物</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重庆沙坪 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重庆沙坪坝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非同一控制 下企业合并</w:t>
            </w:r>
          </w:p>
        </w:tc>
      </w:tr>
      <w:tr>
        <w:trPr>
          <w:trHeight w:val="54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沈阳传化陆港物流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非同一控制 下企业合并</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非同一控制 下企业合并</w:t>
            </w:r>
          </w:p>
        </w:tc>
      </w:tr>
      <w:tr>
        <w:trPr>
          <w:trHeight w:val="54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传化天地物流公司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浙江宁波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浙江宁波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物流运输行业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非同一控制 下企业合并</w:t>
            </w:r>
          </w:p>
        </w:tc>
      </w:tr>
    </w:tbl>
    <w:p>
      <w:pPr>
        <w:widowControl w:val="0"/>
        <w:spacing w:after="79" w:line="1" w:lineRule="exact"/>
      </w:pPr>
    </w:p>
    <w:p>
      <w:pPr>
        <w:pStyle w:val="Style1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如本财务报表附注长期应付款所述，国开基金公司以明股实债形式对传化物流</w:t>
      </w:r>
    </w:p>
    <w:p>
      <w:pPr>
        <w:pStyle w:val="Style111"/>
        <w:keepNext w:val="0"/>
        <w:keepLines w:val="0"/>
        <w:widowControl w:val="0"/>
        <w:shd w:val="clear" w:color="auto" w:fill="auto"/>
        <w:bidi w:val="0"/>
        <w:spacing w:before="0" w:after="0" w:line="442" w:lineRule="exact"/>
        <w:ind w:left="140" w:right="0" w:firstLine="0"/>
        <w:jc w:val="left"/>
      </w:pPr>
      <w:r>
        <w:rPr>
          <w:color w:val="000000"/>
          <w:spacing w:val="0"/>
          <w:w w:val="100"/>
          <w:position w:val="0"/>
        </w:rPr>
        <w:t>集团增资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亿元，享有传化物流集团</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 xml:space="preserve">79 </w:t>
      </w:r>
      <w:r>
        <w:rPr>
          <w:color w:val="000000"/>
          <w:spacing w:val="0"/>
          <w:w w:val="100"/>
          <w:position w:val="0"/>
        </w:rPr>
        <w:t>%的股权；对传化化学品公司增资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227</w:t>
      </w:r>
      <w:r>
        <w:rPr>
          <w:color w:val="000000"/>
          <w:spacing w:val="0"/>
          <w:w w:val="100"/>
          <w:position w:val="0"/>
        </w:rPr>
        <w:t>万元, 享有传化化学品公司</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%的股权。截至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日，传化化学品公司尚未办妥上 述增资事项的工商变更登记手续。</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由传化（香港）有限公司持有。</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由天松股份公司持有。</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由传化物流集团持有。</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由传化公路港物流有限公司持有。</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由成都传化公路港公司持有。</w:t>
      </w:r>
    </w:p>
    <w:p>
      <w:pPr>
        <w:pStyle w:val="Style111"/>
        <w:keepNext w:val="0"/>
        <w:keepLines w:val="0"/>
        <w:widowControl w:val="0"/>
        <w:shd w:val="clear" w:color="auto" w:fill="auto"/>
        <w:bidi w:val="0"/>
        <w:spacing w:before="0" w:after="0" w:line="442"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由传化涂料公司持有。</w:t>
      </w:r>
    </w:p>
    <w:p>
      <w:pPr>
        <w:pStyle w:val="Style111"/>
        <w:keepNext w:val="0"/>
        <w:keepLines w:val="0"/>
        <w:widowControl w:val="0"/>
        <w:shd w:val="clear" w:color="auto" w:fill="auto"/>
        <w:bidi w:val="0"/>
        <w:spacing w:before="0" w:after="0" w:line="437"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r>
        <w:rPr>
          <w:color w:val="000000"/>
          <w:spacing w:val="0"/>
          <w:w w:val="100"/>
          <w:position w:val="0"/>
        </w:rPr>
        <w:t>由传化合成材料公司持有</w:t>
      </w:r>
    </w:p>
    <w:p>
      <w:pPr>
        <w:pStyle w:val="Style111"/>
        <w:keepNext w:val="0"/>
        <w:keepLines w:val="0"/>
        <w:widowControl w:val="0"/>
        <w:shd w:val="clear" w:color="auto" w:fill="auto"/>
        <w:bidi w:val="0"/>
        <w:spacing w:before="0" w:after="0" w:line="43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）持有半数或以下表决权但仍控制被投资单位，以及持有半数以上表决权但不控制被 投资单位的依据</w:t>
      </w:r>
    </w:p>
    <w:p>
      <w:pPr>
        <w:pStyle w:val="Style111"/>
        <w:keepNext w:val="0"/>
        <w:keepLines w:val="0"/>
        <w:widowControl w:val="0"/>
        <w:shd w:val="clear" w:color="auto" w:fill="auto"/>
        <w:tabs>
          <w:tab w:pos="897" w:val="left"/>
        </w:tabs>
        <w:bidi w:val="0"/>
        <w:spacing w:before="0" w:after="0" w:line="437" w:lineRule="exact"/>
        <w:ind w:left="0" w:right="0" w:firstLine="560"/>
        <w:jc w:val="left"/>
      </w:pPr>
      <w:bookmarkStart w:id="376" w:name="bookmark376"/>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持有半数或以下表决权但仍控制的被投资单位</w:t>
      </w:r>
    </w:p>
    <w:p>
      <w:pPr>
        <w:pStyle w:val="Style111"/>
        <w:keepNext w:val="0"/>
        <w:keepLines w:val="0"/>
        <w:widowControl w:val="0"/>
        <w:shd w:val="clear" w:color="auto" w:fill="auto"/>
        <w:bidi w:val="0"/>
        <w:spacing w:before="0" w:after="0" w:line="437" w:lineRule="exact"/>
        <w:ind w:left="0" w:right="0" w:firstLine="560"/>
        <w:jc w:val="left"/>
      </w:pPr>
      <w:r>
        <w:rPr>
          <w:color w:val="000000"/>
          <w:spacing w:val="0"/>
          <w:w w:val="100"/>
          <w:position w:val="0"/>
        </w:rPr>
        <w:t>根据子公司成都传化公路港公司与成都传化石油销售有限公司（以下简称成都传化石油 公司）股东成都盛丰邦瑞投资有限公司（持有成都传化石油公司</w:t>
      </w:r>
      <w:r>
        <w:rPr>
          <w:rFonts w:ascii="Times New Roman" w:eastAsia="Times New Roman" w:hAnsi="Times New Roman" w:cs="Times New Roman"/>
          <w:color w:val="000000"/>
          <w:spacing w:val="0"/>
          <w:w w:val="100"/>
          <w:position w:val="0"/>
        </w:rPr>
        <w:t>30</w:t>
      </w:r>
      <w:r>
        <w:rPr>
          <w:color w:val="000000"/>
          <w:spacing w:val="0"/>
          <w:w w:val="100"/>
          <w:position w:val="0"/>
        </w:rPr>
        <w:t>%股权）签订的《协议书》 相关约定，成都盛丰邦瑞投资有限公司就有关成都传化石油公司经营发展的重大事项向股东 会、董事会行使提案权和在相关股东会、董事会上行使表决权时与成都传化公路港公司保持 一致，并最终以成都传化公路港公司的意见为准。公司实际拥有该公司</w:t>
      </w:r>
      <w:r>
        <w:rPr>
          <w:rFonts w:ascii="Times New Roman" w:eastAsia="Times New Roman" w:hAnsi="Times New Roman" w:cs="Times New Roman"/>
          <w:color w:val="000000"/>
          <w:spacing w:val="0"/>
          <w:w w:val="100"/>
          <w:position w:val="0"/>
        </w:rPr>
        <w:t>70</w:t>
      </w:r>
      <w:r>
        <w:rPr>
          <w:color w:val="000000"/>
          <w:spacing w:val="0"/>
          <w:w w:val="100"/>
          <w:position w:val="0"/>
        </w:rPr>
        <w:t>%表决权，故将其 纳入合并财务报表范围。</w:t>
      </w:r>
    </w:p>
    <w:p>
      <w:pPr>
        <w:pStyle w:val="Style111"/>
        <w:keepNext w:val="0"/>
        <w:keepLines w:val="0"/>
        <w:widowControl w:val="0"/>
        <w:shd w:val="clear" w:color="auto" w:fill="auto"/>
        <w:tabs>
          <w:tab w:pos="926" w:val="left"/>
        </w:tabs>
        <w:bidi w:val="0"/>
        <w:spacing w:before="0" w:after="0" w:line="437" w:lineRule="exact"/>
        <w:ind w:left="0" w:right="0" w:firstLine="560"/>
        <w:jc w:val="left"/>
      </w:pPr>
      <w:bookmarkStart w:id="377" w:name="bookmark377"/>
      <w:r>
        <w:rPr>
          <w:rFonts w:ascii="Times New Roman" w:eastAsia="Times New Roman" w:hAnsi="Times New Roman" w:cs="Times New Roman"/>
          <w:color w:val="000000"/>
          <w:spacing w:val="0"/>
          <w:w w:val="100"/>
          <w:position w:val="0"/>
        </w:rPr>
        <w:t>2</w:t>
      </w:r>
      <w:bookmarkEnd w:id="377"/>
      <w:r>
        <w:rPr>
          <w:color w:val="000000"/>
          <w:spacing w:val="0"/>
          <w:w w:val="100"/>
          <w:position w:val="0"/>
        </w:rPr>
        <w:t>）</w:t>
        <w:tab/>
        <w:t>持有半数以上表决权但不控制的被投资单位</w:t>
      </w:r>
    </w:p>
    <w:p>
      <w:pPr>
        <w:pStyle w:val="Style111"/>
        <w:keepNext w:val="0"/>
        <w:keepLines w:val="0"/>
        <w:widowControl w:val="0"/>
        <w:shd w:val="clear" w:color="auto" w:fill="auto"/>
        <w:bidi w:val="0"/>
        <w:spacing w:before="0" w:after="180" w:line="437" w:lineRule="exact"/>
        <w:ind w:left="0" w:right="0" w:firstLine="560"/>
        <w:jc w:val="left"/>
      </w:pPr>
      <w:r>
        <w:rPr>
          <w:color w:val="000000"/>
          <w:spacing w:val="0"/>
          <w:w w:val="100"/>
          <w:position w:val="0"/>
        </w:rPr>
        <w:t>如本财务报表附注可供出售金融资产所述，子公司传化物流集团持有内江传化置业有限 公司</w:t>
      </w:r>
      <w:r>
        <w:rPr>
          <w:rFonts w:ascii="Times New Roman" w:eastAsia="Times New Roman" w:hAnsi="Times New Roman" w:cs="Times New Roman"/>
          <w:color w:val="000000"/>
          <w:spacing w:val="0"/>
          <w:w w:val="100"/>
          <w:position w:val="0"/>
        </w:rPr>
        <w:t>60</w:t>
      </w:r>
      <w:r>
        <w:rPr>
          <w:color w:val="000000"/>
          <w:spacing w:val="0"/>
          <w:w w:val="100"/>
          <w:position w:val="0"/>
        </w:rPr>
        <w:t>%的股权，但内江传化置业有限公司取得土地后的工程建设、房产销售、日常经营管 理等均由成都传化置业有限公司负责，传化物流集团不参与内江传化置业有限公司分红也不 承担其亏损。公司实际上不拥有该公司的的控股权，故未将其纳入合并范围。</w:t>
      </w:r>
    </w:p>
    <w:p>
      <w:pPr>
        <w:pStyle w:val="Style111"/>
        <w:keepNext w:val="0"/>
        <w:keepLines w:val="0"/>
        <w:widowControl w:val="0"/>
        <w:numPr>
          <w:ilvl w:val="0"/>
          <w:numId w:val="111"/>
        </w:numPr>
        <w:shd w:val="clear" w:color="auto" w:fill="auto"/>
        <w:bidi w:val="0"/>
        <w:spacing w:before="0" w:after="180" w:line="240" w:lineRule="auto"/>
        <w:ind w:left="0" w:right="0" w:firstLine="560"/>
        <w:jc w:val="left"/>
      </w:pPr>
      <w:bookmarkStart w:id="378" w:name="bookmark378"/>
      <w:bookmarkEnd w:id="378"/>
      <w:r>
        <w:rPr>
          <w:color w:val="000000"/>
          <w:spacing w:val="0"/>
          <w:w w:val="100"/>
          <w:position w:val="0"/>
        </w:rPr>
        <w:t>重要的非全资子公司</w:t>
      </w:r>
    </w:p>
    <w:p>
      <w:pPr>
        <w:pStyle w:val="Style11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⑴明细情况</w:t>
      </w:r>
    </w:p>
    <w:tbl>
      <w:tblPr>
        <w:tblOverlap w:val="never"/>
        <w:jc w:val="center"/>
        <w:tblLayout w:type="fixed"/>
      </w:tblPr>
      <w:tblGrid>
        <w:gridCol w:w="2606"/>
        <w:gridCol w:w="1248"/>
        <w:gridCol w:w="1536"/>
        <w:gridCol w:w="1541"/>
        <w:gridCol w:w="1546"/>
      </w:tblGrid>
      <w:tr>
        <w:trPr>
          <w:trHeight w:val="7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本期归属于少数 股东的损益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本期向少数股东 宣告分派的股利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期末少数股东权 益余额</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790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杭州传化建筑新材料有限公司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972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663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山东传化凯岳化工有限公司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294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753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杭州传化唯迅新材料有限公司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成都传化公路港公司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成都传化石油公司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无锡传化公路港物流有限公司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杭州富阳传化物流基地有限公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淄博传化金泰公路港物流有限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上海传化海江公路港物流有限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r>
    </w:tbl>
    <w:p>
      <w:pPr>
        <w:sectPr>
          <w:footnotePr>
            <w:pos w:val="pageBottom"/>
            <w:numFmt w:val="decimal"/>
            <w:numRestart w:val="continuous"/>
          </w:footnotePr>
          <w:pgSz w:w="11900" w:h="16840"/>
          <w:pgMar w:top="1345" w:right="1393" w:bottom="1455" w:left="1651"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2606"/>
        <w:gridCol w:w="1248"/>
        <w:gridCol w:w="1536"/>
        <w:gridCol w:w="1541"/>
        <w:gridCol w:w="1546"/>
      </w:tblGrid>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沈阳传化陆港物流有限公司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358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传化天地物流公司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其他非全资子公司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bl>
    <w:p>
      <w:pPr>
        <w:pStyle w:val="Style111"/>
        <w:keepNext w:val="0"/>
        <w:keepLines w:val="0"/>
        <w:widowControl w:val="0"/>
        <w:shd w:val="clear" w:color="auto" w:fill="auto"/>
        <w:bidi w:val="0"/>
        <w:spacing w:before="0" w:after="0" w:line="437" w:lineRule="exact"/>
        <w:ind w:left="13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)子公司少数股东的持股比例不同于表决权比例的说明 详见本财务报表附注七(一)</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)之说明。</w:t>
      </w:r>
    </w:p>
    <w:p>
      <w:pPr>
        <w:pStyle w:val="Style111"/>
        <w:keepNext w:val="0"/>
        <w:keepLines w:val="0"/>
        <w:widowControl w:val="0"/>
        <w:numPr>
          <w:ilvl w:val="0"/>
          <w:numId w:val="111"/>
        </w:numPr>
        <w:shd w:val="clear" w:color="auto" w:fill="auto"/>
        <w:bidi w:val="0"/>
        <w:spacing w:before="0" w:after="0" w:line="437" w:lineRule="exact"/>
        <w:ind w:left="1300" w:right="0" w:firstLine="0"/>
        <w:jc w:val="left"/>
      </w:pPr>
      <w:bookmarkStart w:id="379" w:name="bookmark379"/>
      <w:bookmarkEnd w:id="379"/>
      <w:r>
        <w:rPr>
          <w:color w:val="000000"/>
          <w:spacing w:val="0"/>
          <w:w w:val="100"/>
          <w:position w:val="0"/>
        </w:rPr>
        <w:t>重要非全资子公司的主要财务信息</w:t>
      </w:r>
    </w:p>
    <w:p>
      <w:pPr>
        <w:pStyle w:val="Style111"/>
        <w:keepNext w:val="0"/>
        <w:keepLines w:val="0"/>
        <w:widowControl w:val="0"/>
        <w:shd w:val="clear" w:color="auto" w:fill="auto"/>
        <w:bidi w:val="0"/>
        <w:spacing w:before="0" w:after="80" w:line="437" w:lineRule="exact"/>
        <w:ind w:left="13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)资产和负债情况</w:t>
      </w:r>
    </w:p>
    <w:tbl>
      <w:tblPr>
        <w:tblOverlap w:val="never"/>
        <w:jc w:val="center"/>
        <w:tblLayout w:type="fixed"/>
      </w:tblPr>
      <w:tblGrid>
        <w:gridCol w:w="1373"/>
        <w:gridCol w:w="1267"/>
        <w:gridCol w:w="1286"/>
        <w:gridCol w:w="1267"/>
        <w:gridCol w:w="1272"/>
        <w:gridCol w:w="1190"/>
        <w:gridCol w:w="1267"/>
      </w:tblGrid>
      <w:tr>
        <w:trPr>
          <w:trHeight w:val="31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9"/>
                <w:szCs w:val="9"/>
              </w:rPr>
            </w:pPr>
            <w:r>
              <w:rPr>
                <w:color w:val="000000"/>
                <w:spacing w:val="0"/>
                <w:w w:val="100"/>
                <w:position w:val="0"/>
                <w:sz w:val="9"/>
                <w:szCs w:val="9"/>
              </w:rPr>
              <w:t>子公司名称</w:t>
            </w:r>
          </w:p>
        </w:tc>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期末数</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9"/>
                <w:szCs w:val="9"/>
              </w:rPr>
            </w:pPr>
            <w:r>
              <w:rPr>
                <w:color w:val="000000"/>
                <w:spacing w:val="0"/>
                <w:w w:val="100"/>
                <w:position w:val="0"/>
                <w:sz w:val="9"/>
                <w:szCs w:val="9"/>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9"/>
                <w:szCs w:val="9"/>
              </w:rPr>
            </w:pPr>
            <w:r>
              <w:rPr>
                <w:color w:val="000000"/>
                <w:spacing w:val="0"/>
                <w:w w:val="100"/>
                <w:position w:val="0"/>
                <w:sz w:val="9"/>
                <w:szCs w:val="9"/>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9"/>
                <w:szCs w:val="9"/>
              </w:rPr>
            </w:pPr>
            <w:r>
              <w:rPr>
                <w:color w:val="000000"/>
                <w:spacing w:val="0"/>
                <w:w w:val="100"/>
                <w:position w:val="0"/>
                <w:sz w:val="9"/>
                <w:szCs w:val="9"/>
              </w:rPr>
              <w:t>负债合计</w:t>
            </w:r>
          </w:p>
        </w:tc>
      </w:tr>
      <w:tr>
        <w:trPr>
          <w:trHeight w:val="3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349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760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847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229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578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939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杭州传化建筑新材</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21</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184</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8"/>
                <w:szCs w:val="8"/>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397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581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山东传化凯岳化工</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812</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109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81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462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228</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777</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269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145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374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265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272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139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650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成都传化公路港公</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178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27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205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成都传化石油公司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68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无锡传化公路港物</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427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574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480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480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杭州富阳传化物流</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145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淄博传化金泰公路</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351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360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上海传化海江公路</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70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重庆传化公路港物</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398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144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381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196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30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沈阳传化陆港物流</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572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89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传化汇通物流公司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88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783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w:t>
            </w:r>
          </w:p>
        </w:tc>
      </w:tr>
      <w:tr>
        <w:trPr>
          <w:trHeight w:val="31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传化天地物流公司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78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789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82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300" w:right="0" w:firstLine="0"/>
        <w:jc w:val="both"/>
      </w:pPr>
      <w:r>
        <w:rPr>
          <w:color w:val="000000"/>
          <w:spacing w:val="0"/>
          <w:w w:val="100"/>
          <w:position w:val="0"/>
        </w:rPr>
        <w:t>(续上表)</w:t>
      </w:r>
    </w:p>
    <w:tbl>
      <w:tblPr>
        <w:tblOverlap w:val="never"/>
        <w:jc w:val="center"/>
        <w:tblLayout w:type="fixed"/>
      </w:tblPr>
      <w:tblGrid>
        <w:gridCol w:w="1373"/>
        <w:gridCol w:w="1267"/>
        <w:gridCol w:w="1286"/>
        <w:gridCol w:w="1267"/>
        <w:gridCol w:w="1272"/>
        <w:gridCol w:w="1190"/>
        <w:gridCol w:w="1267"/>
      </w:tblGrid>
      <w:tr>
        <w:trPr>
          <w:trHeight w:val="3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9"/>
                <w:szCs w:val="9"/>
              </w:rPr>
            </w:pPr>
            <w:r>
              <w:rPr>
                <w:color w:val="000000"/>
                <w:spacing w:val="0"/>
                <w:w w:val="100"/>
                <w:position w:val="0"/>
                <w:sz w:val="9"/>
                <w:szCs w:val="9"/>
              </w:rPr>
              <w:t>子公司</w:t>
            </w:r>
          </w:p>
        </w:tc>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期初数</w:t>
            </w:r>
          </w:p>
        </w:tc>
      </w:tr>
      <w:tr>
        <w:trPr>
          <w:trHeight w:val="30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9"/>
                <w:szCs w:val="9"/>
              </w:rPr>
            </w:pPr>
            <w:r>
              <w:rPr>
                <w:color w:val="000000"/>
                <w:spacing w:val="0"/>
                <w:w w:val="100"/>
                <w:position w:val="0"/>
                <w:sz w:val="9"/>
                <w:szCs w:val="9"/>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9"/>
                <w:szCs w:val="9"/>
              </w:rPr>
            </w:pPr>
            <w:r>
              <w:rPr>
                <w:color w:val="000000"/>
                <w:spacing w:val="0"/>
                <w:w w:val="100"/>
                <w:position w:val="0"/>
                <w:sz w:val="9"/>
                <w:szCs w:val="9"/>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9"/>
                <w:szCs w:val="9"/>
              </w:rPr>
            </w:pPr>
            <w:r>
              <w:rPr>
                <w:color w:val="000000"/>
                <w:spacing w:val="0"/>
                <w:w w:val="100"/>
                <w:position w:val="0"/>
                <w:sz w:val="9"/>
                <w:szCs w:val="9"/>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9"/>
                <w:szCs w:val="9"/>
              </w:rPr>
            </w:pPr>
            <w:r>
              <w:rPr>
                <w:color w:val="000000"/>
                <w:spacing w:val="0"/>
                <w:w w:val="100"/>
                <w:position w:val="0"/>
                <w:sz w:val="9"/>
                <w:szCs w:val="9"/>
              </w:rPr>
              <w:t>负债合计</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294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216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511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w:t>
            </w: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杭州传化建筑新材</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料有限公司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w:t>
            </w:r>
          </w:p>
        </w:tc>
      </w:tr>
    </w:tbl>
    <w:p>
      <w:pPr>
        <w:spacing w:lineRule="exact" w:line="1"/>
        <w:rPr>
          <w:sz w:val="2"/>
          <w:szCs w:val="2"/>
        </w:rPr>
      </w:pPr>
      <w:r>
        <w:br w:type="page"/>
      </w:r>
    </w:p>
    <w:tbl>
      <w:tblPr>
        <w:tblOverlap w:val="never"/>
        <w:jc w:val="center"/>
        <w:tblLayout w:type="fixed"/>
      </w:tblPr>
      <w:tblGrid>
        <w:gridCol w:w="1373"/>
        <w:gridCol w:w="1267"/>
        <w:gridCol w:w="1286"/>
        <w:gridCol w:w="1267"/>
        <w:gridCol w:w="1272"/>
        <w:gridCol w:w="1190"/>
        <w:gridCol w:w="126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山东传化凯岳化工</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104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8"/>
                <w:szCs w:val="8"/>
              </w:rPr>
            </w:pPr>
            <w:r>
              <w:rPr>
                <w:rFonts w:ascii="Times New Roman" w:eastAsia="Times New Roman" w:hAnsi="Times New Roman" w:cs="Times New Roman"/>
                <w:b/>
                <w:bCs/>
                <w:color w:val="000000"/>
                <w:spacing w:val="0"/>
                <w:w w:val="100"/>
                <w:position w:val="0"/>
                <w:sz w:val="8"/>
                <w:szCs w:val="8"/>
              </w:rPr>
              <w:t>37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186</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769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904</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320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381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580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203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210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126</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937</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791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8"/>
                <w:szCs w:val="8"/>
              </w:rPr>
            </w:pPr>
            <w:r>
              <w:rPr>
                <w:rFonts w:ascii="Times New Roman" w:eastAsia="Times New Roman" w:hAnsi="Times New Roman" w:cs="Times New Roman"/>
                <w:b/>
                <w:bCs/>
                <w:color w:val="000000"/>
                <w:spacing w:val="0"/>
                <w:w w:val="100"/>
                <w:position w:val="0"/>
                <w:sz w:val="8"/>
                <w:szCs w:val="8"/>
              </w:rPr>
              <w:t>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8"/>
                <w:szCs w:val="8"/>
              </w:rPr>
            </w:pPr>
            <w:r>
              <w:rPr>
                <w:rFonts w:ascii="Times New Roman" w:eastAsia="Times New Roman" w:hAnsi="Times New Roman" w:cs="Times New Roman"/>
                <w:b/>
                <w:bCs/>
                <w:color w:val="000000"/>
                <w:spacing w:val="0"/>
                <w:w w:val="100"/>
                <w:position w:val="0"/>
                <w:sz w:val="8"/>
                <w:szCs w:val="8"/>
              </w:rPr>
              <w:t>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成都传化公路港公</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347</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233</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8"/>
                <w:szCs w:val="8"/>
              </w:rPr>
            </w:pPr>
            <w:r>
              <w:rPr>
                <w:rFonts w:ascii="Times New Roman" w:eastAsia="Times New Roman" w:hAnsi="Times New Roman" w:cs="Times New Roman"/>
                <w:b/>
                <w:bCs/>
                <w:color w:val="000000"/>
                <w:spacing w:val="0"/>
                <w:w w:val="100"/>
                <w:position w:val="0"/>
                <w:sz w:val="8"/>
                <w:szCs w:val="8"/>
              </w:rPr>
              <w:t>69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263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263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成都传化石油公司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32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无锡传化公路港物</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8"/>
                <w:szCs w:val="8"/>
              </w:rPr>
            </w:pPr>
            <w:r>
              <w:rPr>
                <w:rFonts w:ascii="Times New Roman" w:eastAsia="Times New Roman" w:hAnsi="Times New Roman" w:cs="Times New Roman"/>
                <w:b/>
                <w:bCs/>
                <w:color w:val="000000"/>
                <w:spacing w:val="0"/>
                <w:w w:val="100"/>
                <w:position w:val="0"/>
                <w:sz w:val="8"/>
                <w:szCs w:val="8"/>
              </w:rPr>
              <w:t>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杭州富阳传化物流</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b/>
                <w:bCs/>
                <w:color w:val="000000"/>
                <w:spacing w:val="0"/>
                <w:w w:val="100"/>
                <w:position w:val="0"/>
                <w:sz w:val="8"/>
                <w:szCs w:val="8"/>
              </w:rPr>
              <w:t>183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202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136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淄博传化金泰公路</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上海传化海江公路</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重庆传化公路港物</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95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rFonts w:ascii="Times New Roman" w:eastAsia="Times New Roman" w:hAnsi="Times New Roman" w:cs="Times New Roman"/>
                <w:b/>
                <w:bCs/>
                <w:color w:val="000000"/>
                <w:spacing w:val="0"/>
                <w:w w:val="100"/>
                <w:position w:val="0"/>
                <w:sz w:val="8"/>
                <w:szCs w:val="8"/>
              </w:rPr>
              <w:t>98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8"/>
                <w:szCs w:val="8"/>
              </w:rPr>
            </w:pPr>
            <w:r>
              <w:rPr>
                <w:rFonts w:ascii="Times New Roman" w:eastAsia="Times New Roman" w:hAnsi="Times New Roman" w:cs="Times New Roman"/>
                <w:b/>
                <w:bCs/>
                <w:color w:val="000000"/>
                <w:spacing w:val="0"/>
                <w:w w:val="100"/>
                <w:position w:val="0"/>
                <w:sz w:val="8"/>
                <w:szCs w:val="8"/>
              </w:rPr>
              <w:t>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8"/>
                <w:szCs w:val="8"/>
              </w:rPr>
            </w:pPr>
            <w:r>
              <w:rPr>
                <w:rFonts w:ascii="Times New Roman" w:eastAsia="Times New Roman" w:hAnsi="Times New Roman" w:cs="Times New Roman"/>
                <w:b/>
                <w:bCs/>
                <w:color w:val="000000"/>
                <w:spacing w:val="0"/>
                <w:w w:val="100"/>
                <w:position w:val="0"/>
                <w:sz w:val="8"/>
                <w:szCs w:val="8"/>
              </w:rPr>
              <w:t>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140"/>
              <w:jc w:val="left"/>
              <w:rPr>
                <w:sz w:val="9"/>
                <w:szCs w:val="9"/>
              </w:rPr>
            </w:pPr>
            <w:r>
              <w:rPr>
                <w:color w:val="000000"/>
                <w:spacing w:val="0"/>
                <w:w w:val="100"/>
                <w:position w:val="0"/>
                <w:sz w:val="9"/>
                <w:szCs w:val="9"/>
              </w:rPr>
              <w:t>沈阳传化陆港物流</w:t>
            </w:r>
          </w:p>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传化汇通物流公司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9"/>
                <w:szCs w:val="9"/>
              </w:rPr>
            </w:pPr>
            <w:r>
              <w:rPr>
                <w:color w:val="000000"/>
                <w:spacing w:val="0"/>
                <w:w w:val="100"/>
                <w:position w:val="0"/>
                <w:sz w:val="9"/>
                <w:szCs w:val="9"/>
              </w:rPr>
              <w:t>传化天地物流公司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4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)损益和现金流量情况</w:t>
      </w:r>
    </w:p>
    <w:tbl>
      <w:tblPr>
        <w:tblOverlap w:val="never"/>
        <w:jc w:val="center"/>
        <w:tblLayout w:type="fixed"/>
      </w:tblPr>
      <w:tblGrid>
        <w:gridCol w:w="878"/>
        <w:gridCol w:w="1277"/>
        <w:gridCol w:w="1138"/>
        <w:gridCol w:w="1133"/>
        <w:gridCol w:w="1277"/>
        <w:gridCol w:w="1176"/>
        <w:gridCol w:w="1162"/>
        <w:gridCol w:w="1162"/>
        <w:gridCol w:w="1195"/>
      </w:tblGrid>
      <w:tr>
        <w:trPr>
          <w:trHeight w:val="45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240"/>
              <w:jc w:val="both"/>
              <w:rPr>
                <w:sz w:val="9"/>
                <w:szCs w:val="9"/>
              </w:rPr>
            </w:pPr>
            <w:r>
              <w:rPr>
                <w:color w:val="000000"/>
                <w:spacing w:val="0"/>
                <w:w w:val="100"/>
                <w:position w:val="0"/>
                <w:sz w:val="9"/>
                <w:szCs w:val="9"/>
              </w:rPr>
              <w:t>子公司</w:t>
            </w:r>
          </w:p>
          <w:p>
            <w:pPr>
              <w:pStyle w:val="Style6"/>
              <w:keepNext w:val="0"/>
              <w:keepLines w:val="0"/>
              <w:widowControl w:val="0"/>
              <w:shd w:val="clear" w:color="auto" w:fill="auto"/>
              <w:bidi w:val="0"/>
              <w:spacing w:before="0" w:after="0" w:line="240" w:lineRule="auto"/>
              <w:ind w:left="0" w:right="0" w:firstLine="320"/>
              <w:jc w:val="both"/>
              <w:rPr>
                <w:sz w:val="9"/>
                <w:szCs w:val="9"/>
              </w:rPr>
            </w:pPr>
            <w:r>
              <w:rPr>
                <w:color w:val="000000"/>
                <w:spacing w:val="0"/>
                <w:w w:val="100"/>
                <w:position w:val="0"/>
                <w:sz w:val="9"/>
                <w:szCs w:val="9"/>
              </w:rPr>
              <w:t>名称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本期数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上年同期数</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9"/>
                <w:szCs w:val="9"/>
              </w:rPr>
            </w:pPr>
            <w:r>
              <w:rPr>
                <w:color w:val="000000"/>
                <w:spacing w:val="0"/>
                <w:w w:val="100"/>
                <w:position w:val="0"/>
                <w:sz w:val="9"/>
                <w:szCs w:val="9"/>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经营活动现金流量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9"/>
                <w:szCs w:val="9"/>
              </w:rPr>
            </w:pPr>
            <w:r>
              <w:rPr>
                <w:color w:val="000000"/>
                <w:spacing w:val="0"/>
                <w:w w:val="100"/>
                <w:position w:val="0"/>
                <w:sz w:val="9"/>
                <w:szCs w:val="9"/>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经营活动现金流量</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both"/>
              <w:rPr>
                <w:sz w:val="9"/>
                <w:szCs w:val="9"/>
              </w:rPr>
            </w:pPr>
            <w:r>
              <w:rPr>
                <w:color w:val="000000"/>
                <w:spacing w:val="0"/>
                <w:w w:val="100"/>
                <w:position w:val="0"/>
                <w:sz w:val="9"/>
                <w:szCs w:val="9"/>
              </w:rPr>
              <w:t>传化精细 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460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40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847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892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475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565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50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50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125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w:t>
            </w: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3" w:lineRule="exact"/>
              <w:ind w:left="0" w:right="0" w:firstLine="0"/>
              <w:jc w:val="both"/>
              <w:rPr>
                <w:sz w:val="9"/>
                <w:szCs w:val="9"/>
              </w:rPr>
            </w:pPr>
            <w:r>
              <w:rPr>
                <w:color w:val="000000"/>
                <w:spacing w:val="0"/>
                <w:w w:val="100"/>
                <w:position w:val="0"/>
                <w:sz w:val="9"/>
                <w:szCs w:val="9"/>
              </w:rPr>
              <w:t>杭州传化 建筑新材 料有限公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653</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83</w:t>
            </w:r>
          </w:p>
        </w:tc>
      </w:tr>
      <w:tr>
        <w:trPr>
          <w:trHeight w:val="61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194" w:lineRule="exact"/>
              <w:ind w:left="0" w:right="0" w:firstLine="0"/>
              <w:jc w:val="both"/>
              <w:rPr>
                <w:sz w:val="9"/>
                <w:szCs w:val="9"/>
              </w:rPr>
            </w:pPr>
            <w:r>
              <w:rPr>
                <w:color w:val="000000"/>
                <w:spacing w:val="0"/>
                <w:w w:val="100"/>
                <w:position w:val="0"/>
                <w:sz w:val="9"/>
                <w:szCs w:val="9"/>
              </w:rPr>
              <w:t>山东传化 凯岳化工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18</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968</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885</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197" w:lineRule="exact"/>
              <w:ind w:left="0" w:right="0" w:firstLine="0"/>
              <w:jc w:val="both"/>
              <w:rPr>
                <w:sz w:val="9"/>
                <w:szCs w:val="9"/>
              </w:rPr>
            </w:pPr>
            <w:r>
              <w:rPr>
                <w:color w:val="000000"/>
                <w:spacing w:val="0"/>
                <w:w w:val="100"/>
                <w:position w:val="0"/>
                <w:sz w:val="9"/>
                <w:szCs w:val="9"/>
              </w:rPr>
              <w:t>天松股份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311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286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582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282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465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167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169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2" w:lineRule="exact"/>
              <w:ind w:left="0" w:right="0" w:firstLine="0"/>
              <w:jc w:val="both"/>
              <w:rPr>
                <w:sz w:val="9"/>
                <w:szCs w:val="9"/>
              </w:rPr>
            </w:pPr>
            <w:r>
              <w:rPr>
                <w:color w:val="000000"/>
                <w:spacing w:val="0"/>
                <w:w w:val="100"/>
                <w:position w:val="0"/>
                <w:sz w:val="9"/>
                <w:szCs w:val="9"/>
              </w:rPr>
              <w:t>传化富联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231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669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391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802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391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984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224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287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91</w:t>
            </w:r>
          </w:p>
        </w:tc>
      </w:tr>
      <w:tr>
        <w:trPr>
          <w:trHeight w:val="61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6" w:lineRule="exact"/>
              <w:ind w:left="0" w:right="0" w:firstLine="0"/>
              <w:jc w:val="both"/>
              <w:rPr>
                <w:sz w:val="9"/>
                <w:szCs w:val="9"/>
              </w:rPr>
            </w:pPr>
            <w:r>
              <w:rPr>
                <w:color w:val="000000"/>
                <w:spacing w:val="0"/>
                <w:w w:val="100"/>
                <w:position w:val="0"/>
                <w:sz w:val="9"/>
                <w:szCs w:val="9"/>
              </w:rPr>
              <w:t>成都传化 公路港公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730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604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409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8"/>
                <w:szCs w:val="8"/>
              </w:rPr>
            </w:pPr>
            <w:r>
              <w:rPr>
                <w:rFonts w:ascii="Times New Roman" w:eastAsia="Times New Roman" w:hAnsi="Times New Roman" w:cs="Times New Roman"/>
                <w:b/>
                <w:bCs/>
                <w:color w:val="000000"/>
                <w:spacing w:val="0"/>
                <w:w w:val="100"/>
                <w:position w:val="0"/>
                <w:sz w:val="8"/>
                <w:szCs w:val="8"/>
              </w:rPr>
              <w:t>613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18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18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rFonts w:ascii="Times New Roman" w:eastAsia="Times New Roman" w:hAnsi="Times New Roman" w:cs="Times New Roman"/>
                <w:b/>
                <w:bCs/>
                <w:color w:val="000000"/>
                <w:spacing w:val="0"/>
                <w:w w:val="100"/>
                <w:position w:val="0"/>
                <w:sz w:val="8"/>
                <w:szCs w:val="8"/>
              </w:rPr>
              <w:t>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76</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both"/>
              <w:rPr>
                <w:sz w:val="9"/>
                <w:szCs w:val="9"/>
              </w:rPr>
            </w:pPr>
            <w:r>
              <w:rPr>
                <w:color w:val="000000"/>
                <w:spacing w:val="0"/>
                <w:w w:val="100"/>
                <w:position w:val="0"/>
                <w:sz w:val="9"/>
                <w:szCs w:val="9"/>
              </w:rPr>
              <w:t>成都传化</w:t>
            </w:r>
          </w:p>
          <w:p>
            <w:pPr>
              <w:pStyle w:val="Style6"/>
              <w:keepNext w:val="0"/>
              <w:keepLines w:val="0"/>
              <w:widowControl w:val="0"/>
              <w:shd w:val="clear" w:color="auto" w:fill="auto"/>
              <w:bidi w:val="0"/>
              <w:spacing w:before="0" w:after="0" w:line="240" w:lineRule="auto"/>
              <w:ind w:left="0" w:right="0" w:firstLine="0"/>
              <w:jc w:val="both"/>
              <w:rPr>
                <w:sz w:val="9"/>
                <w:szCs w:val="9"/>
              </w:rPr>
            </w:pPr>
            <w:r>
              <w:rPr>
                <w:color w:val="000000"/>
                <w:spacing w:val="0"/>
                <w:w w:val="100"/>
                <w:position w:val="0"/>
                <w:sz w:val="9"/>
                <w:szCs w:val="9"/>
              </w:rPr>
              <w:t>石油公司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434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874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662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31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31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38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185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245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680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245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680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131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169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55</w:t>
            </w: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3" w:lineRule="exact"/>
              <w:ind w:left="0" w:right="0" w:firstLine="0"/>
              <w:jc w:val="both"/>
              <w:rPr>
                <w:sz w:val="9"/>
                <w:szCs w:val="9"/>
              </w:rPr>
            </w:pPr>
            <w:r>
              <w:rPr>
                <w:color w:val="000000"/>
                <w:spacing w:val="0"/>
                <w:w w:val="100"/>
                <w:position w:val="0"/>
                <w:sz w:val="9"/>
                <w:szCs w:val="9"/>
              </w:rPr>
              <w:t>无锡传化 公路港物 流有限公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679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482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757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19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017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130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005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54</w:t>
            </w: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0" w:lineRule="exact"/>
              <w:ind w:left="0" w:right="0" w:firstLine="0"/>
              <w:jc w:val="both"/>
              <w:rPr>
                <w:sz w:val="9"/>
                <w:szCs w:val="9"/>
              </w:rPr>
            </w:pPr>
            <w:r>
              <w:rPr>
                <w:color w:val="000000"/>
                <w:spacing w:val="0"/>
                <w:w w:val="100"/>
                <w:position w:val="0"/>
                <w:sz w:val="9"/>
                <w:szCs w:val="9"/>
              </w:rPr>
              <w:t>杭州富阳 传化物流 基地有限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34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652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222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rPr>
              <w:t>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194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946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8"/>
                <w:szCs w:val="8"/>
              </w:rPr>
            </w:pPr>
            <w:r>
              <w:rPr>
                <w:rFonts w:ascii="Times New Roman" w:eastAsia="Times New Roman" w:hAnsi="Times New Roman" w:cs="Times New Roman"/>
                <w:b/>
                <w:bCs/>
                <w:color w:val="000000"/>
                <w:spacing w:val="0"/>
                <w:w w:val="100"/>
                <w:position w:val="0"/>
                <w:sz w:val="8"/>
                <w:szCs w:val="8"/>
              </w:rPr>
              <w:t>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849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w:t>
            </w: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0" w:lineRule="exact"/>
              <w:ind w:left="0" w:right="0" w:firstLine="0"/>
              <w:jc w:val="both"/>
              <w:rPr>
                <w:sz w:val="9"/>
                <w:szCs w:val="9"/>
              </w:rPr>
            </w:pPr>
            <w:r>
              <w:rPr>
                <w:color w:val="000000"/>
                <w:spacing w:val="0"/>
                <w:w w:val="100"/>
                <w:position w:val="0"/>
                <w:sz w:val="9"/>
                <w:szCs w:val="9"/>
              </w:rPr>
              <w:t>淄博传化 金泰公路 港物流有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103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688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b/>
                <w:bCs/>
                <w:color w:val="000000"/>
                <w:spacing w:val="0"/>
                <w:w w:val="100"/>
                <w:position w:val="0"/>
                <w:sz w:val="8"/>
                <w:szCs w:val="8"/>
              </w:rPr>
              <w:t>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rPr>
              <w:t>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143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132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02" w:lineRule="exact"/>
              <w:ind w:left="0" w:right="0" w:firstLine="0"/>
              <w:jc w:val="both"/>
              <w:rPr>
                <w:sz w:val="9"/>
                <w:szCs w:val="9"/>
              </w:rPr>
            </w:pPr>
            <w:r>
              <w:rPr>
                <w:color w:val="000000"/>
                <w:spacing w:val="0"/>
                <w:w w:val="100"/>
                <w:position w:val="0"/>
                <w:sz w:val="9"/>
                <w:szCs w:val="9"/>
              </w:rPr>
              <w:t>上海传化 海江公路 港物流有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8"/>
                <w:szCs w:val="8"/>
              </w:rPr>
            </w:pPr>
            <w:r>
              <w:rPr>
                <w:rFonts w:ascii="Times New Roman" w:eastAsia="Times New Roman" w:hAnsi="Times New Roman" w:cs="Times New Roman"/>
                <w:b/>
                <w:bCs/>
                <w:color w:val="000000"/>
                <w:spacing w:val="0"/>
                <w:w w:val="100"/>
                <w:position w:val="0"/>
                <w:sz w:val="8"/>
                <w:szCs w:val="8"/>
              </w:rPr>
              <w:t>66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435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158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220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8"/>
        <w:gridCol w:w="1277"/>
        <w:gridCol w:w="1138"/>
        <w:gridCol w:w="1133"/>
        <w:gridCol w:w="1277"/>
        <w:gridCol w:w="1176"/>
        <w:gridCol w:w="1162"/>
        <w:gridCol w:w="1162"/>
        <w:gridCol w:w="1195"/>
      </w:tblGrid>
      <w:tr>
        <w:trPr>
          <w:trHeight w:val="21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0" w:lineRule="exact"/>
              <w:ind w:left="0" w:right="0" w:firstLine="0"/>
              <w:jc w:val="both"/>
              <w:rPr>
                <w:sz w:val="9"/>
                <w:szCs w:val="9"/>
              </w:rPr>
            </w:pPr>
            <w:r>
              <w:rPr>
                <w:color w:val="000000"/>
                <w:spacing w:val="0"/>
                <w:w w:val="100"/>
                <w:position w:val="0"/>
                <w:sz w:val="9"/>
                <w:szCs w:val="9"/>
              </w:rPr>
              <w:t>重庆传化 公路港物 流有限公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8"/>
                <w:szCs w:val="8"/>
              </w:rPr>
            </w:pPr>
            <w:r>
              <w:rPr>
                <w:rFonts w:ascii="Times New Roman" w:eastAsia="Times New Roman" w:hAnsi="Times New Roman" w:cs="Times New Roman"/>
                <w:b/>
                <w:bCs/>
                <w:color w:val="000000"/>
                <w:spacing w:val="0"/>
                <w:w w:val="100"/>
                <w:position w:val="0"/>
                <w:sz w:val="8"/>
                <w:szCs w:val="8"/>
              </w:rPr>
              <w:t>100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378</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651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821</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610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821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199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961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536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455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92</w:t>
            </w:r>
          </w:p>
        </w:tc>
      </w:tr>
      <w:tr>
        <w:trPr>
          <w:trHeight w:val="61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194" w:lineRule="exact"/>
              <w:ind w:left="0" w:right="0" w:firstLine="0"/>
              <w:jc w:val="both"/>
              <w:rPr>
                <w:sz w:val="9"/>
                <w:szCs w:val="9"/>
              </w:rPr>
            </w:pPr>
            <w:r>
              <w:rPr>
                <w:color w:val="000000"/>
                <w:spacing w:val="0"/>
                <w:w w:val="100"/>
                <w:position w:val="0"/>
                <w:sz w:val="9"/>
                <w:szCs w:val="9"/>
              </w:rPr>
              <w:t>沈阳传化 陆港物流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6</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251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610</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226</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793</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226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793</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311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179</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both"/>
              <w:rPr>
                <w:sz w:val="9"/>
                <w:szCs w:val="9"/>
              </w:rPr>
            </w:pPr>
            <w:r>
              <w:rPr>
                <w:color w:val="000000"/>
                <w:spacing w:val="0"/>
                <w:w w:val="100"/>
                <w:position w:val="0"/>
                <w:sz w:val="9"/>
                <w:szCs w:val="9"/>
              </w:rPr>
              <w:t>传化汇通 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5</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716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729</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8"/>
                <w:szCs w:val="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8"/>
                <w:szCs w:val="8"/>
              </w:rPr>
            </w:pPr>
            <w:r>
              <w:rPr>
                <w:rFonts w:ascii="Times New Roman" w:eastAsia="Times New Roman" w:hAnsi="Times New Roman" w:cs="Times New Roman"/>
                <w:b/>
                <w:bCs/>
                <w:color w:val="000000"/>
                <w:spacing w:val="0"/>
                <w:w w:val="100"/>
                <w:position w:val="0"/>
                <w:sz w:val="8"/>
                <w:szCs w:val="8"/>
              </w:rPr>
              <w:t>806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000000"/>
                <w:spacing w:val="0"/>
                <w:w w:val="100"/>
                <w:position w:val="0"/>
                <w:sz w:val="8"/>
                <w:szCs w:val="8"/>
              </w:rPr>
              <w:t>806</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490</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8"/>
                <w:szCs w:val="8"/>
              </w:rPr>
            </w:pPr>
            <w:r>
              <w:rPr>
                <w:rFonts w:ascii="Times New Roman" w:eastAsia="Times New Roman" w:hAnsi="Times New Roman" w:cs="Times New Roman"/>
                <w:b/>
                <w:bCs/>
                <w:color w:val="000000"/>
                <w:spacing w:val="0"/>
                <w:w w:val="100"/>
                <w:position w:val="0"/>
                <w:sz w:val="8"/>
                <w:szCs w:val="8"/>
              </w:rPr>
              <w:t>2</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071</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348</w:t>
            </w:r>
            <w:r>
              <w:rPr>
                <w:color w:val="000000"/>
                <w:spacing w:val="0"/>
                <w:w w:val="100"/>
                <w:position w:val="0"/>
                <w:sz w:val="9"/>
                <w:szCs w:val="9"/>
              </w:rPr>
              <w:t>.</w:t>
            </w:r>
            <w:r>
              <w:rPr>
                <w:rFonts w:ascii="Times New Roman" w:eastAsia="Times New Roman" w:hAnsi="Times New Roman" w:cs="Times New Roman"/>
                <w:b/>
                <w:bCs/>
                <w:color w:val="000000"/>
                <w:spacing w:val="0"/>
                <w:w w:val="100"/>
                <w:position w:val="0"/>
                <w:sz w:val="8"/>
                <w:szCs w:val="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both"/>
              <w:rPr>
                <w:sz w:val="9"/>
                <w:szCs w:val="9"/>
              </w:rPr>
            </w:pPr>
            <w:r>
              <w:rPr>
                <w:color w:val="000000"/>
                <w:spacing w:val="0"/>
                <w:w w:val="100"/>
                <w:position w:val="0"/>
                <w:sz w:val="9"/>
                <w:szCs w:val="9"/>
              </w:rPr>
              <w:t>传化天地 物流公司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(二)在合营企业或联营企业中的权益</w:t>
      </w:r>
    </w:p>
    <w:p>
      <w:pPr>
        <w:pStyle w:val="Style111"/>
        <w:keepNext w:val="0"/>
        <w:keepLines w:val="0"/>
        <w:widowControl w:val="0"/>
        <w:shd w:val="clear" w:color="auto" w:fill="auto"/>
        <w:bidi w:val="0"/>
        <w:spacing w:before="0" w:after="160" w:line="240" w:lineRule="auto"/>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重要的合营企业或联营企业</w:t>
      </w:r>
    </w:p>
    <w:p>
      <w:pPr>
        <w:pStyle w:val="Style111"/>
        <w:keepNext w:val="0"/>
        <w:keepLines w:val="0"/>
        <w:widowControl w:val="0"/>
        <w:shd w:val="clear" w:color="auto" w:fill="auto"/>
        <w:bidi w:val="0"/>
        <w:spacing w:before="0" w:after="80" w:line="240" w:lineRule="auto"/>
        <w:ind w:left="13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)基本情况</w:t>
      </w:r>
    </w:p>
    <w:tbl>
      <w:tblPr>
        <w:tblOverlap w:val="never"/>
        <w:jc w:val="center"/>
        <w:tblLayout w:type="fixed"/>
      </w:tblPr>
      <w:tblGrid>
        <w:gridCol w:w="1560"/>
        <w:gridCol w:w="946"/>
        <w:gridCol w:w="946"/>
        <w:gridCol w:w="1200"/>
        <w:gridCol w:w="965"/>
        <w:gridCol w:w="907"/>
        <w:gridCol w:w="2064"/>
      </w:tblGrid>
      <w:tr>
        <w:trPr>
          <w:trHeight w:val="45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主要</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对合营企业或联营企业</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投资的会计处理方法</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浙江传化物流基 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浙江萧山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权益法核算</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杭州环特生物科 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权益法核算</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50" w:lineRule="exact"/>
              <w:ind w:left="140" w:right="0" w:firstLine="0"/>
              <w:jc w:val="left"/>
              <w:rPr>
                <w:sz w:val="18"/>
                <w:szCs w:val="18"/>
              </w:rPr>
            </w:pPr>
            <w:r>
              <w:rPr>
                <w:color w:val="000000"/>
                <w:spacing w:val="0"/>
                <w:w w:val="100"/>
                <w:position w:val="0"/>
                <w:sz w:val="18"/>
                <w:szCs w:val="18"/>
              </w:rPr>
              <w:t>浙江瓦栏文化创 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浙江绍兴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浙江绍兴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互联网和相 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权益法核算</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宁波传化绿都置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浙江宁波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房地产开发 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权益法核算</w:t>
            </w: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上海点未信息科 技有限公司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上海自贸 区</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上海自贸 区</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软件和信息 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权益法核算</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30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重要联营企业的主要财务信息</w:t>
      </w:r>
    </w:p>
    <w:tbl>
      <w:tblPr>
        <w:tblOverlap w:val="never"/>
        <w:jc w:val="center"/>
        <w:tblLayout w:type="fixed"/>
      </w:tblPr>
      <w:tblGrid>
        <w:gridCol w:w="1814"/>
        <w:gridCol w:w="1555"/>
        <w:gridCol w:w="1354"/>
        <w:gridCol w:w="1339"/>
        <w:gridCol w:w="1411"/>
        <w:gridCol w:w="1339"/>
      </w:tblGrid>
      <w:tr>
        <w:trPr>
          <w:trHeight w:val="60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期末数/本期数</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浙江传化物流基地有 限公司［注］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杭州环特生物科技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浙江瓦栏文化创意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宁波传化绿都置业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上海点未信息科技 有限公司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577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167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064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736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879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314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047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598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338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375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787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585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归属于母公司所有者 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477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935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58</w:t>
            </w:r>
          </w:p>
        </w:tc>
      </w:tr>
      <w:tr>
        <w:trPr>
          <w:trHeight w:val="47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按持股比例计算的净</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405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55"/>
        <w:gridCol w:w="1354"/>
        <w:gridCol w:w="1339"/>
        <w:gridCol w:w="1411"/>
        <w:gridCol w:w="1339"/>
      </w:tblGrid>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06" w:lineRule="exact"/>
              <w:ind w:left="0" w:right="0" w:firstLine="460"/>
              <w:jc w:val="left"/>
              <w:rPr>
                <w:sz w:val="16"/>
                <w:szCs w:val="16"/>
              </w:rPr>
            </w:pPr>
            <w:r>
              <w:rPr>
                <w:color w:val="000000"/>
                <w:spacing w:val="0"/>
                <w:w w:val="100"/>
                <w:position w:val="0"/>
                <w:sz w:val="16"/>
                <w:szCs w:val="16"/>
              </w:rPr>
              <w:t>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454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739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464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83</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对联营企业权益投资 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578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941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329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142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w:t>
            </w:r>
          </w:p>
        </w:tc>
      </w:tr>
      <w:tr>
        <w:trPr>
          <w:trHeight w:val="61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040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749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w:t>
            </w:r>
          </w:p>
        </w:tc>
      </w:tr>
      <w:tr>
        <w:trPr>
          <w:trHeight w:val="523"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本期收到的来自联营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11"/>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（续上表）</w:t>
      </w:r>
    </w:p>
    <w:tbl>
      <w:tblPr>
        <w:tblOverlap w:val="never"/>
        <w:jc w:val="center"/>
        <w:tblLayout w:type="fixed"/>
      </w:tblPr>
      <w:tblGrid>
        <w:gridCol w:w="1838"/>
        <w:gridCol w:w="1555"/>
        <w:gridCol w:w="1373"/>
        <w:gridCol w:w="1258"/>
        <w:gridCol w:w="1435"/>
        <w:gridCol w:w="1354"/>
      </w:tblGrid>
      <w:tr>
        <w:trPr>
          <w:trHeight w:val="60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期初数/上期数</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浙江传化物流基地有 限公司［注］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杭州环特生物科技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浙江瓦栏文化创 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宁波传化绿都置业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上海点未信息科技 有限公司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467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323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263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488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469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984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553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062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192" w:lineRule="exact"/>
              <w:ind w:left="0" w:right="0" w:firstLine="0"/>
              <w:jc w:val="left"/>
              <w:rPr>
                <w:sz w:val="16"/>
                <w:szCs w:val="16"/>
              </w:rPr>
            </w:pPr>
            <w:r>
              <w:rPr>
                <w:color w:val="000000"/>
                <w:spacing w:val="0"/>
                <w:w w:val="100"/>
                <w:position w:val="0"/>
                <w:sz w:val="16"/>
                <w:szCs w:val="16"/>
              </w:rPr>
              <w:t>归属于母公司所有者 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464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594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r>
      <w:tr>
        <w:trPr>
          <w:trHeight w:val="475"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按持股比例计算的净</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185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192" w:lineRule="exact"/>
              <w:ind w:left="0" w:right="0" w:firstLine="460"/>
              <w:jc w:val="left"/>
              <w:rPr>
                <w:sz w:val="16"/>
                <w:szCs w:val="16"/>
              </w:rPr>
            </w:pPr>
            <w:r>
              <w:rPr>
                <w:color w:val="000000"/>
                <w:spacing w:val="0"/>
                <w:w w:val="100"/>
                <w:position w:val="0"/>
                <w:sz w:val="16"/>
                <w:szCs w:val="16"/>
              </w:rPr>
              <w:t>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304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831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对联营企业权益投资</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908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687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w:t>
            </w:r>
          </w:p>
        </w:tc>
      </w:tr>
      <w:tr>
        <w:trPr>
          <w:trHeight w:val="61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199" w:lineRule="exact"/>
              <w:ind w:left="0" w:right="0" w:firstLine="0"/>
              <w:jc w:val="left"/>
              <w:rPr>
                <w:sz w:val="16"/>
                <w:szCs w:val="16"/>
              </w:rPr>
            </w:pPr>
            <w:r>
              <w:rPr>
                <w:color w:val="000000"/>
                <w:spacing w:val="0"/>
                <w:w w:val="100"/>
                <w:position w:val="0"/>
                <w:sz w:val="16"/>
                <w:szCs w:val="16"/>
              </w:rPr>
              <w:t>存在公开报价的联营 企业权益投资的公允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838"/>
        <w:gridCol w:w="1555"/>
        <w:gridCol w:w="1373"/>
        <w:gridCol w:w="1258"/>
        <w:gridCol w:w="1435"/>
        <w:gridCol w:w="1354"/>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208</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949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142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019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412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743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574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603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412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743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574</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603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571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本期收到的来自联营 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11"/>
        <w:keepNext w:val="0"/>
        <w:keepLines w:val="0"/>
        <w:widowControl w:val="0"/>
        <w:shd w:val="clear" w:color="auto" w:fill="auto"/>
        <w:bidi w:val="0"/>
        <w:spacing w:before="0" w:after="420" w:line="434" w:lineRule="exact"/>
        <w:ind w:left="880" w:right="0" w:firstLine="420"/>
        <w:jc w:val="both"/>
      </w:pPr>
      <w:r>
        <w:rPr>
          <w:color w:val="000000"/>
          <w:spacing w:val="0"/>
          <w:w w:val="100"/>
          <w:position w:val="0"/>
        </w:rPr>
        <w:t>注：为合并财务报表相关信息，其下属子公司包括青岛传化物流基地有限公司、重庆传 化物流基地有限公司、沈阳传化物流基地有限公司、苏州传化物流基地有限公司、成都传化 物流基地有限公司和天津传化物流基地有限公司。</w:t>
      </w:r>
    </w:p>
    <w:p>
      <w:pPr>
        <w:pStyle w:val="Style6"/>
        <w:keepNext w:val="0"/>
        <w:keepLines w:val="0"/>
        <w:widowControl w:val="0"/>
        <w:shd w:val="clear" w:color="auto" w:fill="auto"/>
        <w:bidi w:val="0"/>
        <w:spacing w:before="0" w:after="0" w:line="437" w:lineRule="exact"/>
        <w:ind w:left="1300" w:right="0" w:firstLine="0"/>
        <w:jc w:val="left"/>
        <w:rPr>
          <w:sz w:val="20"/>
          <w:szCs w:val="20"/>
        </w:rPr>
      </w:pPr>
      <w:r>
        <w:rPr>
          <w:rFonts w:ascii="SimHei" w:eastAsia="SimHei" w:hAnsi="SimHei" w:cs="SimHei"/>
          <w:b/>
          <w:bCs/>
          <w:color w:val="000000"/>
          <w:spacing w:val="0"/>
          <w:w w:val="100"/>
          <w:position w:val="0"/>
          <w:sz w:val="20"/>
          <w:szCs w:val="20"/>
        </w:rPr>
        <w:t>八、与金融工具相关的风险</w:t>
      </w:r>
    </w:p>
    <w:p>
      <w:pPr>
        <w:pStyle w:val="Style111"/>
        <w:keepNext w:val="0"/>
        <w:keepLines w:val="0"/>
        <w:widowControl w:val="0"/>
        <w:shd w:val="clear" w:color="auto" w:fill="auto"/>
        <w:bidi w:val="0"/>
        <w:spacing w:before="0" w:after="0" w:line="437" w:lineRule="exact"/>
        <w:ind w:left="880" w:right="0" w:firstLine="420"/>
        <w:jc w:val="both"/>
      </w:pPr>
      <w:r>
        <w:rPr>
          <w:color w:val="000000"/>
          <w:spacing w:val="0"/>
          <w:w w:val="100"/>
          <w:position w:val="0"/>
        </w:rPr>
        <w:t>本公司从事风险管理的目标是在风险和收益之间取得平衡,将风险对本公司经营业绩的 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Style111"/>
        <w:keepNext w:val="0"/>
        <w:keepLines w:val="0"/>
        <w:widowControl w:val="0"/>
        <w:shd w:val="clear" w:color="auto" w:fill="auto"/>
        <w:bidi w:val="0"/>
        <w:spacing w:before="0" w:after="0" w:line="437" w:lineRule="exact"/>
        <w:ind w:left="880" w:right="0" w:firstLine="420"/>
        <w:jc w:val="both"/>
      </w:pPr>
      <w:r>
        <w:rPr>
          <w:color w:val="000000"/>
          <w:spacing w:val="0"/>
          <w:w w:val="100"/>
          <w:position w:val="0"/>
        </w:rPr>
        <w:t>本公司在日常活动中面临各种与金融工具相关的风险，主要包括信用风险、流动风险及 市场风险。管理层已审议并批准管理这些风险的政策，概括如下。</w:t>
      </w:r>
    </w:p>
    <w:p>
      <w:pPr>
        <w:pStyle w:val="Style111"/>
        <w:keepNext w:val="0"/>
        <w:keepLines w:val="0"/>
        <w:widowControl w:val="0"/>
        <w:shd w:val="clear" w:color="auto" w:fill="auto"/>
        <w:bidi w:val="0"/>
        <w:spacing w:before="0" w:after="0" w:line="437" w:lineRule="exact"/>
        <w:ind w:left="1300" w:right="0" w:firstLine="0"/>
        <w:jc w:val="left"/>
      </w:pPr>
      <w:r>
        <w:rPr>
          <w:color w:val="000000"/>
          <w:spacing w:val="0"/>
          <w:w w:val="100"/>
          <w:position w:val="0"/>
        </w:rPr>
        <w:t>（一）信用风险</w:t>
      </w:r>
    </w:p>
    <w:p>
      <w:pPr>
        <w:pStyle w:val="Style111"/>
        <w:keepNext w:val="0"/>
        <w:keepLines w:val="0"/>
        <w:widowControl w:val="0"/>
        <w:shd w:val="clear" w:color="auto" w:fill="auto"/>
        <w:bidi w:val="0"/>
        <w:spacing w:before="0" w:after="0" w:line="437" w:lineRule="exact"/>
        <w:ind w:left="1300" w:right="0" w:firstLine="0"/>
        <w:jc w:val="left"/>
      </w:pPr>
      <w:r>
        <w:rPr>
          <w:color w:val="000000"/>
          <w:spacing w:val="0"/>
          <w:w w:val="100"/>
          <w:position w:val="0"/>
        </w:rPr>
        <w:t>信用风险，是指金融工具的一方不能履行义务，造成另一方发生财务损失的风险。</w:t>
      </w:r>
    </w:p>
    <w:p>
      <w:pPr>
        <w:pStyle w:val="Style111"/>
        <w:keepNext w:val="0"/>
        <w:keepLines w:val="0"/>
        <w:widowControl w:val="0"/>
        <w:shd w:val="clear" w:color="auto" w:fill="auto"/>
        <w:bidi w:val="0"/>
        <w:spacing w:before="0" w:after="160" w:line="437" w:lineRule="exact"/>
        <w:ind w:left="880" w:right="0" w:firstLine="420"/>
        <w:jc w:val="both"/>
      </w:pPr>
      <w:r>
        <w:rPr>
          <w:color w:val="000000"/>
          <w:spacing w:val="0"/>
          <w:w w:val="100"/>
          <w:position w:val="0"/>
        </w:rPr>
        <w:t>本公司的信用风险主要来自银行存款和应收款项。为控制上述相关风险，本公司分别采 取了以下措施。</w:t>
      </w:r>
    </w:p>
    <w:p>
      <w:pPr>
        <w:pStyle w:val="Style111"/>
        <w:keepNext w:val="0"/>
        <w:keepLines w:val="0"/>
        <w:widowControl w:val="0"/>
        <w:numPr>
          <w:ilvl w:val="0"/>
          <w:numId w:val="113"/>
        </w:numPr>
        <w:shd w:val="clear" w:color="auto" w:fill="auto"/>
        <w:tabs>
          <w:tab w:pos="1615" w:val="left"/>
        </w:tabs>
        <w:bidi w:val="0"/>
        <w:spacing w:before="0" w:after="0" w:line="456" w:lineRule="auto"/>
        <w:ind w:left="1300" w:right="0" w:firstLine="0"/>
        <w:jc w:val="left"/>
      </w:pPr>
      <w:bookmarkStart w:id="380" w:name="bookmark380"/>
      <w:bookmarkEnd w:id="380"/>
      <w:r>
        <w:rPr>
          <w:color w:val="000000"/>
          <w:spacing w:val="0"/>
          <w:w w:val="100"/>
          <w:position w:val="0"/>
        </w:rPr>
        <w:t>银行存款</w:t>
      </w:r>
    </w:p>
    <w:p>
      <w:pPr>
        <w:pStyle w:val="Style111"/>
        <w:keepNext w:val="0"/>
        <w:keepLines w:val="0"/>
        <w:widowControl w:val="0"/>
        <w:shd w:val="clear" w:color="auto" w:fill="auto"/>
        <w:bidi w:val="0"/>
        <w:spacing w:before="0" w:after="160" w:line="437" w:lineRule="exact"/>
        <w:ind w:left="1300" w:right="0" w:firstLine="0"/>
        <w:jc w:val="left"/>
      </w:pPr>
      <w:r>
        <w:rPr>
          <w:color w:val="000000"/>
          <w:spacing w:val="0"/>
          <w:w w:val="100"/>
          <w:position w:val="0"/>
        </w:rPr>
        <w:t>本公司将银行存款存放于信用评级较高的金融机构，故其信用风险较低。</w:t>
      </w:r>
    </w:p>
    <w:p>
      <w:pPr>
        <w:pStyle w:val="Style111"/>
        <w:keepNext w:val="0"/>
        <w:keepLines w:val="0"/>
        <w:widowControl w:val="0"/>
        <w:numPr>
          <w:ilvl w:val="0"/>
          <w:numId w:val="113"/>
        </w:numPr>
        <w:shd w:val="clear" w:color="auto" w:fill="auto"/>
        <w:tabs>
          <w:tab w:pos="1634" w:val="left"/>
        </w:tabs>
        <w:bidi w:val="0"/>
        <w:spacing w:before="0" w:after="0" w:line="456" w:lineRule="auto"/>
        <w:ind w:left="1300" w:right="0" w:firstLine="0"/>
        <w:jc w:val="left"/>
      </w:pPr>
      <w:bookmarkStart w:id="381" w:name="bookmark381"/>
      <w:bookmarkEnd w:id="381"/>
      <w:r>
        <w:rPr>
          <w:color w:val="000000"/>
          <w:spacing w:val="0"/>
          <w:w w:val="100"/>
          <w:position w:val="0"/>
        </w:rPr>
        <w:t>应收款项</w:t>
      </w:r>
    </w:p>
    <w:p>
      <w:pPr>
        <w:pStyle w:val="Style111"/>
        <w:keepNext w:val="0"/>
        <w:keepLines w:val="0"/>
        <w:widowControl w:val="0"/>
        <w:shd w:val="clear" w:color="auto" w:fill="auto"/>
        <w:bidi w:val="0"/>
        <w:spacing w:before="0" w:after="0" w:line="437" w:lineRule="exact"/>
        <w:ind w:left="880" w:right="0" w:firstLine="420"/>
        <w:jc w:val="both"/>
      </w:pPr>
      <w:r>
        <w:rPr>
          <w:color w:val="000000"/>
          <w:spacing w:val="0"/>
          <w:w w:val="100"/>
          <w:position w:val="0"/>
        </w:rPr>
        <w:t>本公司持续对采用信用方式交易的客户进行信用评估。根据信用评估结果，本公司选择 与经认可的且信用良好的客户进行交易，并对其应收款项余额进行监控，以确保本公司不会 面临重大坏账风险。</w:t>
      </w:r>
    </w:p>
    <w:p>
      <w:pPr>
        <w:pStyle w:val="Style111"/>
        <w:keepNext w:val="0"/>
        <w:keepLines w:val="0"/>
        <w:widowControl w:val="0"/>
        <w:shd w:val="clear" w:color="auto" w:fill="auto"/>
        <w:bidi w:val="0"/>
        <w:spacing w:before="0" w:after="0" w:line="437" w:lineRule="exact"/>
        <w:ind w:left="880" w:right="0" w:firstLine="42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本公司应收账款的</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47</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43</w:t>
      </w:r>
      <w:r>
        <w:rPr>
          <w:color w:val="000000"/>
          <w:spacing w:val="0"/>
          <w:w w:val="100"/>
          <w:position w:val="0"/>
        </w:rPr>
        <w:t>%）源于余额前五名客户，本公司不存在 重大的信用集中风险。</w:t>
      </w:r>
    </w:p>
    <w:p>
      <w:pPr>
        <w:pStyle w:val="Style111"/>
        <w:keepNext w:val="0"/>
        <w:keepLines w:val="0"/>
        <w:widowControl w:val="0"/>
        <w:shd w:val="clear" w:color="auto" w:fill="auto"/>
        <w:bidi w:val="0"/>
        <w:spacing w:before="0" w:after="300" w:line="437" w:lineRule="exact"/>
        <w:ind w:left="88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 账龄分析如下：</w:t>
      </w:r>
      <w:r>
        <w:br w:type="page"/>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bl>
      <w:tblPr>
        <w:tblOverlap w:val="never"/>
        <w:jc w:val="center"/>
        <w:tblLayout w:type="fixed"/>
      </w:tblPr>
      <w:tblGrid>
        <w:gridCol w:w="1450"/>
        <w:gridCol w:w="1982"/>
        <w:gridCol w:w="1704"/>
        <w:gridCol w:w="850"/>
        <w:gridCol w:w="994"/>
        <w:gridCol w:w="2011"/>
      </w:tblGrid>
      <w:tr>
        <w:trPr>
          <w:trHeight w:val="302" w:hRule="exact"/>
        </w:trPr>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合计</w:t>
            </w:r>
          </w:p>
        </w:tc>
      </w:tr>
      <w:tr>
        <w:trPr>
          <w:trHeight w:val="302"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734"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450"/>
        <w:gridCol w:w="1982"/>
        <w:gridCol w:w="1123"/>
        <w:gridCol w:w="1128"/>
        <w:gridCol w:w="1147"/>
        <w:gridCol w:w="1930"/>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9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0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bl>
    <w:p>
      <w:pPr>
        <w:pStyle w:val="Style111"/>
        <w:keepNext w:val="0"/>
        <w:keepLines w:val="0"/>
        <w:widowControl w:val="0"/>
        <w:shd w:val="clear" w:color="auto" w:fill="auto"/>
        <w:bidi w:val="0"/>
        <w:spacing w:before="0" w:after="0" w:line="451" w:lineRule="exact"/>
        <w:ind w:left="88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）单项计提减值的应收款项情况见本财务报表附注合并财务报表项目注释之应收款 项说明。</w:t>
      </w:r>
    </w:p>
    <w:p>
      <w:pPr>
        <w:pStyle w:val="Style111"/>
        <w:keepNext w:val="0"/>
        <w:keepLines w:val="0"/>
        <w:widowControl w:val="0"/>
        <w:shd w:val="clear" w:color="auto" w:fill="auto"/>
        <w:bidi w:val="0"/>
        <w:spacing w:before="0" w:after="0" w:line="436" w:lineRule="exact"/>
        <w:ind w:left="1300" w:right="0" w:firstLine="0"/>
        <w:jc w:val="left"/>
      </w:pPr>
      <w:r>
        <w:rPr>
          <w:color w:val="000000"/>
          <w:spacing w:val="0"/>
          <w:w w:val="100"/>
          <w:position w:val="0"/>
        </w:rPr>
        <w:t>（二）流动风险</w:t>
      </w:r>
    </w:p>
    <w:p>
      <w:pPr>
        <w:pStyle w:val="Style111"/>
        <w:keepNext w:val="0"/>
        <w:keepLines w:val="0"/>
        <w:widowControl w:val="0"/>
        <w:shd w:val="clear" w:color="auto" w:fill="auto"/>
        <w:bidi w:val="0"/>
        <w:spacing w:before="0" w:after="0" w:line="436" w:lineRule="exact"/>
        <w:ind w:left="880" w:right="0" w:firstLine="420"/>
        <w:jc w:val="both"/>
      </w:pPr>
      <w:r>
        <w:rPr>
          <w:color w:val="000000"/>
          <w:spacing w:val="0"/>
          <w:w w:val="100"/>
          <w:position w:val="0"/>
        </w:rPr>
        <w:t>流动风险，是指本公司在履行以交付现金或其他金融资产的方式结算的义务时发生资金 短缺的风险。流动风险可能源于无法尽快以公允价值售出金融资产；或者源于对方无法偿还 其合同债务；或者源于提前到期的债务；或者源于无法产生预期的现金流量。</w:t>
      </w:r>
    </w:p>
    <w:p>
      <w:pPr>
        <w:pStyle w:val="Style111"/>
        <w:keepNext w:val="0"/>
        <w:keepLines w:val="0"/>
        <w:widowControl w:val="0"/>
        <w:shd w:val="clear" w:color="auto" w:fill="auto"/>
        <w:bidi w:val="0"/>
        <w:spacing w:before="0" w:after="200" w:line="436" w:lineRule="exact"/>
        <w:ind w:left="880" w:right="0" w:firstLine="420"/>
        <w:jc w:val="both"/>
      </w:pPr>
      <w:r>
        <w:rPr>
          <w:color w:val="000000"/>
          <w:spacing w:val="0"/>
          <w:w w:val="100"/>
          <w:position w:val="0"/>
        </w:rPr>
        <w:t>为控制该项风险，本公司综合运用票据结算、银行借款、企业债券、募集资金等多种融 资手段，并采取长、短期融资方式适当结合，优化融资结构的方法，保持融资持续性与灵活 性之间的平衡。本公司已从多家商业银行取得银行授信额度以满足营运资金需求和资本开</w:t>
      </w:r>
    </w:p>
    <w:p>
      <w:pPr>
        <w:pStyle w:val="Style111"/>
        <w:keepNext w:val="0"/>
        <w:keepLines w:val="0"/>
        <w:widowControl w:val="0"/>
        <w:shd w:val="clear" w:color="auto" w:fill="auto"/>
        <w:bidi w:val="0"/>
        <w:spacing w:before="0" w:after="200" w:line="240" w:lineRule="auto"/>
        <w:ind w:left="0" w:right="0" w:firstLine="880"/>
        <w:jc w:val="left"/>
      </w:pPr>
      <w:r>
        <w:rPr>
          <w:color w:val="000000"/>
          <w:spacing w:val="0"/>
          <w:w w:val="100"/>
          <w:position w:val="0"/>
        </w:rPr>
        <w:t>支。</w:t>
      </w:r>
    </w:p>
    <w:p>
      <w:pPr>
        <w:pStyle w:val="Style111"/>
        <w:keepNext w:val="0"/>
        <w:keepLines w:val="0"/>
        <w:widowControl w:val="0"/>
        <w:shd w:val="clear" w:color="auto" w:fill="auto"/>
        <w:bidi w:val="0"/>
        <w:spacing w:before="0" w:after="200" w:line="240" w:lineRule="auto"/>
        <w:ind w:left="1300" w:right="0" w:firstLine="0"/>
        <w:jc w:val="left"/>
      </w:pPr>
      <w:r>
        <w:rPr>
          <w:color w:val="000000"/>
          <w:spacing w:val="0"/>
          <w:w w:val="100"/>
          <w:position w:val="0"/>
        </w:rPr>
        <w:t>金融负债按剩余到期日分类</w:t>
      </w:r>
    </w:p>
    <w:tbl>
      <w:tblPr>
        <w:tblOverlap w:val="never"/>
        <w:jc w:val="left"/>
        <w:tblLayout w:type="fixed"/>
      </w:tblPr>
      <w:tblGrid>
        <w:gridCol w:w="1378"/>
        <w:gridCol w:w="1560"/>
        <w:gridCol w:w="1565"/>
        <w:gridCol w:w="1493"/>
        <w:gridCol w:w="1382"/>
        <w:gridCol w:w="1445"/>
      </w:tblGrid>
      <w:tr>
        <w:trPr>
          <w:trHeight w:val="254" w:hRule="exact"/>
        </w:trPr>
        <w:tc>
          <w:tcPr>
            <w:tcBorders/>
            <w:shd w:val="clear" w:color="auto" w:fill="FFFFFF"/>
            <w:vAlign w:val="top"/>
          </w:tcPr>
          <w:p>
            <w:pPr>
              <w:framePr w:w="8822" w:h="701" w:vSpace="312" w:wrap="notBeside" w:vAnchor="text" w:hAnchor="text" w:x="788" w:y="313"/>
              <w:widowControl w:val="0"/>
              <w:rPr>
                <w:sz w:val="10"/>
                <w:szCs w:val="10"/>
              </w:rPr>
            </w:pPr>
          </w:p>
        </w:tc>
        <w:tc>
          <w:tcPr>
            <w:tcBorders>
              <w:top w:val="single" w:sz="4"/>
              <w:left w:val="single" w:sz="4"/>
            </w:tcBorders>
            <w:shd w:val="clear" w:color="auto" w:fill="FFFFFF"/>
            <w:vAlign w:val="bottom"/>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bottom"/>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bottom"/>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bottom"/>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年以上</w:t>
            </w:r>
          </w:p>
        </w:tc>
      </w:tr>
      <w:tr>
        <w:trPr>
          <w:trHeight w:val="446" w:hRule="exact"/>
        </w:trPr>
        <w:tc>
          <w:tcPr>
            <w:tcBorders>
              <w:top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银行借款</w:t>
            </w:r>
          </w:p>
        </w:tc>
        <w:tc>
          <w:tcPr>
            <w:tcBorders>
              <w:top w:val="single" w:sz="4"/>
              <w:left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346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041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w:t>
            </w:r>
          </w:p>
        </w:tc>
        <w:tc>
          <w:tcPr>
            <w:tcBorders>
              <w:top w:val="single" w:sz="4"/>
              <w:left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234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466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6"/>
              <w:keepNext w:val="0"/>
              <w:keepLines w:val="0"/>
              <w:framePr w:w="8822" w:h="701" w:vSpace="312" w:wrap="notBeside" w:vAnchor="text" w:hAnchor="text" w:x="788" w:y="313"/>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w:t>
            </w:r>
          </w:p>
        </w:tc>
      </w:tr>
    </w:tbl>
    <w:p>
      <w:pPr>
        <w:pStyle w:val="Style30"/>
        <w:keepNext w:val="0"/>
        <w:keepLines w:val="0"/>
        <w:framePr w:w="490" w:h="182" w:hSpace="787" w:wrap="notBeside" w:vAnchor="text" w:hAnchor="text" w:x="1057" w:y="12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w:t>
      </w:r>
    </w:p>
    <w:p>
      <w:pPr>
        <w:pStyle w:val="Style30"/>
        <w:keepNext w:val="0"/>
        <w:keepLines w:val="0"/>
        <w:framePr w:w="494" w:h="202" w:hSpace="787" w:wrap="notBeside" w:vAnchor="text" w:hAnchor="text" w:x="5626"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期末数</w:t>
      </w:r>
    </w:p>
    <w:p>
      <w:pPr>
        <w:widowControl w:val="0"/>
        <w:spacing w:line="1" w:lineRule="exact"/>
      </w:pPr>
      <w:r>
        <w:br w:type="page"/>
      </w:r>
    </w:p>
    <w:tbl>
      <w:tblPr>
        <w:tblOverlap w:val="never"/>
        <w:jc w:val="center"/>
        <w:tblLayout w:type="fixed"/>
      </w:tblPr>
      <w:tblGrid>
        <w:gridCol w:w="1378"/>
        <w:gridCol w:w="1560"/>
        <w:gridCol w:w="1565"/>
        <w:gridCol w:w="1493"/>
        <w:gridCol w:w="1382"/>
        <w:gridCol w:w="1445"/>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225</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679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094</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039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663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24</w:t>
            </w:r>
          </w:p>
        </w:tc>
      </w:tr>
    </w:tbl>
    <w:p>
      <w:pPr>
        <w:widowControl w:val="0"/>
        <w:spacing w:after="99" w:line="1" w:lineRule="exact"/>
      </w:pPr>
    </w:p>
    <w:p>
      <w:pPr>
        <w:pStyle w:val="Style111"/>
        <w:keepNext w:val="0"/>
        <w:keepLines w:val="0"/>
        <w:widowControl w:val="0"/>
        <w:shd w:val="clear" w:color="auto" w:fill="auto"/>
        <w:bidi w:val="0"/>
        <w:spacing w:before="0" w:after="100" w:line="240" w:lineRule="auto"/>
        <w:ind w:left="1300" w:right="0" w:firstLine="0"/>
        <w:jc w:val="left"/>
      </w:pPr>
      <w:r>
        <w:rPr>
          <w:color w:val="000000"/>
          <w:spacing w:val="0"/>
          <w:w w:val="100"/>
          <w:position w:val="0"/>
        </w:rPr>
        <w:t>（续上表）</w:t>
      </w:r>
    </w:p>
    <w:tbl>
      <w:tblPr>
        <w:tblOverlap w:val="never"/>
        <w:jc w:val="center"/>
        <w:tblLayout w:type="fixed"/>
      </w:tblPr>
      <w:tblGrid>
        <w:gridCol w:w="1416"/>
        <w:gridCol w:w="1560"/>
        <w:gridCol w:w="1560"/>
        <w:gridCol w:w="1512"/>
        <w:gridCol w:w="1387"/>
        <w:gridCol w:w="1382"/>
      </w:tblGrid>
      <w:tr>
        <w:trPr>
          <w:trHeight w:val="45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2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年以上</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572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623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674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680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646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w:t>
            </w:r>
          </w:p>
        </w:tc>
      </w:tr>
    </w:tbl>
    <w:p>
      <w:pPr>
        <w:widowControl w:val="0"/>
        <w:spacing w:after="99" w:line="1" w:lineRule="exact"/>
      </w:pPr>
    </w:p>
    <w:p>
      <w:pPr>
        <w:pStyle w:val="Style11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（三）市场风险</w:t>
      </w:r>
    </w:p>
    <w:p>
      <w:pPr>
        <w:pStyle w:val="Style111"/>
        <w:keepNext w:val="0"/>
        <w:keepLines w:val="0"/>
        <w:widowControl w:val="0"/>
        <w:shd w:val="clear" w:color="auto" w:fill="auto"/>
        <w:bidi w:val="0"/>
        <w:spacing w:before="0" w:after="180" w:line="435" w:lineRule="exact"/>
        <w:ind w:left="880" w:right="0" w:firstLine="420"/>
        <w:jc w:val="left"/>
      </w:pPr>
      <w:r>
        <w:rPr>
          <w:color w:val="000000"/>
          <w:spacing w:val="0"/>
          <w:w w:val="100"/>
          <w:position w:val="0"/>
        </w:rPr>
        <w:t>市场风险，是指金融工具的公允价值或未来现金流量因市场价格变动而发生波动的风 险。市场风险主要包括利率风险和外汇风险。</w:t>
      </w:r>
    </w:p>
    <w:p>
      <w:pPr>
        <w:pStyle w:val="Style111"/>
        <w:keepNext w:val="0"/>
        <w:keepLines w:val="0"/>
        <w:widowControl w:val="0"/>
        <w:numPr>
          <w:ilvl w:val="0"/>
          <w:numId w:val="115"/>
        </w:numPr>
        <w:shd w:val="clear" w:color="auto" w:fill="auto"/>
        <w:tabs>
          <w:tab w:pos="1615" w:val="left"/>
        </w:tabs>
        <w:bidi w:val="0"/>
        <w:spacing w:before="0" w:after="0" w:line="454" w:lineRule="auto"/>
        <w:ind w:left="1300" w:right="0" w:firstLine="0"/>
        <w:jc w:val="left"/>
      </w:pPr>
      <w:bookmarkStart w:id="382" w:name="bookmark382"/>
      <w:bookmarkEnd w:id="382"/>
      <w:r>
        <w:rPr>
          <w:color w:val="000000"/>
          <w:spacing w:val="0"/>
          <w:w w:val="100"/>
          <w:position w:val="0"/>
        </w:rPr>
        <w:t>利率风险</w:t>
      </w:r>
    </w:p>
    <w:p>
      <w:pPr>
        <w:pStyle w:val="Style111"/>
        <w:keepNext w:val="0"/>
        <w:keepLines w:val="0"/>
        <w:widowControl w:val="0"/>
        <w:shd w:val="clear" w:color="auto" w:fill="auto"/>
        <w:bidi w:val="0"/>
        <w:spacing w:before="0" w:after="0" w:line="435" w:lineRule="exact"/>
        <w:ind w:left="880" w:right="0" w:firstLine="420"/>
        <w:jc w:val="left"/>
      </w:pPr>
      <w:r>
        <w:rPr>
          <w:color w:val="000000"/>
          <w:spacing w:val="0"/>
          <w:w w:val="100"/>
          <w:position w:val="0"/>
        </w:rPr>
        <w:t>利率风险，是指金融工具的公允价值或未来现金流量因市场利率变动而发生波动的风 险。本公司面临的市场利率变动的风险主要与本公司以浮动利率计息的借款有关。</w:t>
      </w:r>
    </w:p>
    <w:p>
      <w:pPr>
        <w:pStyle w:val="Style111"/>
        <w:keepNext w:val="0"/>
        <w:keepLines w:val="0"/>
        <w:widowControl w:val="0"/>
        <w:shd w:val="clear" w:color="auto" w:fill="auto"/>
        <w:bidi w:val="0"/>
        <w:spacing w:before="0" w:after="180" w:line="435" w:lineRule="exact"/>
        <w:ind w:left="88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0，本公司以浮动利率计息的银行借款人民币</w:t>
      </w:r>
      <w:r>
        <w:rPr>
          <w:rFonts w:ascii="Times New Roman" w:eastAsia="Times New Roman" w:hAnsi="Times New Roman" w:cs="Times New Roman"/>
          <w:color w:val="000000"/>
          <w:spacing w:val="0"/>
          <w:w w:val="100"/>
          <w:position w:val="0"/>
        </w:rPr>
        <w:t>505</w:t>
      </w:r>
      <w:r>
        <w:rPr>
          <w:color w:val="000000"/>
          <w:spacing w:val="0"/>
          <w:w w:val="100"/>
          <w:position w:val="0"/>
        </w:rPr>
        <w:t xml:space="preserve">, </w:t>
      </w:r>
      <w:r>
        <w:rPr>
          <w:rFonts w:ascii="Times New Roman" w:eastAsia="Times New Roman" w:hAnsi="Times New Roman" w:cs="Times New Roman"/>
          <w:color w:val="000000"/>
          <w:spacing w:val="0"/>
          <w:w w:val="100"/>
          <w:position w:val="0"/>
        </w:rPr>
        <w:t>689</w:t>
      </w:r>
      <w:r>
        <w:rPr>
          <w:color w:val="000000"/>
          <w:spacing w:val="0"/>
          <w:w w:val="100"/>
          <w:position w:val="0"/>
        </w:rPr>
        <w:t xml:space="preserve">, </w:t>
      </w:r>
      <w:r>
        <w:rPr>
          <w:rFonts w:ascii="Times New Roman" w:eastAsia="Times New Roman" w:hAnsi="Times New Roman" w:cs="Times New Roman"/>
          <w:color w:val="000000"/>
          <w:spacing w:val="0"/>
          <w:w w:val="100"/>
          <w:position w:val="0"/>
        </w:rPr>
        <w:t>765</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元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192</w:t>
      </w:r>
      <w:r>
        <w:rPr>
          <w:color w:val="000000"/>
          <w:spacing w:val="0"/>
          <w:w w:val="100"/>
          <w:position w:val="0"/>
        </w:rPr>
        <w:t>,</w:t>
      </w:r>
      <w:r>
        <w:rPr>
          <w:rFonts w:ascii="Times New Roman" w:eastAsia="Times New Roman" w:hAnsi="Times New Roman" w:cs="Times New Roman"/>
          <w:color w:val="000000"/>
          <w:spacing w:val="0"/>
          <w:w w:val="100"/>
          <w:position w:val="0"/>
        </w:rPr>
        <w:t>160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元），在其他变量不变的假设下，假定利率变动</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个基准点，不会对本公司的利润总额和股东权益产生重大的影响。</w:t>
      </w:r>
    </w:p>
    <w:p>
      <w:pPr>
        <w:pStyle w:val="Style111"/>
        <w:keepNext w:val="0"/>
        <w:keepLines w:val="0"/>
        <w:widowControl w:val="0"/>
        <w:numPr>
          <w:ilvl w:val="0"/>
          <w:numId w:val="115"/>
        </w:numPr>
        <w:shd w:val="clear" w:color="auto" w:fill="auto"/>
        <w:tabs>
          <w:tab w:pos="1639" w:val="left"/>
        </w:tabs>
        <w:bidi w:val="0"/>
        <w:spacing w:before="0" w:after="0" w:line="454" w:lineRule="auto"/>
        <w:ind w:left="1300" w:right="0" w:firstLine="0"/>
        <w:jc w:val="left"/>
      </w:pPr>
      <w:bookmarkStart w:id="383" w:name="bookmark383"/>
      <w:bookmarkEnd w:id="383"/>
      <w:r>
        <w:rPr>
          <w:color w:val="000000"/>
          <w:spacing w:val="0"/>
          <w:w w:val="100"/>
          <w:position w:val="0"/>
        </w:rPr>
        <w:t>外汇风险</w:t>
      </w:r>
    </w:p>
    <w:p>
      <w:pPr>
        <w:pStyle w:val="Style111"/>
        <w:keepNext w:val="0"/>
        <w:keepLines w:val="0"/>
        <w:widowControl w:val="0"/>
        <w:shd w:val="clear" w:color="auto" w:fill="auto"/>
        <w:bidi w:val="0"/>
        <w:spacing w:before="0" w:after="0" w:line="435" w:lineRule="exact"/>
        <w:ind w:left="880" w:right="0" w:firstLine="420"/>
        <w:jc w:val="left"/>
      </w:pPr>
      <w:r>
        <w:rPr>
          <w:color w:val="000000"/>
          <w:spacing w:val="0"/>
          <w:w w:val="100"/>
          <w:position w:val="0"/>
        </w:rPr>
        <w:t xml:space="preserve">外汇风险，是指金融工具的公允价值或未来现金流量因外汇汇率变动而发生波动的风 险。公司存在海外子公司，同时还存在一定比例的出口销售业务和进口采购业务。面临一定 </w:t>
      </w:r>
      <w:r>
        <w:rPr>
          <w:color w:val="000000"/>
          <w:spacing w:val="0"/>
          <w:w w:val="100"/>
          <w:position w:val="0"/>
        </w:rPr>
        <w:t>的汇率波动风险。为加强汇率风险管理，公司在持有外汇资产的同时，保有一定量的外汇负 债，用以对冲汇率波动的风险。</w:t>
      </w:r>
    </w:p>
    <w:p>
      <w:pPr>
        <w:pStyle w:val="Style111"/>
        <w:keepNext w:val="0"/>
        <w:keepLines w:val="0"/>
        <w:widowControl w:val="0"/>
        <w:shd w:val="clear" w:color="auto" w:fill="auto"/>
        <w:bidi w:val="0"/>
        <w:spacing w:before="0" w:after="420" w:line="439" w:lineRule="exact"/>
        <w:ind w:left="880" w:right="0" w:firstLine="420"/>
        <w:jc w:val="left"/>
      </w:pPr>
      <w:r>
        <w:rPr>
          <w:color w:val="000000"/>
          <w:spacing w:val="0"/>
          <w:w w:val="100"/>
          <w:position w:val="0"/>
        </w:rPr>
        <w:t>本公司期末外币货币性资产和负债情况见本财务报表附注合并财务报表项目注释其他 之外币货币性项目说明。</w:t>
      </w:r>
    </w:p>
    <w:p>
      <w:pPr>
        <w:pStyle w:val="Style6"/>
        <w:keepNext w:val="0"/>
        <w:keepLines w:val="0"/>
        <w:widowControl w:val="0"/>
        <w:shd w:val="clear" w:color="auto" w:fill="auto"/>
        <w:bidi w:val="0"/>
        <w:spacing w:before="0" w:after="0" w:line="439" w:lineRule="exact"/>
        <w:ind w:left="1300" w:right="0" w:firstLine="0"/>
        <w:jc w:val="left"/>
        <w:rPr>
          <w:sz w:val="20"/>
          <w:szCs w:val="20"/>
        </w:rPr>
      </w:pPr>
      <w:r>
        <w:rPr>
          <w:rFonts w:ascii="SimHei" w:eastAsia="SimHei" w:hAnsi="SimHei" w:cs="SimHei"/>
          <w:b/>
          <w:bCs/>
          <w:color w:val="000000"/>
          <w:spacing w:val="0"/>
          <w:w w:val="100"/>
          <w:position w:val="0"/>
          <w:sz w:val="20"/>
          <w:szCs w:val="20"/>
        </w:rPr>
        <w:t>九' 公允价值的披露</w:t>
      </w:r>
    </w:p>
    <w:p>
      <w:pPr>
        <w:pStyle w:val="Style111"/>
        <w:keepNext w:val="0"/>
        <w:keepLines w:val="0"/>
        <w:widowControl w:val="0"/>
        <w:shd w:val="clear" w:color="auto" w:fill="auto"/>
        <w:bidi w:val="0"/>
        <w:spacing w:before="0" w:after="180" w:line="439" w:lineRule="exact"/>
        <w:ind w:left="1300" w:right="0" w:firstLine="0"/>
        <w:jc w:val="left"/>
      </w:pPr>
      <w:r>
        <w:rPr>
          <w:color w:val="000000"/>
          <w:spacing w:val="0"/>
          <w:w w:val="100"/>
          <w:position w:val="0"/>
        </w:rPr>
        <w:t>以公允价值计量的资产和负债的期末公允价值明细情况</w:t>
      </w:r>
    </w:p>
    <w:p>
      <w:pPr>
        <w:pStyle w:val="Style30"/>
        <w:keepNext w:val="0"/>
        <w:keepLines w:val="0"/>
        <w:widowControl w:val="0"/>
        <w:shd w:val="clear" w:color="auto" w:fill="auto"/>
        <w:bidi w:val="0"/>
        <w:spacing w:before="0" w:after="0" w:line="240" w:lineRule="auto"/>
        <w:ind w:left="5251" w:right="0" w:firstLine="0"/>
        <w:jc w:val="left"/>
        <w:rPr>
          <w:sz w:val="18"/>
          <w:szCs w:val="18"/>
        </w:rPr>
      </w:pPr>
      <w:r>
        <w:rPr>
          <w:color w:val="000000"/>
          <w:spacing w:val="0"/>
          <w:w w:val="100"/>
          <w:position w:val="0"/>
          <w:sz w:val="18"/>
          <w:szCs w:val="18"/>
        </w:rPr>
        <w:t>期末公允价值</w:t>
      </w:r>
    </w:p>
    <w:tbl>
      <w:tblPr>
        <w:tblOverlap w:val="never"/>
        <w:jc w:val="center"/>
        <w:tblLayout w:type="fixed"/>
      </w:tblPr>
      <w:tblGrid>
        <w:gridCol w:w="3067"/>
        <w:gridCol w:w="1195"/>
        <w:gridCol w:w="1478"/>
        <w:gridCol w:w="1339"/>
        <w:gridCol w:w="1507"/>
      </w:tblGrid>
      <w:tr>
        <w:trPr>
          <w:trHeight w:val="59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第一层次公允 价值计量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第二层次公允 价值计量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第三层次公允 价值计量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360"/>
              <w:jc w:val="left"/>
              <w:rPr>
                <w:sz w:val="18"/>
                <w:szCs w:val="18"/>
              </w:rPr>
            </w:pPr>
            <w:r>
              <w:rPr>
                <w:color w:val="000000"/>
                <w:spacing w:val="0"/>
                <w:w w:val="100"/>
                <w:position w:val="0"/>
                <w:sz w:val="18"/>
                <w:szCs w:val="18"/>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bl>
    <w:p>
      <w:pPr>
        <w:widowControl w:val="0"/>
        <w:spacing w:after="459" w:line="1" w:lineRule="exact"/>
      </w:pPr>
    </w:p>
    <w:p>
      <w:pPr>
        <w:pStyle w:val="Style6"/>
        <w:keepNext w:val="0"/>
        <w:keepLines w:val="0"/>
        <w:widowControl w:val="0"/>
        <w:shd w:val="clear" w:color="auto" w:fill="auto"/>
        <w:bidi w:val="0"/>
        <w:spacing w:before="0" w:after="120" w:line="240" w:lineRule="auto"/>
        <w:ind w:left="1300" w:right="0" w:firstLine="0"/>
        <w:jc w:val="left"/>
        <w:rPr>
          <w:sz w:val="20"/>
          <w:szCs w:val="20"/>
        </w:rPr>
      </w:pPr>
      <w:r>
        <w:rPr>
          <w:rFonts w:ascii="SimHei" w:eastAsia="SimHei" w:hAnsi="SimHei" w:cs="SimHei"/>
          <w:b/>
          <w:bCs/>
          <w:color w:val="000000"/>
          <w:spacing w:val="0"/>
          <w:w w:val="100"/>
          <w:position w:val="0"/>
          <w:sz w:val="20"/>
          <w:szCs w:val="20"/>
        </w:rPr>
        <w:t>十' 关联方及关联交易</w:t>
      </w:r>
    </w:p>
    <w:p>
      <w:pPr>
        <w:pStyle w:val="Style111"/>
        <w:keepNext w:val="0"/>
        <w:keepLines w:val="0"/>
        <w:widowControl w:val="0"/>
        <w:numPr>
          <w:ilvl w:val="0"/>
          <w:numId w:val="117"/>
        </w:numPr>
        <w:shd w:val="clear" w:color="auto" w:fill="auto"/>
        <w:bidi w:val="0"/>
        <w:spacing w:before="0" w:after="180" w:line="240" w:lineRule="auto"/>
        <w:ind w:left="1300" w:right="0" w:firstLine="0"/>
        <w:jc w:val="left"/>
      </w:pPr>
      <w:bookmarkStart w:id="384" w:name="bookmark384"/>
      <w:bookmarkEnd w:id="384"/>
      <w:r>
        <w:rPr>
          <w:color w:val="000000"/>
          <w:spacing w:val="0"/>
          <w:w w:val="100"/>
          <w:position w:val="0"/>
        </w:rPr>
        <w:t>关联方情况</w:t>
      </w:r>
    </w:p>
    <w:p>
      <w:pPr>
        <w:pStyle w:val="Style111"/>
        <w:keepNext w:val="0"/>
        <w:keepLines w:val="0"/>
        <w:widowControl w:val="0"/>
        <w:numPr>
          <w:ilvl w:val="0"/>
          <w:numId w:val="119"/>
        </w:numPr>
        <w:shd w:val="clear" w:color="auto" w:fill="auto"/>
        <w:bidi w:val="0"/>
        <w:spacing w:before="0" w:after="180" w:line="240" w:lineRule="auto"/>
        <w:ind w:left="1300" w:right="0" w:firstLine="0"/>
        <w:jc w:val="left"/>
      </w:pPr>
      <w:bookmarkStart w:id="385" w:name="bookmark385"/>
      <w:bookmarkEnd w:id="385"/>
      <w:r>
        <w:rPr>
          <w:color w:val="000000"/>
          <w:spacing w:val="0"/>
          <w:w w:val="100"/>
          <w:position w:val="0"/>
        </w:rPr>
        <w:t>本公司的母公司情况</w:t>
      </w:r>
    </w:p>
    <w:p>
      <w:pPr>
        <w:pStyle w:val="Style111"/>
        <w:keepNext w:val="0"/>
        <w:keepLines w:val="0"/>
        <w:widowControl w:val="0"/>
        <w:shd w:val="clear" w:color="auto" w:fill="auto"/>
        <w:bidi w:val="0"/>
        <w:spacing w:before="0" w:after="120" w:line="240" w:lineRule="auto"/>
        <w:ind w:left="13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)本公司的母公司</w:t>
      </w:r>
    </w:p>
    <w:tbl>
      <w:tblPr>
        <w:tblOverlap w:val="never"/>
        <w:jc w:val="center"/>
        <w:tblLayout w:type="fixed"/>
      </w:tblPr>
      <w:tblGrid>
        <w:gridCol w:w="2899"/>
        <w:gridCol w:w="1147"/>
        <w:gridCol w:w="1152"/>
        <w:gridCol w:w="1152"/>
        <w:gridCol w:w="1104"/>
        <w:gridCol w:w="1133"/>
      </w:tblGrid>
      <w:tr>
        <w:trPr>
          <w:trHeight w:val="8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母公司对本 公司的持股 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母公司对本 公司的表决 权比例(%)</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传化集团公司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浙江杭州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实业投资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r>
    </w:tbl>
    <w:p>
      <w:pPr>
        <w:pStyle w:val="Style30"/>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本公司的母公司情况的说明</w:t>
      </w:r>
    </w:p>
    <w:p>
      <w:pPr>
        <w:pStyle w:val="Style111"/>
        <w:keepNext w:val="0"/>
        <w:keepLines w:val="0"/>
        <w:widowControl w:val="0"/>
        <w:shd w:val="clear" w:color="auto" w:fill="auto"/>
        <w:bidi w:val="0"/>
        <w:spacing w:before="0" w:after="0" w:line="436" w:lineRule="exact"/>
        <w:ind w:left="880" w:right="0" w:firstLine="420"/>
        <w:jc w:val="both"/>
      </w:pPr>
      <w:r>
        <w:rPr>
          <w:color w:val="000000"/>
          <w:spacing w:val="0"/>
          <w:w w:val="100"/>
          <w:position w:val="0"/>
        </w:rPr>
        <w:t>传化集团公司系由徐传化、徐冠巨和徐观宝共同投资组建的有限责任公司，于</w:t>
      </w:r>
      <w:r>
        <w:rPr>
          <w:rFonts w:ascii="Times New Roman" w:eastAsia="Times New Roman" w:hAnsi="Times New Roman" w:cs="Times New Roman"/>
          <w:color w:val="000000"/>
          <w:spacing w:val="0"/>
          <w:w w:val="100"/>
          <w:position w:val="0"/>
        </w:rPr>
        <w:t>1995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日在杭州工商行政管理局登记注册，现有注册资本(实收资本)</w:t>
      </w:r>
      <w:r>
        <w:rPr>
          <w:rFonts w:ascii="Times New Roman" w:eastAsia="Times New Roman" w:hAnsi="Times New Roman" w:cs="Times New Roman"/>
          <w:color w:val="000000"/>
          <w:spacing w:val="0"/>
          <w:w w:val="100"/>
          <w:position w:val="0"/>
        </w:rPr>
        <w:t>80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万元，持有 统一社会信用代码为</w:t>
      </w:r>
      <w:r>
        <w:rPr>
          <w:rFonts w:ascii="Times New Roman" w:eastAsia="Times New Roman" w:hAnsi="Times New Roman" w:cs="Times New Roman"/>
          <w:color w:val="000000"/>
          <w:spacing w:val="0"/>
          <w:w w:val="100"/>
          <w:position w:val="0"/>
        </w:rPr>
        <w:t>913301092539087031</w:t>
      </w:r>
      <w:r>
        <w:rPr>
          <w:color w:val="000000"/>
          <w:spacing w:val="0"/>
          <w:w w:val="100"/>
          <w:position w:val="0"/>
        </w:rPr>
        <w:t>的营业执照。传化集团公司经营范围：批发、零 售：日用化工产品及精细化工产品(除化学危险品及易制毒化学品)，农副产品，以及其他 无需报经审批的一切合法项目；销售有色金属：出口本企业自产的化工产品，化工原料，化 纤原料；进口本企业、科研所需的原辅材料，机械设备，仪器仪表及零配件；实业投资；软 件开发；现代物流服务(国家专项审批的除外)；企业咨询服务。</w:t>
      </w:r>
    </w:p>
    <w:p>
      <w:pPr>
        <w:pStyle w:val="Style111"/>
        <w:keepNext w:val="0"/>
        <w:keepLines w:val="0"/>
        <w:widowControl w:val="0"/>
        <w:shd w:val="clear" w:color="auto" w:fill="auto"/>
        <w:bidi w:val="0"/>
        <w:spacing w:before="0" w:after="180" w:line="436" w:lineRule="exact"/>
        <w:ind w:left="13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)本公司最终控制方是徐传化、徐冠巨、徐观宝父子。</w:t>
      </w:r>
    </w:p>
    <w:p>
      <w:pPr>
        <w:pStyle w:val="Style111"/>
        <w:keepNext w:val="0"/>
        <w:keepLines w:val="0"/>
        <w:widowControl w:val="0"/>
        <w:numPr>
          <w:ilvl w:val="0"/>
          <w:numId w:val="119"/>
        </w:numPr>
        <w:shd w:val="clear" w:color="auto" w:fill="auto"/>
        <w:bidi w:val="0"/>
        <w:spacing w:before="0" w:after="180" w:line="456" w:lineRule="auto"/>
        <w:ind w:left="1300" w:right="0" w:firstLine="0"/>
        <w:jc w:val="left"/>
      </w:pPr>
      <w:bookmarkStart w:id="386" w:name="bookmark386"/>
      <w:bookmarkEnd w:id="386"/>
      <w:r>
        <w:rPr>
          <w:color w:val="000000"/>
          <w:spacing w:val="0"/>
          <w:w w:val="100"/>
          <w:position w:val="0"/>
        </w:rPr>
        <w:t>本公司的子公司情况详见本财务报表附注在其他主体中的权益之说明。</w:t>
      </w:r>
      <w:r>
        <w:br w:type="page"/>
      </w:r>
    </w:p>
    <w:p>
      <w:pPr>
        <w:pStyle w:val="Style111"/>
        <w:keepNext w:val="0"/>
        <w:keepLines w:val="0"/>
        <w:widowControl w:val="0"/>
        <w:numPr>
          <w:ilvl w:val="0"/>
          <w:numId w:val="119"/>
        </w:numPr>
        <w:shd w:val="clear" w:color="auto" w:fill="auto"/>
        <w:tabs>
          <w:tab w:pos="1634" w:val="left"/>
        </w:tabs>
        <w:bidi w:val="0"/>
        <w:spacing w:before="0" w:after="160" w:line="240" w:lineRule="auto"/>
        <w:ind w:left="1300" w:right="0" w:firstLine="0"/>
        <w:jc w:val="left"/>
      </w:pPr>
      <w:bookmarkStart w:id="387" w:name="bookmark387"/>
      <w:bookmarkEnd w:id="387"/>
      <w:r>
        <w:rPr>
          <w:color w:val="000000"/>
          <w:spacing w:val="0"/>
          <w:w w:val="100"/>
          <w:position w:val="0"/>
        </w:rPr>
        <w:t>本公司的合营和联营企业情况详见本财务报表附注在其他主体中的权益之说明。</w:t>
      </w:r>
    </w:p>
    <w:p>
      <w:pPr>
        <w:pStyle w:val="Style111"/>
        <w:keepNext w:val="0"/>
        <w:keepLines w:val="0"/>
        <w:widowControl w:val="0"/>
        <w:numPr>
          <w:ilvl w:val="0"/>
          <w:numId w:val="119"/>
        </w:numPr>
        <w:shd w:val="clear" w:color="auto" w:fill="auto"/>
        <w:tabs>
          <w:tab w:pos="1634" w:val="left"/>
        </w:tabs>
        <w:bidi w:val="0"/>
        <w:spacing w:before="0" w:after="160" w:line="240" w:lineRule="auto"/>
        <w:ind w:left="1300" w:right="0" w:firstLine="0"/>
        <w:jc w:val="left"/>
      </w:pPr>
      <w:bookmarkStart w:id="388" w:name="bookmark388"/>
      <w:bookmarkEnd w:id="388"/>
      <w:r>
        <w:rPr>
          <w:color w:val="000000"/>
          <w:spacing w:val="0"/>
          <w:w w:val="100"/>
          <w:position w:val="0"/>
        </w:rPr>
        <w:t>本公司的其他关联方情况</w:t>
      </w:r>
    </w:p>
    <w:p>
      <w:pPr>
        <w:pStyle w:val="Style111"/>
        <w:keepNext w:val="0"/>
        <w:keepLines w:val="0"/>
        <w:widowControl w:val="0"/>
        <w:shd w:val="clear" w:color="auto" w:fill="auto"/>
        <w:bidi w:val="0"/>
        <w:spacing w:before="0" w:after="80" w:line="240" w:lineRule="auto"/>
        <w:ind w:left="13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)本公司的其他关联方</w:t>
      </w:r>
    </w:p>
    <w:tbl>
      <w:tblPr>
        <w:tblOverlap w:val="never"/>
        <w:jc w:val="center"/>
        <w:tblLayout w:type="fixed"/>
      </w:tblPr>
      <w:tblGrid>
        <w:gridCol w:w="4109"/>
        <w:gridCol w:w="4478"/>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其他关联方与本公司关系</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锦鸡股份公司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公司参股公司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公司参股公司锦鸡股份公司全资子公司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西部能源公司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公司参股公司</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鄂尔多斯市新杭能源有限公司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西部能源公司全资子公司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上海亿京实业有限公司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西部能源公司全资子公司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亿利国际贸易有限公司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与西部能源公司系同一实际控制人控制的公司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浙江新安化工集团股份有限公司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传化集团公司系该公司第一大股东</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北京传化科技发展有限公司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浙江传化石油化工有限公司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传化物流集团参股，持有</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股权</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杭州传化大地园林工程有限公司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浙江新安物流有限公司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浙江新安化工集团股份有限公司之子公司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镇江江南化工有限公司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浙江新安化工集团股份有限公司之子公司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泰兴锦汇化工有限公司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为锦鸡股份公司控股子公司</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杭州传化大地旅业有限公司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浙江开化合成材料有限公司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浙江新安化工集团股份有限公司之子公司</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上海境界投资管理有限公司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浙江传化物流基地有限公司全资子公司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浙江传化物流基地有限公司全资子公司</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杭州静湖餐饮管理有限公司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浙江传化物流基地有限公司全资子公司</w:t>
            </w: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浙江新安包装有限公司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浙江新安化工集团股份有限公司之子公司</w:t>
            </w:r>
          </w:p>
        </w:tc>
      </w:tr>
    </w:tbl>
    <w:p>
      <w:pPr>
        <w:spacing w:lineRule="exact" w:line="1"/>
        <w:rPr>
          <w:sz w:val="2"/>
          <w:szCs w:val="2"/>
        </w:rPr>
      </w:pPr>
      <w:r>
        <w:br w:type="page"/>
      </w:r>
    </w:p>
    <w:tbl>
      <w:tblPr>
        <w:tblOverlap w:val="never"/>
        <w:jc w:val="center"/>
        <w:tblLayout w:type="fixed"/>
      </w:tblPr>
      <w:tblGrid>
        <w:gridCol w:w="4109"/>
        <w:gridCol w:w="447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杭州传化科技服务有限公司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浙江传化江南大地发展有限公司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浙江传化物流基地有限公司全资子公司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浙江传化物流基地有限公司控制的子公司</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浙江传化物流基地有限公司全资子公司</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浙江传化化学集团有限公司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同受传化集团公司直接或间接控制</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成都传化置业有限公司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传化物流集团参股，持有</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%股权</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1300" w:right="0" w:firstLine="0"/>
        <w:jc w:val="left"/>
      </w:pPr>
      <w:bookmarkStart w:id="389" w:name="bookmark389"/>
      <w:r>
        <w:rPr>
          <w:color w:val="000000"/>
          <w:spacing w:val="0"/>
          <w:w w:val="100"/>
          <w:position w:val="0"/>
        </w:rPr>
        <w:t>（</w:t>
      </w:r>
      <w:bookmarkEnd w:id="389"/>
      <w:r>
        <w:rPr>
          <w:color w:val="000000"/>
          <w:spacing w:val="0"/>
          <w:w w:val="100"/>
          <w:position w:val="0"/>
        </w:rPr>
        <w:t>二）关联交易情况</w:t>
      </w:r>
    </w:p>
    <w:p>
      <w:pPr>
        <w:pStyle w:val="Style111"/>
        <w:keepNext w:val="0"/>
        <w:keepLines w:val="0"/>
        <w:widowControl w:val="0"/>
        <w:shd w:val="clear" w:color="auto" w:fill="auto"/>
        <w:bidi w:val="0"/>
        <w:spacing w:before="0" w:after="180" w:line="240" w:lineRule="auto"/>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购销商品、提供和接受劳务的关联交易</w:t>
      </w:r>
    </w:p>
    <w:p>
      <w:pPr>
        <w:pStyle w:val="Style111"/>
        <w:keepNext w:val="0"/>
        <w:keepLines w:val="0"/>
        <w:widowControl w:val="0"/>
        <w:shd w:val="clear" w:color="auto" w:fill="auto"/>
        <w:bidi w:val="0"/>
        <w:spacing w:before="0" w:after="180" w:line="240" w:lineRule="auto"/>
        <w:ind w:left="1300" w:right="0" w:firstLine="0"/>
        <w:jc w:val="left"/>
      </w:pPr>
      <w:r>
        <w:rPr>
          <w:color w:val="000000"/>
          <w:spacing w:val="0"/>
          <w:w w:val="100"/>
          <w:position w:val="0"/>
        </w:rPr>
        <w:t>⑴明细情况</w:t>
      </w:r>
    </w:p>
    <w:p>
      <w:pPr>
        <w:pStyle w:val="Style111"/>
        <w:keepNext w:val="0"/>
        <w:keepLines w:val="0"/>
        <w:widowControl w:val="0"/>
        <w:shd w:val="clear" w:color="auto" w:fill="auto"/>
        <w:bidi w:val="0"/>
        <w:spacing w:before="0" w:after="80" w:line="240" w:lineRule="auto"/>
        <w:ind w:left="13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）采购商品和接受劳务的关联交易</w:t>
      </w:r>
    </w:p>
    <w:tbl>
      <w:tblPr>
        <w:tblOverlap w:val="never"/>
        <w:jc w:val="center"/>
        <w:tblLayout w:type="fixed"/>
      </w:tblPr>
      <w:tblGrid>
        <w:gridCol w:w="3403"/>
        <w:gridCol w:w="1560"/>
        <w:gridCol w:w="2122"/>
        <w:gridCol w:w="1877"/>
      </w:tblGrid>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染料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鄂尔多斯市新杭能源有限公司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浙江新安化工集团股份有限公司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666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北京传化科技发展有限公司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浙江传化石油化工有限公司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浙江新安物流有限公司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w:t>
            </w: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日化用品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镇江江南化工有限公司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杭州传化大地园林工程有限公司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杭州静湖餐饮管理有限公司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浙江传化江南大地发展有限公司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1560"/>
        <w:gridCol w:w="2122"/>
        <w:gridCol w:w="1877"/>
      </w:tblGrid>
      <w:tr>
        <w:trPr>
          <w:trHeight w:val="44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泰兴锦汇化工有限公司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杭州传化大地旅业有限公司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浙江开化合成材料有限公司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天津传化物流基地有限公司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上海境界投资管理有限公司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沈阳传化物流基地有限公司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购买商品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）出售商品和提供劳务的关联交易</w:t>
      </w:r>
    </w:p>
    <w:p>
      <w:pPr>
        <w:widowControl w:val="0"/>
        <w:spacing w:after="39" w:line="1" w:lineRule="exact"/>
      </w:pPr>
    </w:p>
    <w:tbl>
      <w:tblPr>
        <w:tblOverlap w:val="never"/>
        <w:jc w:val="center"/>
        <w:tblLayout w:type="fixed"/>
      </w:tblPr>
      <w:tblGrid>
        <w:gridCol w:w="3403"/>
        <w:gridCol w:w="1560"/>
        <w:gridCol w:w="2122"/>
        <w:gridCol w:w="1877"/>
      </w:tblGrid>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亿利国际贸易有限公司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西部能源公司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上海亿京实业有限公司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供应链收入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84</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供应链收入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咨询服务收入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泰兴锦云染料有限公司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天津传化物流基地有限公司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青岛传化物流基地有限公司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浙江新安包装有限公司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166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杭州传化科技服务有限公司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p>
        </w:tc>
      </w:tr>
      <w:tr>
        <w:trPr>
          <w:trHeight w:val="46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重庆传化物流基地有限公司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运输服务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r>
    </w:tbl>
    <w:p>
      <w:pPr>
        <w:sectPr>
          <w:footnotePr>
            <w:pos w:val="pageBottom"/>
            <w:numFmt w:val="decimal"/>
            <w:numRestart w:val="continuous"/>
          </w:footnotePr>
          <w:pgSz w:w="11900" w:h="16840"/>
          <w:pgMar w:top="1330" w:right="591" w:bottom="1474" w:left="911" w:header="0" w:footer="3" w:gutter="0"/>
          <w:cols w:space="720"/>
          <w:noEndnote/>
          <w:rtlGutter w:val="0"/>
          <w:docGrid w:linePitch="360"/>
        </w:sectPr>
      </w:pPr>
    </w:p>
    <w:tbl>
      <w:tblPr>
        <w:tblOverlap w:val="never"/>
        <w:jc w:val="center"/>
        <w:tblLayout w:type="fixed"/>
      </w:tblPr>
      <w:tblGrid>
        <w:gridCol w:w="3403"/>
        <w:gridCol w:w="1560"/>
        <w:gridCol w:w="2122"/>
        <w:gridCol w:w="1877"/>
      </w:tblGrid>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泰兴锦汇化工有限公司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化工原料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p>
        </w:tc>
      </w:tr>
      <w:tr>
        <w:trPr>
          <w:trHeight w:val="4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浙江传化江南大地发展有限公司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11"/>
        <w:keepNext w:val="0"/>
        <w:keepLines w:val="0"/>
        <w:widowControl w:val="0"/>
        <w:numPr>
          <w:ilvl w:val="0"/>
          <w:numId w:val="115"/>
        </w:numPr>
        <w:shd w:val="clear" w:color="auto" w:fill="auto"/>
        <w:bidi w:val="0"/>
        <w:spacing w:before="0" w:after="180" w:line="240" w:lineRule="auto"/>
        <w:ind w:left="0" w:right="0" w:firstLine="580"/>
        <w:jc w:val="left"/>
      </w:pPr>
      <w:bookmarkStart w:id="390" w:name="bookmark390"/>
      <w:bookmarkEnd w:id="390"/>
      <w:r>
        <w:rPr>
          <w:color w:val="000000"/>
          <w:spacing w:val="0"/>
          <w:w w:val="100"/>
          <w:position w:val="0"/>
        </w:rPr>
        <w:t>关联租赁情况</w:t>
      </w:r>
    </w:p>
    <w:p>
      <w:pPr>
        <w:pStyle w:val="Style111"/>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公司承租情况</w:t>
      </w:r>
    </w:p>
    <w:tbl>
      <w:tblPr>
        <w:tblOverlap w:val="never"/>
        <w:jc w:val="center"/>
        <w:tblLayout w:type="fixed"/>
      </w:tblPr>
      <w:tblGrid>
        <w:gridCol w:w="1963"/>
        <w:gridCol w:w="1862"/>
        <w:gridCol w:w="1344"/>
        <w:gridCol w:w="1685"/>
        <w:gridCol w:w="1733"/>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本期确认的 租赁费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上年同期确认的 租赁费</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成都传化物流基地</w:t>
            </w:r>
          </w:p>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成都传化公路港</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苏州传化物流基地</w:t>
            </w:r>
          </w:p>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苏州传化公路港</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青岛传化物流基地</w:t>
            </w:r>
          </w:p>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青岛传化公路港</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传化公路港物流</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场地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浙江传化华洋化工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杭州传化唯迅新 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房屋及土地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浙江传化物流基地</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传化公路港物流 有限公司浙江分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浙江传化华洋化工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传化涂料公司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场地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杭州传化科技城有</w:t>
            </w:r>
          </w:p>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限公司[注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传化合成材料公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r>
    </w:tbl>
    <w:p>
      <w:pPr>
        <w:widowControl w:val="0"/>
        <w:spacing w:after="59" w:line="1" w:lineRule="exact"/>
      </w:pPr>
    </w:p>
    <w:p>
      <w:pPr>
        <w:pStyle w:val="Style111"/>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：租赁合同均由传化集团公司担保。</w:t>
      </w:r>
    </w:p>
    <w:p>
      <w:pPr>
        <w:pStyle w:val="Style111"/>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：传化合成材料公司向杭州传化科技城有限公司租入客车一辆，租期</w:t>
      </w:r>
      <w:r>
        <w:rPr>
          <w:rFonts w:ascii="Times New Roman" w:eastAsia="Times New Roman" w:hAnsi="Times New Roman" w:cs="Times New Roman"/>
          <w:color w:val="000000"/>
          <w:spacing w:val="0"/>
          <w:w w:val="100"/>
          <w:position w:val="0"/>
        </w:rPr>
        <w:t>10</w:t>
      </w:r>
      <w:r>
        <w:rPr>
          <w:color w:val="000000"/>
          <w:spacing w:val="0"/>
          <w:w w:val="100"/>
          <w:position w:val="0"/>
        </w:rPr>
        <w:t>年，一次</w:t>
      </w:r>
    </w:p>
    <w:p>
      <w:pPr>
        <w:pStyle w:val="Style111"/>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性支付租金</w:t>
      </w:r>
      <w:r>
        <w:rPr>
          <w:rFonts w:ascii="Times New Roman" w:eastAsia="Times New Roman" w:hAnsi="Times New Roman" w:cs="Times New Roman"/>
          <w:color w:val="000000"/>
          <w:spacing w:val="0"/>
          <w:w w:val="100"/>
          <w:position w:val="0"/>
        </w:rPr>
        <w:t>275</w:t>
      </w:r>
      <w:r>
        <w:rPr>
          <w:color w:val="000000"/>
          <w:spacing w:val="0"/>
          <w:w w:val="100"/>
          <w:position w:val="0"/>
        </w:rPr>
        <w:t xml:space="preserve">, </w:t>
      </w:r>
      <w:r>
        <w:rPr>
          <w:rFonts w:ascii="Times New Roman" w:eastAsia="Times New Roman" w:hAnsi="Times New Roman" w:cs="Times New Roman"/>
          <w:color w:val="000000"/>
          <w:spacing w:val="0"/>
          <w:w w:val="100"/>
          <w:position w:val="0"/>
        </w:rPr>
        <w:t>974</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11"/>
        <w:keepNext w:val="0"/>
        <w:keepLines w:val="0"/>
        <w:widowControl w:val="0"/>
        <w:numPr>
          <w:ilvl w:val="0"/>
          <w:numId w:val="115"/>
        </w:numPr>
        <w:shd w:val="clear" w:color="auto" w:fill="auto"/>
        <w:bidi w:val="0"/>
        <w:spacing w:before="0" w:after="180" w:line="240" w:lineRule="auto"/>
        <w:ind w:left="0" w:right="0" w:firstLine="580"/>
        <w:jc w:val="left"/>
      </w:pPr>
      <w:bookmarkStart w:id="391" w:name="bookmark391"/>
      <w:bookmarkEnd w:id="391"/>
      <w:r>
        <w:rPr>
          <w:color w:val="000000"/>
          <w:spacing w:val="0"/>
          <w:w w:val="100"/>
          <w:position w:val="0"/>
        </w:rPr>
        <w:t>关联担保情况</w:t>
      </w:r>
    </w:p>
    <w:p>
      <w:pPr>
        <w:pStyle w:val="Style111"/>
        <w:keepNext w:val="0"/>
        <w:keepLines w:val="0"/>
        <w:widowControl w:val="0"/>
        <w:shd w:val="clear" w:color="auto" w:fill="auto"/>
        <w:bidi w:val="0"/>
        <w:spacing w:before="0" w:after="6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）本公司及子公司作为担保方</w:t>
      </w:r>
    </w:p>
    <w:tbl>
      <w:tblPr>
        <w:tblOverlap w:val="never"/>
        <w:jc w:val="center"/>
        <w:tblLayout w:type="fixed"/>
      </w:tblPr>
      <w:tblGrid>
        <w:gridCol w:w="3259"/>
        <w:gridCol w:w="1699"/>
        <w:gridCol w:w="1277"/>
        <w:gridCol w:w="1190"/>
        <w:gridCol w:w="1162"/>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担保是否已</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经履行完毕</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鄂尔多斯市新杭能源有限公司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34"/>
                <w:szCs w:val="34"/>
              </w:rPr>
            </w:pPr>
            <w:r>
              <w:rPr>
                <w:color w:val="000000"/>
                <w:spacing w:val="0"/>
                <w:w w:val="100"/>
                <w:position w:val="0"/>
                <w:sz w:val="34"/>
                <w:szCs w:val="34"/>
                <w:vertAlign w:val="subscript"/>
              </w:rPr>
              <w:t>否</w:t>
            </w:r>
          </w:p>
        </w:tc>
      </w:tr>
    </w:tbl>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）本公司及子公司作为被担保方</w:t>
      </w:r>
    </w:p>
    <w:p>
      <w:pPr>
        <w:widowControl w:val="0"/>
        <w:spacing w:after="59" w:line="1" w:lineRule="exact"/>
      </w:pPr>
    </w:p>
    <w:tbl>
      <w:tblPr>
        <w:tblOverlap w:val="never"/>
        <w:jc w:val="center"/>
        <w:tblLayout w:type="fixed"/>
      </w:tblPr>
      <w:tblGrid>
        <w:gridCol w:w="3154"/>
        <w:gridCol w:w="1704"/>
        <w:gridCol w:w="1277"/>
        <w:gridCol w:w="1339"/>
        <w:gridCol w:w="1147"/>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担保是否已 经履行完毕</w:t>
            </w:r>
          </w:p>
        </w:tc>
      </w:tr>
      <w:tr>
        <w:trPr>
          <w:trHeight w:val="46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80" w:firstLine="0"/>
              <w:jc w:val="right"/>
              <w:rPr>
                <w:sz w:val="34"/>
                <w:szCs w:val="34"/>
              </w:rPr>
            </w:pPr>
            <w:r>
              <w:rPr>
                <w:color w:val="000000"/>
                <w:spacing w:val="0"/>
                <w:w w:val="100"/>
                <w:position w:val="0"/>
                <w:sz w:val="34"/>
                <w:szCs w:val="34"/>
                <w:vertAlign w:val="subscript"/>
              </w:rPr>
              <w:t>否</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80" w:firstLine="0"/>
              <w:jc w:val="right"/>
              <w:rPr>
                <w:sz w:val="34"/>
                <w:szCs w:val="34"/>
              </w:rPr>
            </w:pPr>
            <w:r>
              <w:rPr>
                <w:color w:val="000000"/>
                <w:spacing w:val="0"/>
                <w:w w:val="100"/>
                <w:position w:val="0"/>
                <w:sz w:val="34"/>
                <w:szCs w:val="34"/>
                <w:vertAlign w:val="subscript"/>
              </w:rPr>
              <w:t>否</w:t>
            </w:r>
          </w:p>
        </w:tc>
      </w:tr>
      <w:tr>
        <w:trPr>
          <w:trHeight w:val="42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34"/>
                <w:szCs w:val="34"/>
              </w:rPr>
            </w:pPr>
            <w:r>
              <w:rPr>
                <w:color w:val="000000"/>
                <w:spacing w:val="0"/>
                <w:w w:val="100"/>
                <w:position w:val="0"/>
                <w:sz w:val="34"/>
                <w:szCs w:val="34"/>
                <w:vertAlign w:val="subscript"/>
              </w:rPr>
              <w:t>否</w:t>
            </w:r>
          </w:p>
        </w:tc>
      </w:tr>
    </w:tbl>
    <w:p>
      <w:pPr>
        <w:sectPr>
          <w:footnotePr>
            <w:pos w:val="pageBottom"/>
            <w:numFmt w:val="decimal"/>
            <w:numRestart w:val="continuous"/>
          </w:footnotePr>
          <w:pgSz w:w="11900" w:h="16840"/>
          <w:pgMar w:top="1441" w:right="1287" w:bottom="1441" w:left="1617"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3293"/>
        <w:gridCol w:w="2794"/>
        <w:gridCol w:w="2534"/>
      </w:tblGrid>
      <w:tr>
        <w:trPr>
          <w:trHeight w:val="451" w:hRule="exact"/>
        </w:trPr>
        <w:tc>
          <w:tcPr>
            <w:gridSpan w:val="2"/>
            <w:tcBorders>
              <w:top w:val="single" w:sz="4"/>
            </w:tcBorders>
            <w:shd w:val="clear" w:color="auto" w:fill="FFFFFF"/>
            <w:vAlign w:val="center"/>
          </w:tcPr>
          <w:p>
            <w:pPr>
              <w:pStyle w:val="Style6"/>
              <w:keepNext w:val="0"/>
              <w:keepLines w:val="0"/>
              <w:widowControl w:val="0"/>
              <w:shd w:val="clear" w:color="auto" w:fill="auto"/>
              <w:tabs>
                <w:tab w:pos="3258" w:val="left"/>
              </w:tabs>
              <w:bidi w:val="0"/>
              <w:spacing w:before="0" w:after="0" w:line="240" w:lineRule="auto"/>
              <w:ind w:left="0" w:right="0" w:firstLine="340"/>
              <w:jc w:val="left"/>
              <w:rPr>
                <w:sz w:val="20"/>
                <w:szCs w:val="20"/>
              </w:rPr>
            </w:pPr>
            <w:r>
              <w:rPr>
                <w:color w:val="000000"/>
                <w:spacing w:val="0"/>
                <w:w w:val="100"/>
                <w:position w:val="0"/>
                <w:sz w:val="20"/>
                <w:szCs w:val="20"/>
              </w:rPr>
              <w:t>合 计</w:t>
              <w:tab/>
            </w:r>
            <w:r>
              <w:rPr>
                <w:rFonts w:ascii="Times New Roman" w:eastAsia="Times New Roman" w:hAnsi="Times New Roman" w:cs="Times New Roman"/>
                <w:color w:val="000000"/>
                <w:spacing w:val="0"/>
                <w:w w:val="100"/>
                <w:position w:val="0"/>
                <w:sz w:val="20"/>
                <w:szCs w:val="20"/>
              </w:rPr>
              <w:t>409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关联方资金拆借</w:t>
            </w:r>
          </w:p>
        </w:tc>
      </w:tr>
      <w:tr>
        <w:trPr>
          <w:trHeight w:val="4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结算资金使用费</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462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71</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浙江传化物流基地有限公司［注］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拆出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成都传化物流基地有限公司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pStyle w:val="Style30"/>
        <w:keepNext w:val="0"/>
        <w:keepLines w:val="0"/>
        <w:widowControl w:val="0"/>
        <w:shd w:val="clear" w:color="auto" w:fill="auto"/>
        <w:bidi w:val="0"/>
        <w:spacing w:before="0" w:after="100" w:line="240" w:lineRule="auto"/>
        <w:ind w:left="576" w:right="0" w:firstLine="0"/>
        <w:jc w:val="left"/>
        <w:rPr>
          <w:sz w:val="20"/>
          <w:szCs w:val="20"/>
        </w:rPr>
      </w:pPr>
      <w:r>
        <w:rPr>
          <w:color w:val="000000"/>
          <w:spacing w:val="0"/>
          <w:w w:val="100"/>
          <w:position w:val="0"/>
          <w:sz w:val="20"/>
          <w:szCs w:val="20"/>
        </w:rPr>
        <w:t>［注］:系通过工商银行杭州江南支行以委托贷款的形式借入资金结算资金使用费。</w:t>
      </w:r>
    </w:p>
    <w:p>
      <w:pPr>
        <w:pStyle w:val="Style30"/>
        <w:keepNext w:val="0"/>
        <w:keepLines w:val="0"/>
        <w:widowControl w:val="0"/>
        <w:shd w:val="clear" w:color="auto" w:fill="auto"/>
        <w:bidi w:val="0"/>
        <w:spacing w:before="0" w:after="0" w:line="240" w:lineRule="auto"/>
        <w:ind w:left="576"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关联方资产转让、债务重组情况</w:t>
      </w:r>
    </w:p>
    <w:p>
      <w:pPr>
        <w:widowControl w:val="0"/>
        <w:spacing w:after="59" w:line="1" w:lineRule="exact"/>
      </w:pPr>
    </w:p>
    <w:tbl>
      <w:tblPr>
        <w:tblOverlap w:val="never"/>
        <w:jc w:val="center"/>
        <w:tblLayout w:type="fixed"/>
      </w:tblPr>
      <w:tblGrid>
        <w:gridCol w:w="2410"/>
        <w:gridCol w:w="1982"/>
        <w:gridCol w:w="850"/>
        <w:gridCol w:w="1310"/>
        <w:gridCol w:w="2035"/>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上年同期数</w:t>
            </w:r>
          </w:p>
        </w:tc>
      </w:tr>
      <w:tr>
        <w:trPr>
          <w:trHeight w:val="6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667"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浙江传化物流基地有限</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浙江传化生物技术有限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传化物流集团股权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华安未来资产管理（上 海）有限公司［注］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传化物流集团股权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浙江传化华洋化工有限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杭州传化科技城有限公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w:t>
            </w:r>
          </w:p>
        </w:tc>
      </w:tr>
    </w:tbl>
    <w:p>
      <w:pPr>
        <w:pStyle w:val="Style111"/>
        <w:keepNext w:val="0"/>
        <w:keepLines w:val="0"/>
        <w:widowControl w:val="0"/>
        <w:shd w:val="clear" w:color="auto" w:fill="auto"/>
        <w:bidi w:val="0"/>
        <w:spacing w:before="0" w:after="60" w:line="434" w:lineRule="exact"/>
        <w:ind w:left="0" w:right="0" w:firstLine="0"/>
        <w:jc w:val="center"/>
      </w:pPr>
      <w:r>
        <w:rPr>
          <w:color w:val="000000"/>
          <w:spacing w:val="0"/>
          <w:w w:val="100"/>
          <w:position w:val="0"/>
        </w:rPr>
        <w:t>［注］系由华安未来资产管理（上海）有限公司管理的华安未来资产一工商银行一传化</w:t>
        <w:br/>
        <w:t>集团专项资产管理计划，主要由本公司、传化集团公司、传化物流集团、传化控股集团有限</w:t>
        <w:br/>
        <w:t>公司的董事、监事、高级管理人员及其核心技术人员（业务骨干）参与认购，具体情况如下:</w:t>
      </w:r>
    </w:p>
    <w:tbl>
      <w:tblPr>
        <w:tblOverlap w:val="never"/>
        <w:jc w:val="center"/>
        <w:tblLayout w:type="fixed"/>
      </w:tblPr>
      <w:tblGrid>
        <w:gridCol w:w="2453"/>
        <w:gridCol w:w="1704"/>
        <w:gridCol w:w="1699"/>
        <w:gridCol w:w="989"/>
        <w:gridCol w:w="1454"/>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人员所属单位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认购金额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确认股份支 付金额</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吴建华等</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传化物流集团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徐冠巨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3"/>
        <w:gridCol w:w="1704"/>
        <w:gridCol w:w="1699"/>
        <w:gridCol w:w="989"/>
        <w:gridCol w:w="1454"/>
      </w:tblGrid>
      <w:tr>
        <w:trPr>
          <w:trHeight w:val="451"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徐虎祥等</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徐观宝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陈捷等</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肖勇政等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122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关键管理人员报酬</w:t>
      </w:r>
    </w:p>
    <w:tbl>
      <w:tblPr>
        <w:tblOverlap w:val="never"/>
        <w:jc w:val="center"/>
        <w:tblLayout w:type="fixed"/>
      </w:tblPr>
      <w:tblGrid>
        <w:gridCol w:w="4723"/>
        <w:gridCol w:w="1915"/>
        <w:gridCol w:w="1949"/>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万元</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1120" w:right="0" w:firstLine="0"/>
        <w:jc w:val="left"/>
      </w:pPr>
      <w:bookmarkStart w:id="392" w:name="bookmark392"/>
      <w:r>
        <w:rPr>
          <w:color w:val="000000"/>
          <w:spacing w:val="0"/>
          <w:w w:val="100"/>
          <w:position w:val="0"/>
        </w:rPr>
        <w:t>（</w:t>
      </w:r>
      <w:bookmarkEnd w:id="392"/>
      <w:r>
        <w:rPr>
          <w:color w:val="000000"/>
          <w:spacing w:val="0"/>
          <w:w w:val="100"/>
          <w:position w:val="0"/>
        </w:rPr>
        <w:t>三）关联方应收应付款项</w:t>
      </w:r>
    </w:p>
    <w:p>
      <w:pPr>
        <w:pStyle w:val="Style111"/>
        <w:keepNext w:val="0"/>
        <w:keepLines w:val="0"/>
        <w:widowControl w:val="0"/>
        <w:numPr>
          <w:ilvl w:val="0"/>
          <w:numId w:val="121"/>
        </w:numPr>
        <w:shd w:val="clear" w:color="auto" w:fill="auto"/>
        <w:bidi w:val="0"/>
        <w:spacing w:before="0" w:after="440" w:line="240" w:lineRule="auto"/>
        <w:ind w:left="1220" w:right="0" w:firstLine="0"/>
        <w:jc w:val="left"/>
      </w:pPr>
      <w:bookmarkStart w:id="393" w:name="bookmark393"/>
      <w:bookmarkEnd w:id="393"/>
      <w:r>
        <w:rPr>
          <w:color w:val="000000"/>
          <w:spacing w:val="0"/>
          <w:w w:val="100"/>
          <w:position w:val="0"/>
        </w:rPr>
        <w:t>应收关联方款项</w:t>
      </w:r>
    </w:p>
    <w:tbl>
      <w:tblPr>
        <w:tblOverlap w:val="never"/>
        <w:jc w:val="center"/>
        <w:tblLayout w:type="fixed"/>
      </w:tblPr>
      <w:tblGrid>
        <w:gridCol w:w="1416"/>
        <w:gridCol w:w="2837"/>
        <w:gridCol w:w="1560"/>
        <w:gridCol w:w="1277"/>
        <w:gridCol w:w="1411"/>
        <w:gridCol w:w="1450"/>
      </w:tblGrid>
      <w:tr>
        <w:trPr>
          <w:trHeight w:val="42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126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12</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杭州传化科技服务有限公司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浙江新安包装有限公司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浙江传化生物技术有限公司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浙江新安化工集团股份有限公司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2837"/>
        <w:gridCol w:w="1560"/>
        <w:gridCol w:w="1277"/>
        <w:gridCol w:w="1411"/>
        <w:gridCol w:w="1450"/>
      </w:tblGrid>
      <w:tr>
        <w:trPr>
          <w:trHeight w:val="494"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浙江传化物流基地有限公司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浙江开化合成材料有限公司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杭州传化日用品有限公司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浙江瓦栏文化创意有限公司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传化集团公司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浙江新安化工集团股份有限公司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浙江传化物流基地有限公司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浙江传化华洋化工有限公司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锦鸡股份公司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482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505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21"/>
        </w:numPr>
        <w:shd w:val="clear" w:color="auto" w:fill="auto"/>
        <w:bidi w:val="0"/>
        <w:spacing w:before="0" w:after="80" w:line="240" w:lineRule="auto"/>
        <w:ind w:left="1220" w:right="0" w:firstLine="0"/>
        <w:jc w:val="left"/>
      </w:pPr>
      <w:bookmarkStart w:id="394" w:name="bookmark394"/>
      <w:bookmarkEnd w:id="394"/>
      <w:r>
        <w:rPr>
          <w:color w:val="000000"/>
          <w:spacing w:val="0"/>
          <w:w w:val="100"/>
          <w:position w:val="0"/>
        </w:rPr>
        <w:t>应付关联方款项</w:t>
      </w:r>
    </w:p>
    <w:tbl>
      <w:tblPr>
        <w:tblOverlap w:val="never"/>
        <w:jc w:val="center"/>
        <w:tblLayout w:type="fixed"/>
      </w:tblPr>
      <w:tblGrid>
        <w:gridCol w:w="1378"/>
        <w:gridCol w:w="3230"/>
        <w:gridCol w:w="2102"/>
        <w:gridCol w:w="196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 </w:t>
            </w:r>
            <w:r>
              <w:rPr>
                <w:color w:val="000000"/>
                <w:spacing w:val="0"/>
                <w:w w:val="100"/>
                <w:position w:val="0"/>
                <w:sz w:val="20"/>
                <w:szCs w:val="20"/>
              </w:rPr>
              <w:t>［</w:t>
            </w:r>
            <w:r>
              <w:rPr>
                <w:color w:val="000000"/>
                <w:spacing w:val="0"/>
                <w:w w:val="100"/>
                <w:position w:val="0"/>
                <w:sz w:val="20"/>
                <w:szCs w:val="20"/>
              </w:rPr>
              <w:t>注］</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泰兴锦云公司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北京传化科技发展有限公司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杭州传化大地园林工程有限公司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浙江新安物流有限公司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浙江传化江南大地发展有限公司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p>
        </w:tc>
      </w:tr>
      <w:tr>
        <w:trPr>
          <w:trHeight w:val="4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泰兴锦汇化工有限公司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3230"/>
        <w:gridCol w:w="2102"/>
        <w:gridCol w:w="1968"/>
      </w:tblGrid>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镇江江南化工有限公司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成都传化物流基地有限公司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794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093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080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浙江传化化学集团有限公司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成都传化置业有限公司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传化集团公司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杭州传化日用品有限公司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浙江瓦栏文化创意有限公司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浙江传化生物技术有限公司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杭州传化科技城有限公司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浙江传化华洋化工有限公司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杭州传化大地园林工程有限公司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杭州传化大地旅业有限公司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泰兴锦云公司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浙江传化能源有限公司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w:t>
            </w:r>
          </w:p>
        </w:tc>
      </w:tr>
      <w:tr>
        <w:trPr>
          <w:trHeight w:val="4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w:t>
            </w:r>
          </w:p>
        </w:tc>
      </w:tr>
    </w:tbl>
    <w:p>
      <w:pPr>
        <w:widowControl w:val="0"/>
        <w:spacing w:after="99" w:line="1" w:lineRule="exact"/>
      </w:pPr>
    </w:p>
    <w:p>
      <w:pPr>
        <w:pStyle w:val="Style111"/>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注：系通过中国工商银行杭州江南支行发放的委托贷款。</w:t>
      </w:r>
    </w:p>
    <w:p>
      <w:pPr>
        <w:pStyle w:val="Style111"/>
        <w:keepNext w:val="0"/>
        <w:keepLines w:val="0"/>
        <w:widowControl w:val="0"/>
        <w:shd w:val="clear" w:color="auto" w:fill="auto"/>
        <w:bidi w:val="0"/>
        <w:spacing w:before="0" w:after="0" w:line="240" w:lineRule="auto"/>
        <w:ind w:left="1220" w:right="0" w:firstLine="0"/>
        <w:jc w:val="both"/>
      </w:pPr>
      <w:bookmarkStart w:id="395" w:name="bookmark395"/>
      <w:r>
        <w:rPr>
          <w:color w:val="000000"/>
          <w:spacing w:val="0"/>
          <w:w w:val="100"/>
          <w:position w:val="0"/>
        </w:rPr>
        <w:t>（</w:t>
      </w:r>
      <w:bookmarkEnd w:id="395"/>
      <w:r>
        <w:rPr>
          <w:color w:val="000000"/>
          <w:spacing w:val="0"/>
          <w:w w:val="100"/>
          <w:position w:val="0"/>
        </w:rPr>
        <w:t>四）关联方承诺</w:t>
      </w:r>
    </w:p>
    <w:p>
      <w:pPr>
        <w:pStyle w:val="Style111"/>
        <w:keepNext w:val="0"/>
        <w:keepLines w:val="0"/>
        <w:widowControl w:val="0"/>
        <w:shd w:val="clear" w:color="auto" w:fill="auto"/>
        <w:bidi w:val="0"/>
        <w:spacing w:before="0" w:after="100" w:line="437" w:lineRule="exact"/>
        <w:ind w:left="76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年向传化集团公司等传化物流集团股东发行股份购买相关资产并发行新股 募集配套资金。传化集团公司承诺：</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年，传化物流集团累计经审计的扣除非 经常性损益后归属母公司所有者的净利润总数为</w:t>
      </w:r>
      <w:r>
        <w:rPr>
          <w:rFonts w:ascii="Times New Roman" w:eastAsia="Times New Roman" w:hAnsi="Times New Roman" w:cs="Times New Roman"/>
          <w:color w:val="000000"/>
          <w:spacing w:val="0"/>
          <w:w w:val="100"/>
          <w:position w:val="0"/>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万元，累计经审计归属于母公司所 有者的净利润总数为</w:t>
      </w:r>
      <w:r>
        <w:rPr>
          <w:rFonts w:ascii="Times New Roman" w:eastAsia="Times New Roman" w:hAnsi="Times New Roman" w:cs="Times New Roman"/>
          <w:color w:val="000000"/>
          <w:spacing w:val="0"/>
          <w:w w:val="100"/>
          <w:position w:val="0"/>
        </w:rPr>
        <w:t>568</w:t>
      </w:r>
      <w:r>
        <w:rPr>
          <w:color w:val="000000"/>
          <w:spacing w:val="0"/>
          <w:w w:val="100"/>
          <w:position w:val="0"/>
        </w:rPr>
        <w:t xml:space="preserve">, </w:t>
      </w:r>
      <w:r>
        <w:rPr>
          <w:rFonts w:ascii="Times New Roman" w:eastAsia="Times New Roman" w:hAnsi="Times New Roman" w:cs="Times New Roman"/>
          <w:color w:val="000000"/>
          <w:spacing w:val="0"/>
          <w:w w:val="100"/>
          <w:position w:val="0"/>
        </w:rPr>
        <w:t>800</w:t>
      </w:r>
      <w:r>
        <w:rPr>
          <w:color w:val="000000"/>
          <w:spacing w:val="0"/>
          <w:w w:val="100"/>
          <w:position w:val="0"/>
        </w:rPr>
        <w:t>万元。各年度承诺情况具体如下：</w:t>
      </w:r>
    </w:p>
    <w:tbl>
      <w:tblPr>
        <w:tblOverlap w:val="never"/>
        <w:jc w:val="center"/>
        <w:tblLayout w:type="fixed"/>
      </w:tblPr>
      <w:tblGrid>
        <w:gridCol w:w="1752"/>
        <w:gridCol w:w="926"/>
        <w:gridCol w:w="854"/>
        <w:gridCol w:w="893"/>
        <w:gridCol w:w="787"/>
        <w:gridCol w:w="850"/>
        <w:gridCol w:w="854"/>
        <w:gridCol w:w="850"/>
        <w:gridCol w:w="874"/>
      </w:tblGrid>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合计</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扣除非经常性损益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6"/>
        <w:keepNext w:val="0"/>
        <w:keepLines w:val="0"/>
        <w:widowControl w:val="0"/>
        <w:shd w:val="clear" w:color="auto" w:fill="auto"/>
        <w:tabs>
          <w:tab w:pos="2772" w:val="left"/>
          <w:tab w:pos="4807" w:val="left"/>
          <w:tab w:pos="5321" w:val="left"/>
        </w:tabs>
        <w:bidi w:val="0"/>
        <w:spacing w:before="0" w:after="40" w:line="240" w:lineRule="auto"/>
        <w:ind w:left="0" w:right="0" w:firstLine="900"/>
        <w:jc w:val="left"/>
        <w:rPr>
          <w:sz w:val="18"/>
          <w:szCs w:val="18"/>
        </w:rPr>
      </w:pPr>
      <w:r>
        <w:rPr>
          <w:color w:val="000000"/>
          <w:spacing w:val="0"/>
          <w:w w:val="100"/>
          <w:position w:val="0"/>
          <w:sz w:val="18"/>
          <w:szCs w:val="18"/>
        </w:rPr>
        <w:t>含非经常性损益</w:t>
        <w:tab/>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700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100</w:t>
        <w:tab/>
        <w:t>500</w:t>
        <w:tab/>
        <w:t>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000 107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000 207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000 218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700 568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p>
    <w:p>
      <w:pPr>
        <w:pStyle w:val="Style111"/>
        <w:keepNext w:val="0"/>
        <w:keepLines w:val="0"/>
        <w:widowControl w:val="0"/>
        <w:shd w:val="clear" w:color="auto" w:fill="auto"/>
        <w:bidi w:val="0"/>
        <w:spacing w:before="0" w:after="0" w:line="434" w:lineRule="exact"/>
        <w:ind w:left="760" w:right="0" w:firstLine="460"/>
        <w:jc w:val="both"/>
      </w:pPr>
      <w:r>
        <w:rPr>
          <w:color w:val="000000"/>
          <w:spacing w:val="0"/>
          <w:w w:val="100"/>
          <w:position w:val="0"/>
        </w:rPr>
        <w:t>若传化物流集团实际利润未能达到承诺利润（含实际扣非净利润、实际净利润中任一或 全部未能达到相对应承诺扣非净利润、承诺净利润的情形），传化集团公司应首先通过本次 交易获得的公司股份进行补偿，不足部分以其届时持有的公司股份进行补偿，仍有不足部分 则由其以现金补足。传化集团公司应补偿股份数量的上限为传化集团公司及其关联方“华安 资产-传化集团专项资产管理计划”在本次交易中认购公司的股份数之和。</w:t>
      </w:r>
    </w:p>
    <w:p>
      <w:pPr>
        <w:pStyle w:val="Style111"/>
        <w:keepNext w:val="0"/>
        <w:keepLines w:val="0"/>
        <w:widowControl w:val="0"/>
        <w:shd w:val="clear" w:color="auto" w:fill="auto"/>
        <w:bidi w:val="0"/>
        <w:spacing w:before="0" w:after="200" w:line="434" w:lineRule="exact"/>
        <w:ind w:left="122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年度，传化物流集团实际实现利润情况如下：</w:t>
      </w:r>
    </w:p>
    <w:p>
      <w:pPr>
        <w:pStyle w:val="Style30"/>
        <w:keepNext w:val="0"/>
        <w:keepLines w:val="0"/>
        <w:widowControl w:val="0"/>
        <w:shd w:val="clear" w:color="auto" w:fill="auto"/>
        <w:bidi w:val="0"/>
        <w:spacing w:before="0" w:after="0" w:line="240" w:lineRule="auto"/>
        <w:ind w:left="7171"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5006"/>
        <w:gridCol w:w="1704"/>
        <w:gridCol w:w="1728"/>
      </w:tblGrid>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w:t>
            </w:r>
          </w:p>
        </w:tc>
      </w:tr>
      <w:tr>
        <w:trPr>
          <w:trHeight w:val="5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89</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82</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扣除非经常性损益及配套募集资金存放收益和使用成本后归 属于公司普通股股东的净利润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r>
    </w:tbl>
    <w:p>
      <w:pPr>
        <w:widowControl w:val="0"/>
        <w:spacing w:after="519" w:line="1" w:lineRule="exact"/>
      </w:pPr>
    </w:p>
    <w:tbl>
      <w:tblPr>
        <w:tblOverlap w:val="never"/>
        <w:jc w:val="center"/>
        <w:tblLayout w:type="fixed"/>
      </w:tblPr>
      <w:tblGrid>
        <w:gridCol w:w="4296"/>
        <w:gridCol w:w="4291"/>
      </w:tblGrid>
      <w:tr>
        <w:trPr>
          <w:trHeight w:val="787" w:hRule="exact"/>
        </w:trPr>
        <w:tc>
          <w:tcPr>
            <w:gridSpan w:val="2"/>
            <w:tcBorders/>
            <w:shd w:val="clear" w:color="auto" w:fill="FFFFFF"/>
            <w:vAlign w:val="top"/>
          </w:tcPr>
          <w:p>
            <w:pPr>
              <w:pStyle w:val="Style6"/>
              <w:keepNext w:val="0"/>
              <w:keepLines w:val="0"/>
              <w:widowControl w:val="0"/>
              <w:shd w:val="clear" w:color="auto" w:fill="auto"/>
              <w:tabs>
                <w:tab w:leader="hyphen" w:pos="963" w:val="left"/>
              </w:tabs>
              <w:bidi w:val="0"/>
              <w:spacing w:before="0" w:after="200" w:line="240" w:lineRule="auto"/>
              <w:ind w:left="0" w:right="0" w:firstLine="560"/>
              <w:jc w:val="left"/>
              <w:rPr>
                <w:sz w:val="20"/>
                <w:szCs w:val="20"/>
              </w:rPr>
            </w:pPr>
            <w:r>
              <w:rPr>
                <w:rFonts w:ascii="SimHei" w:eastAsia="SimHei" w:hAnsi="SimHei" w:cs="SimHei"/>
                <w:b/>
                <w:bCs/>
                <w:color w:val="000000"/>
                <w:spacing w:val="0"/>
                <w:w w:val="100"/>
                <w:position w:val="0"/>
                <w:sz w:val="20"/>
                <w:szCs w:val="20"/>
              </w:rPr>
              <w:t>十</w:t>
              <w:tab/>
              <w:t>、股份支付</w:t>
            </w:r>
          </w:p>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（一）股份支付总体情况</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公司期末发行在外的股票期权行权价格的范 围和合同剩余期限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行权价格为</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元，合同剩余期限为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个会 计年度</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公司期末发行在外的其他权益工具行权价格 的范围和合同剩余期限</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864"/>
        <w:gridCol w:w="4723"/>
      </w:tblGrid>
      <w:tr>
        <w:trPr>
          <w:trHeight w:val="475"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（二）以权益结算的股份支付情况</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公司采用</w:t>
            </w:r>
            <w:r>
              <w:rPr>
                <w:color w:val="000000"/>
                <w:spacing w:val="0"/>
                <w:w w:val="100"/>
                <w:position w:val="0"/>
                <w:sz w:val="20"/>
                <w:szCs w:val="20"/>
              </w:rPr>
              <w:t>Black-Scholes</w:t>
            </w:r>
            <w:r>
              <w:rPr>
                <w:color w:val="000000"/>
                <w:spacing w:val="0"/>
                <w:w w:val="100"/>
                <w:position w:val="0"/>
                <w:sz w:val="20"/>
                <w:szCs w:val="20"/>
              </w:rPr>
              <w:t>模型计算股票期权的价值</w:t>
            </w:r>
          </w:p>
        </w:tc>
      </w:tr>
      <w:tr>
        <w:trPr>
          <w:trHeight w:val="8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经公司股东大会和董事会审议通过确定股票期权 份数和激励对象人数，并结合预计离职率等情况予 以估计</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以权益结算的股份支付计入资本公积的 累计金额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00" w:right="0" w:firstLine="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r>
      <w:tr>
        <w:trPr>
          <w:trHeight w:val="59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本期以权益结算的股份支付确认的费用 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00" w:right="0" w:firstLine="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bl>
    <w:p>
      <w:pPr>
        <w:widowControl w:val="0"/>
        <w:spacing w:after="519" w:line="1" w:lineRule="exact"/>
      </w:pPr>
    </w:p>
    <w:p>
      <w:pPr>
        <w:pStyle w:val="Style6"/>
        <w:keepNext w:val="0"/>
        <w:keepLines w:val="0"/>
        <w:widowControl w:val="0"/>
        <w:shd w:val="clear" w:color="auto" w:fill="auto"/>
        <w:bidi w:val="0"/>
        <w:spacing w:before="0" w:after="360" w:line="240" w:lineRule="auto"/>
        <w:ind w:left="1220" w:right="0" w:firstLine="0"/>
        <w:jc w:val="left"/>
        <w:rPr>
          <w:sz w:val="20"/>
          <w:szCs w:val="20"/>
        </w:rPr>
      </w:pPr>
      <w:r>
        <w:rPr>
          <w:rFonts w:ascii="SimHei" w:eastAsia="SimHei" w:hAnsi="SimHei" w:cs="SimHei"/>
          <w:b/>
          <w:bCs/>
          <w:color w:val="000000"/>
          <w:spacing w:val="0"/>
          <w:w w:val="100"/>
          <w:position w:val="0"/>
          <w:sz w:val="20"/>
          <w:szCs w:val="20"/>
        </w:rPr>
        <w:t>十二、承诺及或有事项</w:t>
      </w:r>
    </w:p>
    <w:p>
      <w:pPr>
        <w:pStyle w:val="Style111"/>
        <w:keepNext w:val="0"/>
        <w:keepLines w:val="0"/>
        <w:widowControl w:val="0"/>
        <w:shd w:val="clear" w:color="auto" w:fill="auto"/>
        <w:bidi w:val="0"/>
        <w:spacing w:before="0" w:after="0" w:line="434" w:lineRule="exact"/>
        <w:ind w:left="1220" w:right="0" w:firstLine="0"/>
        <w:jc w:val="both"/>
      </w:pPr>
      <w:bookmarkStart w:id="396" w:name="bookmark396"/>
      <w:r>
        <w:rPr>
          <w:color w:val="000000"/>
          <w:spacing w:val="0"/>
          <w:w w:val="100"/>
          <w:position w:val="0"/>
        </w:rPr>
        <w:t>（</w:t>
      </w:r>
      <w:bookmarkEnd w:id="396"/>
      <w:r>
        <w:rPr>
          <w:color w:val="000000"/>
          <w:spacing w:val="0"/>
          <w:w w:val="100"/>
          <w:position w:val="0"/>
        </w:rPr>
        <w:t>一）重要承诺事项</w:t>
      </w:r>
    </w:p>
    <w:p>
      <w:pPr>
        <w:pStyle w:val="Style111"/>
        <w:keepNext w:val="0"/>
        <w:keepLines w:val="0"/>
        <w:widowControl w:val="0"/>
        <w:numPr>
          <w:ilvl w:val="0"/>
          <w:numId w:val="123"/>
        </w:numPr>
        <w:shd w:val="clear" w:color="auto" w:fill="auto"/>
        <w:tabs>
          <w:tab w:pos="1558" w:val="left"/>
        </w:tabs>
        <w:bidi w:val="0"/>
        <w:spacing w:before="0" w:after="0" w:line="434" w:lineRule="exact"/>
        <w:ind w:left="820" w:right="0" w:firstLine="400"/>
        <w:jc w:val="both"/>
      </w:pPr>
      <w:bookmarkStart w:id="397" w:name="bookmark397"/>
      <w:bookmarkEnd w:id="397"/>
      <w:r>
        <w:rPr>
          <w:color w:val="000000"/>
          <w:spacing w:val="0"/>
          <w:w w:val="100"/>
          <w:position w:val="0"/>
        </w:rPr>
        <w:t>如本财务报表附注五之短期借款所述，子公司传化天地物流公司以土地使用权、房 屋建筑物为担保融得资金</w:t>
      </w:r>
      <w:r>
        <w:rPr>
          <w:rFonts w:ascii="Times New Roman" w:eastAsia="Times New Roman" w:hAnsi="Times New Roman" w:cs="Times New Roman"/>
          <w:color w:val="000000"/>
          <w:spacing w:val="0"/>
          <w:w w:val="100"/>
          <w:position w:val="0"/>
        </w:rPr>
        <w:t>23</w:t>
      </w:r>
      <w:r>
        <w:rPr>
          <w:color w:val="000000"/>
          <w:spacing w:val="0"/>
          <w:w w:val="100"/>
          <w:position w:val="0"/>
        </w:rPr>
        <w:t xml:space="preserve">, </w:t>
      </w:r>
      <w:r>
        <w:rPr>
          <w:rFonts w:ascii="Times New Roman" w:eastAsia="Times New Roman" w:hAnsi="Times New Roman" w:cs="Times New Roman"/>
          <w:color w:val="000000"/>
          <w:spacing w:val="0"/>
          <w:w w:val="100"/>
          <w:position w:val="0"/>
        </w:rPr>
        <w:t>800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11"/>
        <w:keepNext w:val="0"/>
        <w:keepLines w:val="0"/>
        <w:widowControl w:val="0"/>
        <w:numPr>
          <w:ilvl w:val="0"/>
          <w:numId w:val="123"/>
        </w:numPr>
        <w:shd w:val="clear" w:color="auto" w:fill="auto"/>
        <w:tabs>
          <w:tab w:pos="1558" w:val="left"/>
        </w:tabs>
        <w:bidi w:val="0"/>
        <w:spacing w:before="0" w:after="0" w:line="434" w:lineRule="exact"/>
        <w:ind w:left="820" w:right="760" w:firstLine="400"/>
        <w:jc w:val="both"/>
      </w:pPr>
      <w:bookmarkStart w:id="398" w:name="bookmark398"/>
      <w:bookmarkEnd w:id="398"/>
      <w:r>
        <w:rPr>
          <w:color w:val="000000"/>
          <w:spacing w:val="0"/>
          <w:w w:val="100"/>
          <w:position w:val="0"/>
        </w:rPr>
        <w:t>如本财务报表附注五之短期借款、一年内到期的非流动负债和长期借款所述，子公 司</w:t>
      </w:r>
      <w:r>
        <w:rPr>
          <w:color w:val="000000"/>
          <w:spacing w:val="0"/>
          <w:w w:val="100"/>
          <w:position w:val="0"/>
        </w:rPr>
        <w:t>TPC Holding B. V.</w:t>
      </w:r>
      <w:r>
        <w:rPr>
          <w:color w:val="000000"/>
          <w:spacing w:val="0"/>
          <w:w w:val="100"/>
          <w:position w:val="0"/>
        </w:rPr>
        <w:t>和</w:t>
      </w:r>
      <w:r>
        <w:rPr>
          <w:color w:val="000000"/>
          <w:spacing w:val="0"/>
          <w:w w:val="100"/>
          <w:position w:val="0"/>
        </w:rPr>
        <w:t>Tanatex Chemicals B. v.</w:t>
      </w:r>
      <w:r>
        <w:rPr>
          <w:color w:val="000000"/>
          <w:spacing w:val="0"/>
          <w:w w:val="100"/>
          <w:position w:val="0"/>
        </w:rPr>
        <w:t>以土地使用权、房屋建筑物、股权、版权 和商标方面的保护知识产权、应收账款、库存商品、银行账户、经营设备、客户合同等为担 保融资资金</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198</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欧元，计人民币</w:t>
      </w:r>
      <w:r>
        <w:rPr>
          <w:rFonts w:ascii="Times New Roman" w:eastAsia="Times New Roman" w:hAnsi="Times New Roman" w:cs="Times New Roman"/>
          <w:color w:val="000000"/>
          <w:spacing w:val="0"/>
          <w:w w:val="100"/>
          <w:position w:val="0"/>
        </w:rPr>
        <w:t>96</w:t>
      </w:r>
      <w:r>
        <w:rPr>
          <w:color w:val="000000"/>
          <w:spacing w:val="0"/>
          <w:w w:val="100"/>
          <w:position w:val="0"/>
        </w:rPr>
        <w:t xml:space="preserve">, </w:t>
      </w:r>
      <w:r>
        <w:rPr>
          <w:rFonts w:ascii="Times New Roman" w:eastAsia="Times New Roman" w:hAnsi="Times New Roman" w:cs="Times New Roman"/>
          <w:color w:val="000000"/>
          <w:spacing w:val="0"/>
          <w:w w:val="100"/>
          <w:position w:val="0"/>
        </w:rPr>
        <w:t>435</w:t>
      </w:r>
      <w:r>
        <w:rPr>
          <w:color w:val="000000"/>
          <w:spacing w:val="0"/>
          <w:w w:val="100"/>
          <w:position w:val="0"/>
        </w:rPr>
        <w:t xml:space="preserve">, </w:t>
      </w:r>
      <w:r>
        <w:rPr>
          <w:rFonts w:ascii="Times New Roman" w:eastAsia="Times New Roman" w:hAnsi="Times New Roman" w:cs="Times New Roman"/>
          <w:color w:val="000000"/>
          <w:spacing w:val="0"/>
          <w:w w:val="100"/>
          <w:position w:val="0"/>
        </w:rPr>
        <w:t>146</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元。</w:t>
      </w:r>
    </w:p>
    <w:p>
      <w:pPr>
        <w:pStyle w:val="Style111"/>
        <w:keepNext w:val="0"/>
        <w:keepLines w:val="0"/>
        <w:widowControl w:val="0"/>
        <w:numPr>
          <w:ilvl w:val="0"/>
          <w:numId w:val="123"/>
        </w:numPr>
        <w:shd w:val="clear" w:color="auto" w:fill="auto"/>
        <w:tabs>
          <w:tab w:pos="1558" w:val="left"/>
        </w:tabs>
        <w:bidi w:val="0"/>
        <w:spacing w:before="0" w:after="0" w:line="434" w:lineRule="exact"/>
        <w:ind w:left="820" w:right="760" w:firstLine="400"/>
        <w:jc w:val="both"/>
      </w:pPr>
      <w:bookmarkStart w:id="399" w:name="bookmark399"/>
      <w:bookmarkEnd w:id="399"/>
      <w:r>
        <w:rPr>
          <w:color w:val="000000"/>
          <w:spacing w:val="0"/>
          <w:w w:val="100"/>
          <w:position w:val="0"/>
        </w:rPr>
        <w:t>如本财务报表附注五之长期借款所述，子公司济南传化泉胜公路港物流有限公司以 土地使用权、在建工程为担保融得资金</w:t>
      </w:r>
      <w:r>
        <w:rPr>
          <w:rFonts w:ascii="Times New Roman" w:eastAsia="Times New Roman" w:hAnsi="Times New Roman" w:cs="Times New Roman"/>
          <w:color w:val="000000"/>
          <w:spacing w:val="0"/>
          <w:w w:val="100"/>
          <w:position w:val="0"/>
        </w:rPr>
        <w:t>70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元，子公司温州传化公路港物流有限 公司以土地使用权为担保融得资金</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11"/>
        <w:keepNext w:val="0"/>
        <w:keepLines w:val="0"/>
        <w:widowControl w:val="0"/>
        <w:numPr>
          <w:ilvl w:val="0"/>
          <w:numId w:val="123"/>
        </w:numPr>
        <w:shd w:val="clear" w:color="auto" w:fill="auto"/>
        <w:tabs>
          <w:tab w:pos="1558" w:val="left"/>
        </w:tabs>
        <w:bidi w:val="0"/>
        <w:spacing w:before="0" w:after="0" w:line="434" w:lineRule="exact"/>
        <w:ind w:left="820" w:right="760" w:firstLine="400"/>
        <w:jc w:val="both"/>
      </w:pPr>
      <w:bookmarkStart w:id="400" w:name="bookmark400"/>
      <w:bookmarkEnd w:id="400"/>
      <w:r>
        <w:rPr>
          <w:color w:val="000000"/>
          <w:spacing w:val="0"/>
          <w:w w:val="100"/>
          <w:position w:val="0"/>
        </w:rPr>
        <w:t>如本财务报表附注长期应付款之说明，国开基金公司对传化物流集团的投资每年通 过现金分红或回购溢价等方式取得</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%的收益；公司承诺从</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2030</w:t>
      </w:r>
      <w:r>
        <w:rPr>
          <w:color w:val="000000"/>
          <w:spacing w:val="0"/>
          <w:w w:val="100"/>
          <w:position w:val="0"/>
        </w:rPr>
        <w:t>年分八期回购 国开基金公司对传化物流集团的投资，每期回购额分别为</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125</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万元。同时传化物流集 团以下属子公司传化公路港公司拥有的土地使用权及地上在建工程、衢州传化公路港物流有 限公司拥有的土地使用权及地上在建工程、泉州传化公路港物流有限公司拥有的土地使用权 及地上在建工程提供抵押担保</w:t>
      </w:r>
    </w:p>
    <w:p>
      <w:pPr>
        <w:pStyle w:val="Style111"/>
        <w:keepNext w:val="0"/>
        <w:keepLines w:val="0"/>
        <w:widowControl w:val="0"/>
        <w:numPr>
          <w:ilvl w:val="0"/>
          <w:numId w:val="123"/>
        </w:numPr>
        <w:shd w:val="clear" w:color="auto" w:fill="auto"/>
        <w:tabs>
          <w:tab w:pos="1558" w:val="left"/>
        </w:tabs>
        <w:bidi w:val="0"/>
        <w:spacing w:before="0" w:after="160" w:line="434" w:lineRule="exact"/>
        <w:ind w:left="820" w:right="0" w:firstLine="400"/>
        <w:jc w:val="both"/>
      </w:pPr>
      <w:bookmarkStart w:id="401" w:name="bookmark401"/>
      <w:bookmarkEnd w:id="401"/>
      <w:r>
        <w:rPr>
          <w:color w:val="000000"/>
          <w:spacing w:val="0"/>
          <w:w w:val="100"/>
          <w:position w:val="0"/>
        </w:rPr>
        <w:t>如本财务报表附注长期应付款之说明，国开基金公司对传化化学品公司的投资每年 通过现金分红或回购溢价等方式取得</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%的收益；公司承诺从</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年分两期回 购国开基金公司对传化化学品公司的投资，每期回购额分别为</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万元。同时公司以土地 使用权向国开基金公司提供抵押担保。</w:t>
      </w:r>
    </w:p>
    <w:p>
      <w:pPr>
        <w:pStyle w:val="Style111"/>
        <w:keepNext w:val="0"/>
        <w:keepLines w:val="0"/>
        <w:widowControl w:val="0"/>
        <w:numPr>
          <w:ilvl w:val="0"/>
          <w:numId w:val="123"/>
        </w:numPr>
        <w:shd w:val="clear" w:color="auto" w:fill="auto"/>
        <w:bidi w:val="0"/>
        <w:spacing w:before="0" w:after="160" w:line="240" w:lineRule="auto"/>
        <w:ind w:left="1220" w:right="0" w:firstLine="0"/>
        <w:jc w:val="left"/>
      </w:pPr>
      <w:bookmarkStart w:id="402" w:name="bookmark402"/>
      <w:bookmarkEnd w:id="402"/>
      <w:r>
        <w:rPr>
          <w:color w:val="000000"/>
          <w:spacing w:val="0"/>
          <w:w w:val="100"/>
          <w:position w:val="0"/>
        </w:rPr>
        <w:t>已开具的未到期信用证</w:t>
      </w:r>
    </w:p>
    <w:p>
      <w:pPr>
        <w:pStyle w:val="Style111"/>
        <w:keepNext w:val="0"/>
        <w:keepLines w:val="0"/>
        <w:widowControl w:val="0"/>
        <w:shd w:val="clear" w:color="auto" w:fill="auto"/>
        <w:bidi w:val="0"/>
        <w:spacing w:before="0" w:after="80" w:line="240" w:lineRule="auto"/>
        <w:ind w:left="122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日，子公司开具的未到期信用证如下:</w:t>
      </w:r>
    </w:p>
    <w:tbl>
      <w:tblPr>
        <w:tblOverlap w:val="never"/>
        <w:jc w:val="center"/>
        <w:tblLayout w:type="fixed"/>
      </w:tblPr>
      <w:tblGrid>
        <w:gridCol w:w="1426"/>
        <w:gridCol w:w="1277"/>
        <w:gridCol w:w="926"/>
        <w:gridCol w:w="1382"/>
        <w:gridCol w:w="1469"/>
        <w:gridCol w:w="1051"/>
        <w:gridCol w:w="1056"/>
      </w:tblGrid>
      <w:tr>
        <w:trPr>
          <w:trHeight w:val="88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金融机构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540"/>
              <w:jc w:val="left"/>
              <w:rPr>
                <w:sz w:val="18"/>
                <w:szCs w:val="18"/>
              </w:rPr>
            </w:pPr>
            <w:r>
              <w:rPr>
                <w:color w:val="000000"/>
                <w:spacing w:val="0"/>
                <w:w w:val="100"/>
                <w:position w:val="0"/>
                <w:sz w:val="18"/>
                <w:szCs w:val="18"/>
              </w:rPr>
              <w:t>申请单</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币</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人民币金</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到期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180" w:firstLine="0"/>
              <w:jc w:val="right"/>
              <w:rPr>
                <w:sz w:val="18"/>
                <w:szCs w:val="18"/>
              </w:rPr>
            </w:pPr>
            <w:r>
              <w:rPr>
                <w:color w:val="000000"/>
                <w:spacing w:val="0"/>
                <w:w w:val="100"/>
                <w:position w:val="0"/>
                <w:sz w:val="18"/>
                <w:szCs w:val="18"/>
              </w:rPr>
              <w:t>开立</w:t>
            </w:r>
          </w:p>
          <w:p>
            <w:pPr>
              <w:pStyle w:val="Style6"/>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条件</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工商银行平湖 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传化合成材 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592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信用担保</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中信银行嘉兴 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传化合成材 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243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924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信用担保</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澳新银行杭州</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传化（香港）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保证担保</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23"/>
        </w:numPr>
        <w:shd w:val="clear" w:color="auto" w:fill="auto"/>
        <w:bidi w:val="0"/>
        <w:spacing w:before="0" w:after="160" w:line="240" w:lineRule="auto"/>
        <w:ind w:left="1220" w:right="0" w:firstLine="0"/>
        <w:jc w:val="left"/>
      </w:pPr>
      <w:bookmarkStart w:id="403" w:name="bookmark403"/>
      <w:bookmarkEnd w:id="403"/>
      <w:r>
        <w:rPr>
          <w:color w:val="000000"/>
          <w:spacing w:val="0"/>
          <w:w w:val="100"/>
          <w:position w:val="0"/>
        </w:rPr>
        <w:t>已出具的各类未到期的保函</w:t>
      </w:r>
    </w:p>
    <w:p>
      <w:pPr>
        <w:pStyle w:val="Style111"/>
        <w:keepNext w:val="0"/>
        <w:keepLines w:val="0"/>
        <w:widowControl w:val="0"/>
        <w:shd w:val="clear" w:color="auto" w:fill="auto"/>
        <w:bidi w:val="0"/>
        <w:spacing w:before="0" w:after="40" w:line="240" w:lineRule="auto"/>
        <w:ind w:left="122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日，子公司开具的各类未到期的保函如下:</w:t>
      </w:r>
      <w:r>
        <w:br w:type="page"/>
      </w:r>
    </w:p>
    <w:tbl>
      <w:tblPr>
        <w:tblOverlap w:val="never"/>
        <w:jc w:val="left"/>
        <w:tblLayout w:type="fixed"/>
      </w:tblPr>
      <w:tblGrid>
        <w:gridCol w:w="1982"/>
        <w:gridCol w:w="1704"/>
        <w:gridCol w:w="1277"/>
        <w:gridCol w:w="1445"/>
        <w:gridCol w:w="1978"/>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开证银行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申请单位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开立条件</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农业银行萧山经济技 术开发区支行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传化涂料公司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存入保证金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中国工商银行股份有</w:t>
            </w:r>
          </w:p>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限公司苏州道前支行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苏州传化公路港物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质押大额存单</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3538 </w:t>
            </w:r>
            <w:r>
              <w:rPr>
                <w:color w:val="000000"/>
                <w:spacing w:val="0"/>
                <w:w w:val="100"/>
                <w:position w:val="0"/>
                <w:sz w:val="18"/>
                <w:szCs w:val="18"/>
              </w:rPr>
              <w:t>万元</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中国工商银行股份有 限公司胶州支行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青岛传化公路港物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存入保证金</w:t>
            </w:r>
            <w:r>
              <w:rPr>
                <w:rFonts w:ascii="Times New Roman" w:eastAsia="Times New Roman" w:hAnsi="Times New Roman" w:cs="Times New Roman"/>
                <w:color w:val="000000"/>
                <w:spacing w:val="0"/>
                <w:w w:val="100"/>
                <w:position w:val="0"/>
                <w:sz w:val="18"/>
                <w:szCs w:val="18"/>
              </w:rPr>
              <w:t>135</w:t>
            </w:r>
            <w:r>
              <w:rPr>
                <w:color w:val="000000"/>
                <w:spacing w:val="0"/>
                <w:w w:val="100"/>
                <w:position w:val="0"/>
                <w:sz w:val="18"/>
                <w:szCs w:val="18"/>
              </w:rPr>
              <w:t>万元</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703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23"/>
        </w:numPr>
        <w:shd w:val="clear" w:color="auto" w:fill="auto"/>
        <w:tabs>
          <w:tab w:pos="1206" w:val="left"/>
        </w:tabs>
        <w:bidi w:val="0"/>
        <w:spacing w:before="0" w:after="0" w:line="240" w:lineRule="auto"/>
        <w:ind w:left="0" w:right="0" w:firstLine="860"/>
        <w:jc w:val="left"/>
      </w:pPr>
      <w:bookmarkStart w:id="404" w:name="bookmark404"/>
      <w:bookmarkEnd w:id="404"/>
      <w:r>
        <w:rPr>
          <w:color w:val="000000"/>
          <w:spacing w:val="0"/>
          <w:w w:val="100"/>
          <w:position w:val="0"/>
        </w:rPr>
        <w:t>“票据池”业务</w:t>
      </w:r>
    </w:p>
    <w:p>
      <w:pPr>
        <w:pStyle w:val="Style111"/>
        <w:keepNext w:val="0"/>
        <w:keepLines w:val="0"/>
        <w:widowControl w:val="0"/>
        <w:shd w:val="clear" w:color="auto" w:fill="auto"/>
        <w:bidi w:val="0"/>
        <w:spacing w:before="0" w:after="80" w:line="437" w:lineRule="exact"/>
        <w:ind w:left="460" w:right="0" w:firstLine="420"/>
        <w:jc w:val="left"/>
      </w:pPr>
      <w:r>
        <w:rPr>
          <w:color w:val="000000"/>
          <w:spacing w:val="0"/>
          <w:w w:val="100"/>
          <w:position w:val="0"/>
        </w:rPr>
        <w:t>根据公司与相关子公司与有关金融机构签署的票据池授信协议及质押合同，公司未到期 银行承兑汇票做质押，同时相关金融机构开立票据池专用保证金账户，由相关金融机构授予 公司信用额度，用以开立银行承兑汇票。截至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日，有关“票据池”业务情 况如下：</w:t>
      </w:r>
    </w:p>
    <w:tbl>
      <w:tblPr>
        <w:tblOverlap w:val="never"/>
        <w:jc w:val="center"/>
        <w:tblLayout w:type="fixed"/>
      </w:tblPr>
      <w:tblGrid>
        <w:gridCol w:w="1416"/>
        <w:gridCol w:w="1560"/>
        <w:gridCol w:w="1358"/>
        <w:gridCol w:w="1387"/>
        <w:gridCol w:w="1243"/>
        <w:gridCol w:w="1373"/>
        <w:gridCol w:w="1066"/>
      </w:tblGrid>
      <w:tr>
        <w:trPr>
          <w:trHeight w:val="37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金融机构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票据池中承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其中：用于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保证金账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期末开立银</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到期日</w:t>
            </w:r>
          </w:p>
        </w:tc>
      </w:tr>
      <w:tr>
        <w:trPr>
          <w:trHeight w:val="2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兑汇票余额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质押</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户余额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行承兑汇票</w:t>
            </w:r>
          </w:p>
        </w:tc>
        <w:tc>
          <w:tcPr>
            <w:vMerge/>
            <w:tcBorders>
              <w:left w:val="single" w:sz="4"/>
            </w:tcBorders>
            <w:shd w:val="clear" w:color="auto" w:fill="FFFFFF"/>
            <w:vAlign w:val="center"/>
          </w:tcPr>
          <w:p>
            <w:pPr/>
          </w:p>
        </w:tc>
      </w:tr>
      <w:tr>
        <w:trPr>
          <w:trHeight w:val="30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招商银行萧山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175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338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789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789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w:t>
            </w:r>
          </w:p>
        </w:tc>
      </w:tr>
      <w:tr>
        <w:trPr>
          <w:trHeight w:val="288" w:hRule="exact"/>
        </w:trPr>
        <w:tc>
          <w:tcPr>
            <w:vMerge/>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w:t>
            </w:r>
          </w:p>
        </w:tc>
      </w:tr>
      <w:tr>
        <w:trPr>
          <w:trHeight w:val="3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传化化学品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招商银行萧山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426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656</w:t>
            </w: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656</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支行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w:t>
            </w:r>
          </w:p>
        </w:tc>
      </w:tr>
      <w:tr>
        <w:trPr>
          <w:trHeight w:val="379"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460"/>
              <w:jc w:val="left"/>
              <w:rPr>
                <w:sz w:val="16"/>
                <w:szCs w:val="16"/>
              </w:rPr>
            </w:pPr>
            <w:r>
              <w:rPr>
                <w:color w:val="000000"/>
                <w:spacing w:val="0"/>
                <w:w w:val="100"/>
                <w:position w:val="0"/>
                <w:sz w:val="16"/>
                <w:szCs w:val="16"/>
              </w:rPr>
              <w:t>天松股份公</w:t>
            </w:r>
          </w:p>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交通银行临安支行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398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w:t>
            </w:r>
          </w:p>
        </w:tc>
      </w:tr>
      <w:tr>
        <w:trPr>
          <w:trHeight w:val="211"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29</w:t>
            </w:r>
          </w:p>
        </w:tc>
      </w:tr>
      <w:tr>
        <w:trPr>
          <w:trHeight w:val="30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531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054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585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96</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23"/>
        </w:numPr>
        <w:shd w:val="clear" w:color="auto" w:fill="auto"/>
        <w:bidi w:val="0"/>
        <w:spacing w:before="0" w:after="180" w:line="240" w:lineRule="auto"/>
        <w:ind w:left="0" w:right="0" w:firstLine="860"/>
        <w:jc w:val="left"/>
      </w:pPr>
      <w:bookmarkStart w:id="405" w:name="bookmark405"/>
      <w:bookmarkEnd w:id="405"/>
      <w:r>
        <w:rPr>
          <w:color w:val="000000"/>
          <w:spacing w:val="0"/>
          <w:w w:val="100"/>
          <w:position w:val="0"/>
        </w:rPr>
        <w:t>传化集团公司对传化物流集团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年业绩承诺详见本财务报表附注十（四）</w:t>
      </w:r>
    </w:p>
    <w:p>
      <w:pPr>
        <w:pStyle w:val="Style111"/>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所述。</w:t>
      </w:r>
    </w:p>
    <w:p>
      <w:pPr>
        <w:pStyle w:val="Style111"/>
        <w:keepNext w:val="0"/>
        <w:keepLines w:val="0"/>
        <w:widowControl w:val="0"/>
        <w:numPr>
          <w:ilvl w:val="0"/>
          <w:numId w:val="123"/>
        </w:numPr>
        <w:shd w:val="clear" w:color="auto" w:fill="auto"/>
        <w:bidi w:val="0"/>
        <w:spacing w:before="0" w:after="80" w:line="240" w:lineRule="auto"/>
        <w:ind w:left="0" w:right="0" w:firstLine="860"/>
        <w:jc w:val="left"/>
      </w:pPr>
      <w:bookmarkStart w:id="406" w:name="bookmark406"/>
      <w:bookmarkEnd w:id="406"/>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日，公司承诺投资未到位情况如下:</w:t>
      </w:r>
    </w:p>
    <w:tbl>
      <w:tblPr>
        <w:tblOverlap w:val="never"/>
        <w:jc w:val="center"/>
        <w:tblLayout w:type="fixed"/>
      </w:tblPr>
      <w:tblGrid>
        <w:gridCol w:w="3576"/>
        <w:gridCol w:w="1133"/>
        <w:gridCol w:w="854"/>
        <w:gridCol w:w="1133"/>
        <w:gridCol w:w="1037"/>
        <w:gridCol w:w="1507"/>
      </w:tblGrid>
      <w:tr>
        <w:trPr>
          <w:trHeight w:val="59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注册资本</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持股比</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应缴出资额</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实缴出资 额（万元）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280"/>
              <w:jc w:val="left"/>
              <w:rPr>
                <w:sz w:val="18"/>
                <w:szCs w:val="18"/>
              </w:rPr>
            </w:pPr>
            <w:r>
              <w:rPr>
                <w:color w:val="000000"/>
                <w:spacing w:val="0"/>
                <w:w w:val="100"/>
                <w:position w:val="0"/>
                <w:sz w:val="18"/>
                <w:szCs w:val="18"/>
              </w:rPr>
              <w:t>未缴出资额</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（万元）</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天津传化公路港公司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孝感传化物流基地有限公司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荆门传化公路港物流有限公司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传化保险经纪有限公司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杭州传化货嘀科技有限公司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六安传化信实公路港物流有限公司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576"/>
        <w:gridCol w:w="1133"/>
        <w:gridCol w:w="854"/>
        <w:gridCol w:w="1133"/>
        <w:gridCol w:w="1037"/>
        <w:gridCol w:w="1507"/>
      </w:tblGrid>
      <w:tr>
        <w:trPr>
          <w:trHeight w:val="41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浙江传化陆鲸科技有限公司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漳州传化公路港物流有限公司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沧州传化物流发展有限公司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沧州传化公路港物流有限公司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697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杭州传金所互联网金融服务有限公司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杭州传化公路港建设有限公司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合肥传化信实公路港物流有限公司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宜宾传化公路港物流有限公司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怀化传化公路港物流有限公司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泉州传化供应链管理有限公司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包头传化交投顺意城市物流中心有限公司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包头传化交投石油销售有限公司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包头传化交投汽贸有限公司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包头传化交投投资有限公司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长沙传化供应链管理有限公司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杭州富阳泰源置业有限公司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杭州旺载物流有限公司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杭州货嘀物流有限公司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西部能源公司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bl>
    <w:p>
      <w:pPr>
        <w:widowControl w:val="0"/>
        <w:spacing w:after="79" w:line="1" w:lineRule="exact"/>
      </w:pPr>
    </w:p>
    <w:p>
      <w:pPr>
        <w:pStyle w:val="Style111"/>
        <w:keepNext w:val="0"/>
        <w:keepLines w:val="0"/>
        <w:widowControl w:val="0"/>
        <w:numPr>
          <w:ilvl w:val="0"/>
          <w:numId w:val="123"/>
        </w:numPr>
        <w:shd w:val="clear" w:color="auto" w:fill="auto"/>
        <w:bidi w:val="0"/>
        <w:spacing w:before="0" w:after="180" w:line="240" w:lineRule="auto"/>
        <w:ind w:left="0" w:right="0" w:firstLine="860"/>
        <w:jc w:val="left"/>
      </w:pPr>
      <w:bookmarkStart w:id="407" w:name="bookmark407"/>
      <w:bookmarkEnd w:id="407"/>
      <w:r>
        <w:rPr>
          <w:color w:val="000000"/>
          <w:spacing w:val="0"/>
          <w:w w:val="100"/>
          <w:position w:val="0"/>
        </w:rPr>
        <w:t>除上述事项外，截至资产负债表日，本公司不存在需要披露的重大承诺事项。</w:t>
      </w:r>
    </w:p>
    <w:p>
      <w:pPr>
        <w:pStyle w:val="Style111"/>
        <w:keepNext w:val="0"/>
        <w:keepLines w:val="0"/>
        <w:widowControl w:val="0"/>
        <w:shd w:val="clear" w:color="auto" w:fill="auto"/>
        <w:bidi w:val="0"/>
        <w:spacing w:before="0" w:after="180" w:line="240" w:lineRule="auto"/>
        <w:ind w:left="0" w:right="0" w:firstLine="860"/>
        <w:jc w:val="left"/>
      </w:pPr>
      <w:bookmarkStart w:id="408" w:name="bookmark408"/>
      <w:r>
        <w:rPr>
          <w:color w:val="000000"/>
          <w:spacing w:val="0"/>
          <w:w w:val="100"/>
          <w:position w:val="0"/>
        </w:rPr>
        <w:t>（</w:t>
      </w:r>
      <w:bookmarkEnd w:id="408"/>
      <w:r>
        <w:rPr>
          <w:color w:val="000000"/>
          <w:spacing w:val="0"/>
          <w:w w:val="100"/>
          <w:position w:val="0"/>
        </w:rPr>
        <w:t>二）或有事项</w:t>
      </w:r>
    </w:p>
    <w:p>
      <w:pPr>
        <w:pStyle w:val="Style111"/>
        <w:keepNext w:val="0"/>
        <w:keepLines w:val="0"/>
        <w:widowControl w:val="0"/>
        <w:numPr>
          <w:ilvl w:val="0"/>
          <w:numId w:val="125"/>
        </w:numPr>
        <w:shd w:val="clear" w:color="auto" w:fill="auto"/>
        <w:tabs>
          <w:tab w:pos="1175" w:val="left"/>
        </w:tabs>
        <w:bidi w:val="0"/>
        <w:spacing w:before="0" w:after="180" w:line="240" w:lineRule="auto"/>
        <w:ind w:left="0" w:right="0" w:firstLine="860"/>
        <w:jc w:val="left"/>
      </w:pPr>
      <w:bookmarkStart w:id="409" w:name="bookmark409"/>
      <w:bookmarkEnd w:id="409"/>
      <w:r>
        <w:rPr>
          <w:color w:val="000000"/>
          <w:spacing w:val="0"/>
          <w:w w:val="100"/>
          <w:position w:val="0"/>
        </w:rPr>
        <w:t>为关联方提供的担保事项详见本财务报表附注关联方及关联交易之说明。</w:t>
      </w:r>
    </w:p>
    <w:p>
      <w:pPr>
        <w:pStyle w:val="Style111"/>
        <w:keepNext w:val="0"/>
        <w:keepLines w:val="0"/>
        <w:widowControl w:val="0"/>
        <w:numPr>
          <w:ilvl w:val="0"/>
          <w:numId w:val="125"/>
        </w:numPr>
        <w:shd w:val="clear" w:color="auto" w:fill="auto"/>
        <w:tabs>
          <w:tab w:pos="1194" w:val="left"/>
        </w:tabs>
        <w:bidi w:val="0"/>
        <w:spacing w:before="0" w:after="620" w:line="240" w:lineRule="auto"/>
        <w:ind w:left="0" w:right="0" w:firstLine="860"/>
        <w:jc w:val="left"/>
      </w:pPr>
      <w:bookmarkStart w:id="410" w:name="bookmark410"/>
      <w:bookmarkEnd w:id="410"/>
      <w:r>
        <w:rPr>
          <w:color w:val="000000"/>
          <w:spacing w:val="0"/>
          <w:w w:val="100"/>
          <w:position w:val="0"/>
        </w:rPr>
        <w:t>除上述事项外，截至资产负债表日，本公司不存在其他需要披露的重大或有事项。</w:t>
      </w:r>
    </w:p>
    <w:p>
      <w:pPr>
        <w:pStyle w:val="Style6"/>
        <w:keepNext w:val="0"/>
        <w:keepLines w:val="0"/>
        <w:widowControl w:val="0"/>
        <w:shd w:val="clear" w:color="auto" w:fill="auto"/>
        <w:bidi w:val="0"/>
        <w:spacing w:before="0" w:after="180" w:line="240" w:lineRule="auto"/>
        <w:ind w:left="0" w:right="0" w:firstLine="860"/>
        <w:jc w:val="left"/>
        <w:rPr>
          <w:sz w:val="20"/>
          <w:szCs w:val="20"/>
        </w:rPr>
      </w:pPr>
      <w:r>
        <w:rPr>
          <w:rFonts w:ascii="SimHei" w:eastAsia="SimHei" w:hAnsi="SimHei" w:cs="SimHei"/>
          <w:b/>
          <w:bCs/>
          <w:color w:val="000000"/>
          <w:spacing w:val="0"/>
          <w:w w:val="100"/>
          <w:position w:val="0"/>
          <w:sz w:val="20"/>
          <w:szCs w:val="20"/>
        </w:rPr>
        <w:t>十三、资产负债表日后事项</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（一）资产负债表日后利润分配情况</w:t>
      </w:r>
    </w:p>
    <w:tbl>
      <w:tblPr>
        <w:tblOverlap w:val="never"/>
        <w:jc w:val="center"/>
        <w:tblLayout w:type="fixed"/>
      </w:tblPr>
      <w:tblGrid>
        <w:gridCol w:w="4296"/>
        <w:gridCol w:w="4291"/>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拟分配的利润或股利</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元（含税）</w:t>
            </w:r>
          </w:p>
        </w:tc>
      </w:tr>
    </w:tbl>
    <w:p>
      <w:pPr>
        <w:pStyle w:val="Style111"/>
        <w:keepNext w:val="0"/>
        <w:keepLines w:val="0"/>
        <w:widowControl w:val="0"/>
        <w:shd w:val="clear" w:color="auto" w:fill="auto"/>
        <w:bidi w:val="0"/>
        <w:spacing w:before="0" w:after="0" w:line="437" w:lineRule="exact"/>
        <w:ind w:left="0" w:right="0" w:firstLine="860"/>
        <w:jc w:val="left"/>
      </w:pPr>
      <w:r>
        <w:rPr>
          <w:color w:val="000000"/>
          <w:spacing w:val="0"/>
          <w:w w:val="100"/>
          <w:position w:val="0"/>
        </w:rPr>
        <w:t>（二）对外投资</w:t>
      </w:r>
    </w:p>
    <w:p>
      <w:pPr>
        <w:pStyle w:val="Style111"/>
        <w:keepNext w:val="0"/>
        <w:keepLines w:val="0"/>
        <w:widowControl w:val="0"/>
        <w:numPr>
          <w:ilvl w:val="0"/>
          <w:numId w:val="127"/>
        </w:numPr>
        <w:shd w:val="clear" w:color="auto" w:fill="auto"/>
        <w:bidi w:val="0"/>
        <w:spacing w:before="0" w:after="0" w:line="437" w:lineRule="exact"/>
        <w:ind w:left="0" w:right="0" w:firstLine="860"/>
        <w:jc w:val="left"/>
      </w:pPr>
      <w:bookmarkStart w:id="411" w:name="bookmark411"/>
      <w:bookmarkEnd w:id="411"/>
      <w:r>
        <w:rPr>
          <w:color w:val="000000"/>
          <w:spacing w:val="0"/>
          <w:w w:val="100"/>
          <w:position w:val="0"/>
        </w:rPr>
        <w:t>非同一控制下的企业合并</w:t>
      </w:r>
    </w:p>
    <w:p>
      <w:pPr>
        <w:pStyle w:val="Style111"/>
        <w:keepNext w:val="0"/>
        <w:keepLines w:val="0"/>
        <w:widowControl w:val="0"/>
        <w:shd w:val="clear" w:color="auto" w:fill="auto"/>
        <w:tabs>
          <w:tab w:pos="1300" w:val="left"/>
        </w:tabs>
        <w:bidi w:val="0"/>
        <w:spacing w:before="0" w:after="0" w:line="437" w:lineRule="exact"/>
        <w:ind w:left="460" w:right="0" w:firstLine="40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w:t>
        <w:tab/>
        <w:t>经公司董事长批准，子公司传化物流集团以自由资金</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840</w:t>
      </w:r>
      <w:r>
        <w:rPr>
          <w:color w:val="000000"/>
          <w:spacing w:val="0"/>
          <w:w w:val="100"/>
          <w:position w:val="0"/>
        </w:rPr>
        <w:t>万元收购七台河万通内 陆港综合物流有限公司持有的七台河市鑫达源物流有限责任公司的</w:t>
      </w:r>
      <w:r>
        <w:rPr>
          <w:rFonts w:ascii="Times New Roman" w:eastAsia="Times New Roman" w:hAnsi="Times New Roman" w:cs="Times New Roman"/>
          <w:color w:val="000000"/>
          <w:spacing w:val="0"/>
          <w:w w:val="100"/>
          <w:position w:val="0"/>
        </w:rPr>
        <w:t>65</w:t>
      </w:r>
      <w:r>
        <w:rPr>
          <w:color w:val="000000"/>
          <w:spacing w:val="0"/>
          <w:w w:val="100"/>
          <w:position w:val="0"/>
        </w:rPr>
        <w:t>%股权。本次股权转让 完成后，传化物流集团持有该公司</w:t>
      </w:r>
      <w:r>
        <w:rPr>
          <w:rFonts w:ascii="Times New Roman" w:eastAsia="Times New Roman" w:hAnsi="Times New Roman" w:cs="Times New Roman"/>
          <w:color w:val="000000"/>
          <w:spacing w:val="0"/>
          <w:w w:val="100"/>
          <w:position w:val="0"/>
        </w:rPr>
        <w:t>65</w:t>
      </w:r>
      <w:r>
        <w:rPr>
          <w:color w:val="000000"/>
          <w:spacing w:val="0"/>
          <w:w w:val="100"/>
          <w:position w:val="0"/>
        </w:rPr>
        <w:t>%股权。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日，该公司办妥变更登记手续。</w:t>
      </w:r>
    </w:p>
    <w:p>
      <w:pPr>
        <w:pStyle w:val="Style111"/>
        <w:keepNext w:val="0"/>
        <w:keepLines w:val="0"/>
        <w:widowControl w:val="0"/>
        <w:shd w:val="clear" w:color="auto" w:fill="auto"/>
        <w:tabs>
          <w:tab w:pos="1300" w:val="left"/>
        </w:tabs>
        <w:bidi w:val="0"/>
        <w:spacing w:before="0" w:after="0" w:line="437" w:lineRule="exact"/>
        <w:ind w:left="460" w:right="0" w:firstLine="40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w:t>
        <w:tab/>
        <w:t>经公司董事长批准，子公司传化物流集团拟以自由资金</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420</w:t>
      </w:r>
      <w:r>
        <w:rPr>
          <w:color w:val="000000"/>
          <w:spacing w:val="0"/>
          <w:w w:val="100"/>
          <w:position w:val="0"/>
        </w:rPr>
        <w:t xml:space="preserve">. </w:t>
      </w:r>
      <w:r>
        <w:rPr>
          <w:rFonts w:ascii="Times New Roman" w:eastAsia="Times New Roman" w:hAnsi="Times New Roman" w:cs="Times New Roman"/>
          <w:color w:val="000000"/>
          <w:spacing w:val="0"/>
          <w:w w:val="100"/>
          <w:position w:val="0"/>
        </w:rPr>
        <w:t>55</w:t>
      </w:r>
      <w:r>
        <w:rPr>
          <w:color w:val="000000"/>
          <w:spacing w:val="0"/>
          <w:w w:val="100"/>
          <w:position w:val="0"/>
        </w:rPr>
        <w:t>万元的价格收购 自然人林静霞持有的江西晨达科技有限公司</w:t>
      </w:r>
      <w:r>
        <w:rPr>
          <w:rFonts w:ascii="Times New Roman" w:eastAsia="Times New Roman" w:hAnsi="Times New Roman" w:cs="Times New Roman"/>
          <w:color w:val="000000"/>
          <w:spacing w:val="0"/>
          <w:w w:val="100"/>
          <w:position w:val="0"/>
        </w:rPr>
        <w:t>11</w:t>
      </w:r>
      <w:r>
        <w:rPr>
          <w:color w:val="000000"/>
          <w:spacing w:val="0"/>
          <w:w w:val="100"/>
          <w:position w:val="0"/>
        </w:rPr>
        <w:t>%股权，同时向该公司增资</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550</w:t>
      </w:r>
      <w:r>
        <w:rPr>
          <w:color w:val="000000"/>
          <w:spacing w:val="0"/>
          <w:w w:val="100"/>
          <w:position w:val="0"/>
        </w:rPr>
        <w:t>万元，转 让及增资价格均以上海硕诺信息科技有限公司实收资本</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执行。本次股权转让及增资完 成后，传化物流集团合计持有该公司</w:t>
      </w:r>
      <w:r>
        <w:rPr>
          <w:rFonts w:ascii="Times New Roman" w:eastAsia="Times New Roman" w:hAnsi="Times New Roman" w:cs="Times New Roman"/>
          <w:color w:val="000000"/>
          <w:spacing w:val="0"/>
          <w:w w:val="100"/>
          <w:position w:val="0"/>
        </w:rPr>
        <w:t>70</w:t>
      </w:r>
      <w:r>
        <w:rPr>
          <w:color w:val="000000"/>
          <w:spacing w:val="0"/>
          <w:w w:val="100"/>
          <w:position w:val="0"/>
        </w:rPr>
        <w:t>%股权。截至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日，该公司尚未办妥变 更登记手续。</w:t>
      </w:r>
    </w:p>
    <w:p>
      <w:pPr>
        <w:pStyle w:val="Style111"/>
        <w:keepNext w:val="0"/>
        <w:keepLines w:val="0"/>
        <w:widowControl w:val="0"/>
        <w:shd w:val="clear" w:color="auto" w:fill="auto"/>
        <w:tabs>
          <w:tab w:pos="1300" w:val="left"/>
        </w:tabs>
        <w:bidi w:val="0"/>
        <w:spacing w:before="0" w:after="0" w:line="437" w:lineRule="exact"/>
        <w:ind w:left="460" w:right="0" w:firstLine="40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w:t>
        <w:tab/>
        <w:t>经公司董事长批准，子公司传化物流集团拟以自由资金</w:t>
      </w:r>
      <w:r>
        <w:rPr>
          <w:rFonts w:ascii="Times New Roman" w:eastAsia="Times New Roman" w:hAnsi="Times New Roman" w:cs="Times New Roman"/>
          <w:color w:val="000000"/>
          <w:spacing w:val="0"/>
          <w:w w:val="100"/>
          <w:position w:val="0"/>
        </w:rPr>
        <w:t>990</w:t>
      </w:r>
      <w:r>
        <w:rPr>
          <w:color w:val="000000"/>
          <w:spacing w:val="0"/>
          <w:w w:val="100"/>
          <w:position w:val="0"/>
        </w:rPr>
        <w:t>万元收购自然人高恒、 郑军分别持有的上海硕诺信息科技有限公司</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%股权，同时向该公司增资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950</w:t>
      </w:r>
      <w:r>
        <w:rPr>
          <w:color w:val="000000"/>
          <w:spacing w:val="0"/>
          <w:w w:val="100"/>
          <w:position w:val="0"/>
        </w:rPr>
        <w:t>万元,。 本次股权转让及增资完成后，传化物流集团合计持有该公司</w:t>
      </w:r>
      <w:r>
        <w:rPr>
          <w:rFonts w:ascii="Times New Roman" w:eastAsia="Times New Roman" w:hAnsi="Times New Roman" w:cs="Times New Roman"/>
          <w:color w:val="000000"/>
          <w:spacing w:val="0"/>
          <w:w w:val="100"/>
          <w:position w:val="0"/>
        </w:rPr>
        <w:t>56</w:t>
      </w:r>
      <w:r>
        <w:rPr>
          <w:color w:val="000000"/>
          <w:spacing w:val="0"/>
          <w:w w:val="100"/>
          <w:position w:val="0"/>
        </w:rPr>
        <w:t>%股权，股权转让及增资以坤 元资产评估有限公司出具的《资产评估报告》（坤元评报〔</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67</w:t>
      </w:r>
      <w:r>
        <w:rPr>
          <w:color w:val="000000"/>
          <w:spacing w:val="0"/>
          <w:w w:val="100"/>
          <w:position w:val="0"/>
        </w:rPr>
        <w:t>号）为基础，经交易 双方协商确定。截至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日，该公司尚未办妥变更登记手续。</w:t>
      </w:r>
    </w:p>
    <w:p>
      <w:pPr>
        <w:pStyle w:val="Style111"/>
        <w:keepNext w:val="0"/>
        <w:keepLines w:val="0"/>
        <w:widowControl w:val="0"/>
        <w:shd w:val="clear" w:color="auto" w:fill="auto"/>
        <w:tabs>
          <w:tab w:pos="1300" w:val="left"/>
        </w:tabs>
        <w:bidi w:val="0"/>
        <w:spacing w:before="0" w:after="160" w:line="437" w:lineRule="exact"/>
        <w:ind w:left="460" w:right="0" w:firstLine="40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rPr>
        <w:t>4</w:t>
      </w:r>
      <w:r>
        <w:rPr>
          <w:color w:val="000000"/>
          <w:spacing w:val="0"/>
          <w:w w:val="100"/>
          <w:position w:val="0"/>
        </w:rPr>
        <w:t>）</w:t>
        <w:tab/>
        <w:t>经公司第五届董事会第三十八次（临时）会议决定通过，公司以</w:t>
      </w:r>
      <w:r>
        <w:rPr>
          <w:rFonts w:ascii="Times New Roman" w:eastAsia="Times New Roman" w:hAnsi="Times New Roman" w:cs="Times New Roman"/>
          <w:color w:val="000000"/>
          <w:spacing w:val="0"/>
          <w:w w:val="100"/>
          <w:position w:val="0"/>
        </w:rPr>
        <w:t>227</w:t>
      </w:r>
      <w:r>
        <w:rPr>
          <w:color w:val="000000"/>
          <w:spacing w:val="0"/>
          <w:w w:val="100"/>
          <w:position w:val="0"/>
        </w:rPr>
        <w:t>,</w:t>
      </w:r>
      <w:r>
        <w:rPr>
          <w:rFonts w:ascii="Times New Roman" w:eastAsia="Times New Roman" w:hAnsi="Times New Roman" w:cs="Times New Roman"/>
          <w:color w:val="000000"/>
          <w:spacing w:val="0"/>
          <w:w w:val="100"/>
          <w:position w:val="0"/>
        </w:rPr>
        <w:t>400</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元 的价格收购香港怡高持有杭州美高华颐化工有限公司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%的股权，收购价格以坤元资产评估 有限公司出具的相关资产评估报告书的评估价值为依据，结合杭州美高截至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日的净资产情况，最终由双方协商确定。杭州美高华颐化工有限公司于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日办妥工商变更登记手续。</w:t>
      </w:r>
    </w:p>
    <w:p>
      <w:pPr>
        <w:pStyle w:val="Style30"/>
        <w:keepNext w:val="0"/>
        <w:keepLines w:val="0"/>
        <w:widowControl w:val="0"/>
        <w:shd w:val="clear" w:color="auto" w:fill="auto"/>
        <w:bidi w:val="0"/>
        <w:spacing w:before="0" w:after="0" w:line="240" w:lineRule="auto"/>
        <w:ind w:left="854"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设立</w:t>
      </w:r>
    </w:p>
    <w:tbl>
      <w:tblPr>
        <w:tblOverlap w:val="never"/>
        <w:jc w:val="center"/>
        <w:tblLayout w:type="fixed"/>
      </w:tblPr>
      <w:tblGrid>
        <w:gridCol w:w="456"/>
        <w:gridCol w:w="2981"/>
        <w:gridCol w:w="2693"/>
        <w:gridCol w:w="994"/>
        <w:gridCol w:w="850"/>
        <w:gridCol w:w="1306"/>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140" w:right="0" w:firstLine="40"/>
              <w:jc w:val="left"/>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投资金额</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投资生 持股比 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截至报告日 是否办妥设 立/变更登记</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重庆传化城聚供应链管理有限公司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杭州众成供应链管理有限公司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临沂传化兰华公路港物流有限公司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沈阳传化港孚供应链管理有限公司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潜江传化公路港物流有限公司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玉溪传化通力公路港物流有限公司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日照传化交通公路港物流有限公司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是</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西安传化供应链有限公司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杭州众成供应链管理有限公司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vertAlign w:val="subscript"/>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吉林传化安广供应链管理有限公司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漯河传化公路港物流有限公司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郑州传化公路港物流有限公司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立郑州传化供应链管理有限公司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郑州传化公路港物流有限公司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pStyle w:val="Style111"/>
        <w:keepNext w:val="0"/>
        <w:keepLines w:val="0"/>
        <w:widowControl w:val="0"/>
        <w:shd w:val="clear" w:color="auto" w:fill="auto"/>
        <w:tabs>
          <w:tab w:pos="1391" w:val="left"/>
        </w:tabs>
        <w:bidi w:val="0"/>
        <w:spacing w:before="0" w:after="0" w:line="437" w:lineRule="exact"/>
        <w:ind w:left="0" w:right="0" w:firstLine="860"/>
        <w:jc w:val="left"/>
      </w:pPr>
      <w:bookmarkStart w:id="416" w:name="bookmark416"/>
      <w:r>
        <w:rPr>
          <w:color w:val="000000"/>
          <w:spacing w:val="0"/>
          <w:w w:val="100"/>
          <w:position w:val="0"/>
        </w:rPr>
        <w:t>（</w:t>
      </w:r>
      <w:bookmarkEnd w:id="416"/>
      <w:r>
        <w:rPr>
          <w:color w:val="000000"/>
          <w:spacing w:val="0"/>
          <w:w w:val="100"/>
          <w:position w:val="0"/>
        </w:rPr>
        <w:t>三）</w:t>
        <w:tab/>
        <w:t>发债</w:t>
      </w:r>
    </w:p>
    <w:p>
      <w:pPr>
        <w:pStyle w:val="Style111"/>
        <w:keepNext w:val="0"/>
        <w:keepLines w:val="0"/>
        <w:widowControl w:val="0"/>
        <w:shd w:val="clear" w:color="auto" w:fill="auto"/>
        <w:bidi w:val="0"/>
        <w:spacing w:before="0" w:after="0" w:line="438" w:lineRule="exact"/>
        <w:ind w:left="460" w:right="0" w:firstLine="40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日，公司五届三十七次（临时）董事决议通过《关于面向合格投资者公开 发行公司债券方案的议案》，公司拟面向合格投资者公开发行公司债，发行的公司债券本金 总额不超过</w:t>
      </w:r>
      <w:r>
        <w:rPr>
          <w:rFonts w:ascii="Times New Roman" w:eastAsia="Times New Roman" w:hAnsi="Times New Roman" w:cs="Times New Roman"/>
          <w:color w:val="000000"/>
          <w:spacing w:val="0"/>
          <w:w w:val="100"/>
          <w:position w:val="0"/>
        </w:rPr>
        <w:t>20</w:t>
      </w:r>
      <w:r>
        <w:rPr>
          <w:color w:val="000000"/>
          <w:spacing w:val="0"/>
          <w:w w:val="100"/>
          <w:position w:val="0"/>
        </w:rPr>
        <w:t>亿元，期限不超过</w:t>
      </w:r>
      <w:r>
        <w:rPr>
          <w:rFonts w:ascii="Times New Roman" w:eastAsia="Times New Roman" w:hAnsi="Times New Roman" w:cs="Times New Roman"/>
          <w:color w:val="000000"/>
          <w:spacing w:val="0"/>
          <w:w w:val="100"/>
          <w:position w:val="0"/>
        </w:rPr>
        <w:t>5</w:t>
      </w:r>
      <w:r>
        <w:rPr>
          <w:color w:val="000000"/>
          <w:spacing w:val="0"/>
          <w:w w:val="100"/>
          <w:position w:val="0"/>
        </w:rPr>
        <w:t>年。截至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日，有关发行事宜尚在筹备中。</w:t>
      </w:r>
    </w:p>
    <w:p>
      <w:pPr>
        <w:pStyle w:val="Style111"/>
        <w:keepNext w:val="0"/>
        <w:keepLines w:val="0"/>
        <w:widowControl w:val="0"/>
        <w:shd w:val="clear" w:color="auto" w:fill="auto"/>
        <w:tabs>
          <w:tab w:pos="1447" w:val="left"/>
        </w:tabs>
        <w:bidi w:val="0"/>
        <w:spacing w:before="0" w:after="440" w:line="438" w:lineRule="exact"/>
        <w:ind w:left="460" w:right="0" w:firstLine="400"/>
        <w:jc w:val="left"/>
      </w:pPr>
      <w:bookmarkStart w:id="417" w:name="bookmark417"/>
      <w:r>
        <w:rPr>
          <w:color w:val="000000"/>
          <w:spacing w:val="0"/>
          <w:w w:val="100"/>
          <w:position w:val="0"/>
        </w:rPr>
        <w:t>（</w:t>
      </w:r>
      <w:bookmarkEnd w:id="417"/>
      <w:r>
        <w:rPr>
          <w:color w:val="000000"/>
          <w:spacing w:val="0"/>
          <w:w w:val="100"/>
          <w:position w:val="0"/>
        </w:rPr>
        <w:t>四）</w:t>
        <w:tab/>
        <w:t>除上述事项及本财务报表附注十四（二）</w:t>
      </w:r>
      <w:r>
        <w:rPr>
          <w:rFonts w:ascii="Times New Roman" w:eastAsia="Times New Roman" w:hAnsi="Times New Roman" w:cs="Times New Roman"/>
          <w:color w:val="000000"/>
          <w:spacing w:val="0"/>
          <w:w w:val="100"/>
          <w:position w:val="0"/>
        </w:rPr>
        <w:t>2</w:t>
      </w:r>
      <w:r>
        <w:rPr>
          <w:color w:val="000000"/>
          <w:spacing w:val="0"/>
          <w:w w:val="100"/>
          <w:position w:val="0"/>
        </w:rPr>
        <w:t>所述事项外，截至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本公司无其他重大资产负债表日后事项中的非调整事项。</w:t>
      </w:r>
    </w:p>
    <w:p>
      <w:pPr>
        <w:pStyle w:val="Style6"/>
        <w:keepNext w:val="0"/>
        <w:keepLines w:val="0"/>
        <w:widowControl w:val="0"/>
        <w:shd w:val="clear" w:color="auto" w:fill="auto"/>
        <w:bidi w:val="0"/>
        <w:spacing w:before="0" w:after="0" w:line="437" w:lineRule="exact"/>
        <w:ind w:left="0" w:right="0" w:firstLine="860"/>
        <w:jc w:val="left"/>
        <w:rPr>
          <w:sz w:val="20"/>
          <w:szCs w:val="20"/>
        </w:rPr>
      </w:pPr>
      <w:r>
        <w:rPr>
          <w:rFonts w:ascii="SimHei" w:eastAsia="SimHei" w:hAnsi="SimHei" w:cs="SimHei"/>
          <w:b/>
          <w:bCs/>
          <w:color w:val="000000"/>
          <w:spacing w:val="0"/>
          <w:w w:val="100"/>
          <w:position w:val="0"/>
          <w:sz w:val="20"/>
          <w:szCs w:val="20"/>
        </w:rPr>
        <w:t>十四、其他重要事项</w:t>
      </w:r>
    </w:p>
    <w:p>
      <w:pPr>
        <w:pStyle w:val="Style111"/>
        <w:keepNext w:val="0"/>
        <w:keepLines w:val="0"/>
        <w:widowControl w:val="0"/>
        <w:shd w:val="clear" w:color="auto" w:fill="auto"/>
        <w:bidi w:val="0"/>
        <w:spacing w:before="0" w:after="0" w:line="437" w:lineRule="exact"/>
        <w:ind w:left="0" w:right="0" w:firstLine="860"/>
        <w:jc w:val="left"/>
      </w:pPr>
      <w:r>
        <w:rPr>
          <w:color w:val="000000"/>
          <w:spacing w:val="0"/>
          <w:w w:val="100"/>
          <w:position w:val="0"/>
        </w:rPr>
        <w:t>（一）分部信息</w:t>
      </w:r>
    </w:p>
    <w:p>
      <w:pPr>
        <w:pStyle w:val="Style111"/>
        <w:keepNext w:val="0"/>
        <w:keepLines w:val="0"/>
        <w:widowControl w:val="0"/>
        <w:numPr>
          <w:ilvl w:val="0"/>
          <w:numId w:val="129"/>
        </w:numPr>
        <w:shd w:val="clear" w:color="auto" w:fill="auto"/>
        <w:bidi w:val="0"/>
        <w:spacing w:before="0" w:after="0" w:line="437" w:lineRule="exact"/>
        <w:ind w:left="0" w:right="0" w:firstLine="860"/>
        <w:jc w:val="left"/>
      </w:pPr>
      <w:bookmarkStart w:id="418" w:name="bookmark418"/>
      <w:bookmarkEnd w:id="418"/>
      <w:r>
        <w:rPr>
          <w:color w:val="000000"/>
          <w:spacing w:val="0"/>
          <w:w w:val="100"/>
          <w:position w:val="0"/>
        </w:rPr>
        <w:t>确定报告分部考虑的因素</w:t>
      </w:r>
    </w:p>
    <w:p>
      <w:pPr>
        <w:pStyle w:val="Style111"/>
        <w:keepNext w:val="0"/>
        <w:keepLines w:val="0"/>
        <w:widowControl w:val="0"/>
        <w:shd w:val="clear" w:color="auto" w:fill="auto"/>
        <w:bidi w:val="0"/>
        <w:spacing w:before="0" w:after="0" w:line="437" w:lineRule="exact"/>
        <w:ind w:left="460" w:right="0" w:firstLine="400"/>
        <w:jc w:val="left"/>
      </w:pPr>
      <w:r>
        <w:rPr>
          <w:color w:val="000000"/>
          <w:spacing w:val="0"/>
          <w:w w:val="100"/>
          <w:position w:val="0"/>
        </w:rPr>
        <w:t>公司以内部组织结构、管理要求、内部报告制度等为依据确定经营分部。公司的经营分 部是指同时满足下列条件的组成部分：</w:t>
      </w:r>
    </w:p>
    <w:p>
      <w:pPr>
        <w:pStyle w:val="Style111"/>
        <w:keepNext w:val="0"/>
        <w:keepLines w:val="0"/>
        <w:widowControl w:val="0"/>
        <w:shd w:val="clear" w:color="auto" w:fill="auto"/>
        <w:tabs>
          <w:tab w:pos="1286" w:val="left"/>
        </w:tabs>
        <w:bidi w:val="0"/>
        <w:spacing w:before="0" w:after="0" w:line="437" w:lineRule="exact"/>
        <w:ind w:left="0" w:right="0" w:firstLine="860"/>
        <w:jc w:val="left"/>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111"/>
        <w:keepNext w:val="0"/>
        <w:keepLines w:val="0"/>
        <w:widowControl w:val="0"/>
        <w:shd w:val="clear" w:color="auto" w:fill="auto"/>
        <w:tabs>
          <w:tab w:pos="1286" w:val="left"/>
        </w:tabs>
        <w:bidi w:val="0"/>
        <w:spacing w:before="0" w:after="0" w:line="437" w:lineRule="exact"/>
        <w:ind w:left="0" w:right="0" w:firstLine="860"/>
        <w:jc w:val="left"/>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rPr>
        <w:t>2</w:t>
      </w:r>
      <w:r>
        <w:rPr>
          <w:color w:val="000000"/>
          <w:spacing w:val="0"/>
          <w:w w:val="100"/>
          <w:position w:val="0"/>
        </w:rPr>
        <w:t>）</w:t>
        <w:tab/>
        <w:t>管理层能够定期评价该组成部分的经营成果，以决定向其配置资源、评价其业绩；</w:t>
      </w:r>
    </w:p>
    <w:p>
      <w:pPr>
        <w:pStyle w:val="Style111"/>
        <w:keepNext w:val="0"/>
        <w:keepLines w:val="0"/>
        <w:widowControl w:val="0"/>
        <w:shd w:val="clear" w:color="auto" w:fill="auto"/>
        <w:tabs>
          <w:tab w:pos="1286" w:val="left"/>
        </w:tabs>
        <w:bidi w:val="0"/>
        <w:spacing w:before="0" w:after="0" w:line="437" w:lineRule="exact"/>
        <w:ind w:left="0" w:right="0" w:firstLine="860"/>
        <w:jc w:val="left"/>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w:t>
        <w:tab/>
        <w:t>能够通过分析取得该组成部分的财务状况、经营成果和现金流量等有关会计信息。</w:t>
      </w:r>
    </w:p>
    <w:p>
      <w:pPr>
        <w:pStyle w:val="Style111"/>
        <w:keepNext w:val="0"/>
        <w:keepLines w:val="0"/>
        <w:widowControl w:val="0"/>
        <w:shd w:val="clear" w:color="auto" w:fill="auto"/>
        <w:bidi w:val="0"/>
        <w:spacing w:before="0" w:after="180" w:line="437" w:lineRule="exact"/>
        <w:ind w:left="0" w:right="0" w:firstLine="860"/>
        <w:jc w:val="left"/>
      </w:pPr>
      <w:r>
        <w:rPr>
          <w:color w:val="000000"/>
          <w:spacing w:val="0"/>
          <w:w w:val="100"/>
          <w:position w:val="0"/>
        </w:rPr>
        <w:t>本公司以产品分部、地区分部为基础确定报告分部，但因相关业务涉及混合经营，故无</w:t>
      </w:r>
    </w:p>
    <w:p>
      <w:pPr>
        <w:pStyle w:val="Style111"/>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法对各分部使用的资产、负债进行分配。</w:t>
      </w:r>
    </w:p>
    <w:p>
      <w:pPr>
        <w:pStyle w:val="Style111"/>
        <w:keepNext w:val="0"/>
        <w:keepLines w:val="0"/>
        <w:widowControl w:val="0"/>
        <w:numPr>
          <w:ilvl w:val="0"/>
          <w:numId w:val="129"/>
        </w:numPr>
        <w:shd w:val="clear" w:color="auto" w:fill="auto"/>
        <w:tabs>
          <w:tab w:pos="1246" w:val="left"/>
        </w:tabs>
        <w:bidi w:val="0"/>
        <w:spacing w:before="0" w:after="180" w:line="240" w:lineRule="auto"/>
        <w:ind w:left="0" w:right="0" w:firstLine="860"/>
        <w:jc w:val="left"/>
      </w:pPr>
      <w:bookmarkStart w:id="422" w:name="bookmark422"/>
      <w:bookmarkEnd w:id="422"/>
      <w:r>
        <w:rPr>
          <w:color w:val="000000"/>
          <w:spacing w:val="0"/>
          <w:w w:val="100"/>
          <w:position w:val="0"/>
        </w:rPr>
        <w:t>报告分部的财务信息</w:t>
      </w:r>
    </w:p>
    <w:p>
      <w:pPr>
        <w:pStyle w:val="Style111"/>
        <w:keepNext w:val="0"/>
        <w:keepLines w:val="0"/>
        <w:widowControl w:val="0"/>
        <w:shd w:val="clear" w:color="auto" w:fill="auto"/>
        <w:tabs>
          <w:tab w:pos="1246" w:val="left"/>
        </w:tabs>
        <w:bidi w:val="0"/>
        <w:spacing w:before="0" w:after="80" w:line="240" w:lineRule="auto"/>
        <w:ind w:left="0" w:right="0" w:firstLine="760"/>
        <w:jc w:val="left"/>
      </w:pPr>
      <w:bookmarkStart w:id="423" w:name="bookmark423"/>
      <w:r>
        <w:rPr>
          <w:color w:val="000000"/>
          <w:spacing w:val="0"/>
          <w:w w:val="100"/>
          <w:position w:val="0"/>
          <w:shd w:val="clear" w:color="auto" w:fill="FFFFFF"/>
        </w:rPr>
        <w:t>（</w:t>
      </w:r>
      <w:bookmarkEnd w:id="423"/>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t>地区分部</w:t>
      </w:r>
    </w:p>
    <w:tbl>
      <w:tblPr>
        <w:tblOverlap w:val="never"/>
        <w:jc w:val="center"/>
        <w:tblLayout w:type="fixed"/>
      </w:tblPr>
      <w:tblGrid>
        <w:gridCol w:w="1843"/>
        <w:gridCol w:w="2410"/>
        <w:gridCol w:w="2126"/>
        <w:gridCol w:w="2160"/>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合计</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479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w:t>
            </w:r>
          </w:p>
        </w:tc>
      </w:tr>
      <w:tr>
        <w:trPr>
          <w:trHeight w:val="52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bl>
    <w:p>
      <w:pPr>
        <w:pStyle w:val="Style30"/>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产品分部</w:t>
      </w:r>
    </w:p>
    <w:p>
      <w:pPr>
        <w:widowControl w:val="0"/>
        <w:spacing w:after="79" w:line="1" w:lineRule="exact"/>
      </w:pPr>
    </w:p>
    <w:tbl>
      <w:tblPr>
        <w:tblOverlap w:val="never"/>
        <w:jc w:val="center"/>
        <w:tblLayout w:type="fixed"/>
      </w:tblPr>
      <w:tblGrid>
        <w:gridCol w:w="1219"/>
        <w:gridCol w:w="1421"/>
        <w:gridCol w:w="1286"/>
        <w:gridCol w:w="1402"/>
        <w:gridCol w:w="1267"/>
        <w:gridCol w:w="1267"/>
        <w:gridCol w:w="1320"/>
      </w:tblGrid>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印染助剂及染料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皮革化纤油剂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涂料及建筑化学品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顺丁橡胶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运输总包业务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燃油及轮胎贸易</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262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790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458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w:t>
            </w:r>
          </w:p>
        </w:tc>
      </w:tr>
      <w:tr>
        <w:trPr>
          <w:trHeight w:val="30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539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591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969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222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164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w:t>
            </w:r>
          </w:p>
        </w:tc>
      </w:tr>
    </w:tbl>
    <w:p>
      <w:pPr>
        <w:pStyle w:val="Style30"/>
        <w:keepNext w:val="0"/>
        <w:keepLines w:val="0"/>
        <w:widowControl w:val="0"/>
        <w:shd w:val="clear" w:color="auto" w:fill="auto"/>
        <w:bidi w:val="0"/>
        <w:spacing w:before="0" w:after="0" w:line="240" w:lineRule="auto"/>
        <w:ind w:left="634" w:right="0" w:firstLine="0"/>
        <w:jc w:val="left"/>
        <w:rPr>
          <w:sz w:val="20"/>
          <w:szCs w:val="20"/>
        </w:rPr>
      </w:pPr>
      <w:r>
        <w:rPr>
          <w:color w:val="000000"/>
          <w:spacing w:val="0"/>
          <w:w w:val="100"/>
          <w:position w:val="0"/>
          <w:sz w:val="20"/>
          <w:szCs w:val="20"/>
        </w:rPr>
        <w:t>（续上表）</w:t>
      </w:r>
    </w:p>
    <w:p>
      <w:pPr>
        <w:widowControl w:val="0"/>
        <w:spacing w:after="79" w:line="1" w:lineRule="exact"/>
      </w:pPr>
    </w:p>
    <w:tbl>
      <w:tblPr>
        <w:tblOverlap w:val="never"/>
        <w:jc w:val="left"/>
        <w:tblLayout w:type="fixed"/>
      </w:tblPr>
      <w:tblGrid>
        <w:gridCol w:w="1234"/>
        <w:gridCol w:w="1277"/>
        <w:gridCol w:w="1416"/>
        <w:gridCol w:w="1277"/>
        <w:gridCol w:w="1277"/>
        <w:gridCol w:w="1589"/>
      </w:tblGrid>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仓储、物流、旅</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馆出租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物流增值服务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公路港合作开发</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系列服务收入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保险经纪业务收</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093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724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r>
      <w:tr>
        <w:trPr>
          <w:trHeight w:val="30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317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540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897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521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w:t>
            </w: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（二）其他对投资者决策有影响的重要交易和事项</w:t>
      </w:r>
    </w:p>
    <w:p>
      <w:pPr>
        <w:pStyle w:val="Style111"/>
        <w:keepNext w:val="0"/>
        <w:keepLines w:val="0"/>
        <w:widowControl w:val="0"/>
        <w:numPr>
          <w:ilvl w:val="0"/>
          <w:numId w:val="131"/>
        </w:numPr>
        <w:shd w:val="clear" w:color="auto" w:fill="auto"/>
        <w:tabs>
          <w:tab w:pos="386" w:val="left"/>
        </w:tabs>
        <w:bidi w:val="0"/>
        <w:spacing w:before="0" w:after="0" w:line="240" w:lineRule="auto"/>
        <w:ind w:left="0" w:right="0" w:firstLine="860"/>
        <w:jc w:val="left"/>
      </w:pPr>
      <w:bookmarkStart w:id="424" w:name="bookmark424"/>
      <w:bookmarkEnd w:id="424"/>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日，传化公路港公司与杭州萧山城区建设有限公司签订《传化物流 </w:t>
      </w:r>
      <w:r>
        <w:rPr>
          <w:color w:val="000000"/>
          <w:spacing w:val="0"/>
          <w:w w:val="100"/>
          <w:position w:val="0"/>
        </w:rPr>
        <w:t>基地搬迁补偿协议》约定：传化公路港公司终止公路港物流经营和停车场业务，移交物业出 租权，并完成对全部经营户及租户的搬迁安置工作，杭州萧山城区建设有限公司对传化公路 港进行拆迁补偿及奖励。补偿及奖励金额总计</w:t>
      </w:r>
      <w:r>
        <w:rPr>
          <w:rFonts w:ascii="Times New Roman" w:eastAsia="Times New Roman" w:hAnsi="Times New Roman" w:cs="Times New Roman"/>
          <w:color w:val="000000"/>
          <w:spacing w:val="0"/>
          <w:w w:val="100"/>
          <w:position w:val="0"/>
        </w:rPr>
        <w:t>487</w:t>
      </w:r>
      <w:r>
        <w:rPr>
          <w:color w:val="000000"/>
          <w:spacing w:val="0"/>
          <w:w w:val="100"/>
          <w:position w:val="0"/>
        </w:rPr>
        <w:t xml:space="preserve">, </w:t>
      </w:r>
      <w:r>
        <w:rPr>
          <w:rFonts w:ascii="Times New Roman" w:eastAsia="Times New Roman" w:hAnsi="Times New Roman" w:cs="Times New Roman"/>
          <w:color w:val="000000"/>
          <w:spacing w:val="0"/>
          <w:w w:val="100"/>
          <w:position w:val="0"/>
        </w:rPr>
        <w:t>417</w:t>
      </w:r>
      <w:r>
        <w:rPr>
          <w:color w:val="000000"/>
          <w:spacing w:val="0"/>
          <w:w w:val="100"/>
          <w:position w:val="0"/>
        </w:rPr>
        <w:t xml:space="preserve">, </w:t>
      </w:r>
      <w:r>
        <w:rPr>
          <w:rFonts w:ascii="Times New Roman" w:eastAsia="Times New Roman" w:hAnsi="Times New Roman" w:cs="Times New Roman"/>
          <w:color w:val="000000"/>
          <w:spacing w:val="0"/>
          <w:w w:val="100"/>
          <w:position w:val="0"/>
        </w:rPr>
        <w:t>983</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年度收到拆迁补偿 及奖励款</w:t>
      </w:r>
      <w:r>
        <w:rPr>
          <w:rFonts w:ascii="Times New Roman" w:eastAsia="Times New Roman" w:hAnsi="Times New Roman" w:cs="Times New Roman"/>
          <w:color w:val="000000"/>
          <w:spacing w:val="0"/>
          <w:w w:val="100"/>
          <w:position w:val="0"/>
        </w:rPr>
        <w:t>243</w:t>
      </w:r>
      <w:r>
        <w:rPr>
          <w:color w:val="000000"/>
          <w:spacing w:val="0"/>
          <w:w w:val="100"/>
          <w:position w:val="0"/>
        </w:rPr>
        <w:t xml:space="preserve">, </w:t>
      </w:r>
      <w:r>
        <w:rPr>
          <w:rFonts w:ascii="Times New Roman" w:eastAsia="Times New Roman" w:hAnsi="Times New Roman" w:cs="Times New Roman"/>
          <w:color w:val="000000"/>
          <w:spacing w:val="0"/>
          <w:w w:val="100"/>
          <w:position w:val="0"/>
        </w:rPr>
        <w:t>708</w:t>
      </w:r>
      <w:r>
        <w:rPr>
          <w:color w:val="000000"/>
          <w:spacing w:val="0"/>
          <w:w w:val="100"/>
          <w:position w:val="0"/>
        </w:rPr>
        <w:t xml:space="preserve">, </w:t>
      </w:r>
      <w:r>
        <w:rPr>
          <w:rFonts w:ascii="Times New Roman" w:eastAsia="Times New Roman" w:hAnsi="Times New Roman" w:cs="Times New Roman"/>
          <w:color w:val="000000"/>
          <w:spacing w:val="0"/>
          <w:w w:val="100"/>
          <w:position w:val="0"/>
        </w:rPr>
        <w:t>991</w:t>
      </w:r>
      <w:r>
        <w:rPr>
          <w:color w:val="000000"/>
          <w:spacing w:val="0"/>
          <w:w w:val="100"/>
          <w:position w:val="0"/>
        </w:rPr>
        <w:t xml:space="preserve">. </w:t>
      </w:r>
      <w:r>
        <w:rPr>
          <w:rFonts w:ascii="Times New Roman" w:eastAsia="Times New Roman" w:hAnsi="Times New Roman" w:cs="Times New Roman"/>
          <w:color w:val="000000"/>
          <w:spacing w:val="0"/>
          <w:w w:val="100"/>
          <w:position w:val="0"/>
        </w:rPr>
        <w:t>59</w:t>
      </w:r>
      <w:r>
        <w:rPr>
          <w:color w:val="000000"/>
          <w:spacing w:val="0"/>
          <w:w w:val="100"/>
          <w:position w:val="0"/>
        </w:rPr>
        <w:t>元，传化公路港公司按拆迁进度扣除拆迁成本后确认拆迁补偿及 奖励收入</w:t>
      </w:r>
      <w:r>
        <w:rPr>
          <w:rFonts w:ascii="Times New Roman" w:eastAsia="Times New Roman" w:hAnsi="Times New Roman" w:cs="Times New Roman"/>
          <w:color w:val="000000"/>
          <w:spacing w:val="0"/>
          <w:w w:val="100"/>
          <w:position w:val="0"/>
        </w:rPr>
        <w:t>115</w:t>
      </w:r>
      <w:r>
        <w:rPr>
          <w:color w:val="000000"/>
          <w:spacing w:val="0"/>
          <w:w w:val="100"/>
          <w:position w:val="0"/>
        </w:rPr>
        <w:t xml:space="preserve">, </w:t>
      </w:r>
      <w:r>
        <w:rPr>
          <w:rFonts w:ascii="Times New Roman" w:eastAsia="Times New Roman" w:hAnsi="Times New Roman" w:cs="Times New Roman"/>
          <w:color w:val="000000"/>
          <w:spacing w:val="0"/>
          <w:w w:val="100"/>
          <w:position w:val="0"/>
        </w:rPr>
        <w:t>149</w:t>
      </w:r>
      <w:r>
        <w:rPr>
          <w:color w:val="000000"/>
          <w:spacing w:val="0"/>
          <w:w w:val="100"/>
          <w:position w:val="0"/>
        </w:rPr>
        <w:t xml:space="preserve">, </w:t>
      </w:r>
      <w:r>
        <w:rPr>
          <w:rFonts w:ascii="Times New Roman" w:eastAsia="Times New Roman" w:hAnsi="Times New Roman" w:cs="Times New Roman"/>
          <w:color w:val="000000"/>
          <w:spacing w:val="0"/>
          <w:w w:val="100"/>
          <w:position w:val="0"/>
        </w:rPr>
        <w:t>161</w:t>
      </w:r>
      <w:r>
        <w:rPr>
          <w:color w:val="000000"/>
          <w:spacing w:val="0"/>
          <w:w w:val="100"/>
          <w:position w:val="0"/>
        </w:rPr>
        <w:t>.</w:t>
      </w:r>
      <w:r>
        <w:rPr>
          <w:rFonts w:ascii="Times New Roman" w:eastAsia="Times New Roman" w:hAnsi="Times New Roman" w:cs="Times New Roman"/>
          <w:color w:val="000000"/>
          <w:spacing w:val="0"/>
          <w:w w:val="100"/>
          <w:position w:val="0"/>
        </w:rPr>
        <w:t>26</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日，传化公路港公司与杭州萧山城区建设有 限公司签订《传化物流基地整体搬迁补偿补充协议》约定：因参保人数、新旧土地证面积差 异等原因，在原协议约定补偿及奖励金额的基础上扣减</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822</w:t>
      </w:r>
      <w:r>
        <w:rPr>
          <w:color w:val="000000"/>
          <w:spacing w:val="0"/>
          <w:w w:val="100"/>
          <w:position w:val="0"/>
        </w:rPr>
        <w:t xml:space="preserve">, </w:t>
      </w:r>
      <w:r>
        <w:rPr>
          <w:rFonts w:ascii="Times New Roman" w:eastAsia="Times New Roman" w:hAnsi="Times New Roman" w:cs="Times New Roman"/>
          <w:color w:val="000000"/>
          <w:spacing w:val="0"/>
          <w:w w:val="100"/>
          <w:position w:val="0"/>
        </w:rPr>
        <w:t>993</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元，实际补偿及奖励 金额为</w:t>
      </w:r>
      <w:r>
        <w:rPr>
          <w:rFonts w:ascii="Times New Roman" w:eastAsia="Times New Roman" w:hAnsi="Times New Roman" w:cs="Times New Roman"/>
          <w:color w:val="000000"/>
          <w:spacing w:val="0"/>
          <w:w w:val="100"/>
          <w:position w:val="0"/>
        </w:rPr>
        <w:t>482</w:t>
      </w:r>
      <w:r>
        <w:rPr>
          <w:color w:val="000000"/>
          <w:spacing w:val="0"/>
          <w:w w:val="100"/>
          <w:position w:val="0"/>
        </w:rPr>
        <w:t xml:space="preserve">, </w:t>
      </w:r>
      <w:r>
        <w:rPr>
          <w:rFonts w:ascii="Times New Roman" w:eastAsia="Times New Roman" w:hAnsi="Times New Roman" w:cs="Times New Roman"/>
          <w:color w:val="000000"/>
          <w:spacing w:val="0"/>
          <w:w w:val="100"/>
          <w:position w:val="0"/>
        </w:rPr>
        <w:t>594</w:t>
      </w:r>
      <w:r>
        <w:rPr>
          <w:color w:val="000000"/>
          <w:spacing w:val="0"/>
          <w:w w:val="100"/>
          <w:position w:val="0"/>
        </w:rPr>
        <w:t xml:space="preserve">, </w:t>
      </w:r>
      <w:r>
        <w:rPr>
          <w:rFonts w:ascii="Times New Roman" w:eastAsia="Times New Roman" w:hAnsi="Times New Roman" w:cs="Times New Roman"/>
          <w:color w:val="000000"/>
          <w:spacing w:val="0"/>
          <w:w w:val="100"/>
          <w:position w:val="0"/>
        </w:rPr>
        <w:t>989</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年度传化公路港公司收到剩余的拆迁补偿及奖励款 </w:t>
      </w:r>
      <w:r>
        <w:rPr>
          <w:rFonts w:ascii="Times New Roman" w:eastAsia="Times New Roman" w:hAnsi="Times New Roman" w:cs="Times New Roman"/>
          <w:color w:val="000000"/>
          <w:spacing w:val="0"/>
          <w:w w:val="100"/>
          <w:position w:val="0"/>
        </w:rPr>
        <w:t>238</w:t>
      </w:r>
      <w:r>
        <w:rPr>
          <w:color w:val="000000"/>
          <w:spacing w:val="0"/>
          <w:w w:val="100"/>
          <w:position w:val="0"/>
        </w:rPr>
        <w:t xml:space="preserve">, </w:t>
      </w:r>
      <w:r>
        <w:rPr>
          <w:rFonts w:ascii="Times New Roman" w:eastAsia="Times New Roman" w:hAnsi="Times New Roman" w:cs="Times New Roman"/>
          <w:color w:val="000000"/>
          <w:spacing w:val="0"/>
          <w:w w:val="100"/>
          <w:position w:val="0"/>
        </w:rPr>
        <w:t>885</w:t>
      </w:r>
      <w:r>
        <w:rPr>
          <w:color w:val="000000"/>
          <w:spacing w:val="0"/>
          <w:w w:val="100"/>
          <w:position w:val="0"/>
        </w:rPr>
        <w:t xml:space="preserve">, </w:t>
      </w:r>
      <w:r>
        <w:rPr>
          <w:rFonts w:ascii="Times New Roman" w:eastAsia="Times New Roman" w:hAnsi="Times New Roman" w:cs="Times New Roman"/>
          <w:color w:val="000000"/>
          <w:spacing w:val="0"/>
          <w:w w:val="100"/>
          <w:position w:val="0"/>
        </w:rPr>
        <w:t>998</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 xml:space="preserve">元，并按拆迁进度扣除拆迁成本后确认拆迁补偿及奖励收入 </w:t>
      </w:r>
      <w:r>
        <w:rPr>
          <w:rFonts w:ascii="Times New Roman" w:eastAsia="Times New Roman" w:hAnsi="Times New Roman" w:cs="Times New Roman"/>
          <w:color w:val="000000"/>
          <w:spacing w:val="0"/>
          <w:w w:val="100"/>
          <w:position w:val="0"/>
        </w:rPr>
        <w:t>219</w:t>
      </w:r>
      <w:r>
        <w:rPr>
          <w:color w:val="000000"/>
          <w:spacing w:val="0"/>
          <w:w w:val="100"/>
          <w:position w:val="0"/>
        </w:rPr>
        <w:t>,</w:t>
      </w:r>
      <w:r>
        <w:rPr>
          <w:rFonts w:ascii="Times New Roman" w:eastAsia="Times New Roman" w:hAnsi="Times New Roman" w:cs="Times New Roman"/>
          <w:color w:val="000000"/>
          <w:spacing w:val="0"/>
          <w:w w:val="100"/>
          <w:position w:val="0"/>
        </w:rPr>
        <w:t>912</w:t>
      </w:r>
      <w:r>
        <w:rPr>
          <w:color w:val="000000"/>
          <w:spacing w:val="0"/>
          <w:w w:val="100"/>
          <w:position w:val="0"/>
        </w:rPr>
        <w:t xml:space="preserve">, </w:t>
      </w:r>
      <w:r>
        <w:rPr>
          <w:rFonts w:ascii="Times New Roman" w:eastAsia="Times New Roman" w:hAnsi="Times New Roman" w:cs="Times New Roman"/>
          <w:color w:val="000000"/>
          <w:spacing w:val="0"/>
          <w:w w:val="100"/>
          <w:position w:val="0"/>
        </w:rPr>
        <w:t>164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62 </w:t>
      </w:r>
      <w:r>
        <w:rPr>
          <w:color w:val="000000"/>
          <w:spacing w:val="0"/>
          <w:w w:val="100"/>
          <w:position w:val="0"/>
        </w:rPr>
        <w:t>元。</w:t>
      </w:r>
    </w:p>
    <w:p>
      <w:pPr>
        <w:pStyle w:val="Style111"/>
        <w:keepNext w:val="0"/>
        <w:keepLines w:val="0"/>
        <w:widowControl w:val="0"/>
        <w:numPr>
          <w:ilvl w:val="0"/>
          <w:numId w:val="131"/>
        </w:numPr>
        <w:shd w:val="clear" w:color="auto" w:fill="auto"/>
        <w:tabs>
          <w:tab w:pos="1194" w:val="left"/>
        </w:tabs>
        <w:bidi w:val="0"/>
        <w:spacing w:before="0" w:after="420" w:line="435" w:lineRule="exact"/>
        <w:ind w:left="460" w:right="0" w:firstLine="400"/>
        <w:jc w:val="both"/>
      </w:pPr>
      <w:bookmarkStart w:id="425" w:name="bookmark425"/>
      <w:bookmarkEnd w:id="42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日，公司子公司传化物流集团与上海海江物流管理有限公司、上海 海江投资发展有限公司、上海汉凯投资有限公司、上海捷登光电仪器有限公司签订《上海传 化海江“公路港”项目合资合作框架协议》，由公司与上海海江物流管理有限公司合资设立 上海传化海江公路港物流有限公司（以下简称传化海江公司）；各方约定在传化海江公司成立 后</w:t>
      </w:r>
      <w:r>
        <w:rPr>
          <w:rFonts w:ascii="Times New Roman" w:eastAsia="Times New Roman" w:hAnsi="Times New Roman" w:cs="Times New Roman"/>
          <w:color w:val="000000"/>
          <w:spacing w:val="0"/>
          <w:w w:val="100"/>
          <w:position w:val="0"/>
        </w:rPr>
        <w:t>1</w:t>
      </w:r>
      <w:r>
        <w:rPr>
          <w:color w:val="000000"/>
          <w:spacing w:val="0"/>
          <w:w w:val="100"/>
          <w:position w:val="0"/>
        </w:rPr>
        <w:t>年内，由传化海江公司收购上海海江投资发展有限公司、上海汉凯投资有限公司和上海 捷登光电仪器有限公司所拥有的海江物流园资产。截至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日，上述资产收购已 经完成。</w:t>
      </w:r>
    </w:p>
    <w:p>
      <w:pPr>
        <w:pStyle w:val="Style6"/>
        <w:keepNext w:val="0"/>
        <w:keepLines w:val="0"/>
        <w:widowControl w:val="0"/>
        <w:shd w:val="clear" w:color="auto" w:fill="auto"/>
        <w:bidi w:val="0"/>
        <w:spacing w:before="0" w:after="0" w:line="435" w:lineRule="exact"/>
        <w:ind w:left="0" w:right="0" w:firstLine="860"/>
        <w:jc w:val="left"/>
        <w:rPr>
          <w:sz w:val="20"/>
          <w:szCs w:val="20"/>
        </w:rPr>
      </w:pPr>
      <w:r>
        <w:rPr>
          <w:rFonts w:ascii="SimHei" w:eastAsia="SimHei" w:hAnsi="SimHei" w:cs="SimHei"/>
          <w:b/>
          <w:bCs/>
          <w:color w:val="000000"/>
          <w:spacing w:val="0"/>
          <w:w w:val="100"/>
          <w:position w:val="0"/>
          <w:sz w:val="20"/>
          <w:szCs w:val="20"/>
        </w:rPr>
        <w:t>十五、母公司财务报表主要项目注释</w:t>
      </w:r>
    </w:p>
    <w:p>
      <w:pPr>
        <w:pStyle w:val="Style111"/>
        <w:keepNext w:val="0"/>
        <w:keepLines w:val="0"/>
        <w:widowControl w:val="0"/>
        <w:shd w:val="clear" w:color="auto" w:fill="auto"/>
        <w:bidi w:val="0"/>
        <w:spacing w:before="0" w:after="180" w:line="435" w:lineRule="exact"/>
        <w:ind w:left="0" w:right="0" w:firstLine="860"/>
        <w:jc w:val="left"/>
      </w:pPr>
      <w:r>
        <w:rPr>
          <w:color w:val="000000"/>
          <w:spacing w:val="0"/>
          <w:w w:val="100"/>
          <w:position w:val="0"/>
        </w:rPr>
        <w:t>（一）母公司资产负债表项目注释</w:t>
      </w:r>
    </w:p>
    <w:p>
      <w:pPr>
        <w:pStyle w:val="Style111"/>
        <w:keepNext w:val="0"/>
        <w:keepLines w:val="0"/>
        <w:widowControl w:val="0"/>
        <w:shd w:val="clear" w:color="auto" w:fill="auto"/>
        <w:bidi w:val="0"/>
        <w:spacing w:before="0" w:after="0" w:line="454"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应收账款</w:t>
      </w:r>
    </w:p>
    <w:p>
      <w:pPr>
        <w:pStyle w:val="Style111"/>
        <w:keepNext w:val="0"/>
        <w:keepLines w:val="0"/>
        <w:widowControl w:val="0"/>
        <w:shd w:val="clear" w:color="auto" w:fill="auto"/>
        <w:bidi w:val="0"/>
        <w:spacing w:before="0" w:after="180" w:line="435" w:lineRule="exact"/>
        <w:ind w:left="0" w:right="0" w:firstLine="86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111"/>
        <w:keepNext w:val="0"/>
        <w:keepLines w:val="0"/>
        <w:widowControl w:val="0"/>
        <w:shd w:val="clear" w:color="auto" w:fill="auto"/>
        <w:bidi w:val="0"/>
        <w:spacing w:before="0" w:after="0" w:line="454" w:lineRule="auto"/>
        <w:ind w:left="0" w:right="0" w:firstLine="860"/>
        <w:jc w:val="left"/>
      </w:pPr>
      <w:bookmarkStart w:id="427" w:name="bookmark427"/>
      <w:r>
        <w:rPr>
          <w:rFonts w:ascii="Times New Roman" w:eastAsia="Times New Roman" w:hAnsi="Times New Roman" w:cs="Times New Roman"/>
          <w:color w:val="000000"/>
          <w:spacing w:val="0"/>
          <w:w w:val="100"/>
          <w:position w:val="0"/>
        </w:rPr>
        <w:t>1</w:t>
      </w:r>
      <w:bookmarkEnd w:id="427"/>
      <w:r>
        <w:rPr>
          <w:color w:val="000000"/>
          <w:spacing w:val="0"/>
          <w:w w:val="100"/>
          <w:position w:val="0"/>
        </w:rPr>
        <w:t>）类别明细情况</w:t>
      </w:r>
    </w:p>
    <w:tbl>
      <w:tblPr>
        <w:tblOverlap w:val="never"/>
        <w:jc w:val="center"/>
        <w:tblLayout w:type="fixed"/>
      </w:tblPr>
      <w:tblGrid>
        <w:gridCol w:w="2342"/>
        <w:gridCol w:w="1474"/>
        <w:gridCol w:w="936"/>
        <w:gridCol w:w="1387"/>
        <w:gridCol w:w="941"/>
        <w:gridCol w:w="1507"/>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计提比例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按信用风险特征组合计提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单项金额不重大但单项计 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344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（续上表）</w:t>
      </w:r>
      <w:r>
        <w:br w:type="page"/>
      </w:r>
    </w:p>
    <w:tbl>
      <w:tblPr>
        <w:tblOverlap w:val="never"/>
        <w:jc w:val="center"/>
        <w:tblLayout w:type="fixed"/>
      </w:tblPr>
      <w:tblGrid>
        <w:gridCol w:w="2342"/>
        <w:gridCol w:w="1474"/>
        <w:gridCol w:w="941"/>
        <w:gridCol w:w="1382"/>
        <w:gridCol w:w="941"/>
        <w:gridCol w:w="1507"/>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计提比例</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按信用风险特征组合计提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单项金额不重大但单项计 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766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751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bl>
    <w:p>
      <w:pPr>
        <w:widowControl w:val="0"/>
        <w:spacing w:after="79" w:line="1" w:lineRule="exact"/>
      </w:pPr>
    </w:p>
    <w:p>
      <w:pPr>
        <w:pStyle w:val="Style111"/>
        <w:keepNext w:val="0"/>
        <w:keepLines w:val="0"/>
        <w:widowControl w:val="0"/>
        <w:numPr>
          <w:ilvl w:val="0"/>
          <w:numId w:val="133"/>
        </w:numPr>
        <w:shd w:val="clear" w:color="auto" w:fill="auto"/>
        <w:bidi w:val="0"/>
        <w:spacing w:before="0" w:after="80" w:line="240" w:lineRule="auto"/>
        <w:ind w:left="0" w:right="0" w:firstLine="860"/>
        <w:jc w:val="left"/>
      </w:pPr>
      <w:bookmarkStart w:id="428" w:name="bookmark428"/>
      <w:bookmarkEnd w:id="428"/>
      <w:r>
        <w:rPr>
          <w:color w:val="000000"/>
          <w:spacing w:val="0"/>
          <w:w w:val="100"/>
          <w:position w:val="0"/>
        </w:rPr>
        <w:t>组合中，采用账龄分析法计提坏账准备的应收账款</w:t>
      </w:r>
    </w:p>
    <w:tbl>
      <w:tblPr>
        <w:tblOverlap w:val="never"/>
        <w:jc w:val="center"/>
        <w:tblLayout w:type="fixed"/>
      </w:tblPr>
      <w:tblGrid>
        <w:gridCol w:w="1747"/>
        <w:gridCol w:w="2270"/>
        <w:gridCol w:w="2266"/>
        <w:gridCol w:w="2304"/>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计提比例(%)</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r>
    </w:tbl>
    <w:p>
      <w:pPr>
        <w:widowControl w:val="0"/>
        <w:spacing w:after="79" w:line="1" w:lineRule="exact"/>
      </w:pPr>
    </w:p>
    <w:p>
      <w:pPr>
        <w:pStyle w:val="Style111"/>
        <w:keepNext w:val="0"/>
        <w:keepLines w:val="0"/>
        <w:widowControl w:val="0"/>
        <w:numPr>
          <w:ilvl w:val="0"/>
          <w:numId w:val="133"/>
        </w:numPr>
        <w:shd w:val="clear" w:color="auto" w:fill="auto"/>
        <w:bidi w:val="0"/>
        <w:spacing w:before="0" w:after="80" w:line="240" w:lineRule="auto"/>
        <w:ind w:left="0" w:right="0" w:firstLine="860"/>
        <w:jc w:val="left"/>
      </w:pPr>
      <w:bookmarkStart w:id="429" w:name="bookmark429"/>
      <w:bookmarkEnd w:id="429"/>
      <w:r>
        <w:rPr>
          <w:color w:val="000000"/>
          <w:spacing w:val="0"/>
          <w:w w:val="100"/>
          <w:position w:val="0"/>
        </w:rPr>
        <w:t>单项金额不重大但单项计提坏账准备账款</w:t>
      </w:r>
    </w:p>
    <w:tbl>
      <w:tblPr>
        <w:tblOverlap w:val="never"/>
        <w:jc w:val="center"/>
        <w:tblLayout w:type="fixed"/>
      </w:tblPr>
      <w:tblGrid>
        <w:gridCol w:w="2957"/>
        <w:gridCol w:w="1382"/>
        <w:gridCol w:w="1306"/>
        <w:gridCol w:w="907"/>
        <w:gridCol w:w="2510"/>
      </w:tblGrid>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计提比例 (%)</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欣悦棉整有限公司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预计完全收回存在困难</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杭州戴德实业有限公司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已胜诉，完全收回存在困难</w:t>
            </w: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浙江亚太染织有限公司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浙江春江印染有限公司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绍兴腾达印染有限公司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绍兴宏福印花有限公司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已诉，完全收回存在困难</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东阳市天染针织有限公司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石家庄兴丰化工产品销售有限公司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已胜诉，完全收回存在困难</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重庆市联美化工有限责任公司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已诉，完全收回存在困难</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崇阳青山世证医用纺织有限公司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已诉，完全收回存在困难</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绍兴县绿叶印染有限公司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bl>
    <w:p>
      <w:pPr>
        <w:spacing w:lineRule="exact" w:line="1"/>
        <w:rPr>
          <w:sz w:val="2"/>
          <w:szCs w:val="2"/>
        </w:rPr>
      </w:pPr>
      <w:r>
        <w:br w:type="page"/>
      </w:r>
    </w:p>
    <w:tbl>
      <w:tblPr>
        <w:tblOverlap w:val="never"/>
        <w:jc w:val="center"/>
        <w:tblLayout w:type="fixed"/>
      </w:tblPr>
      <w:tblGrid>
        <w:gridCol w:w="2957"/>
        <w:gridCol w:w="1382"/>
        <w:gridCol w:w="1306"/>
        <w:gridCol w:w="907"/>
        <w:gridCol w:w="2510"/>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绍兴县湖塘伟栋纺织涂层厂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764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回收困难</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344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35"/>
        </w:numPr>
        <w:shd w:val="clear" w:color="auto" w:fill="auto"/>
        <w:bidi w:val="0"/>
        <w:spacing w:before="0" w:after="180" w:line="240" w:lineRule="auto"/>
        <w:ind w:left="0" w:right="0" w:firstLine="860"/>
        <w:jc w:val="left"/>
      </w:pPr>
      <w:bookmarkStart w:id="430" w:name="bookmark430"/>
      <w:bookmarkEnd w:id="430"/>
      <w:r>
        <w:rPr>
          <w:color w:val="000000"/>
          <w:spacing w:val="0"/>
          <w:w w:val="100"/>
          <w:position w:val="0"/>
        </w:rPr>
        <w:t>本期计提、收回或转回的坏账准备情况</w:t>
      </w: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本期计提坏账准备</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807</w:t>
      </w:r>
      <w:r>
        <w:rPr>
          <w:color w:val="000000"/>
          <w:spacing w:val="0"/>
          <w:w w:val="100"/>
          <w:position w:val="0"/>
        </w:rPr>
        <w:t xml:space="preserve">, </w:t>
      </w:r>
      <w:r>
        <w:rPr>
          <w:rFonts w:ascii="Times New Roman" w:eastAsia="Times New Roman" w:hAnsi="Times New Roman" w:cs="Times New Roman"/>
          <w:color w:val="000000"/>
          <w:spacing w:val="0"/>
          <w:w w:val="100"/>
          <w:position w:val="0"/>
        </w:rPr>
        <w:t>264</w:t>
      </w:r>
      <w:r>
        <w:rPr>
          <w:color w:val="000000"/>
          <w:spacing w:val="0"/>
          <w:w w:val="100"/>
          <w:position w:val="0"/>
        </w:rPr>
        <w:t xml:space="preserve">. </w:t>
      </w:r>
      <w:r>
        <w:rPr>
          <w:rFonts w:ascii="Times New Roman" w:eastAsia="Times New Roman" w:hAnsi="Times New Roman" w:cs="Times New Roman"/>
          <w:color w:val="000000"/>
          <w:spacing w:val="0"/>
          <w:w w:val="100"/>
          <w:position w:val="0"/>
        </w:rPr>
        <w:t>76</w:t>
      </w:r>
      <w:r>
        <w:rPr>
          <w:color w:val="000000"/>
          <w:spacing w:val="0"/>
          <w:w w:val="100"/>
          <w:position w:val="0"/>
        </w:rPr>
        <w:t>元，因预计未来现金流量现值回升而转回的坏账准备</w:t>
      </w:r>
    </w:p>
    <w:p>
      <w:pPr>
        <w:pStyle w:val="Style6"/>
        <w:keepNext w:val="0"/>
        <w:keepLines w:val="0"/>
        <w:widowControl w:val="0"/>
        <w:shd w:val="clear" w:color="auto" w:fill="auto"/>
        <w:bidi w:val="0"/>
        <w:spacing w:before="0" w:after="1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80 </w:t>
      </w:r>
      <w:r>
        <w:rPr>
          <w:color w:val="000000"/>
          <w:spacing w:val="0"/>
          <w:w w:val="100"/>
          <w:position w:val="0"/>
          <w:sz w:val="20"/>
          <w:szCs w:val="20"/>
        </w:rPr>
        <w:t>元。</w:t>
      </w:r>
    </w:p>
    <w:p>
      <w:pPr>
        <w:pStyle w:val="Style111"/>
        <w:keepNext w:val="0"/>
        <w:keepLines w:val="0"/>
        <w:widowControl w:val="0"/>
        <w:numPr>
          <w:ilvl w:val="0"/>
          <w:numId w:val="135"/>
        </w:numPr>
        <w:shd w:val="clear" w:color="auto" w:fill="auto"/>
        <w:bidi w:val="0"/>
        <w:spacing w:before="0" w:after="180" w:line="240" w:lineRule="auto"/>
        <w:ind w:left="0" w:right="0" w:firstLine="860"/>
        <w:jc w:val="left"/>
      </w:pPr>
      <w:bookmarkStart w:id="431" w:name="bookmark431"/>
      <w:bookmarkEnd w:id="431"/>
      <w:r>
        <w:rPr>
          <w:color w:val="000000"/>
          <w:spacing w:val="0"/>
          <w:w w:val="100"/>
          <w:position w:val="0"/>
        </w:rPr>
        <w:t>本期实际核销的应收账款情况</w:t>
      </w:r>
    </w:p>
    <w:p>
      <w:pPr>
        <w:pStyle w:val="Style111"/>
        <w:keepNext w:val="0"/>
        <w:keepLines w:val="0"/>
        <w:widowControl w:val="0"/>
        <w:numPr>
          <w:ilvl w:val="0"/>
          <w:numId w:val="137"/>
        </w:numPr>
        <w:shd w:val="clear" w:color="auto" w:fill="auto"/>
        <w:tabs>
          <w:tab w:pos="1199" w:val="left"/>
        </w:tabs>
        <w:bidi w:val="0"/>
        <w:spacing w:before="0" w:after="180" w:line="240" w:lineRule="auto"/>
        <w:ind w:left="0" w:right="0" w:firstLine="860"/>
        <w:jc w:val="left"/>
      </w:pPr>
      <w:bookmarkStart w:id="432" w:name="bookmark432"/>
      <w:bookmarkEnd w:id="432"/>
      <w:r>
        <w:rPr>
          <w:color w:val="000000"/>
          <w:spacing w:val="0"/>
          <w:w w:val="100"/>
          <w:position w:val="0"/>
        </w:rPr>
        <w:t>本期实际核销应收账款</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013</w:t>
      </w:r>
      <w:r>
        <w:rPr>
          <w:color w:val="000000"/>
          <w:spacing w:val="0"/>
          <w:w w:val="100"/>
          <w:position w:val="0"/>
        </w:rPr>
        <w:t>,</w:t>
      </w:r>
      <w:r>
        <w:rPr>
          <w:rFonts w:ascii="Times New Roman" w:eastAsia="Times New Roman" w:hAnsi="Times New Roman" w:cs="Times New Roman"/>
          <w:color w:val="000000"/>
          <w:spacing w:val="0"/>
          <w:w w:val="100"/>
          <w:position w:val="0"/>
        </w:rPr>
        <w:t>286</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元。</w:t>
      </w:r>
    </w:p>
    <w:p>
      <w:pPr>
        <w:pStyle w:val="Style111"/>
        <w:keepNext w:val="0"/>
        <w:keepLines w:val="0"/>
        <w:widowControl w:val="0"/>
        <w:numPr>
          <w:ilvl w:val="0"/>
          <w:numId w:val="137"/>
        </w:numPr>
        <w:shd w:val="clear" w:color="auto" w:fill="auto"/>
        <w:tabs>
          <w:tab w:pos="1218" w:val="left"/>
        </w:tabs>
        <w:bidi w:val="0"/>
        <w:spacing w:before="0" w:after="80" w:line="240" w:lineRule="auto"/>
        <w:ind w:left="0" w:right="0" w:firstLine="860"/>
        <w:jc w:val="left"/>
      </w:pPr>
      <w:bookmarkStart w:id="433" w:name="bookmark433"/>
      <w:bookmarkEnd w:id="433"/>
      <w:r>
        <w:rPr>
          <w:color w:val="000000"/>
          <w:spacing w:val="0"/>
          <w:w w:val="100"/>
          <w:position w:val="0"/>
        </w:rPr>
        <w:t>本期重要的应收账款核销情况</w:t>
      </w:r>
    </w:p>
    <w:tbl>
      <w:tblPr>
        <w:tblOverlap w:val="never"/>
        <w:jc w:val="center"/>
        <w:tblLayout w:type="fixed"/>
      </w:tblPr>
      <w:tblGrid>
        <w:gridCol w:w="2942"/>
        <w:gridCol w:w="821"/>
        <w:gridCol w:w="1296"/>
        <w:gridCol w:w="1104"/>
        <w:gridCol w:w="1099"/>
        <w:gridCol w:w="1325"/>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款项性 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履行的 核销程序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款项是否由关 联交易产生</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绍兴县江市纺织印染有限公司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武汉毅峰印染有限公司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开封市天赫实业有限公司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vertAlign w:val="subscript"/>
              </w:rPr>
              <w:t>否</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湖州元隆纺织印染有限公司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滨州鲁牛皮业有限公司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绍兴县第八印染有限公司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绍兴县蜀风印染有限公司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杭州萧山新欣助剂厂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浙江宏达纺织有限公司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vertAlign w:val="subscript"/>
              </w:rPr>
              <w:t>否</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numPr>
          <w:ilvl w:val="0"/>
          <w:numId w:val="135"/>
        </w:numPr>
        <w:shd w:val="clear" w:color="auto" w:fill="auto"/>
        <w:bidi w:val="0"/>
        <w:spacing w:before="0" w:after="80" w:line="240" w:lineRule="auto"/>
        <w:ind w:left="0" w:right="0" w:firstLine="860"/>
        <w:jc w:val="left"/>
      </w:pPr>
      <w:bookmarkStart w:id="434" w:name="bookmark434"/>
      <w:bookmarkEnd w:id="434"/>
      <w:r>
        <w:rPr>
          <w:color w:val="000000"/>
          <w:spacing w:val="0"/>
          <w:w w:val="100"/>
          <w:position w:val="0"/>
        </w:rPr>
        <w:t>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3542"/>
        <w:gridCol w:w="1637"/>
        <w:gridCol w:w="1805"/>
        <w:gridCol w:w="1603"/>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占应收账款余额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乔拉化学品有限公司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749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浙江昱辉智能系统集成有限公司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51</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欣悦棉整有限公司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杭州戴德实业有限公司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r>
    </w:tbl>
    <w:p>
      <w:pPr>
        <w:spacing w:lineRule="exact" w:line="1"/>
        <w:rPr>
          <w:sz w:val="2"/>
          <w:szCs w:val="2"/>
        </w:rPr>
      </w:pPr>
      <w:r>
        <w:br w:type="page"/>
      </w:r>
    </w:p>
    <w:p>
      <w:pPr>
        <w:pStyle w:val="Style111"/>
        <w:keepNext w:val="0"/>
        <w:keepLines w:val="0"/>
        <w:widowControl w:val="0"/>
        <w:numPr>
          <w:ilvl w:val="0"/>
          <w:numId w:val="139"/>
        </w:numPr>
        <w:shd w:val="clear" w:color="auto" w:fill="auto"/>
        <w:bidi w:val="0"/>
        <w:spacing w:before="0" w:after="180" w:line="240" w:lineRule="auto"/>
        <w:ind w:left="0" w:right="0" w:firstLine="860"/>
        <w:jc w:val="left"/>
      </w:pPr>
      <w:bookmarkStart w:id="435" w:name="bookmark435"/>
      <w:bookmarkEnd w:id="435"/>
      <w:r>
        <w:rPr>
          <w:color w:val="000000"/>
          <w:spacing w:val="0"/>
          <w:w w:val="100"/>
          <w:position w:val="0"/>
        </w:rPr>
        <w:t>其他应收款</w:t>
      </w: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⑴明细情况</w:t>
      </w:r>
    </w:p>
    <w:p>
      <w:pPr>
        <w:pStyle w:val="Style111"/>
        <w:keepNext w:val="0"/>
        <w:keepLines w:val="0"/>
        <w:widowControl w:val="0"/>
        <w:shd w:val="clear" w:color="auto" w:fill="auto"/>
        <w:bidi w:val="0"/>
        <w:spacing w:before="0" w:after="6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p>
    <w:tbl>
      <w:tblPr>
        <w:tblOverlap w:val="never"/>
        <w:jc w:val="center"/>
        <w:tblLayout w:type="fixed"/>
      </w:tblPr>
      <w:tblGrid>
        <w:gridCol w:w="2342"/>
        <w:gridCol w:w="1474"/>
        <w:gridCol w:w="936"/>
        <w:gridCol w:w="1387"/>
        <w:gridCol w:w="941"/>
        <w:gridCol w:w="1507"/>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计提比例</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单项金额重大并单项计提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373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944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按信用风险特征组合计提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030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bl>
    <w:p>
      <w:pPr>
        <w:pStyle w:val="Style30"/>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(续上表)</w:t>
      </w:r>
    </w:p>
    <w:p>
      <w:pPr>
        <w:widowControl w:val="0"/>
        <w:spacing w:after="59" w:line="1" w:lineRule="exact"/>
      </w:pPr>
    </w:p>
    <w:tbl>
      <w:tblPr>
        <w:tblOverlap w:val="never"/>
        <w:jc w:val="center"/>
        <w:tblLayout w:type="fixed"/>
      </w:tblPr>
      <w:tblGrid>
        <w:gridCol w:w="2410"/>
        <w:gridCol w:w="1406"/>
        <w:gridCol w:w="1008"/>
        <w:gridCol w:w="1315"/>
        <w:gridCol w:w="1008"/>
        <w:gridCol w:w="1440"/>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计提比例陶</w:t>
            </w:r>
          </w:p>
        </w:tc>
        <w:tc>
          <w:tcPr>
            <w:vMerge/>
            <w:tcBorders>
              <w:left w:val="single" w:sz="4"/>
            </w:tcBorders>
            <w:shd w:val="clear" w:color="auto" w:fill="FFFFFF"/>
            <w:vAlign w:val="center"/>
          </w:tcPr>
          <w:p>
            <w:pP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单项金额重大并单项计提坏</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按信用风险特征组合计提坏</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bl>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)期末单项金额重大并单项计提坏账准备的其他应收款</w:t>
      </w:r>
    </w:p>
    <w:p>
      <w:pPr>
        <w:widowControl w:val="0"/>
        <w:spacing w:after="59" w:line="1" w:lineRule="exact"/>
      </w:pPr>
    </w:p>
    <w:tbl>
      <w:tblPr>
        <w:tblOverlap w:val="never"/>
        <w:jc w:val="center"/>
        <w:tblLayout w:type="fixed"/>
      </w:tblPr>
      <w:tblGrid>
        <w:gridCol w:w="2285"/>
        <w:gridCol w:w="1766"/>
        <w:gridCol w:w="1642"/>
        <w:gridCol w:w="1310"/>
        <w:gridCol w:w="1584"/>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传化合成材料公司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338</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661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085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319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665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157</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049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011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422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940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应收子公司款 项，款项收回不 存在重大风险， 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%计提坏账 准备</w:t>
            </w:r>
          </w:p>
        </w:tc>
      </w:tr>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传化化学品公司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960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614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897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636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传化(香港)有限公司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60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630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vMerge/>
            <w:tcBorders>
              <w:left w:val="single" w:sz="4"/>
            </w:tcBorders>
            <w:shd w:val="clear" w:color="auto" w:fill="FFFFFF"/>
            <w:vAlign w:val="top"/>
          </w:tcPr>
          <w:p>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203</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233</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792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194</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w:t>
            </w:r>
          </w:p>
        </w:tc>
        <w:tc>
          <w:tcPr>
            <w:tcBorders>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373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)组合中，采用账龄分析法计提坏账准备的其他应收款</w:t>
      </w:r>
    </w:p>
    <w:p>
      <w:pPr>
        <w:widowControl w:val="0"/>
        <w:spacing w:after="59" w:line="1" w:lineRule="exact"/>
      </w:pPr>
    </w:p>
    <w:tbl>
      <w:tblPr>
        <w:tblOverlap w:val="never"/>
        <w:jc w:val="center"/>
        <w:tblLayout w:type="fixed"/>
      </w:tblPr>
      <w:tblGrid>
        <w:gridCol w:w="1747"/>
        <w:gridCol w:w="2270"/>
        <w:gridCol w:w="2266"/>
        <w:gridCol w:w="2304"/>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r>
    </w:tbl>
    <w:p>
      <w:pPr>
        <w:spacing w:lineRule="exact" w:line="1"/>
        <w:rPr>
          <w:sz w:val="2"/>
          <w:szCs w:val="2"/>
        </w:rPr>
      </w:pPr>
      <w:r>
        <w:br w:type="page"/>
      </w:r>
    </w:p>
    <w:tbl>
      <w:tblPr>
        <w:tblOverlap w:val="never"/>
        <w:jc w:val="center"/>
        <w:tblLayout w:type="fixed"/>
      </w:tblPr>
      <w:tblGrid>
        <w:gridCol w:w="1747"/>
        <w:gridCol w:w="2270"/>
        <w:gridCol w:w="2266"/>
        <w:gridCol w:w="2304"/>
      </w:tblGrid>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80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80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bl>
    <w:p>
      <w:pPr>
        <w:widowControl w:val="0"/>
        <w:spacing w:after="79" w:line="1" w:lineRule="exact"/>
      </w:pPr>
    </w:p>
    <w:p>
      <w:pPr>
        <w:pStyle w:val="Style111"/>
        <w:keepNext w:val="0"/>
        <w:keepLines w:val="0"/>
        <w:widowControl w:val="0"/>
        <w:numPr>
          <w:ilvl w:val="0"/>
          <w:numId w:val="141"/>
        </w:numPr>
        <w:shd w:val="clear" w:color="auto" w:fill="auto"/>
        <w:bidi w:val="0"/>
        <w:spacing w:before="0" w:after="180" w:line="240" w:lineRule="auto"/>
        <w:ind w:left="0" w:right="0" w:firstLine="980"/>
        <w:jc w:val="left"/>
      </w:pPr>
      <w:bookmarkStart w:id="436" w:name="bookmark436"/>
      <w:bookmarkEnd w:id="436"/>
      <w:r>
        <w:rPr>
          <w:color w:val="000000"/>
          <w:spacing w:val="0"/>
          <w:w w:val="100"/>
          <w:position w:val="0"/>
        </w:rPr>
        <w:t>本期计提、收回或转回的坏账准备情况</w:t>
      </w: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本期计提坏账准备金额</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705</w:t>
      </w:r>
      <w:r>
        <w:rPr>
          <w:color w:val="000000"/>
          <w:spacing w:val="0"/>
          <w:w w:val="100"/>
          <w:position w:val="0"/>
        </w:rPr>
        <w:t xml:space="preserve">, </w:t>
      </w:r>
      <w:r>
        <w:rPr>
          <w:rFonts w:ascii="Times New Roman" w:eastAsia="Times New Roman" w:hAnsi="Times New Roman" w:cs="Times New Roman"/>
          <w:color w:val="000000"/>
          <w:spacing w:val="0"/>
          <w:w w:val="100"/>
          <w:position w:val="0"/>
        </w:rPr>
        <w:t>929</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元。</w:t>
      </w:r>
    </w:p>
    <w:p>
      <w:pPr>
        <w:pStyle w:val="Style111"/>
        <w:keepNext w:val="0"/>
        <w:keepLines w:val="0"/>
        <w:widowControl w:val="0"/>
        <w:numPr>
          <w:ilvl w:val="0"/>
          <w:numId w:val="143"/>
        </w:numPr>
        <w:shd w:val="clear" w:color="auto" w:fill="auto"/>
        <w:bidi w:val="0"/>
        <w:spacing w:before="0" w:after="80" w:line="240" w:lineRule="auto"/>
        <w:ind w:left="0" w:right="0" w:firstLine="860"/>
        <w:jc w:val="left"/>
      </w:pPr>
      <w:bookmarkStart w:id="437" w:name="bookmark437"/>
      <w:bookmarkEnd w:id="437"/>
      <w:r>
        <w:rPr>
          <w:color w:val="000000"/>
          <w:spacing w:val="0"/>
          <w:w w:val="100"/>
          <w:position w:val="0"/>
        </w:rPr>
        <w:t>其他应收款款项性质分类情况</w:t>
      </w:r>
    </w:p>
    <w:tbl>
      <w:tblPr>
        <w:tblOverlap w:val="never"/>
        <w:jc w:val="center"/>
        <w:tblLayout w:type="fixed"/>
      </w:tblPr>
      <w:tblGrid>
        <w:gridCol w:w="4723"/>
        <w:gridCol w:w="1915"/>
        <w:gridCol w:w="1949"/>
      </w:tblGrid>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739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769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62</w:t>
            </w:r>
          </w:p>
        </w:tc>
      </w:tr>
    </w:tbl>
    <w:p>
      <w:pPr>
        <w:widowControl w:val="0"/>
        <w:spacing w:after="79" w:line="1" w:lineRule="exact"/>
      </w:pPr>
    </w:p>
    <w:p>
      <w:pPr>
        <w:pStyle w:val="Style111"/>
        <w:keepNext w:val="0"/>
        <w:keepLines w:val="0"/>
        <w:widowControl w:val="0"/>
        <w:numPr>
          <w:ilvl w:val="0"/>
          <w:numId w:val="143"/>
        </w:numPr>
        <w:shd w:val="clear" w:color="auto" w:fill="auto"/>
        <w:bidi w:val="0"/>
        <w:spacing w:before="0" w:after="80" w:line="240" w:lineRule="auto"/>
        <w:ind w:left="0" w:right="0" w:firstLine="860"/>
        <w:jc w:val="left"/>
      </w:pPr>
      <w:bookmarkStart w:id="438" w:name="bookmark438"/>
      <w:bookmarkEnd w:id="438"/>
      <w:r>
        <w:rPr>
          <w:color w:val="000000"/>
          <w:spacing w:val="0"/>
          <w:w w:val="100"/>
          <w:position w:val="0"/>
        </w:rPr>
        <w:t>其他应收款金额前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1354"/>
        <w:gridCol w:w="768"/>
        <w:gridCol w:w="1512"/>
        <w:gridCol w:w="2227"/>
        <w:gridCol w:w="1330"/>
        <w:gridCol w:w="1632"/>
      </w:tblGrid>
      <w:tr>
        <w:trPr>
          <w:trHeight w:val="60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占其他应收款余 额的比例(%)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坏账准备</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传化合成材料</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661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r>
      <w:tr>
        <w:trPr>
          <w:trHeight w:val="58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年内：</w:t>
            </w: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传化化学品公</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传化(香港)有</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年内：</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344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bl>
    <w:p>
      <w:pPr>
        <w:widowControl w:val="0"/>
        <w:spacing w:after="499" w:line="1" w:lineRule="exact"/>
      </w:pPr>
    </w:p>
    <w:p>
      <w:pPr>
        <w:pStyle w:val="Style111"/>
        <w:keepNext w:val="0"/>
        <w:keepLines w:val="0"/>
        <w:widowControl w:val="0"/>
        <w:numPr>
          <w:ilvl w:val="0"/>
          <w:numId w:val="139"/>
        </w:numPr>
        <w:shd w:val="clear" w:color="auto" w:fill="auto"/>
        <w:bidi w:val="0"/>
        <w:spacing w:before="0" w:after="180" w:line="240" w:lineRule="auto"/>
        <w:ind w:left="0" w:right="0" w:firstLine="860"/>
        <w:jc w:val="left"/>
      </w:pPr>
      <w:bookmarkStart w:id="439" w:name="bookmark439"/>
      <w:bookmarkEnd w:id="439"/>
      <w:r>
        <w:rPr>
          <w:color w:val="000000"/>
          <w:spacing w:val="0"/>
          <w:w w:val="100"/>
          <w:position w:val="0"/>
        </w:rPr>
        <w:t>长期股权投资</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⑴明细情况</w:t>
      </w:r>
    </w:p>
    <w:tbl>
      <w:tblPr>
        <w:tblOverlap w:val="never"/>
        <w:jc w:val="center"/>
        <w:tblLayout w:type="fixed"/>
      </w:tblPr>
      <w:tblGrid>
        <w:gridCol w:w="1176"/>
        <w:gridCol w:w="1526"/>
        <w:gridCol w:w="730"/>
        <w:gridCol w:w="1579"/>
        <w:gridCol w:w="1464"/>
        <w:gridCol w:w="859"/>
        <w:gridCol w:w="1488"/>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399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对联营、合营</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050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570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410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985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882</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673</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985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673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)对子公司投资</w:t>
      </w:r>
      <w:r>
        <w:br w:type="page"/>
      </w:r>
    </w:p>
    <w:tbl>
      <w:tblPr>
        <w:tblOverlap w:val="never"/>
        <w:jc w:val="center"/>
        <w:tblLayout w:type="fixed"/>
      </w:tblPr>
      <w:tblGrid>
        <w:gridCol w:w="1637"/>
        <w:gridCol w:w="1613"/>
        <w:gridCol w:w="1526"/>
        <w:gridCol w:w="965"/>
        <w:gridCol w:w="1627"/>
        <w:gridCol w:w="725"/>
        <w:gridCol w:w="730"/>
      </w:tblGrid>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right"/>
              <w:rPr>
                <w:sz w:val="15"/>
                <w:szCs w:val="15"/>
              </w:rPr>
            </w:pPr>
            <w:r>
              <w:rPr>
                <w:color w:val="000000"/>
                <w:spacing w:val="0"/>
                <w:w w:val="100"/>
                <w:position w:val="0"/>
                <w:sz w:val="15"/>
                <w:szCs w:val="15"/>
              </w:rPr>
              <w:t>本期计提</w:t>
            </w:r>
          </w:p>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right"/>
              <w:rPr>
                <w:sz w:val="15"/>
                <w:szCs w:val="15"/>
              </w:rPr>
            </w:pPr>
            <w:r>
              <w:rPr>
                <w:color w:val="000000"/>
                <w:spacing w:val="0"/>
                <w:w w:val="100"/>
                <w:position w:val="0"/>
                <w:sz w:val="15"/>
                <w:szCs w:val="15"/>
              </w:rPr>
              <w:t>减值准备</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传化物流集团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898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589</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695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614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495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传化合成材料公司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408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408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传化化学品公司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216</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768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775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866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231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271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635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传化精细化工公司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190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400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190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传化香港公司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传化富联公司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554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888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传化建筑新材料公司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天松股份公司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933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传化涂料公司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845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153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上海传化誉辉新材料</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传化荷兰公司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781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926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948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832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450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568</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957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399</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060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98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3</w:t>
      </w:r>
      <w:r>
        <w:rPr>
          <w:color w:val="000000"/>
          <w:spacing w:val="0"/>
          <w:w w:val="100"/>
          <w:position w:val="0"/>
        </w:rPr>
        <w:t>）对联营、合营企业投资</w:t>
      </w:r>
    </w:p>
    <w:tbl>
      <w:tblPr>
        <w:tblOverlap w:val="never"/>
        <w:jc w:val="center"/>
        <w:tblLayout w:type="fixed"/>
      </w:tblPr>
      <w:tblGrid>
        <w:gridCol w:w="1526"/>
        <w:gridCol w:w="1646"/>
        <w:gridCol w:w="1430"/>
        <w:gridCol w:w="1426"/>
        <w:gridCol w:w="1430"/>
        <w:gridCol w:w="1459"/>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被投资</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r>
      <w:tr>
        <w:trPr>
          <w:trHeight w:val="5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权益法下确认的 投资损益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其他综合</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收益调整</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杭州环特生物科 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浙江瓦栏文化创 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（续上表）</w:t>
      </w:r>
    </w:p>
    <w:tbl>
      <w:tblPr>
        <w:tblOverlap w:val="never"/>
        <w:jc w:val="center"/>
        <w:tblLayout w:type="fixed"/>
      </w:tblPr>
      <w:tblGrid>
        <w:gridCol w:w="1560"/>
        <w:gridCol w:w="1416"/>
        <w:gridCol w:w="1138"/>
        <w:gridCol w:w="974"/>
        <w:gridCol w:w="974"/>
        <w:gridCol w:w="1498"/>
        <w:gridCol w:w="1027"/>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被投资 单位</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减值准备 期末余额</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其他权</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宣告发放现金</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股利或利润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计提减</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杭州环特生物科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329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浙江瓦栏文化创</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（二）母公司利润表项目注释</w:t>
      </w:r>
      <w:r>
        <w:br w:type="page"/>
      </w:r>
    </w:p>
    <w:p>
      <w:pPr>
        <w:pStyle w:val="Style111"/>
        <w:keepNext w:val="0"/>
        <w:keepLines w:val="0"/>
        <w:widowControl w:val="0"/>
        <w:numPr>
          <w:ilvl w:val="0"/>
          <w:numId w:val="145"/>
        </w:numPr>
        <w:shd w:val="clear" w:color="auto" w:fill="auto"/>
        <w:bidi w:val="0"/>
        <w:spacing w:before="0" w:after="80" w:line="240" w:lineRule="auto"/>
        <w:ind w:left="0" w:right="0" w:firstLine="860"/>
        <w:jc w:val="left"/>
      </w:pPr>
      <w:bookmarkStart w:id="441" w:name="bookmark441"/>
      <w:bookmarkEnd w:id="441"/>
      <w:r>
        <w:rPr>
          <w:color w:val="000000"/>
          <w:spacing w:val="0"/>
          <w:w w:val="100"/>
          <w:position w:val="0"/>
        </w:rPr>
        <w:t>营业收入/营业成本</w:t>
      </w:r>
    </w:p>
    <w:tbl>
      <w:tblPr>
        <w:tblOverlap w:val="never"/>
        <w:jc w:val="left"/>
        <w:tblLayout w:type="fixed"/>
      </w:tblPr>
      <w:tblGrid>
        <w:gridCol w:w="1536"/>
        <w:gridCol w:w="1680"/>
        <w:gridCol w:w="1656"/>
        <w:gridCol w:w="1656"/>
        <w:gridCol w:w="1685"/>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571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763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bl>
    <w:p>
      <w:pPr>
        <w:widowControl w:val="0"/>
        <w:spacing w:after="519" w:line="1" w:lineRule="exact"/>
      </w:pPr>
    </w:p>
    <w:p>
      <w:pPr>
        <w:pStyle w:val="Style111"/>
        <w:keepNext w:val="0"/>
        <w:keepLines w:val="0"/>
        <w:widowControl w:val="0"/>
        <w:numPr>
          <w:ilvl w:val="0"/>
          <w:numId w:val="145"/>
        </w:numPr>
        <w:shd w:val="clear" w:color="auto" w:fill="auto"/>
        <w:bidi w:val="0"/>
        <w:spacing w:before="0" w:after="80" w:line="240" w:lineRule="auto"/>
        <w:ind w:left="0" w:right="0" w:firstLine="860"/>
        <w:jc w:val="left"/>
      </w:pPr>
      <w:bookmarkStart w:id="442" w:name="bookmark442"/>
      <w:bookmarkEnd w:id="442"/>
      <w:r>
        <w:rPr>
          <w:color w:val="000000"/>
          <w:spacing w:val="0"/>
          <w:w w:val="100"/>
          <w:position w:val="0"/>
        </w:rPr>
        <w:t>投资收益</w:t>
      </w:r>
    </w:p>
    <w:tbl>
      <w:tblPr>
        <w:tblOverlap w:val="never"/>
        <w:jc w:val="center"/>
        <w:tblLayout w:type="fixed"/>
      </w:tblPr>
      <w:tblGrid>
        <w:gridCol w:w="4723"/>
        <w:gridCol w:w="1915"/>
        <w:gridCol w:w="1949"/>
      </w:tblGrid>
      <w:tr>
        <w:trPr>
          <w:trHeight w:val="53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57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040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657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481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p>
        </w:tc>
      </w:tr>
      <w:tr>
        <w:trPr>
          <w:trHeight w:val="50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849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w:t>
            </w:r>
          </w:p>
        </w:tc>
      </w:tr>
      <w:tr>
        <w:trPr>
          <w:trHeight w:val="49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441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p>
        </w:tc>
      </w:tr>
    </w:tbl>
    <w:p>
      <w:pPr>
        <w:widowControl w:val="0"/>
        <w:spacing w:after="519" w:line="1" w:lineRule="exact"/>
      </w:pPr>
    </w:p>
    <w:p>
      <w:pPr>
        <w:pStyle w:val="Style6"/>
        <w:keepNext w:val="0"/>
        <w:keepLines w:val="0"/>
        <w:widowControl w:val="0"/>
        <w:shd w:val="clear" w:color="auto" w:fill="auto"/>
        <w:bidi w:val="0"/>
        <w:spacing w:before="0" w:after="180" w:line="240" w:lineRule="auto"/>
        <w:ind w:left="0" w:right="0" w:firstLine="860"/>
        <w:jc w:val="left"/>
        <w:rPr>
          <w:sz w:val="20"/>
          <w:szCs w:val="20"/>
        </w:rPr>
      </w:pPr>
      <w:r>
        <w:rPr>
          <w:rFonts w:ascii="SimHei" w:eastAsia="SimHei" w:hAnsi="SimHei" w:cs="SimHei"/>
          <w:b/>
          <w:bCs/>
          <w:color w:val="000000"/>
          <w:spacing w:val="0"/>
          <w:w w:val="100"/>
          <w:position w:val="0"/>
          <w:sz w:val="20"/>
          <w:szCs w:val="20"/>
        </w:rPr>
        <w:t>十六' 其他补充资料</w:t>
      </w: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（一）非经常性损益</w:t>
      </w:r>
    </w:p>
    <w:p>
      <w:pPr>
        <w:pStyle w:val="Style111"/>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非经常性损益明细表</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⑴明细情况</w:t>
      </w:r>
    </w:p>
    <w:tbl>
      <w:tblPr>
        <w:tblOverlap w:val="never"/>
        <w:jc w:val="center"/>
        <w:tblLayout w:type="fixed"/>
      </w:tblPr>
      <w:tblGrid>
        <w:gridCol w:w="5179"/>
        <w:gridCol w:w="1723"/>
        <w:gridCol w:w="1685"/>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非流动性资产处置损益，包括已计提资产减值准备的冲销部分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越权审批，或无正式批准文件，或偶发性的税收返还、减免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both"/>
              <w:rPr>
                <w:sz w:val="18"/>
                <w:szCs w:val="18"/>
              </w:rPr>
            </w:pPr>
            <w:r>
              <w:rPr>
                <w:color w:val="000000"/>
                <w:spacing w:val="0"/>
                <w:w w:val="100"/>
                <w:position w:val="0"/>
                <w:sz w:val="18"/>
                <w:szCs w:val="18"/>
              </w:rPr>
              <w:t>计入当期损益的政府补助（与公司正常经营业务密切相关，符 合国家政策规定、按照一定标准定额或定量持续享受的政府补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59" w:lineRule="exact"/>
              <w:ind w:left="140" w:right="0" w:firstLine="0"/>
              <w:jc w:val="left"/>
              <w:rPr>
                <w:sz w:val="18"/>
                <w:szCs w:val="18"/>
              </w:rPr>
            </w:pPr>
            <w:r>
              <w:rPr>
                <w:color w:val="000000"/>
                <w:spacing w:val="0"/>
                <w:w w:val="100"/>
                <w:position w:val="0"/>
                <w:sz w:val="18"/>
                <w:szCs w:val="18"/>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因不可抗力因素，如遭受自然灾害而计提的各项资产减值准备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79"/>
        <w:gridCol w:w="1723"/>
        <w:gridCol w:w="1685"/>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5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88" w:lineRule="exact"/>
              <w:ind w:left="140" w:right="0" w:firstLine="0"/>
              <w:jc w:val="both"/>
              <w:rPr>
                <w:sz w:val="18"/>
                <w:szCs w:val="18"/>
              </w:rPr>
            </w:pPr>
            <w:r>
              <w:rPr>
                <w:color w:val="000000"/>
                <w:spacing w:val="0"/>
                <w:w w:val="100"/>
                <w:position w:val="0"/>
                <w:sz w:val="18"/>
                <w:szCs w:val="18"/>
              </w:rPr>
              <w:t>除同公司正常经营业务相关的有效套期保值业务外，持有以公 允价值计量且其变动计入当期损益的金融资产、金融负债产生 的公允价值变动收益，以及处置以公允价值计量且其变动计入 当期损益的金融资产、金融负债和可供出售金融资产取得的投 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838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74" w:lineRule="exact"/>
              <w:ind w:left="140" w:right="0" w:firstLine="0"/>
              <w:jc w:val="both"/>
              <w:rPr>
                <w:sz w:val="18"/>
                <w:szCs w:val="18"/>
              </w:rPr>
            </w:pPr>
            <w:r>
              <w:rPr>
                <w:color w:val="000000"/>
                <w:spacing w:val="0"/>
                <w:w w:val="100"/>
                <w:position w:val="0"/>
                <w:sz w:val="18"/>
                <w:szCs w:val="18"/>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88" w:lineRule="exact"/>
              <w:ind w:left="140" w:right="0" w:firstLine="0"/>
              <w:jc w:val="both"/>
              <w:rPr>
                <w:sz w:val="18"/>
                <w:szCs w:val="18"/>
              </w:rPr>
            </w:pPr>
            <w:r>
              <w:rPr>
                <w:color w:val="000000"/>
                <w:spacing w:val="0"/>
                <w:w w:val="100"/>
                <w:position w:val="0"/>
                <w:sz w:val="18"/>
                <w:szCs w:val="18"/>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减：企业所得税影响数（所得税减少以“一”表示）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归属于母公司所有者的非经常性损益净额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11"/>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（二）净资产收益率及每股收益</w:t>
      </w:r>
    </w:p>
    <w:p>
      <w:pPr>
        <w:pStyle w:val="Style111"/>
        <w:keepNext w:val="0"/>
        <w:keepLines w:val="0"/>
        <w:widowControl w:val="0"/>
        <w:shd w:val="clear" w:color="auto" w:fill="auto"/>
        <w:bidi w:val="0"/>
        <w:spacing w:before="0" w:after="8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明细情况</w:t>
      </w:r>
    </w:p>
    <w:tbl>
      <w:tblPr>
        <w:tblOverlap w:val="never"/>
        <w:jc w:val="center"/>
        <w:tblLayout w:type="fixed"/>
      </w:tblPr>
      <w:tblGrid>
        <w:gridCol w:w="2880"/>
        <w:gridCol w:w="2059"/>
        <w:gridCol w:w="1853"/>
        <w:gridCol w:w="1795"/>
      </w:tblGrid>
      <w:tr>
        <w:trPr>
          <w:trHeight w:val="36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加权平均净资产 收益率（%）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每股收益（元/股）</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r>
      <w:tr>
        <w:trPr>
          <w:trHeight w:val="48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bl>
    <w:p>
      <w:pPr>
        <w:widowControl w:val="0"/>
        <w:spacing w:after="79" w:line="1" w:lineRule="exact"/>
      </w:pPr>
    </w:p>
    <w:p>
      <w:pPr>
        <w:pStyle w:val="Style111"/>
        <w:keepNext w:val="0"/>
        <w:keepLines w:val="0"/>
        <w:widowControl w:val="0"/>
        <w:shd w:val="clear" w:color="auto" w:fill="auto"/>
        <w:bidi w:val="0"/>
        <w:spacing w:before="0" w:after="80" w:line="240" w:lineRule="auto"/>
        <w:ind w:left="0" w:right="0" w:firstLine="86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加权平均净资产收益率的计算过程</w:t>
      </w:r>
    </w:p>
    <w:tbl>
      <w:tblPr>
        <w:tblOverlap w:val="never"/>
        <w:jc w:val="center"/>
        <w:tblLayout w:type="fixed"/>
      </w:tblPr>
      <w:tblGrid>
        <w:gridCol w:w="4819"/>
        <w:gridCol w:w="1867"/>
        <w:gridCol w:w="1901"/>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本期数</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非经常性损益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bl>
    <w:p>
      <w:pPr>
        <w:spacing w:lineRule="exact" w:line="1"/>
        <w:rPr>
          <w:sz w:val="2"/>
          <w:szCs w:val="2"/>
        </w:rPr>
      </w:pPr>
      <w:r>
        <w:br w:type="page"/>
      </w:r>
    </w:p>
    <w:tbl>
      <w:tblPr>
        <w:tblOverlap w:val="never"/>
        <w:jc w:val="center"/>
        <w:tblLayout w:type="fixed"/>
      </w:tblPr>
      <w:tblGrid>
        <w:gridCol w:w="1133"/>
        <w:gridCol w:w="3686"/>
        <w:gridCol w:w="1867"/>
        <w:gridCol w:w="1901"/>
      </w:tblGrid>
      <w:tr>
        <w:trPr>
          <w:trHeight w:val="47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12</w:t>
            </w:r>
          </w:p>
        </w:tc>
      </w:tr>
      <w:tr>
        <w:trPr>
          <w:trHeight w:val="461"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归属于公司普通股股东的期初净资产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872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988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648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w:t>
            </w:r>
          </w:p>
        </w:tc>
      </w:tr>
      <w:tr>
        <w:trPr>
          <w:trHeight w:val="590"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发行新股或债转股等新增的、归属于公司普通股股东的净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新增净资产次月起至报告期期末的累计月数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回购或现金分红等减少的、归属于公司普通股股东的净资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80</w:t>
            </w:r>
          </w:p>
        </w:tc>
      </w:tr>
      <w:tr>
        <w:trPr>
          <w:trHeight w:val="466"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减少净资产次月起至报告期期末的累计月数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股份支付形成资本公积的增加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1"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9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L= D+A/</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color w:val="000000"/>
                <w:spacing w:val="0"/>
                <w:w w:val="100"/>
                <w:position w:val="0"/>
                <w:sz w:val="18"/>
                <w:szCs w:val="18"/>
              </w:rPr>
              <w:t>EXF/K-GX</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H/K+IXJ/K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r>
        <w:trPr>
          <w:trHeight w:val="466"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M=A/L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w:t>
            </w:r>
          </w:p>
        </w:tc>
      </w:tr>
      <w:tr>
        <w:trPr>
          <w:trHeight w:val="470"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扣除非经常损益加权平均净资产收益率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p>
        </w:tc>
      </w:tr>
    </w:tbl>
    <w:p>
      <w:pPr>
        <w:widowControl w:val="0"/>
        <w:spacing w:after="79" w:line="1" w:lineRule="exact"/>
      </w:pPr>
    </w:p>
    <w:p>
      <w:pPr>
        <w:pStyle w:val="Style111"/>
        <w:keepNext w:val="0"/>
        <w:keepLines w:val="0"/>
        <w:widowControl w:val="0"/>
        <w:numPr>
          <w:ilvl w:val="0"/>
          <w:numId w:val="145"/>
        </w:numPr>
        <w:shd w:val="clear" w:color="auto" w:fill="auto"/>
        <w:bidi w:val="0"/>
        <w:spacing w:before="0" w:after="160" w:line="240" w:lineRule="auto"/>
        <w:ind w:left="0" w:right="0" w:firstLine="860"/>
        <w:jc w:val="left"/>
      </w:pPr>
      <w:bookmarkStart w:id="443" w:name="bookmark443"/>
      <w:bookmarkEnd w:id="443"/>
      <w:r>
        <w:rPr>
          <w:color w:val="000000"/>
          <w:spacing w:val="0"/>
          <w:w w:val="100"/>
          <w:position w:val="0"/>
        </w:rPr>
        <w:t>基本每股收益和稀释每股收益的计算过程</w:t>
      </w:r>
    </w:p>
    <w:p>
      <w:pPr>
        <w:pStyle w:val="Style1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4570"/>
        <w:gridCol w:w="1282"/>
        <w:gridCol w:w="2736"/>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因公积金转增股本或股票股利分配等增加股份数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发行新股或债转股等增加股份数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因回购等减少股份数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70"/>
        <w:gridCol w:w="1282"/>
        <w:gridCol w:w="2736"/>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减少股份次月起至报告期期末的累计月数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L=D+E+FX</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G/K-HX I/K-J</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678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18</w:t>
            </w:r>
          </w:p>
        </w:tc>
      </w:tr>
      <w:tr>
        <w:trPr>
          <w:trHeight w:val="4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扣除非经常损益基本每股收益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bl>
    <w:p>
      <w:pPr>
        <w:widowControl w:val="0"/>
        <w:spacing w:after="79" w:line="1" w:lineRule="exact"/>
      </w:pPr>
    </w:p>
    <w:p>
      <w:pPr>
        <w:pStyle w:val="Style111"/>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)稀释每股收益的计算过程</w:t>
      </w:r>
    </w:p>
    <w:p>
      <w:pPr>
        <w:pStyle w:val="Style111"/>
        <w:keepNext w:val="0"/>
        <w:keepLines w:val="0"/>
        <w:widowControl w:val="0"/>
        <w:shd w:val="clear" w:color="auto" w:fill="auto"/>
        <w:bidi w:val="0"/>
        <w:spacing w:before="0" w:after="140" w:line="240" w:lineRule="auto"/>
        <w:ind w:left="0" w:right="0" w:firstLine="860"/>
        <w:jc w:val="left"/>
        <w:sectPr>
          <w:footnotePr>
            <w:pos w:val="pageBottom"/>
            <w:numFmt w:val="decimal"/>
            <w:numRestart w:val="continuous"/>
          </w:footnotePr>
          <w:pgSz w:w="11900" w:h="16840"/>
          <w:pgMar w:top="1335" w:right="804" w:bottom="1469" w:left="1145" w:header="0" w:footer="3" w:gutter="0"/>
          <w:cols w:space="720"/>
          <w:noEndnote/>
          <w:rtlGutter w:val="0"/>
          <w:docGrid w:linePitch="360"/>
        </w:sectPr>
      </w:pPr>
      <w:r>
        <w:rPr>
          <w:color w:val="000000"/>
          <w:spacing w:val="0"/>
          <w:w w:val="100"/>
          <w:position w:val="0"/>
        </w:rPr>
        <w:t>稀释每股收益的计算过程与基本每股收益的计算过程相同。</w:t>
      </w:r>
    </w:p>
    <w:p>
      <w:pPr>
        <w:pStyle w:val="Style54"/>
        <w:keepNext w:val="0"/>
        <w:keepLines w:val="0"/>
        <w:widowControl w:val="0"/>
        <w:shd w:val="clear" w:color="auto" w:fill="auto"/>
        <w:bidi w:val="0"/>
        <w:spacing w:before="0" w:after="0" w:line="240" w:lineRule="auto"/>
        <w:ind w:left="0" w:right="0" w:firstLine="0"/>
        <w:jc w:val="center"/>
      </w:pPr>
      <w:bookmarkStart w:id="444" w:name="bookmark444"/>
      <w:r>
        <w:rPr>
          <w:color w:val="000000"/>
          <w:spacing w:val="0"/>
          <w:w w:val="100"/>
          <w:position w:val="0"/>
        </w:rPr>
        <w:t>第十二节 备查文件目录</w:t>
      </w:r>
      <w:bookmarkEnd w:id="444"/>
    </w:p>
    <w:p>
      <w:pPr>
        <w:pStyle w:val="Style14"/>
        <w:keepNext w:val="0"/>
        <w:keepLines w:val="0"/>
        <w:widowControl w:val="0"/>
        <w:shd w:val="clear" w:color="auto" w:fill="auto"/>
        <w:tabs>
          <w:tab w:pos="1318" w:val="left"/>
        </w:tabs>
        <w:bidi w:val="0"/>
        <w:spacing w:before="0" w:after="0" w:line="590" w:lineRule="exact"/>
        <w:ind w:left="0" w:right="0" w:firstLine="940"/>
        <w:jc w:val="left"/>
      </w:pPr>
      <w:bookmarkStart w:id="445" w:name="bookmark445"/>
      <w:r>
        <w:rPr>
          <w:rFonts w:ascii="Times New Roman" w:eastAsia="Times New Roman" w:hAnsi="Times New Roman" w:cs="Times New Roman"/>
          <w:color w:val="000000"/>
          <w:spacing w:val="0"/>
          <w:w w:val="100"/>
          <w:position w:val="0"/>
          <w:sz w:val="24"/>
          <w:szCs w:val="24"/>
        </w:rPr>
        <w:t>1</w:t>
      </w:r>
      <w:bookmarkEnd w:id="445"/>
      <w:r>
        <w:rPr>
          <w:color w:val="000000"/>
          <w:spacing w:val="0"/>
          <w:w w:val="100"/>
          <w:position w:val="0"/>
          <w:sz w:val="24"/>
          <w:szCs w:val="24"/>
        </w:rPr>
        <w:t>、</w:t>
        <w:tab/>
        <w:t>载有董事长徐冠巨先生签名的年度报告文本；</w:t>
      </w:r>
    </w:p>
    <w:p>
      <w:pPr>
        <w:pStyle w:val="Style14"/>
        <w:keepNext w:val="0"/>
        <w:keepLines w:val="0"/>
        <w:widowControl w:val="0"/>
        <w:shd w:val="clear" w:color="auto" w:fill="auto"/>
        <w:tabs>
          <w:tab w:pos="1332" w:val="left"/>
        </w:tabs>
        <w:bidi w:val="0"/>
        <w:spacing w:before="0" w:after="0" w:line="590" w:lineRule="exact"/>
        <w:ind w:left="460" w:right="0" w:firstLine="480"/>
        <w:jc w:val="left"/>
      </w:pPr>
      <w:bookmarkStart w:id="446" w:name="bookmark446"/>
      <w:r>
        <w:rPr>
          <w:rFonts w:ascii="Times New Roman" w:eastAsia="Times New Roman" w:hAnsi="Times New Roman" w:cs="Times New Roman"/>
          <w:color w:val="000000"/>
          <w:spacing w:val="0"/>
          <w:w w:val="100"/>
          <w:position w:val="0"/>
          <w:sz w:val="24"/>
          <w:szCs w:val="24"/>
        </w:rPr>
        <w:t>2</w:t>
      </w:r>
      <w:bookmarkEnd w:id="446"/>
      <w:r>
        <w:rPr>
          <w:color w:val="000000"/>
          <w:spacing w:val="0"/>
          <w:w w:val="100"/>
          <w:position w:val="0"/>
          <w:sz w:val="24"/>
          <w:szCs w:val="24"/>
        </w:rPr>
        <w:t>、</w:t>
        <w:tab/>
        <w:t>载有法定代表人徐冠巨，主管会计工作的负责人徐冠巨，会计机构负责 人杨万清签名并盖章的会计报表；</w:t>
      </w:r>
    </w:p>
    <w:p>
      <w:pPr>
        <w:pStyle w:val="Style14"/>
        <w:keepNext w:val="0"/>
        <w:keepLines w:val="0"/>
        <w:widowControl w:val="0"/>
        <w:shd w:val="clear" w:color="auto" w:fill="auto"/>
        <w:tabs>
          <w:tab w:pos="1342" w:val="left"/>
        </w:tabs>
        <w:bidi w:val="0"/>
        <w:spacing w:before="0" w:after="0" w:line="590" w:lineRule="exact"/>
        <w:ind w:left="0" w:right="0" w:firstLine="940"/>
        <w:jc w:val="left"/>
      </w:pPr>
      <w:bookmarkStart w:id="447" w:name="bookmark447"/>
      <w:r>
        <w:rPr>
          <w:rFonts w:ascii="Times New Roman" w:eastAsia="Times New Roman" w:hAnsi="Times New Roman" w:cs="Times New Roman"/>
          <w:color w:val="000000"/>
          <w:spacing w:val="0"/>
          <w:w w:val="100"/>
          <w:position w:val="0"/>
          <w:sz w:val="24"/>
          <w:szCs w:val="24"/>
        </w:rPr>
        <w:t>3</w:t>
      </w:r>
      <w:bookmarkEnd w:id="447"/>
      <w:r>
        <w:rPr>
          <w:color w:val="000000"/>
          <w:spacing w:val="0"/>
          <w:w w:val="100"/>
          <w:position w:val="0"/>
          <w:sz w:val="24"/>
          <w:szCs w:val="24"/>
        </w:rPr>
        <w:t>、</w:t>
        <w:tab/>
        <w:t>载有会计师事务所盖章、注册会计师签名并盖章的审计报告原件。</w:t>
      </w:r>
    </w:p>
    <w:p>
      <w:pPr>
        <w:pStyle w:val="Style14"/>
        <w:keepNext w:val="0"/>
        <w:keepLines w:val="0"/>
        <w:widowControl w:val="0"/>
        <w:shd w:val="clear" w:color="auto" w:fill="auto"/>
        <w:tabs>
          <w:tab w:pos="1327" w:val="left"/>
        </w:tabs>
        <w:bidi w:val="0"/>
        <w:spacing w:before="0" w:after="2180" w:line="590" w:lineRule="exact"/>
        <w:ind w:left="460" w:right="0" w:firstLine="480"/>
        <w:jc w:val="left"/>
      </w:pPr>
      <w:bookmarkStart w:id="448" w:name="bookmark448"/>
      <w:r>
        <w:rPr>
          <w:rFonts w:ascii="Times New Roman" w:eastAsia="Times New Roman" w:hAnsi="Times New Roman" w:cs="Times New Roman"/>
          <w:color w:val="000000"/>
          <w:spacing w:val="0"/>
          <w:w w:val="100"/>
          <w:position w:val="0"/>
          <w:sz w:val="24"/>
          <w:szCs w:val="24"/>
        </w:rPr>
        <w:t>4</w:t>
      </w:r>
      <w:bookmarkEnd w:id="448"/>
      <w:r>
        <w:rPr>
          <w:color w:val="000000"/>
          <w:spacing w:val="0"/>
          <w:w w:val="100"/>
          <w:position w:val="0"/>
          <w:sz w:val="24"/>
          <w:szCs w:val="24"/>
        </w:rPr>
        <w:t>、</w:t>
        <w:tab/>
        <w:t>报告期内在中国证监会指定报纸上公开披露过的所有公司文件的正本及 公告的原稿。</w:t>
      </w:r>
    </w:p>
    <w:p>
      <w:pPr>
        <w:pStyle w:val="Style14"/>
        <w:keepNext w:val="0"/>
        <w:keepLines w:val="0"/>
        <w:widowControl w:val="0"/>
        <w:shd w:val="clear" w:color="auto" w:fill="auto"/>
        <w:bidi w:val="0"/>
        <w:spacing w:before="0" w:after="560" w:line="240" w:lineRule="auto"/>
        <w:ind w:left="5440" w:right="0" w:firstLine="0"/>
        <w:jc w:val="left"/>
      </w:pPr>
      <w:r>
        <w:rPr>
          <w:color w:val="000000"/>
          <w:spacing w:val="0"/>
          <w:w w:val="100"/>
          <w:position w:val="0"/>
          <w:sz w:val="24"/>
          <w:szCs w:val="24"/>
        </w:rPr>
        <w:t>传化智联股份有限公司董事会</w:t>
      </w:r>
    </w:p>
    <w:p>
      <w:pPr>
        <w:pStyle w:val="Style14"/>
        <w:keepNext w:val="0"/>
        <w:keepLines w:val="0"/>
        <w:widowControl w:val="0"/>
        <w:shd w:val="clear" w:color="auto" w:fill="auto"/>
        <w:bidi w:val="0"/>
        <w:spacing w:before="0" w:after="400" w:line="240" w:lineRule="auto"/>
        <w:ind w:left="5440" w:right="0" w:firstLine="0"/>
        <w:jc w:val="left"/>
        <w:rPr>
          <w:sz w:val="32"/>
          <w:szCs w:val="32"/>
        </w:rPr>
      </w:pPr>
      <w:r>
        <w:rPr>
          <w:color w:val="000000"/>
          <w:spacing w:val="0"/>
          <w:w w:val="100"/>
          <w:position w:val="0"/>
          <w:sz w:val="24"/>
          <w:szCs w:val="24"/>
        </w:rPr>
        <w:t>董事长：</w:t>
      </w:r>
      <w:r>
        <w:rPr>
          <w:b/>
          <w:bCs/>
          <w:color w:val="000000"/>
          <w:spacing w:val="0"/>
          <w:w w:val="100"/>
          <w:position w:val="0"/>
          <w:sz w:val="32"/>
          <w:szCs w:val="32"/>
        </w:rPr>
        <w:t>徐冠巨</w:t>
      </w:r>
    </w:p>
    <w:p>
      <w:pPr>
        <w:pStyle w:val="Style14"/>
        <w:keepNext w:val="0"/>
        <w:keepLines w:val="0"/>
        <w:widowControl w:val="0"/>
        <w:shd w:val="clear" w:color="auto" w:fill="auto"/>
        <w:bidi w:val="0"/>
        <w:spacing w:before="0" w:after="480" w:line="240" w:lineRule="auto"/>
        <w:ind w:left="5440" w:right="0" w:firstLine="0"/>
        <w:jc w:val="left"/>
      </w:pPr>
      <w:r>
        <w:rPr>
          <w:color w:val="000000"/>
          <w:spacing w:val="0"/>
          <w:w w:val="100"/>
          <w:position w:val="0"/>
          <w:sz w:val="24"/>
          <w:szCs w:val="24"/>
        </w:rPr>
        <w:t>二。一七年四月十四日</w:t>
      </w:r>
    </w:p>
    <w:sectPr>
      <w:footnotePr>
        <w:pos w:val="pageBottom"/>
        <w:numFmt w:val="decimal"/>
        <w:numRestart w:val="continuous"/>
      </w:footnotePr>
      <w:pgSz w:w="11900" w:h="16840"/>
      <w:pgMar w:top="1988" w:right="846" w:bottom="1988" w:left="13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3732530</wp:posOffset>
              </wp:positionH>
              <wp:positionV relativeFrom="page">
                <wp:posOffset>10156190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90000000000003pt;margin-top:799.70000000000005pt;width:7.7000000000000002pt;height:6.25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5288915</wp:posOffset>
              </wp:positionH>
              <wp:positionV relativeFrom="page">
                <wp:posOffset>7010400</wp:posOffset>
              </wp:positionV>
              <wp:extent cx="100330" cy="79375"/>
              <wp:wrapNone/>
              <wp:docPr id="22" name="Shape 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416.44999999999999pt;margin-top:552.pt;width:7.9000000000000004pt;height:6.25pt;z-index:-18874405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5288915</wp:posOffset>
              </wp:positionH>
              <wp:positionV relativeFrom="page">
                <wp:posOffset>7022465</wp:posOffset>
              </wp:positionV>
              <wp:extent cx="109855" cy="79375"/>
              <wp:wrapNone/>
              <wp:docPr id="27" name="Shape 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416.44999999999999pt;margin-top:552.95000000000005pt;width:8.6500000000000004pt;height:6.25pt;z-index:-18874404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3690620</wp:posOffset>
              </wp:positionH>
              <wp:positionV relativeFrom="page">
                <wp:posOffset>10156190</wp:posOffset>
              </wp:positionV>
              <wp:extent cx="106680" cy="79375"/>
              <wp:wrapNone/>
              <wp:docPr id="32" name="Shape 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290.60000000000002pt;margin-top:799.70000000000005pt;width:8.4000000000000004pt;height:6.25pt;z-index:-18874404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5288915</wp:posOffset>
              </wp:positionH>
              <wp:positionV relativeFrom="page">
                <wp:posOffset>7010400</wp:posOffset>
              </wp:positionV>
              <wp:extent cx="100330" cy="79375"/>
              <wp:wrapNone/>
              <wp:docPr id="37" name="Shape 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416.44999999999999pt;margin-top:552.pt;width:7.9000000000000004pt;height:6.25pt;z-index:-18874403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5288915</wp:posOffset>
              </wp:positionH>
              <wp:positionV relativeFrom="page">
                <wp:posOffset>7022465</wp:posOffset>
              </wp:positionV>
              <wp:extent cx="109855" cy="79375"/>
              <wp:wrapNone/>
              <wp:docPr id="42" name="Shape 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416.44999999999999pt;margin-top:552.95000000000005pt;width:8.6500000000000004pt;height:6.25pt;z-index:-18874403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3690620</wp:posOffset>
              </wp:positionH>
              <wp:positionV relativeFrom="page">
                <wp:posOffset>10156190</wp:posOffset>
              </wp:positionV>
              <wp:extent cx="106680" cy="79375"/>
              <wp:wrapNone/>
              <wp:docPr id="47" name="Shape 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0.60000000000002pt;margin-top:799.70000000000005pt;width:8.4000000000000004pt;height:6.25pt;z-index:-18874403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5290185</wp:posOffset>
              </wp:positionH>
              <wp:positionV relativeFrom="page">
                <wp:posOffset>7010400</wp:posOffset>
              </wp:positionV>
              <wp:extent cx="103505" cy="79375"/>
              <wp:wrapNone/>
              <wp:docPr id="63" name="Shape 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9" type="#_x0000_t202" style="position:absolute;margin-left:416.55000000000001pt;margin-top:552.pt;width:8.1500000000000004pt;height:6.25pt;z-index:-18874402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3690620</wp:posOffset>
              </wp:positionH>
              <wp:positionV relativeFrom="page">
                <wp:posOffset>10156190</wp:posOffset>
              </wp:positionV>
              <wp:extent cx="106680" cy="79375"/>
              <wp:wrapNone/>
              <wp:docPr id="68" name="Shape 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4" type="#_x0000_t202" style="position:absolute;margin-left:290.60000000000002pt;margin-top:799.70000000000005pt;width:8.4000000000000004pt;height:6.25pt;z-index:-18874402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1139825</wp:posOffset>
              </wp:positionH>
              <wp:positionV relativeFrom="page">
                <wp:posOffset>561340</wp:posOffset>
              </wp:positionV>
              <wp:extent cx="5269865" cy="106680"/>
              <wp:wrapNone/>
              <wp:docPr id="1" name="Shape 1"/>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2"/>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tab/>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75pt;margin-top:44.200000000000003pt;width:414.94999999999999pt;height:8.4000000000000004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tab/>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706120</wp:posOffset>
              </wp:positionV>
              <wp:extent cx="5281930" cy="0"/>
              <wp:wrapNone/>
              <wp:docPr id="3" name="Shape 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89.549999999999997pt;margin-top:55.600000000000001pt;width:415.90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1108710</wp:posOffset>
              </wp:positionH>
              <wp:positionV relativeFrom="page">
                <wp:posOffset>561340</wp:posOffset>
              </wp:positionV>
              <wp:extent cx="5269865" cy="106680"/>
              <wp:wrapNone/>
              <wp:docPr id="65" name="Shape 65"/>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91" type="#_x0000_t202" style="position:absolute;margin-left:87.299999999999997pt;margin-top:44.200000000000003pt;width:414.94999999999999pt;height:8.4000000000000004pt;z-index:-18874402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1105535</wp:posOffset>
              </wp:positionH>
              <wp:positionV relativeFrom="page">
                <wp:posOffset>706120</wp:posOffset>
              </wp:positionV>
              <wp:extent cx="5281930" cy="0"/>
              <wp:wrapNone/>
              <wp:docPr id="67" name="Shape 67"/>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87.049999999999997pt;margin-top:55.600000000000001pt;width:415.9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1127125</wp:posOffset>
              </wp:positionH>
              <wp:positionV relativeFrom="page">
                <wp:posOffset>561340</wp:posOffset>
              </wp:positionV>
              <wp:extent cx="5269865" cy="106680"/>
              <wp:wrapNone/>
              <wp:docPr id="6" name="Shape 6"/>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2"/>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tab/>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32" type="#_x0000_t202" style="position:absolute;margin-left:88.75pt;margin-top:44.200000000000003pt;width:414.94999999999999pt;height:8.4000000000000004pt;z-index:-188744060;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tab/>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1123950</wp:posOffset>
              </wp:positionH>
              <wp:positionV relativeFrom="page">
                <wp:posOffset>706120</wp:posOffset>
              </wp:positionV>
              <wp:extent cx="5281930" cy="0"/>
              <wp:wrapNone/>
              <wp:docPr id="8" name="Shape 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88.5pt;margin-top:55.600000000000001pt;width:415.9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2707005</wp:posOffset>
              </wp:positionH>
              <wp:positionV relativeFrom="page">
                <wp:posOffset>557530</wp:posOffset>
              </wp:positionV>
              <wp:extent cx="5276215" cy="106680"/>
              <wp:wrapNone/>
              <wp:docPr id="19" name="Shape 19"/>
              <a:graphic xmlns:a="http://schemas.openxmlformats.org/drawingml/2006/main">
                <a:graphicData uri="http://schemas.microsoft.com/office/word/2010/wordprocessingShape">
                  <wps:wsp>
                    <wps:cNvSpPr txBox="1"/>
                    <wps:spPr>
                      <a:xfrm>
                        <a:ext cx="5276215" cy="106680"/>
                      </a:xfrm>
                      <a:prstGeom prst="rect"/>
                      <a:noFill/>
                    </wps:spPr>
                    <wps:txbx>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45" type="#_x0000_t202" style="position:absolute;margin-left:213.15000000000001pt;margin-top:43.899999999999999pt;width:415.44999999999999pt;height:8.4000000000000004pt;z-index:-18874405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703580</wp:posOffset>
              </wp:positionV>
              <wp:extent cx="8869680" cy="0"/>
              <wp:wrapNone/>
              <wp:docPr id="21" name="Shape 21"/>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55.399999999999999pt;width:698.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918210</wp:posOffset>
              </wp:positionH>
              <wp:positionV relativeFrom="page">
                <wp:posOffset>557530</wp:posOffset>
              </wp:positionV>
              <wp:extent cx="5279390" cy="106680"/>
              <wp:wrapNone/>
              <wp:docPr id="24" name="Shape 24"/>
              <a:graphic xmlns:a="http://schemas.openxmlformats.org/drawingml/2006/main">
                <a:graphicData uri="http://schemas.microsoft.com/office/word/2010/wordprocessingShape">
                  <wps:wsp>
                    <wps:cNvSpPr txBox="1"/>
                    <wps:spPr>
                      <a:xfrm>
                        <a:ext cx="5279390" cy="106680"/>
                      </a:xfrm>
                      <a:prstGeom prst="rect"/>
                      <a:noFill/>
                    </wps:spPr>
                    <wps:txbx>
                      <w:txbxContent>
                        <w:p>
                          <w:pPr>
                            <w:pStyle w:val="Style57"/>
                            <w:keepNext w:val="0"/>
                            <w:keepLines w:val="0"/>
                            <w:widowControl w:val="0"/>
                            <w:shd w:val="clear" w:color="auto" w:fill="auto"/>
                            <w:tabs>
                              <w:tab w:pos="8314"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50" type="#_x0000_t202" style="position:absolute;margin-left:72.299999999999997pt;margin-top:43.899999999999999pt;width:415.69999999999999pt;height:8.4000000000000004pt;z-index:-18874404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314"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703580</wp:posOffset>
              </wp:positionV>
              <wp:extent cx="8869680" cy="0"/>
              <wp:wrapNone/>
              <wp:docPr id="26" name="Shape 26"/>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55.399999999999999pt;width:698.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1108710</wp:posOffset>
              </wp:positionH>
              <wp:positionV relativeFrom="page">
                <wp:posOffset>561340</wp:posOffset>
              </wp:positionV>
              <wp:extent cx="5269865" cy="106680"/>
              <wp:wrapNone/>
              <wp:docPr id="29" name="Shape 29"/>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55" type="#_x0000_t202" style="position:absolute;margin-left:87.299999999999997pt;margin-top:44.200000000000003pt;width:414.94999999999999pt;height:8.4000000000000004pt;z-index:-18874404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1105535</wp:posOffset>
              </wp:positionH>
              <wp:positionV relativeFrom="page">
                <wp:posOffset>706120</wp:posOffset>
              </wp:positionV>
              <wp:extent cx="5281930" cy="0"/>
              <wp:wrapNone/>
              <wp:docPr id="31" name="Shape 31"/>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87.049999999999997pt;margin-top:55.600000000000001pt;width:415.90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2707005</wp:posOffset>
              </wp:positionH>
              <wp:positionV relativeFrom="page">
                <wp:posOffset>557530</wp:posOffset>
              </wp:positionV>
              <wp:extent cx="5276215" cy="106680"/>
              <wp:wrapNone/>
              <wp:docPr id="34" name="Shape 34"/>
              <a:graphic xmlns:a="http://schemas.openxmlformats.org/drawingml/2006/main">
                <a:graphicData uri="http://schemas.microsoft.com/office/word/2010/wordprocessingShape">
                  <wps:wsp>
                    <wps:cNvSpPr txBox="1"/>
                    <wps:spPr>
                      <a:xfrm>
                        <a:ext cx="5276215" cy="106680"/>
                      </a:xfrm>
                      <a:prstGeom prst="rect"/>
                      <a:noFill/>
                    </wps:spPr>
                    <wps:txbx>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60" type="#_x0000_t202" style="position:absolute;margin-left:213.15000000000001pt;margin-top:43.899999999999999pt;width:415.44999999999999pt;height:8.4000000000000004pt;z-index:-18874404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703580</wp:posOffset>
              </wp:positionV>
              <wp:extent cx="8869680" cy="0"/>
              <wp:wrapNone/>
              <wp:docPr id="36" name="Shape 36"/>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55.399999999999999pt;width:698.39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918210</wp:posOffset>
              </wp:positionH>
              <wp:positionV relativeFrom="page">
                <wp:posOffset>557530</wp:posOffset>
              </wp:positionV>
              <wp:extent cx="5279390" cy="106680"/>
              <wp:wrapNone/>
              <wp:docPr id="39" name="Shape 39"/>
              <a:graphic xmlns:a="http://schemas.openxmlformats.org/drawingml/2006/main">
                <a:graphicData uri="http://schemas.microsoft.com/office/word/2010/wordprocessingShape">
                  <wps:wsp>
                    <wps:cNvSpPr txBox="1"/>
                    <wps:spPr>
                      <a:xfrm>
                        <a:ext cx="5279390" cy="106680"/>
                      </a:xfrm>
                      <a:prstGeom prst="rect"/>
                      <a:noFill/>
                    </wps:spPr>
                    <wps:txbx>
                      <w:txbxContent>
                        <w:p>
                          <w:pPr>
                            <w:pStyle w:val="Style57"/>
                            <w:keepNext w:val="0"/>
                            <w:keepLines w:val="0"/>
                            <w:widowControl w:val="0"/>
                            <w:shd w:val="clear" w:color="auto" w:fill="auto"/>
                            <w:tabs>
                              <w:tab w:pos="8314"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65" type="#_x0000_t202" style="position:absolute;margin-left:72.299999999999997pt;margin-top:43.899999999999999pt;width:415.69999999999999pt;height:8.4000000000000004pt;z-index:-18874403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314"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703580</wp:posOffset>
              </wp:positionV>
              <wp:extent cx="8869680" cy="0"/>
              <wp:wrapNone/>
              <wp:docPr id="41" name="Shape 41"/>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55.399999999999999pt;width:698.39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1108710</wp:posOffset>
              </wp:positionH>
              <wp:positionV relativeFrom="page">
                <wp:posOffset>561340</wp:posOffset>
              </wp:positionV>
              <wp:extent cx="5269865" cy="106680"/>
              <wp:wrapNone/>
              <wp:docPr id="44" name="Shape 44"/>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70" type="#_x0000_t202" style="position:absolute;margin-left:87.299999999999997pt;margin-top:44.200000000000003pt;width:414.94999999999999pt;height:8.4000000000000004pt;z-index:-18874403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29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1105535</wp:posOffset>
              </wp:positionH>
              <wp:positionV relativeFrom="page">
                <wp:posOffset>706120</wp:posOffset>
              </wp:positionV>
              <wp:extent cx="5281930" cy="0"/>
              <wp:wrapNone/>
              <wp:docPr id="46" name="Shape 46"/>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87.049999999999997pt;margin-top:55.600000000000001pt;width:415.90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2702560</wp:posOffset>
              </wp:positionH>
              <wp:positionV relativeFrom="page">
                <wp:posOffset>557530</wp:posOffset>
              </wp:positionV>
              <wp:extent cx="5276215" cy="106680"/>
              <wp:wrapNone/>
              <wp:docPr id="60" name="Shape 60"/>
              <a:graphic xmlns:a="http://schemas.openxmlformats.org/drawingml/2006/main">
                <a:graphicData uri="http://schemas.microsoft.com/office/word/2010/wordprocessingShape">
                  <wps:wsp>
                    <wps:cNvSpPr txBox="1"/>
                    <wps:spPr>
                      <a:xfrm>
                        <a:ext cx="5276215" cy="106680"/>
                      </a:xfrm>
                      <a:prstGeom prst="rect"/>
                      <a:noFill/>
                    </wps:spPr>
                    <wps:txbx>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086" type="#_x0000_t202" style="position:absolute;margin-left:212.80000000000001pt;margin-top:43.899999999999999pt;width:415.44999999999999pt;height:8.4000000000000004pt;z-index:-18874402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传化智联股份有限公司</w:t>
                      <w:tab/>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907415</wp:posOffset>
              </wp:positionH>
              <wp:positionV relativeFrom="page">
                <wp:posOffset>703580</wp:posOffset>
              </wp:positionV>
              <wp:extent cx="8869680" cy="0"/>
              <wp:wrapNone/>
              <wp:docPr id="62" name="Shape 62"/>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450000000000003pt;margin-top:55.399999999999999pt;width:698.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FFFFFF"/>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4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标题 #1_"/>
    <w:basedOn w:val="DefaultParagraphFont"/>
    <w:link w:val="Style26"/>
    <w:rPr>
      <w:rFonts w:ascii="SimSun" w:eastAsia="SimSun" w:hAnsi="SimSun" w:cs="SimSun"/>
      <w:b/>
      <w:bCs/>
      <w:i w:val="0"/>
      <w:iCs w:val="0"/>
      <w:smallCaps w:val="0"/>
      <w:strike w:val="0"/>
      <w:sz w:val="28"/>
      <w:szCs w:val="28"/>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39">
    <w:name w:val="图片标题 (2)_"/>
    <w:basedOn w:val="DefaultParagraphFont"/>
    <w:link w:val="Style38"/>
    <w:rPr>
      <w:rFonts w:ascii="SimHei" w:eastAsia="SimHei" w:hAnsi="SimHei" w:cs="SimHei"/>
      <w:b w:val="0"/>
      <w:bCs w:val="0"/>
      <w:i w:val="0"/>
      <w:iCs w:val="0"/>
      <w:smallCaps w:val="0"/>
      <w:strike w:val="0"/>
      <w:color w:val="201E20"/>
      <w:sz w:val="12"/>
      <w:szCs w:val="12"/>
      <w:u w:val="none"/>
      <w:shd w:val="clear" w:color="auto" w:fill="auto"/>
    </w:rPr>
  </w:style>
  <w:style w:type="character" w:customStyle="1" w:styleId="CharStyle41">
    <w:name w:val="其他 (2)_"/>
    <w:basedOn w:val="DefaultParagraphFont"/>
    <w:link w:val="Style40"/>
    <w:rPr>
      <w:rFonts w:ascii="SimHei" w:eastAsia="SimHei" w:hAnsi="SimHei" w:cs="SimHei"/>
      <w:b w:val="0"/>
      <w:bCs w:val="0"/>
      <w:i w:val="0"/>
      <w:iCs w:val="0"/>
      <w:smallCaps w:val="0"/>
      <w:strike w:val="0"/>
      <w:color w:val="201E20"/>
      <w:sz w:val="12"/>
      <w:szCs w:val="12"/>
      <w:u w:val="none"/>
      <w:shd w:val="clear" w:color="auto" w:fill="auto"/>
    </w:rPr>
  </w:style>
  <w:style w:type="character" w:customStyle="1" w:styleId="CharStyle43">
    <w:name w:val="图片标题_"/>
    <w:basedOn w:val="DefaultParagraphFont"/>
    <w:link w:val="Style42"/>
    <w:rPr>
      <w:rFonts w:ascii="SimHei" w:eastAsia="SimHei" w:hAnsi="SimHei" w:cs="SimHei"/>
      <w:b w:val="0"/>
      <w:bCs w:val="0"/>
      <w:i w:val="0"/>
      <w:iCs w:val="0"/>
      <w:smallCaps w:val="0"/>
      <w:strike w:val="0"/>
      <w:color w:val="201E20"/>
      <w:sz w:val="12"/>
      <w:szCs w:val="12"/>
      <w:u w:val="none"/>
      <w:shd w:val="clear" w:color="auto" w:fill="auto"/>
    </w:rPr>
  </w:style>
  <w:style w:type="character" w:customStyle="1" w:styleId="CharStyle55">
    <w:name w:val="正文文本 (4)_"/>
    <w:basedOn w:val="DefaultParagraphFont"/>
    <w:link w:val="Style54"/>
    <w:rPr>
      <w:rFonts w:ascii="SimSun" w:eastAsia="SimSun" w:hAnsi="SimSun" w:cs="SimSun"/>
      <w:b/>
      <w:bCs/>
      <w:i w:val="0"/>
      <w:iCs w:val="0"/>
      <w:smallCaps w:val="0"/>
      <w:strike w:val="0"/>
      <w:sz w:val="28"/>
      <w:szCs w:val="28"/>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正文文本 (6)_"/>
    <w:basedOn w:val="DefaultParagraphFont"/>
    <w:link w:val="Style64"/>
    <w:rPr>
      <w:rFonts w:ascii="SimHei" w:eastAsia="SimHei" w:hAnsi="SimHei" w:cs="SimHei"/>
      <w:b/>
      <w:bCs/>
      <w:i w:val="0"/>
      <w:iCs w:val="0"/>
      <w:smallCaps w:val="0"/>
      <w:strike w:val="0"/>
      <w:sz w:val="32"/>
      <w:szCs w:val="32"/>
      <w:u w:val="none"/>
      <w:shd w:val="clear" w:color="auto" w:fill="auto"/>
    </w:rPr>
  </w:style>
  <w:style w:type="character" w:customStyle="1" w:styleId="CharStyle67">
    <w:name w:val="正文文本 (5)_"/>
    <w:basedOn w:val="DefaultParagraphFont"/>
    <w:link w:val="Style66"/>
    <w:rPr>
      <w:rFonts w:ascii="Times New Roman" w:eastAsia="Times New Roman" w:hAnsi="Times New Roman" w:cs="Times New Roman"/>
      <w:b w:val="0"/>
      <w:bCs w:val="0"/>
      <w:i w:val="0"/>
      <w:iCs w:val="0"/>
      <w:smallCaps w:val="0"/>
      <w:strike w:val="0"/>
      <w:sz w:val="15"/>
      <w:szCs w:val="15"/>
      <w:u w:val="none"/>
      <w:shd w:val="clear" w:color="auto" w:fill="auto"/>
    </w:rPr>
  </w:style>
  <w:style w:type="character" w:customStyle="1" w:styleId="CharStyle77">
    <w:name w:val="正文文本 (7)_"/>
    <w:basedOn w:val="DefaultParagraphFont"/>
    <w:link w:val="Style76"/>
    <w:rPr>
      <w:rFonts w:ascii="SimSun" w:eastAsia="SimSun" w:hAnsi="SimSun" w:cs="SimSun"/>
      <w:b w:val="0"/>
      <w:bCs w:val="0"/>
      <w:i w:val="0"/>
      <w:iCs w:val="0"/>
      <w:smallCaps w:val="0"/>
      <w:strike w:val="0"/>
      <w:sz w:val="15"/>
      <w:szCs w:val="15"/>
      <w:u w:val="none"/>
      <w:shd w:val="clear" w:color="auto" w:fill="auto"/>
    </w:rPr>
  </w:style>
  <w:style w:type="character" w:customStyle="1" w:styleId="CharStyle95">
    <w:name w:val="正文文本 (8)_"/>
    <w:basedOn w:val="DefaultParagraphFont"/>
    <w:link w:val="Style94"/>
    <w:rPr>
      <w:rFonts w:ascii="SimSun" w:eastAsia="SimSun" w:hAnsi="SimSun" w:cs="SimSun"/>
      <w:b w:val="0"/>
      <w:bCs w:val="0"/>
      <w:i w:val="0"/>
      <w:iCs w:val="0"/>
      <w:smallCaps w:val="0"/>
      <w:strike w:val="0"/>
      <w:sz w:val="9"/>
      <w:szCs w:val="9"/>
      <w:u w:val="none"/>
      <w:shd w:val="clear" w:color="auto" w:fill="auto"/>
    </w:rPr>
  </w:style>
  <w:style w:type="character" w:customStyle="1" w:styleId="CharStyle112">
    <w:name w:val="正文文本 (9)_"/>
    <w:basedOn w:val="DefaultParagraphFont"/>
    <w:link w:val="Style111"/>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spacing w:line="48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4">
    <w:name w:val="正文文本"/>
    <w:basedOn w:val="Normal"/>
    <w:link w:val="CharStyle15"/>
    <w:pPr>
      <w:widowControl w:val="0"/>
      <w:shd w:val="clear" w:color="auto" w:fill="auto"/>
      <w:spacing w:line="48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2">
    <w:name w:val="目录"/>
    <w:basedOn w:val="Normal"/>
    <w:link w:val="CharStyle23"/>
    <w:pPr>
      <w:widowControl w:val="0"/>
      <w:shd w:val="clear" w:color="auto" w:fill="auto"/>
      <w:spacing w:after="280"/>
      <w:ind w:firstLine="420"/>
    </w:pPr>
    <w:rPr>
      <w:rFonts w:ascii="SimSun" w:eastAsia="SimSun" w:hAnsi="SimSun" w:cs="SimSun"/>
      <w:b/>
      <w:bCs/>
      <w:i w:val="0"/>
      <w:iCs w:val="0"/>
      <w:smallCaps w:val="0"/>
      <w:strike w:val="0"/>
      <w:u w:val="none"/>
      <w:shd w:val="clear" w:color="auto" w:fill="auto"/>
    </w:rPr>
  </w:style>
  <w:style w:type="paragraph" w:customStyle="1" w:styleId="Style26">
    <w:name w:val="标题 #1"/>
    <w:basedOn w:val="Normal"/>
    <w:link w:val="CharStyle27"/>
    <w:pPr>
      <w:widowControl w:val="0"/>
      <w:shd w:val="clear" w:color="auto" w:fill="auto"/>
      <w:spacing w:before="60" w:after="280"/>
      <w:ind w:left="128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8">
    <w:name w:val="图片标题 (2)"/>
    <w:basedOn w:val="Normal"/>
    <w:link w:val="CharStyle39"/>
    <w:pPr>
      <w:widowControl w:val="0"/>
      <w:shd w:val="clear" w:color="auto" w:fill="auto"/>
      <w:spacing w:line="173" w:lineRule="exact"/>
    </w:pPr>
    <w:rPr>
      <w:rFonts w:ascii="SimHei" w:eastAsia="SimHei" w:hAnsi="SimHei" w:cs="SimHei"/>
      <w:b w:val="0"/>
      <w:bCs w:val="0"/>
      <w:i w:val="0"/>
      <w:iCs w:val="0"/>
      <w:smallCaps w:val="0"/>
      <w:strike w:val="0"/>
      <w:color w:val="201E20"/>
      <w:sz w:val="12"/>
      <w:szCs w:val="12"/>
      <w:u w:val="none"/>
      <w:shd w:val="clear" w:color="auto" w:fill="auto"/>
    </w:rPr>
  </w:style>
  <w:style w:type="paragraph" w:customStyle="1" w:styleId="Style40">
    <w:name w:val="其他 (2)"/>
    <w:basedOn w:val="Normal"/>
    <w:link w:val="CharStyle41"/>
    <w:pPr>
      <w:widowControl w:val="0"/>
      <w:shd w:val="clear" w:color="auto" w:fill="auto"/>
    </w:pPr>
    <w:rPr>
      <w:rFonts w:ascii="SimHei" w:eastAsia="SimHei" w:hAnsi="SimHei" w:cs="SimHei"/>
      <w:b w:val="0"/>
      <w:bCs w:val="0"/>
      <w:i w:val="0"/>
      <w:iCs w:val="0"/>
      <w:smallCaps w:val="0"/>
      <w:strike w:val="0"/>
      <w:color w:val="201E20"/>
      <w:sz w:val="12"/>
      <w:szCs w:val="12"/>
      <w:u w:val="none"/>
      <w:shd w:val="clear" w:color="auto" w:fill="auto"/>
    </w:rPr>
  </w:style>
  <w:style w:type="paragraph" w:customStyle="1" w:styleId="Style42">
    <w:name w:val="图片标题"/>
    <w:basedOn w:val="Normal"/>
    <w:link w:val="CharStyle43"/>
    <w:pPr>
      <w:widowControl w:val="0"/>
      <w:shd w:val="clear" w:color="auto" w:fill="auto"/>
    </w:pPr>
    <w:rPr>
      <w:rFonts w:ascii="SimHei" w:eastAsia="SimHei" w:hAnsi="SimHei" w:cs="SimHei"/>
      <w:b w:val="0"/>
      <w:bCs w:val="0"/>
      <w:i w:val="0"/>
      <w:iCs w:val="0"/>
      <w:smallCaps w:val="0"/>
      <w:strike w:val="0"/>
      <w:color w:val="201E20"/>
      <w:sz w:val="12"/>
      <w:szCs w:val="12"/>
      <w:u w:val="none"/>
      <w:shd w:val="clear" w:color="auto" w:fill="auto"/>
    </w:rPr>
  </w:style>
  <w:style w:type="paragraph" w:customStyle="1" w:styleId="Style54">
    <w:name w:val="正文文本 (4)"/>
    <w:basedOn w:val="Normal"/>
    <w:link w:val="CharStyle55"/>
    <w:pPr>
      <w:widowControl w:val="0"/>
      <w:shd w:val="clear" w:color="auto" w:fill="auto"/>
      <w:spacing w:after="560"/>
      <w:jc w:val="center"/>
    </w:pPr>
    <w:rPr>
      <w:rFonts w:ascii="SimSun" w:eastAsia="SimSun" w:hAnsi="SimSun" w:cs="SimSun"/>
      <w:b/>
      <w:bCs/>
      <w:i w:val="0"/>
      <w:iCs w:val="0"/>
      <w:smallCaps w:val="0"/>
      <w:strike w:val="0"/>
      <w:sz w:val="28"/>
      <w:szCs w:val="28"/>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正文文本 (6)"/>
    <w:basedOn w:val="Normal"/>
    <w:link w:val="CharStyle65"/>
    <w:pPr>
      <w:widowControl w:val="0"/>
      <w:shd w:val="clear" w:color="auto" w:fill="auto"/>
      <w:spacing w:after="40"/>
      <w:ind w:left="2330"/>
      <w:jc w:val="center"/>
    </w:pPr>
    <w:rPr>
      <w:rFonts w:ascii="SimHei" w:eastAsia="SimHei" w:hAnsi="SimHei" w:cs="SimHei"/>
      <w:b/>
      <w:bCs/>
      <w:i w:val="0"/>
      <w:iCs w:val="0"/>
      <w:smallCaps w:val="0"/>
      <w:strike w:val="0"/>
      <w:sz w:val="32"/>
      <w:szCs w:val="32"/>
      <w:u w:val="none"/>
      <w:shd w:val="clear" w:color="auto" w:fill="auto"/>
    </w:rPr>
  </w:style>
  <w:style w:type="paragraph" w:customStyle="1" w:styleId="Style66">
    <w:name w:val="正文文本 (5)"/>
    <w:basedOn w:val="Normal"/>
    <w:link w:val="CharStyle67"/>
    <w:pPr>
      <w:widowControl w:val="0"/>
      <w:shd w:val="clear" w:color="auto" w:fill="auto"/>
      <w:spacing w:after="40"/>
      <w:jc w:val="center"/>
    </w:pPr>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76">
    <w:name w:val="正文文本 (7)"/>
    <w:basedOn w:val="Normal"/>
    <w:link w:val="CharStyle77"/>
    <w:pPr>
      <w:widowControl w:val="0"/>
      <w:shd w:val="clear" w:color="auto" w:fill="auto"/>
      <w:spacing w:after="60"/>
      <w:ind w:left="10450"/>
    </w:pPr>
    <w:rPr>
      <w:rFonts w:ascii="SimSun" w:eastAsia="SimSun" w:hAnsi="SimSun" w:cs="SimSun"/>
      <w:b w:val="0"/>
      <w:bCs w:val="0"/>
      <w:i w:val="0"/>
      <w:iCs w:val="0"/>
      <w:smallCaps w:val="0"/>
      <w:strike w:val="0"/>
      <w:sz w:val="15"/>
      <w:szCs w:val="15"/>
      <w:u w:val="none"/>
      <w:shd w:val="clear" w:color="auto" w:fill="auto"/>
    </w:rPr>
  </w:style>
  <w:style w:type="paragraph" w:customStyle="1" w:styleId="Style94">
    <w:name w:val="正文文本 (8)"/>
    <w:basedOn w:val="Normal"/>
    <w:link w:val="CharStyle95"/>
    <w:pPr>
      <w:widowControl w:val="0"/>
      <w:shd w:val="clear" w:color="auto" w:fill="auto"/>
      <w:spacing w:after="30"/>
    </w:pPr>
    <w:rPr>
      <w:rFonts w:ascii="SimSun" w:eastAsia="SimSun" w:hAnsi="SimSun" w:cs="SimSun"/>
      <w:b w:val="0"/>
      <w:bCs w:val="0"/>
      <w:i w:val="0"/>
      <w:iCs w:val="0"/>
      <w:smallCaps w:val="0"/>
      <w:strike w:val="0"/>
      <w:sz w:val="9"/>
      <w:szCs w:val="9"/>
      <w:u w:val="none"/>
      <w:shd w:val="clear" w:color="auto" w:fill="auto"/>
    </w:rPr>
  </w:style>
  <w:style w:type="paragraph" w:customStyle="1" w:styleId="Style111">
    <w:name w:val="正文文本 (9)"/>
    <w:basedOn w:val="Normal"/>
    <w:link w:val="CharStyle112"/>
    <w:pPr>
      <w:widowControl w:val="0"/>
      <w:shd w:val="clear" w:color="auto" w:fill="auto"/>
      <w:spacing w:line="435"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header" Target="header3.xml"/><Relationship Id="rId19" Type="http://schemas.openxmlformats.org/officeDocument/2006/relationships/footer" Target="footer2.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header" Target="header5.xml"/><Relationship Id="rId23" Type="http://schemas.openxmlformats.org/officeDocument/2006/relationships/footer" Target="footer4.xml"/><Relationship Id="rId24" Type="http://schemas.openxmlformats.org/officeDocument/2006/relationships/header" Target="header6.xml"/><Relationship Id="rId25" Type="http://schemas.openxmlformats.org/officeDocument/2006/relationships/footer" Target="footer5.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image" Target="media/image6.jpeg"/><Relationship Id="rId31" Type="http://schemas.openxmlformats.org/officeDocument/2006/relationships/image" Target="media/image6.jpeg" TargetMode="External"/><Relationship Id="rId32" Type="http://schemas.openxmlformats.org/officeDocument/2006/relationships/image" Target="media/image7.jpeg"/><Relationship Id="rId33" Type="http://schemas.openxmlformats.org/officeDocument/2006/relationships/image" Target="media/image7.jpeg" TargetMode="External"/><Relationship Id="rId34" Type="http://schemas.openxmlformats.org/officeDocument/2006/relationships/image" Target="media/image8.jpeg"/><Relationship Id="rId35" Type="http://schemas.openxmlformats.org/officeDocument/2006/relationships/image" Target="media/image8.jpeg" TargetMode="External"/><Relationship Id="rId36" Type="http://schemas.openxmlformats.org/officeDocument/2006/relationships/header" Target="header9.xml"/><Relationship Id="rId37" Type="http://schemas.openxmlformats.org/officeDocument/2006/relationships/footer" Target="footer8.xml"/><Relationship Id="rId38" Type="http://schemas.openxmlformats.org/officeDocument/2006/relationships/header" Target="header10.xml"/><Relationship Id="rId39" Type="http://schemas.openxmlformats.org/officeDocument/2006/relationships/footer" Target="footer9.xml"/><Relationship Id="rId40" Type="http://schemas.openxmlformats.org/officeDocument/2006/relationships/image" Target="media/image9.png"/><Relationship Id="rId41" Type="http://schemas.openxmlformats.org/officeDocument/2006/relationships/image" Target="media/image9.png" TargetMode="External"/><Relationship Id="rId42" Type="http://schemas.openxmlformats.org/officeDocument/2006/relationships/image" Target="media/image10.png"/><Relationship Id="rId43" Type="http://schemas.openxmlformats.org/officeDocument/2006/relationships/image" Target="media/image10.png" TargetMode="External"/><Relationship Id="rId44" Type="http://schemas.openxmlformats.org/officeDocument/2006/relationships/image" Target="media/image11.png"/><Relationship Id="rId45" Type="http://schemas.openxmlformats.org/officeDocument/2006/relationships/image" Target="media/image11.png" TargetMode="External"/><Relationship Id="rId46" Type="http://schemas.openxmlformats.org/officeDocument/2006/relationships/image" Target="media/image12.png"/><Relationship Id="rId47" Type="http://schemas.openxmlformats.org/officeDocument/2006/relationships/image" Target="media/image12.png" TargetMode="External"/><Relationship Id="rId48" Type="http://schemas.openxmlformats.org/officeDocument/2006/relationships/image" Target="media/image13.png"/><Relationship Id="rId49" Type="http://schemas.openxmlformats.org/officeDocument/2006/relationships/image" Target="media/image13.png" TargetMode="External"/><Relationship Id="rId50" Type="http://schemas.openxmlformats.org/officeDocument/2006/relationships/image" Target="media/image14.png"/><Relationship Id="rId51" Type="http://schemas.openxmlformats.org/officeDocument/2006/relationships/image" Target="media/image14.png" TargetMode="External"/></Relationships>
</file>

<file path=docProps/core.xml><?xml version="1.0" encoding="utf-8"?>
<cp:coreProperties xmlns:cp="http://schemas.openxmlformats.org/package/2006/metadata/core-properties" xmlns:dc="http://purl.org/dc/elements/1.1/">
  <dc:title/>
  <dc:subject/>
  <dc:creator>章八一</dc:creator>
  <cp:keywords/>
</cp:coreProperties>
</file>