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620" w:lineRule="exact" w:before="0"/>
        <w:ind w:left="1931" w:right="0" w:firstLine="0"/>
        <w:jc w:val="left"/>
        <w:rPr>
          <w:rFonts w:ascii="宋体" w:hAnsi="宋体" w:cs="宋体" w:eastAsia="宋体" w:hint="default"/>
          <w:sz w:val="52"/>
          <w:szCs w:val="52"/>
        </w:rPr>
      </w:pPr>
      <w:r>
        <w:rPr>
          <w:rFonts w:ascii="宋体" w:hAnsi="宋体" w:cs="宋体" w:eastAsia="宋体" w:hint="default"/>
          <w:b/>
          <w:bCs/>
          <w:sz w:val="52"/>
          <w:szCs w:val="52"/>
        </w:rPr>
        <w:t>苏宁电器股份有限公司</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2"/>
          <w:szCs w:val="12"/>
        </w:rPr>
      </w:pPr>
    </w:p>
    <w:p>
      <w:pPr>
        <w:spacing w:line="1239" w:lineRule="exact"/>
        <w:ind w:left="2700"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2238673" cy="78695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38673" cy="786955"/>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spacing w:line="620" w:lineRule="exact" w:before="0"/>
        <w:ind w:left="1903" w:right="1902" w:firstLine="0"/>
        <w:jc w:val="center"/>
        <w:rPr>
          <w:rFonts w:ascii="宋体" w:hAnsi="宋体" w:cs="宋体" w:eastAsia="宋体" w:hint="default"/>
          <w:sz w:val="52"/>
          <w:szCs w:val="52"/>
        </w:rPr>
      </w:pPr>
      <w:r>
        <w:rPr>
          <w:rFonts w:ascii="宋体" w:hAnsi="宋体" w:cs="宋体" w:eastAsia="宋体" w:hint="default"/>
          <w:b/>
          <w:bCs/>
          <w:sz w:val="52"/>
          <w:szCs w:val="52"/>
        </w:rPr>
        <w:t>二○○七年年度报告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4"/>
        <w:rPr>
          <w:rFonts w:ascii="宋体" w:hAnsi="宋体" w:cs="宋体" w:eastAsia="宋体" w:hint="default"/>
          <w:b/>
          <w:bCs/>
          <w:sz w:val="41"/>
          <w:szCs w:val="41"/>
        </w:rPr>
      </w:pPr>
    </w:p>
    <w:p>
      <w:pPr>
        <w:spacing w:before="0"/>
        <w:ind w:left="1902" w:right="1902" w:firstLine="0"/>
        <w:jc w:val="center"/>
        <w:rPr>
          <w:rFonts w:ascii="宋体" w:hAnsi="宋体" w:cs="宋体" w:eastAsia="宋体" w:hint="default"/>
          <w:sz w:val="52"/>
          <w:szCs w:val="52"/>
        </w:rPr>
      </w:pPr>
      <w:r>
        <w:rPr>
          <w:rFonts w:ascii="宋体" w:hAnsi="宋体" w:cs="宋体" w:eastAsia="宋体" w:hint="default"/>
          <w:b/>
          <w:bCs/>
          <w:sz w:val="52"/>
          <w:szCs w:val="52"/>
        </w:rPr>
        <w:t>二○○八年二月</w:t>
      </w:r>
      <w:r>
        <w:rPr>
          <w:rFonts w:ascii="宋体" w:hAnsi="宋体" w:cs="宋体" w:eastAsia="宋体" w:hint="default"/>
          <w:sz w:val="52"/>
          <w:szCs w:val="52"/>
        </w:rPr>
      </w:r>
    </w:p>
    <w:p>
      <w:pPr>
        <w:spacing w:after="0"/>
        <w:jc w:val="center"/>
        <w:rPr>
          <w:rFonts w:ascii="宋体" w:hAnsi="宋体" w:cs="宋体" w:eastAsia="宋体" w:hint="default"/>
          <w:sz w:val="52"/>
          <w:szCs w:val="52"/>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p>
      <w:pPr>
        <w:spacing w:before="1"/>
        <w:ind w:left="3811" w:right="179" w:firstLine="0"/>
        <w:jc w:val="left"/>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25"/>
          <w:szCs w:val="25"/>
        </w:rPr>
      </w:pPr>
    </w:p>
    <w:p>
      <w:pPr>
        <w:spacing w:line="408" w:lineRule="auto" w:before="0"/>
        <w:ind w:left="143" w:right="182"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载资料不存在任何虚假记载、误导性陈述或者重大遗漏，并对其内容的</w:t>
      </w:r>
      <w:r>
        <w:rPr>
          <w:rFonts w:ascii="宋体" w:hAnsi="宋体" w:cs="宋体" w:eastAsia="宋体" w:hint="default"/>
          <w:b/>
          <w:bCs/>
          <w:spacing w:val="18"/>
          <w:w w:val="95"/>
          <w:sz w:val="28"/>
          <w:szCs w:val="28"/>
        </w:rPr>
        <w:t> </w:t>
      </w:r>
      <w:r>
        <w:rPr>
          <w:rFonts w:ascii="宋体" w:hAnsi="宋体" w:cs="宋体" w:eastAsia="宋体" w:hint="default"/>
          <w:b/>
          <w:bCs/>
          <w:spacing w:val="18"/>
          <w:w w:val="95"/>
          <w:sz w:val="28"/>
          <w:szCs w:val="28"/>
        </w:rPr>
      </w:r>
      <w:r>
        <w:rPr>
          <w:rFonts w:ascii="宋体" w:hAnsi="宋体" w:cs="宋体" w:eastAsia="宋体" w:hint="default"/>
          <w:b/>
          <w:bCs/>
          <w:sz w:val="28"/>
          <w:szCs w:val="28"/>
        </w:rPr>
        <w:t>真实性、准确性和完整性承担个别及连带责任。</w:t>
      </w:r>
      <w:r>
        <w:rPr>
          <w:rFonts w:ascii="宋体" w:hAnsi="宋体" w:cs="宋体" w:eastAsia="宋体" w:hint="default"/>
          <w:sz w:val="28"/>
          <w:szCs w:val="28"/>
        </w:rPr>
      </w:r>
    </w:p>
    <w:p>
      <w:pPr>
        <w:spacing w:line="408" w:lineRule="auto" w:before="61"/>
        <w:ind w:left="143" w:right="182"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董事孙为民先生、独立董事孙剑平先生因其他公务安排未能到现场</w:t>
      </w:r>
      <w:r>
        <w:rPr>
          <w:rFonts w:ascii="宋体" w:hAnsi="宋体" w:cs="宋体" w:eastAsia="宋体" w:hint="default"/>
          <w:b/>
          <w:bCs/>
          <w:w w:val="99"/>
          <w:sz w:val="28"/>
          <w:szCs w:val="28"/>
        </w:rPr>
        <w:t> </w:t>
      </w:r>
      <w:r>
        <w:rPr>
          <w:rFonts w:ascii="宋体" w:hAnsi="宋体" w:cs="宋体" w:eastAsia="宋体" w:hint="default"/>
          <w:b/>
          <w:bCs/>
          <w:sz w:val="28"/>
          <w:szCs w:val="28"/>
        </w:rPr>
        <w:t>参加会议，以视频方式参加会议。</w:t>
      </w:r>
      <w:r>
        <w:rPr>
          <w:rFonts w:ascii="宋体" w:hAnsi="宋体" w:cs="宋体" w:eastAsia="宋体" w:hint="default"/>
          <w:sz w:val="28"/>
          <w:szCs w:val="28"/>
        </w:rPr>
      </w:r>
    </w:p>
    <w:p>
      <w:pPr>
        <w:spacing w:line="408" w:lineRule="auto" w:before="61"/>
        <w:ind w:left="143" w:right="108" w:firstLine="561"/>
        <w:jc w:val="both"/>
        <w:rPr>
          <w:rFonts w:ascii="宋体" w:hAnsi="宋体" w:cs="宋体" w:eastAsia="宋体" w:hint="default"/>
          <w:sz w:val="28"/>
          <w:szCs w:val="28"/>
        </w:rPr>
      </w:pPr>
      <w:r>
        <w:rPr>
          <w:rFonts w:ascii="宋体" w:hAnsi="宋体" w:cs="宋体" w:eastAsia="宋体" w:hint="default"/>
          <w:b/>
          <w:bCs/>
          <w:w w:val="95"/>
          <w:sz w:val="28"/>
          <w:szCs w:val="28"/>
        </w:rPr>
        <w:t>没有董事、监事、高级管理人员对本报告内容的真实性、准确性、</w:t>
      </w:r>
      <w:r>
        <w:rPr>
          <w:rFonts w:ascii="宋体" w:hAnsi="宋体" w:cs="宋体" w:eastAsia="宋体" w:hint="default"/>
          <w:b/>
          <w:bCs/>
          <w:w w:val="99"/>
          <w:sz w:val="28"/>
          <w:szCs w:val="28"/>
        </w:rPr>
        <w:t> </w:t>
      </w:r>
      <w:r>
        <w:rPr>
          <w:rFonts w:ascii="宋体" w:hAnsi="宋体" w:cs="宋体" w:eastAsia="宋体" w:hint="default"/>
          <w:b/>
          <w:bCs/>
          <w:sz w:val="28"/>
          <w:szCs w:val="28"/>
        </w:rPr>
        <w:t>完整性无法保证或存在异议。</w:t>
      </w:r>
      <w:r>
        <w:rPr>
          <w:rFonts w:ascii="宋体" w:hAnsi="宋体" w:cs="宋体" w:eastAsia="宋体" w:hint="default"/>
          <w:sz w:val="28"/>
          <w:szCs w:val="28"/>
        </w:rPr>
      </w:r>
    </w:p>
    <w:p>
      <w:pPr>
        <w:spacing w:line="408" w:lineRule="auto" w:before="61"/>
        <w:ind w:left="143" w:right="173" w:firstLine="561"/>
        <w:jc w:val="both"/>
        <w:rPr>
          <w:rFonts w:ascii="宋体" w:hAnsi="宋体" w:cs="宋体" w:eastAsia="宋体" w:hint="default"/>
          <w:sz w:val="28"/>
          <w:szCs w:val="28"/>
        </w:rPr>
      </w:pPr>
      <w:r>
        <w:rPr>
          <w:rFonts w:ascii="宋体" w:hAnsi="宋体" w:cs="宋体" w:eastAsia="宋体" w:hint="default"/>
          <w:b/>
          <w:bCs/>
          <w:spacing w:val="8"/>
          <w:w w:val="95"/>
          <w:sz w:val="28"/>
          <w:szCs w:val="28"/>
        </w:rPr>
        <w:t>普华永道中天会计师事务所有限公司为本公司出具了标准无保留</w:t>
      </w:r>
      <w:r>
        <w:rPr>
          <w:rFonts w:ascii="宋体" w:hAnsi="宋体" w:cs="宋体" w:eastAsia="宋体" w:hint="default"/>
          <w:b/>
          <w:bCs/>
          <w:spacing w:val="8"/>
          <w:w w:val="99"/>
          <w:sz w:val="28"/>
          <w:szCs w:val="28"/>
        </w:rPr>
        <w:t> </w:t>
      </w:r>
      <w:r>
        <w:rPr>
          <w:rFonts w:ascii="宋体" w:hAnsi="宋体" w:cs="宋体" w:eastAsia="宋体" w:hint="default"/>
          <w:b/>
          <w:bCs/>
          <w:sz w:val="28"/>
          <w:szCs w:val="28"/>
        </w:rPr>
        <w:t>意见的审计报告。</w:t>
      </w:r>
      <w:r>
        <w:rPr>
          <w:rFonts w:ascii="宋体" w:hAnsi="宋体" w:cs="宋体" w:eastAsia="宋体" w:hint="default"/>
          <w:sz w:val="28"/>
          <w:szCs w:val="28"/>
        </w:rPr>
      </w:r>
    </w:p>
    <w:p>
      <w:pPr>
        <w:spacing w:line="408" w:lineRule="auto" w:before="61"/>
        <w:ind w:left="143" w:right="183"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公司董事长张近东先生、财务负责人朱华女士及会计机构负责人肖</w:t>
      </w:r>
      <w:r>
        <w:rPr>
          <w:rFonts w:ascii="宋体" w:hAnsi="宋体" w:cs="宋体" w:eastAsia="宋体" w:hint="default"/>
          <w:b/>
          <w:bCs/>
          <w:w w:val="99"/>
          <w:sz w:val="28"/>
          <w:szCs w:val="28"/>
        </w:rPr>
        <w:t> </w:t>
      </w:r>
      <w:r>
        <w:rPr>
          <w:rFonts w:ascii="宋体" w:hAnsi="宋体" w:cs="宋体" w:eastAsia="宋体" w:hint="default"/>
          <w:b/>
          <w:bCs/>
          <w:sz w:val="28"/>
          <w:szCs w:val="28"/>
        </w:rPr>
        <w:t>忠祥先生声明：保证本年度报告中财务报告的真实、完整。</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headerReference w:type="default" r:id="rId6"/>
          <w:footerReference w:type="default" r:id="rId7"/>
          <w:pgSz w:w="11910" w:h="16840"/>
          <w:pgMar w:header="879" w:footer="982" w:top="1100" w:bottom="1180" w:left="1500" w:right="1460"/>
          <w:pgNumType w:start="2"/>
        </w:sectPr>
      </w:pPr>
    </w:p>
    <w:p>
      <w:pPr>
        <w:spacing w:line="240" w:lineRule="auto" w:before="8"/>
        <w:rPr>
          <w:rFonts w:ascii="宋体" w:hAnsi="宋体" w:cs="宋体" w:eastAsia="宋体" w:hint="default"/>
          <w:b/>
          <w:bCs/>
          <w:sz w:val="13"/>
          <w:szCs w:val="13"/>
        </w:rPr>
      </w:pPr>
    </w:p>
    <w:p>
      <w:pPr>
        <w:tabs>
          <w:tab w:pos="922" w:val="left" w:leader="none"/>
        </w:tabs>
        <w:spacing w:before="1"/>
        <w:ind w:left="121"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240" w:val="left" w:leader="none"/>
              <w:tab w:pos="8892" w:val="right" w:leader="dot"/>
            </w:tabs>
            <w:spacing w:line="240" w:lineRule="auto" w:before="669"/>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240" w:val="left" w:leader="none"/>
              <w:tab w:pos="889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第二节</w:t>
              <w:tab/>
            </w:r>
            <w:r>
              <w:rPr/>
              <w:t>会计数据和业务数据摘要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240" w:val="left" w:leader="none"/>
              <w:tab w:pos="889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第三节</w:t>
              <w:tab/>
            </w:r>
            <w:r>
              <w:rPr/>
              <w:t>股本变动及股东情况</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240" w:val="left" w:leader="none"/>
              <w:tab w:pos="889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第四节</w:t>
              <w:tab/>
            </w:r>
            <w:r>
              <w:rPr/>
              <w:t>董事、监事、高级管理人员和员工的情况</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24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第五节</w:t>
              <w:tab/>
            </w:r>
            <w:r>
              <w:rPr/>
              <w:t>公司治理结构</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124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第六节</w:t>
              <w:tab/>
            </w:r>
            <w:r>
              <w:rPr/>
              <w:t>股东大会情况简介</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124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第七节</w:t>
              <w:tab/>
            </w:r>
            <w:r>
              <w:rPr/>
              <w:t>董事会报告</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24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第八节</w:t>
              <w:tab/>
            </w:r>
            <w:r>
              <w:rPr/>
              <w:t>监事会报告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24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第九节</w:t>
              <w:tab/>
            </w:r>
            <w:r>
              <w:rPr/>
              <w:t>重要事项</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24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第十节</w:t>
              <w:tab/>
            </w:r>
            <w:r>
              <w:rPr/>
              <w:t>财务报告</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1519" w:val="left" w:leader="none"/>
              <w:tab w:pos="889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第十一节</w:t>
              <w:tab/>
            </w:r>
            <w:r>
              <w:rPr/>
              <w:t>备查文件目录</w:t>
            </w:r>
            <w:r>
              <w:rPr>
                <w:rFonts w:ascii="Times New Roman" w:hAnsi="Times New Roman" w:cs="Times New Roman" w:eastAsia="Times New Roman" w:hint="default"/>
              </w:rPr>
              <w:tab/>
              <w:t>163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9" w:footer="982" w:top="1100" w:bottom="1180" w:left="1360" w:right="1480"/>
        </w:sectPr>
      </w:pPr>
    </w:p>
    <w:p>
      <w:pPr>
        <w:pStyle w:val="Heading1"/>
        <w:tabs>
          <w:tab w:pos="3811" w:val="left" w:leader="none"/>
        </w:tabs>
        <w:spacing w:line="240" w:lineRule="auto" w:before="179"/>
        <w:ind w:left="2530" w:right="2428"/>
        <w:jc w:val="left"/>
        <w:rPr>
          <w:b w:val="0"/>
          <w:bCs w:val="0"/>
        </w:rPr>
      </w:pPr>
      <w:bookmarkStart w:name="_TOC_250010" w:id="1"/>
      <w:r>
        <w:rPr>
          <w:w w:val="95"/>
        </w:rPr>
        <w:t>第一节</w:t>
        <w:tab/>
      </w:r>
      <w:r>
        <w:rPr/>
        <w:t>公司基本情况简介</w:t>
      </w:r>
      <w:bookmarkEnd w:id="1"/>
      <w:r>
        <w:rPr>
          <w:b w:val="0"/>
          <w:bCs w:val="0"/>
        </w:rPr>
      </w:r>
    </w:p>
    <w:p>
      <w:pPr>
        <w:pStyle w:val="BodyText"/>
        <w:spacing w:line="314" w:lineRule="auto" w:before="177"/>
        <w:ind w:left="1043" w:right="2428" w:hanging="42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、公司法定中文名称：苏宁电器股份有限公司 公司法定英文名称：</w:t>
      </w:r>
      <w:r>
        <w:rPr>
          <w:rFonts w:ascii="Times New Roman" w:hAnsi="Times New Roman" w:cs="Times New Roman" w:eastAsia="Times New Roman" w:hint="default"/>
        </w:rPr>
        <w:t>SUNING APPLIANCE</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4"/>
        </w:rPr>
        <w:t>CO.,LTD.</w:t>
      </w:r>
      <w:r>
        <w:rPr>
          <w:rFonts w:ascii="Times New Roman" w:hAnsi="Times New Roman" w:cs="Times New Roman" w:eastAsia="Times New Roman" w:hint="default"/>
        </w:rPr>
      </w:r>
    </w:p>
    <w:p>
      <w:pPr>
        <w:pStyle w:val="BodyText"/>
        <w:spacing w:line="333" w:lineRule="auto" w:before="22"/>
        <w:ind w:left="1043" w:right="3923"/>
        <w:jc w:val="left"/>
        <w:rPr>
          <w:rFonts w:ascii="Times New Roman" w:hAnsi="Times New Roman" w:cs="Times New Roman" w:eastAsia="Times New Roman" w:hint="default"/>
        </w:rPr>
      </w:pPr>
      <w:r>
        <w:rPr/>
        <w:t>中文名称缩写：苏宁电器 英文名称缩写：</w:t>
      </w:r>
      <w:r>
        <w:rPr>
          <w:rFonts w:ascii="Times New Roman" w:hAnsi="Times New Roman" w:cs="Times New Roman" w:eastAsia="Times New Roman" w:hint="default"/>
        </w:rPr>
        <w:t>SUNING</w:t>
      </w:r>
      <w:r>
        <w:rPr>
          <w:rFonts w:ascii="Times New Roman" w:hAnsi="Times New Roman" w:cs="Times New Roman" w:eastAsia="Times New Roman" w:hint="default"/>
          <w:spacing w:val="-29"/>
        </w:rPr>
        <w:t> </w:t>
      </w:r>
      <w:r>
        <w:rPr>
          <w:rFonts w:ascii="Times New Roman" w:hAnsi="Times New Roman" w:cs="Times New Roman" w:eastAsia="Times New Roman" w:hint="default"/>
        </w:rPr>
        <w:t>APPLIANCE</w:t>
      </w:r>
    </w:p>
    <w:p>
      <w:pPr>
        <w:pStyle w:val="BodyText"/>
        <w:spacing w:line="240" w:lineRule="auto" w:before="1"/>
        <w:ind w:left="623" w:right="2428"/>
        <w:jc w:val="left"/>
      </w:pPr>
      <w:r>
        <w:rPr>
          <w:rFonts w:ascii="Times New Roman" w:hAnsi="Times New Roman" w:cs="Times New Roman" w:eastAsia="Times New Roman" w:hint="default"/>
        </w:rPr>
        <w:t>2</w:t>
      </w:r>
      <w:r>
        <w:rPr/>
        <w:t>、公司法定代表人：张近东</w:t>
      </w:r>
    </w:p>
    <w:p>
      <w:pPr>
        <w:pStyle w:val="BodyText"/>
        <w:spacing w:line="240" w:lineRule="auto" w:before="104"/>
        <w:ind w:left="623" w:right="2428"/>
        <w:jc w:val="left"/>
      </w:pPr>
      <w:r>
        <w:rPr>
          <w:rFonts w:ascii="Times New Roman" w:hAnsi="Times New Roman" w:cs="Times New Roman" w:eastAsia="Times New Roman" w:hint="default"/>
        </w:rPr>
        <w:t>3</w:t>
      </w:r>
      <w:r>
        <w:rPr/>
        <w:t>、公司联系人和联系方式</w:t>
      </w:r>
    </w:p>
    <w:p>
      <w:pPr>
        <w:spacing w:line="240" w:lineRule="auto" w:before="2"/>
        <w:rPr>
          <w:rFonts w:ascii="宋体" w:hAnsi="宋体" w:cs="宋体" w:eastAsia="宋体" w:hint="default"/>
          <w:sz w:val="6"/>
          <w:szCs w:val="6"/>
        </w:rPr>
      </w:pPr>
    </w:p>
    <w:tbl>
      <w:tblPr>
        <w:tblW w:w="0" w:type="auto"/>
        <w:jc w:val="left"/>
        <w:tblInd w:w="190" w:type="dxa"/>
        <w:tblLayout w:type="fixed"/>
        <w:tblCellMar>
          <w:top w:w="0" w:type="dxa"/>
          <w:left w:w="0" w:type="dxa"/>
          <w:bottom w:w="0" w:type="dxa"/>
          <w:right w:w="0" w:type="dxa"/>
        </w:tblCellMar>
        <w:tblLook w:val="01E0"/>
      </w:tblPr>
      <w:tblGrid>
        <w:gridCol w:w="1116"/>
        <w:gridCol w:w="2466"/>
        <w:gridCol w:w="2466"/>
        <w:gridCol w:w="2466"/>
      </w:tblGrid>
      <w:tr>
        <w:trPr>
          <w:trHeight w:val="340" w:hRule="exact"/>
        </w:trPr>
        <w:tc>
          <w:tcPr>
            <w:tcW w:w="1116"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投资者关系管理负责人</w:t>
            </w:r>
          </w:p>
        </w:tc>
      </w:tr>
      <w:tr>
        <w:trPr>
          <w:trHeight w:val="341"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姓</w:t>
              <w:tab/>
              <w:t>名</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任  峻</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韩</w:t>
            </w:r>
            <w:r>
              <w:rPr>
                <w:rFonts w:ascii="宋体" w:hAnsi="宋体" w:cs="宋体" w:eastAsia="宋体" w:hint="default"/>
                <w:spacing w:val="90"/>
                <w:sz w:val="18"/>
                <w:szCs w:val="18"/>
              </w:rPr>
              <w:t> </w:t>
            </w:r>
            <w:r>
              <w:rPr>
                <w:rFonts w:ascii="宋体" w:hAnsi="宋体" w:cs="宋体" w:eastAsia="宋体" w:hint="default"/>
                <w:sz w:val="18"/>
                <w:szCs w:val="18"/>
              </w:rPr>
              <w:t>枫</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90"/>
                <w:sz w:val="18"/>
                <w:szCs w:val="18"/>
              </w:rPr>
              <w:t> </w:t>
            </w:r>
            <w:r>
              <w:rPr>
                <w:rFonts w:ascii="宋体" w:hAnsi="宋体" w:cs="宋体" w:eastAsia="宋体" w:hint="default"/>
                <w:sz w:val="18"/>
                <w:szCs w:val="18"/>
              </w:rPr>
              <w:t>峻</w:t>
            </w:r>
          </w:p>
        </w:tc>
      </w:tr>
      <w:tr>
        <w:trPr>
          <w:trHeight w:val="34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江苏省南京市淮海路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江苏省南京市淮海路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江苏省南京市淮海路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4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电</w:t>
              <w:tab/>
              <w:t>话</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025-84418888-888155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025-84418888-888122</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025-84418888-888155</w:t>
            </w:r>
          </w:p>
        </w:tc>
      </w:tr>
      <w:tr>
        <w:trPr>
          <w:trHeight w:val="341"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传</w:t>
              <w:tab/>
              <w:t>真</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025-84467008</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025-84467008</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025-84467008</w:t>
            </w:r>
          </w:p>
        </w:tc>
      </w:tr>
      <w:tr>
        <w:trPr>
          <w:trHeight w:val="34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w w:val="99"/>
                <w:sz w:val="18"/>
              </w:rPr>
            </w:r>
            <w:hyperlink r:id="rId8">
              <w:r>
                <w:rPr>
                  <w:rFonts w:ascii="Times New Roman"/>
                  <w:sz w:val="18"/>
                  <w:u w:val="single" w:color="000000"/>
                </w:rPr>
                <w:t>stock@cnsuning.com</w:t>
              </w:r>
              <w:r>
                <w:rPr>
                  <w:rFonts w:ascii="Times New Roman"/>
                  <w:sz w:val="18"/>
                </w:rPr>
              </w:r>
            </w:hyperlink>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w w:val="99"/>
                <w:sz w:val="18"/>
              </w:rPr>
            </w:r>
            <w:hyperlink r:id="rId8">
              <w:r>
                <w:rPr>
                  <w:rFonts w:ascii="Times New Roman"/>
                  <w:sz w:val="18"/>
                  <w:u w:val="single" w:color="000000"/>
                </w:rPr>
                <w:t>stock@cnsuning.com</w:t>
              </w:r>
              <w:r>
                <w:rPr>
                  <w:rFonts w:ascii="Times New Roman"/>
                  <w:sz w:val="18"/>
                </w:rPr>
              </w:r>
            </w:hyperlink>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w w:val="99"/>
                <w:sz w:val="18"/>
              </w:rPr>
            </w:r>
            <w:hyperlink r:id="rId8">
              <w:r>
                <w:rPr>
                  <w:rFonts w:ascii="Times New Roman"/>
                  <w:sz w:val="18"/>
                  <w:u w:val="single" w:color="000000"/>
                </w:rPr>
                <w:t>stock@cnsuning.com</w:t>
              </w:r>
              <w:r>
                <w:rPr>
                  <w:rFonts w:ascii="Times New Roman"/>
                  <w:sz w:val="18"/>
                </w:rPr>
              </w:r>
            </w:hyperlink>
          </w:p>
        </w:tc>
      </w:tr>
    </w:tbl>
    <w:p>
      <w:pPr>
        <w:pStyle w:val="BodyText"/>
        <w:spacing w:line="240" w:lineRule="auto" w:before="24"/>
        <w:ind w:left="624" w:right="1818"/>
        <w:jc w:val="left"/>
      </w:pPr>
      <w:r>
        <w:rPr>
          <w:rFonts w:ascii="Times New Roman" w:hAnsi="Times New Roman" w:cs="Times New Roman" w:eastAsia="Times New Roman" w:hint="default"/>
        </w:rPr>
        <w:t>4</w:t>
      </w:r>
      <w:r>
        <w:rPr/>
        <w:t>、公司注册地址：江苏省南京市山西路</w:t>
      </w:r>
      <w:r>
        <w:rPr>
          <w:spacing w:val="-60"/>
        </w:rPr>
        <w:t> </w:t>
      </w:r>
      <w:r>
        <w:rPr>
          <w:rFonts w:ascii="Times New Roman" w:hAnsi="Times New Roman" w:cs="Times New Roman" w:eastAsia="Times New Roman" w:hint="default"/>
        </w:rPr>
        <w:t>8 </w:t>
      </w:r>
      <w:r>
        <w:rPr/>
        <w:t>号金山大厦</w:t>
      </w:r>
      <w:r>
        <w:rPr>
          <w:spacing w:val="-60"/>
        </w:rPr>
        <w:t> </w:t>
      </w:r>
      <w:r>
        <w:rPr>
          <w:rFonts w:ascii="Times New Roman" w:hAnsi="Times New Roman" w:cs="Times New Roman" w:eastAsia="Times New Roman" w:hint="default"/>
        </w:rPr>
        <w:t>1-5 </w:t>
      </w:r>
      <w:r>
        <w:rPr/>
        <w:t>层</w:t>
      </w:r>
    </w:p>
    <w:p>
      <w:pPr>
        <w:pStyle w:val="BodyText"/>
        <w:spacing w:line="314" w:lineRule="auto" w:before="104"/>
        <w:ind w:left="1043" w:right="3421"/>
        <w:jc w:val="left"/>
        <w:rPr>
          <w:rFonts w:ascii="Times New Roman" w:hAnsi="Times New Roman" w:cs="Times New Roman" w:eastAsia="Times New Roman" w:hint="default"/>
        </w:rPr>
      </w:pPr>
      <w:r>
        <w:rPr/>
        <w:t>公司办公地址：江苏省南京市淮海路</w:t>
      </w:r>
      <w:r>
        <w:rPr>
          <w:spacing w:val="-60"/>
        </w:rPr>
        <w:t> </w:t>
      </w:r>
      <w:r>
        <w:rPr>
          <w:rFonts w:ascii="Times New Roman" w:hAnsi="Times New Roman" w:cs="Times New Roman" w:eastAsia="Times New Roman" w:hint="default"/>
        </w:rPr>
        <w:t>68 </w:t>
      </w:r>
      <w:r>
        <w:rPr/>
        <w:t>号 邮政编码：</w:t>
      </w:r>
      <w:r>
        <w:rPr>
          <w:rFonts w:ascii="Times New Roman" w:hAnsi="Times New Roman" w:cs="Times New Roman" w:eastAsia="Times New Roman" w:hint="default"/>
        </w:rPr>
        <w:t>210005 </w:t>
      </w:r>
      <w:r>
        <w:rPr/>
        <w:t>互联网网址：</w:t>
      </w:r>
      <w:r>
        <w:rPr>
          <w:rFonts w:ascii="Times New Roman" w:hAnsi="Times New Roman" w:cs="Times New Roman" w:eastAsia="Times New Roman" w:hint="default"/>
        </w:rPr>
      </w:r>
      <w:hyperlink r:id="rId9">
        <w:r>
          <w:rPr>
            <w:rFonts w:ascii="Times New Roman" w:hAnsi="Times New Roman" w:cs="Times New Roman" w:eastAsia="Times New Roman" w:hint="default"/>
            <w:u w:val="single" w:color="000000"/>
          </w:rPr>
          <w:t>http://www.cnsuning.com</w:t>
        </w:r>
        <w:r>
          <w:rPr>
            <w:rFonts w:ascii="Times New Roman" w:hAnsi="Times New Roman" w:cs="Times New Roman" w:eastAsia="Times New Roman" w:hint="default"/>
            <w:w w:val="99"/>
          </w:rPr>
        </w:r>
      </w:hyperlink>
      <w:r>
        <w:rPr>
          <w:rFonts w:ascii="Times New Roman" w:hAnsi="Times New Roman" w:cs="Times New Roman" w:eastAsia="Times New Roman" w:hint="default"/>
          <w:w w:val="99"/>
        </w:rPr>
        <w:t> </w:t>
      </w:r>
      <w:r>
        <w:rPr/>
        <w:t>电子信箱：</w:t>
      </w:r>
      <w:hyperlink r:id="rId8">
        <w:r>
          <w:rPr>
            <w:rFonts w:ascii="Times New Roman" w:hAnsi="Times New Roman" w:cs="Times New Roman" w:eastAsia="Times New Roman" w:hint="default"/>
          </w:rPr>
        </w:r>
        <w:r>
          <w:rPr>
            <w:rFonts w:ascii="Times New Roman" w:hAnsi="Times New Roman" w:cs="Times New Roman" w:eastAsia="Times New Roman" w:hint="default"/>
            <w:u w:val="single" w:color="000000"/>
          </w:rPr>
          <w:t>stock@cnsuning.com</w:t>
        </w:r>
        <w:r>
          <w:rPr>
            <w:rFonts w:ascii="Times New Roman" w:hAnsi="Times New Roman" w:cs="Times New Roman" w:eastAsia="Times New Roman" w:hint="default"/>
          </w:rPr>
        </w:r>
      </w:hyperlink>
    </w:p>
    <w:p>
      <w:pPr>
        <w:pStyle w:val="BodyText"/>
        <w:spacing w:line="240" w:lineRule="auto" w:before="22"/>
        <w:ind w:left="622" w:right="1818"/>
        <w:jc w:val="left"/>
      </w:pPr>
      <w:r>
        <w:rPr>
          <w:rFonts w:ascii="Times New Roman" w:hAnsi="Times New Roman" w:cs="Times New Roman" w:eastAsia="Times New Roman" w:hint="default"/>
        </w:rPr>
        <w:t>5</w:t>
      </w:r>
      <w:r>
        <w:rPr/>
        <w:t>、公司选定的信息披露报纸</w:t>
      </w:r>
      <w:r>
        <w:rPr>
          <w:spacing w:val="-120"/>
        </w:rPr>
        <w:t>：</w:t>
      </w:r>
      <w:r>
        <w:rPr/>
        <w:t>《证券时报</w:t>
      </w:r>
      <w:r>
        <w:rPr>
          <w:spacing w:val="-120"/>
        </w:rPr>
        <w:t>》、</w:t>
      </w:r>
      <w:r>
        <w:rPr/>
        <w:t>《中国证券报》</w:t>
      </w:r>
    </w:p>
    <w:p>
      <w:pPr>
        <w:pStyle w:val="BodyText"/>
        <w:spacing w:line="333" w:lineRule="auto" w:before="104"/>
        <w:ind w:left="803" w:right="2062" w:firstLine="2931"/>
        <w:jc w:val="left"/>
        <w:rPr>
          <w:rFonts w:ascii="Times New Roman" w:hAnsi="Times New Roman" w:cs="Times New Roman" w:eastAsia="Times New Roman" w:hint="default"/>
        </w:rPr>
      </w:pPr>
      <w:r>
        <w:rPr>
          <w:spacing w:val="-18"/>
        </w:rPr>
        <w:t>《上海证券报》、《证券日报》</w:t>
      </w:r>
      <w:r>
        <w:rPr/>
        <w:t> 指定信息披露网址：</w:t>
      </w:r>
      <w:r>
        <w:rPr>
          <w:rFonts w:ascii="Times New Roman" w:hAnsi="Times New Roman" w:cs="Times New Roman" w:eastAsia="Times New Roman" w:hint="default"/>
        </w:rPr>
      </w:r>
      <w:hyperlink r:id="rId10">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p>
    <w:p>
      <w:pPr>
        <w:pStyle w:val="BodyText"/>
        <w:spacing w:line="240" w:lineRule="auto" w:before="1"/>
        <w:ind w:left="384" w:right="2428"/>
        <w:jc w:val="left"/>
      </w:pPr>
      <w:r>
        <w:rPr/>
        <w:t>公司年度报告备置地点：公司董事会秘书办公室</w:t>
      </w:r>
    </w:p>
    <w:p>
      <w:pPr>
        <w:pStyle w:val="BodyText"/>
        <w:spacing w:line="324" w:lineRule="auto" w:before="122"/>
        <w:ind w:left="1104" w:right="4320" w:hanging="48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、股票上市交易所：深圳证券交易所 股票简称：苏宁电器 股票代码：</w:t>
      </w:r>
      <w:r>
        <w:rPr>
          <w:rFonts w:ascii="Times New Roman" w:hAnsi="Times New Roman" w:cs="Times New Roman" w:eastAsia="Times New Roman" w:hint="default"/>
        </w:rPr>
        <w:t>002024</w:t>
      </w:r>
    </w:p>
    <w:p>
      <w:pPr>
        <w:pStyle w:val="BodyText"/>
        <w:spacing w:line="240" w:lineRule="auto" w:before="11"/>
        <w:ind w:left="624" w:right="2428"/>
        <w:jc w:val="left"/>
      </w:pPr>
      <w:r>
        <w:rPr>
          <w:rFonts w:ascii="Times New Roman" w:hAnsi="Times New Roman" w:cs="Times New Roman" w:eastAsia="Times New Roman" w:hint="default"/>
        </w:rPr>
        <w:t>7</w:t>
      </w:r>
      <w:r>
        <w:rPr/>
        <w:t>、公司首次注册登记日期：</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29 </w:t>
      </w:r>
      <w:r>
        <w:rPr/>
        <w:t>日</w:t>
      </w:r>
    </w:p>
    <w:p>
      <w:pPr>
        <w:pStyle w:val="BodyText"/>
        <w:spacing w:line="314" w:lineRule="auto" w:before="104"/>
        <w:ind w:left="864" w:right="2820" w:firstLine="240"/>
        <w:jc w:val="left"/>
      </w:pPr>
      <w:r>
        <w:rPr/>
        <w:t>最近一次变更注册登记日期：</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19 </w:t>
      </w:r>
      <w:r>
        <w:rPr/>
        <w:t>日 注册登记地点：江苏省工商行政管理局</w:t>
      </w:r>
    </w:p>
    <w:p>
      <w:pPr>
        <w:pStyle w:val="BodyText"/>
        <w:spacing w:line="319" w:lineRule="auto" w:before="48"/>
        <w:ind w:left="864" w:right="1818" w:hanging="240"/>
        <w:jc w:val="left"/>
      </w:pPr>
      <w:r>
        <w:rPr>
          <w:rFonts w:ascii="Times New Roman" w:hAnsi="Times New Roman" w:cs="Times New Roman" w:eastAsia="Times New Roman" w:hint="default"/>
        </w:rPr>
        <w:t>8</w:t>
      </w:r>
      <w:r>
        <w:rPr/>
        <w:t>、企业法人营业执照注册号：</w:t>
      </w:r>
      <w:r>
        <w:rPr>
          <w:rFonts w:ascii="Times New Roman" w:hAnsi="Times New Roman" w:cs="Times New Roman" w:eastAsia="Times New Roman" w:hint="default"/>
        </w:rPr>
        <w:t>3200002100433 </w:t>
      </w:r>
      <w:r>
        <w:rPr/>
        <w:t>税务登记号码：苏宁税苏字</w:t>
      </w:r>
      <w:r>
        <w:rPr>
          <w:spacing w:val="-60"/>
        </w:rPr>
        <w:t> </w:t>
      </w:r>
      <w:r>
        <w:rPr>
          <w:rFonts w:ascii="Times New Roman" w:hAnsi="Times New Roman" w:cs="Times New Roman" w:eastAsia="Times New Roman" w:hint="default"/>
        </w:rPr>
        <w:t>320106608950987 </w:t>
      </w:r>
      <w:r>
        <w:rPr/>
        <w:t>组织机构代码证号码：</w:t>
      </w:r>
      <w:r>
        <w:rPr>
          <w:rFonts w:ascii="Times New Roman" w:hAnsi="Times New Roman" w:cs="Times New Roman" w:eastAsia="Times New Roman" w:hint="default"/>
        </w:rPr>
        <w:t>60895098-7 </w:t>
      </w:r>
      <w:r>
        <w:rPr/>
        <w:t>聘请的会计师事务所：普华永道中天会计师事务所有限公司 会计师事务所地址：中国上海市湖滨路</w:t>
      </w:r>
      <w:r>
        <w:rPr>
          <w:spacing w:val="-60"/>
        </w:rPr>
        <w:t> </w:t>
      </w:r>
      <w:r>
        <w:rPr>
          <w:rFonts w:ascii="Times New Roman" w:hAnsi="Times New Roman" w:cs="Times New Roman" w:eastAsia="Times New Roman" w:hint="default"/>
        </w:rPr>
        <w:t>202 </w:t>
      </w:r>
      <w:r>
        <w:rPr/>
        <w:t>号</w:t>
      </w:r>
    </w:p>
    <w:p>
      <w:pPr>
        <w:spacing w:after="0" w:line="319" w:lineRule="auto"/>
        <w:jc w:val="left"/>
        <w:sectPr>
          <w:pgSz w:w="11910" w:h="16840"/>
          <w:pgMar w:header="879" w:footer="982" w:top="1100" w:bottom="1180" w:left="1500" w:right="1480"/>
        </w:sectPr>
      </w:pPr>
    </w:p>
    <w:p>
      <w:pPr>
        <w:spacing w:line="240" w:lineRule="auto" w:before="8"/>
        <w:rPr>
          <w:rFonts w:ascii="宋体" w:hAnsi="宋体" w:cs="宋体" w:eastAsia="宋体" w:hint="default"/>
          <w:sz w:val="13"/>
          <w:szCs w:val="13"/>
        </w:rPr>
      </w:pPr>
    </w:p>
    <w:p>
      <w:pPr>
        <w:pStyle w:val="Heading1"/>
        <w:tabs>
          <w:tab w:pos="3389" w:val="left" w:leader="none"/>
        </w:tabs>
        <w:spacing w:line="240" w:lineRule="auto"/>
        <w:ind w:left="2109" w:right="0"/>
        <w:jc w:val="left"/>
        <w:rPr>
          <w:b w:val="0"/>
          <w:bCs w:val="0"/>
        </w:rPr>
      </w:pPr>
      <w:bookmarkStart w:name="_TOC_250009" w:id="2"/>
      <w:r>
        <w:rPr>
          <w:w w:val="95"/>
        </w:rPr>
        <w:t>第二节</w:t>
        <w:tab/>
      </w:r>
      <w:r>
        <w:rPr/>
        <w:t>会计数据和业务数据摘要</w:t>
      </w:r>
      <w:bookmarkEnd w:id="2"/>
      <w:r>
        <w:rPr>
          <w:b w:val="0"/>
          <w:bCs w:val="0"/>
        </w:rPr>
      </w:r>
    </w:p>
    <w:p>
      <w:pPr>
        <w:tabs>
          <w:tab w:pos="7163" w:val="left" w:leader="none"/>
        </w:tabs>
        <w:spacing w:before="193"/>
        <w:ind w:left="684" w:right="0" w:firstLine="0"/>
        <w:jc w:val="left"/>
        <w:rPr>
          <w:rFonts w:ascii="宋体" w:hAnsi="宋体" w:cs="宋体" w:eastAsia="宋体" w:hint="default"/>
          <w:sz w:val="21"/>
          <w:szCs w:val="21"/>
        </w:rPr>
      </w:pPr>
      <w:r>
        <w:rPr>
          <w:rFonts w:ascii="宋体" w:hAnsi="宋体" w:cs="宋体" w:eastAsia="宋体" w:hint="default"/>
          <w:sz w:val="24"/>
          <w:szCs w:val="24"/>
        </w:rPr>
        <w:t>一、公司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年度主要利润指标：</w:t>
        <w:tab/>
      </w:r>
      <w:r>
        <w:rPr>
          <w:rFonts w:ascii="宋体" w:hAnsi="宋体" w:cs="宋体" w:eastAsia="宋体" w:hint="default"/>
          <w:sz w:val="21"/>
          <w:szCs w:val="21"/>
        </w:rPr>
        <w:t>（单位：千元）</w:t>
      </w:r>
    </w:p>
    <w:p>
      <w:pPr>
        <w:spacing w:line="240" w:lineRule="auto" w:before="4"/>
        <w:rPr>
          <w:rFonts w:ascii="宋体" w:hAnsi="宋体" w:cs="宋体" w:eastAsia="宋体" w:hint="default"/>
          <w:sz w:val="7"/>
          <w:szCs w:val="7"/>
        </w:rPr>
      </w:pPr>
    </w:p>
    <w:tbl>
      <w:tblPr>
        <w:tblW w:w="0" w:type="auto"/>
        <w:jc w:val="left"/>
        <w:tblInd w:w="244" w:type="dxa"/>
        <w:tblLayout w:type="fixed"/>
        <w:tblCellMar>
          <w:top w:w="0" w:type="dxa"/>
          <w:left w:w="0" w:type="dxa"/>
          <w:bottom w:w="0" w:type="dxa"/>
          <w:right w:w="0" w:type="dxa"/>
        </w:tblCellMar>
        <w:tblLook w:val="01E0"/>
      </w:tblPr>
      <w:tblGrid>
        <w:gridCol w:w="4428"/>
        <w:gridCol w:w="4099"/>
      </w:tblGrid>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40,152,371</w:t>
            </w:r>
          </w:p>
        </w:tc>
      </w:tr>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2,250,060</w:t>
            </w:r>
          </w:p>
        </w:tc>
      </w:tr>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-8,702</w:t>
            </w:r>
          </w:p>
        </w:tc>
      </w:tr>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2,241,358</w:t>
            </w:r>
          </w:p>
        </w:tc>
      </w:tr>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1,465,426</w:t>
            </w:r>
          </w:p>
        </w:tc>
      </w:tr>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扣除非经常性损益后归属于上市公司股东的净利润</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1,466,034</w:t>
            </w:r>
          </w:p>
        </w:tc>
      </w:tr>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3,496,476</w:t>
            </w:r>
          </w:p>
        </w:tc>
      </w:tr>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1,997,875</w:t>
            </w:r>
          </w:p>
        </w:tc>
      </w:tr>
    </w:tbl>
    <w:p>
      <w:pPr>
        <w:pStyle w:val="BodyText"/>
        <w:spacing w:line="240" w:lineRule="auto" w:before="40"/>
        <w:ind w:left="684" w:right="0"/>
        <w:jc w:val="left"/>
      </w:pPr>
      <w:r>
        <w:rPr/>
        <w:t>注：报告期内扣除非经常性损益的项目及涉及金额如下：</w:t>
      </w:r>
    </w:p>
    <w:p>
      <w:pPr>
        <w:spacing w:line="240" w:lineRule="auto" w:before="9"/>
        <w:rPr>
          <w:rFonts w:ascii="宋体" w:hAnsi="宋体" w:cs="宋体" w:eastAsia="宋体" w:hint="default"/>
          <w:sz w:val="8"/>
          <w:szCs w:val="8"/>
        </w:rPr>
      </w:pPr>
    </w:p>
    <w:tbl>
      <w:tblPr>
        <w:tblW w:w="0" w:type="auto"/>
        <w:jc w:val="left"/>
        <w:tblInd w:w="244" w:type="dxa"/>
        <w:tblLayout w:type="fixed"/>
        <w:tblCellMar>
          <w:top w:w="0" w:type="dxa"/>
          <w:left w:w="0" w:type="dxa"/>
          <w:bottom w:w="0" w:type="dxa"/>
          <w:right w:w="0" w:type="dxa"/>
        </w:tblCellMar>
        <w:tblLook w:val="01E0"/>
      </w:tblPr>
      <w:tblGrid>
        <w:gridCol w:w="4428"/>
        <w:gridCol w:w="4099"/>
      </w:tblGrid>
      <w:tr>
        <w:trPr>
          <w:trHeight w:val="294"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0"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8,442</w:t>
            </w:r>
          </w:p>
        </w:tc>
      </w:tr>
      <w:tr>
        <w:trPr>
          <w:trHeight w:val="320"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-17,144</w:t>
            </w:r>
            <w:r>
              <w:rPr>
                <w:rFonts w:ascii="Times New Roman"/>
                <w:sz w:val="18"/>
              </w:rPr>
            </w:r>
          </w:p>
        </w:tc>
      </w:tr>
      <w:tr>
        <w:trPr>
          <w:trHeight w:val="320"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企业所得税及少数股东损益影响额</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8,094</w:t>
            </w:r>
          </w:p>
        </w:tc>
      </w:tr>
      <w:tr>
        <w:trPr>
          <w:trHeight w:val="320"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扣除所得税、少数股东损益后的非经常性损益</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-608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684" w:right="0"/>
        <w:jc w:val="left"/>
      </w:pPr>
      <w:r>
        <w:rPr/>
        <w:t>二、公司前三年主要会计数据和财务指标：</w:t>
      </w:r>
    </w:p>
    <w:p>
      <w:pPr>
        <w:tabs>
          <w:tab w:pos="7474" w:val="left" w:leader="none"/>
        </w:tabs>
        <w:spacing w:before="154"/>
        <w:ind w:left="683" w:right="0" w:firstLine="0"/>
        <w:jc w:val="left"/>
        <w:rPr>
          <w:rFonts w:ascii="宋体" w:hAnsi="宋体" w:cs="宋体" w:eastAsia="宋体" w:hint="default"/>
          <w:sz w:val="21"/>
          <w:szCs w:val="21"/>
        </w:rPr>
      </w:pPr>
      <w:r>
        <w:rPr>
          <w:rFonts w:ascii="Times New Roman" w:hAnsi="Times New Roman" w:cs="Times New Roman" w:eastAsia="Times New Roman" w:hint="default"/>
          <w:spacing w:val="-5"/>
          <w:sz w:val="24"/>
          <w:szCs w:val="24"/>
        </w:rPr>
        <w:t>1</w:t>
      </w:r>
      <w:r>
        <w:rPr>
          <w:rFonts w:ascii="宋体" w:hAnsi="宋体" w:cs="宋体" w:eastAsia="宋体" w:hint="default"/>
          <w:spacing w:val="-5"/>
          <w:sz w:val="24"/>
          <w:szCs w:val="24"/>
        </w:rPr>
        <w:t>、主要会计数据</w:t>
        <w:tab/>
      </w:r>
      <w:r>
        <w:rPr>
          <w:rFonts w:ascii="宋体" w:hAnsi="宋体" w:cs="宋体" w:eastAsia="宋体" w:hint="default"/>
          <w:spacing w:val="-3"/>
          <w:sz w:val="21"/>
          <w:szCs w:val="21"/>
        </w:rPr>
        <w:t>（单位：千元）</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495"/>
        <w:gridCol w:w="1116"/>
        <w:gridCol w:w="1319"/>
        <w:gridCol w:w="1204"/>
        <w:gridCol w:w="1438"/>
        <w:gridCol w:w="1116"/>
        <w:gridCol w:w="1117"/>
      </w:tblGrid>
      <w:tr>
        <w:trPr>
          <w:trHeight w:val="606" w:hRule="exact"/>
        </w:trPr>
        <w:tc>
          <w:tcPr>
            <w:tcW w:w="149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8" w:right="0"/>
              <w:jc w:val="left"/>
              <w:rPr>
                <w:rFonts w:ascii="宋体" w:hAnsi="宋体" w:cs="宋体" w:eastAsia="宋体" w:hint="default"/>
                <w:sz w:val="18"/>
                <w:szCs w:val="18"/>
              </w:rPr>
            </w:pPr>
            <w:r>
              <w:rPr>
                <w:rFonts w:ascii="宋体" w:hAnsi="宋体" w:cs="宋体" w:eastAsia="宋体" w:hint="default"/>
                <w:sz w:val="18"/>
                <w:szCs w:val="18"/>
              </w:rPr>
              <w:t>指标</w:t>
            </w:r>
          </w:p>
        </w:tc>
        <w:tc>
          <w:tcPr>
            <w:tcW w:w="111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349" w:right="167" w:hanging="18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23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510" w:hRule="exact"/>
        </w:trPr>
        <w:tc>
          <w:tcPr>
            <w:tcW w:w="1495" w:type="dxa"/>
            <w:vMerge/>
            <w:tcBorders>
              <w:left w:val="single" w:sz="8" w:space="0" w:color="000000"/>
              <w:bottom w:val="single" w:sz="8" w:space="0" w:color="000000"/>
              <w:right w:val="single" w:sz="8" w:space="0" w:color="000000"/>
            </w:tcBorders>
          </w:tcPr>
          <w:p>
            <w:pPr/>
          </w:p>
        </w:tc>
        <w:tc>
          <w:tcPr>
            <w:tcW w:w="1116" w:type="dxa"/>
            <w:vMerge/>
            <w:tcBorders>
              <w:left w:val="single" w:sz="8" w:space="0" w:color="000000"/>
              <w:bottom w:val="single" w:sz="8" w:space="0" w:color="000000"/>
              <w:right w:val="single" w:sz="8" w:space="0" w:color="000000"/>
            </w:tcBorders>
          </w:tcPr>
          <w:p>
            <w:pP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7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2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27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27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10"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40,152,371</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7"/>
              <w:jc w:val="right"/>
              <w:rPr>
                <w:rFonts w:ascii="Times New Roman" w:hAnsi="Times New Roman" w:cs="Times New Roman" w:eastAsia="Times New Roman" w:hint="default"/>
                <w:sz w:val="18"/>
                <w:szCs w:val="18"/>
              </w:rPr>
            </w:pPr>
            <w:r>
              <w:rPr>
                <w:rFonts w:ascii="Times New Roman"/>
                <w:sz w:val="18"/>
              </w:rPr>
              <w:t>26,273,195</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26,161,252</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w w:val="95"/>
                <w:sz w:val="18"/>
              </w:rPr>
              <w:t>53.48%</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16,904,880</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16,904,880</w:t>
            </w:r>
          </w:p>
        </w:tc>
      </w:tr>
      <w:tr>
        <w:trPr>
          <w:trHeight w:val="510"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2,241,358</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7"/>
              <w:jc w:val="right"/>
              <w:rPr>
                <w:rFonts w:ascii="Times New Roman" w:hAnsi="Times New Roman" w:cs="Times New Roman" w:eastAsia="Times New Roman" w:hint="default"/>
                <w:sz w:val="18"/>
                <w:szCs w:val="18"/>
              </w:rPr>
            </w:pPr>
            <w:r>
              <w:rPr>
                <w:rFonts w:ascii="Times New Roman"/>
                <w:sz w:val="18"/>
              </w:rPr>
              <w:t>1,121,946</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1,147,478</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w w:val="95"/>
                <w:sz w:val="18"/>
              </w:rPr>
              <w:t>95.33%</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pacing w:val="-2"/>
                <w:sz w:val="18"/>
              </w:rPr>
              <w:t>550,011</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552,089</w:t>
            </w:r>
          </w:p>
        </w:tc>
      </w:tr>
      <w:tr>
        <w:trPr>
          <w:trHeight w:val="510"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4"/>
              <w:ind w:left="98" w:right="96"/>
              <w:jc w:val="left"/>
              <w:rPr>
                <w:rFonts w:ascii="宋体" w:hAnsi="宋体" w:cs="宋体" w:eastAsia="宋体" w:hint="default"/>
                <w:sz w:val="18"/>
                <w:szCs w:val="18"/>
              </w:rPr>
            </w:pPr>
            <w:r>
              <w:rPr>
                <w:rFonts w:ascii="宋体" w:hAnsi="宋体" w:cs="宋体" w:eastAsia="宋体" w:hint="default"/>
                <w:spacing w:val="2"/>
                <w:sz w:val="18"/>
                <w:szCs w:val="18"/>
              </w:rPr>
              <w:t>归属于上市公司</w:t>
            </w:r>
            <w:r>
              <w:rPr>
                <w:rFonts w:ascii="宋体" w:hAnsi="宋体" w:cs="宋体" w:eastAsia="宋体" w:hint="default"/>
                <w:sz w:val="18"/>
                <w:szCs w:val="18"/>
              </w:rPr>
              <w:t> 股东的净利润</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1,465,426</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7"/>
              <w:jc w:val="right"/>
              <w:rPr>
                <w:rFonts w:ascii="Times New Roman" w:hAnsi="Times New Roman" w:cs="Times New Roman" w:eastAsia="Times New Roman" w:hint="default"/>
                <w:sz w:val="18"/>
                <w:szCs w:val="18"/>
              </w:rPr>
            </w:pPr>
            <w:r>
              <w:rPr>
                <w:rFonts w:ascii="Times New Roman"/>
                <w:sz w:val="18"/>
              </w:rPr>
              <w:t>720,300</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757,636</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7"/>
              <w:jc w:val="right"/>
              <w:rPr>
                <w:rFonts w:ascii="Times New Roman" w:hAnsi="Times New Roman" w:cs="Times New Roman" w:eastAsia="Times New Roman" w:hint="default"/>
                <w:sz w:val="18"/>
                <w:szCs w:val="18"/>
              </w:rPr>
            </w:pPr>
            <w:r>
              <w:rPr>
                <w:rFonts w:ascii="Times New Roman"/>
                <w:w w:val="95"/>
                <w:sz w:val="18"/>
              </w:rPr>
              <w:t>93.42%</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350,630</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8"/>
              <w:jc w:val="right"/>
              <w:rPr>
                <w:rFonts w:ascii="Times New Roman" w:hAnsi="Times New Roman" w:cs="Times New Roman" w:eastAsia="Times New Roman" w:hint="default"/>
                <w:sz w:val="18"/>
                <w:szCs w:val="18"/>
              </w:rPr>
            </w:pPr>
            <w:r>
              <w:rPr>
                <w:rFonts w:ascii="Times New Roman"/>
                <w:sz w:val="18"/>
              </w:rPr>
              <w:t>374,653</w:t>
            </w:r>
          </w:p>
        </w:tc>
      </w:tr>
      <w:tr>
        <w:trPr>
          <w:trHeight w:val="1020"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96"/>
              <w:jc w:val="both"/>
              <w:rPr>
                <w:rFonts w:ascii="宋体" w:hAnsi="宋体" w:cs="宋体" w:eastAsia="宋体" w:hint="default"/>
                <w:sz w:val="18"/>
                <w:szCs w:val="18"/>
              </w:rPr>
            </w:pPr>
            <w:r>
              <w:rPr>
                <w:rFonts w:ascii="宋体" w:hAnsi="宋体" w:cs="宋体" w:eastAsia="宋体" w:hint="default"/>
                <w:spacing w:val="2"/>
                <w:sz w:val="18"/>
                <w:szCs w:val="18"/>
              </w:rPr>
              <w:t>归属于上市公司</w:t>
            </w:r>
            <w:r>
              <w:rPr>
                <w:rFonts w:ascii="宋体" w:hAnsi="宋体" w:cs="宋体" w:eastAsia="宋体" w:hint="default"/>
                <w:sz w:val="18"/>
                <w:szCs w:val="18"/>
              </w:rPr>
              <w:t> </w:t>
            </w:r>
            <w:r>
              <w:rPr>
                <w:rFonts w:ascii="宋体" w:hAnsi="宋体" w:cs="宋体" w:eastAsia="宋体" w:hint="default"/>
                <w:spacing w:val="2"/>
                <w:sz w:val="18"/>
                <w:szCs w:val="18"/>
              </w:rPr>
              <w:t>股东的扣除非经</w:t>
            </w:r>
            <w:r>
              <w:rPr>
                <w:rFonts w:ascii="宋体" w:hAnsi="宋体" w:cs="宋体" w:eastAsia="宋体" w:hint="default"/>
                <w:sz w:val="18"/>
                <w:szCs w:val="18"/>
              </w:rPr>
              <w:t> </w:t>
            </w:r>
            <w:r>
              <w:rPr>
                <w:rFonts w:ascii="宋体" w:hAnsi="宋体" w:cs="宋体" w:eastAsia="宋体" w:hint="default"/>
                <w:spacing w:val="2"/>
                <w:sz w:val="18"/>
                <w:szCs w:val="18"/>
              </w:rPr>
              <w:t>常性损益的净利</w:t>
            </w:r>
            <w:r>
              <w:rPr>
                <w:rFonts w:ascii="宋体" w:hAnsi="宋体" w:cs="宋体" w:eastAsia="宋体" w:hint="default"/>
                <w:sz w:val="18"/>
                <w:szCs w:val="18"/>
              </w:rPr>
              <w:t> 润</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95"/>
              <w:jc w:val="right"/>
              <w:rPr>
                <w:rFonts w:ascii="Times New Roman" w:hAnsi="Times New Roman" w:cs="Times New Roman" w:eastAsia="Times New Roman" w:hint="default"/>
                <w:sz w:val="18"/>
                <w:szCs w:val="18"/>
              </w:rPr>
            </w:pPr>
            <w:r>
              <w:rPr>
                <w:rFonts w:ascii="Times New Roman"/>
                <w:sz w:val="18"/>
              </w:rPr>
              <w:t>1,466,034</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720,161</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757,497</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w w:val="95"/>
                <w:sz w:val="18"/>
              </w:rPr>
              <w:t>93.54%</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95"/>
              <w:jc w:val="right"/>
              <w:rPr>
                <w:rFonts w:ascii="Times New Roman" w:hAnsi="Times New Roman" w:cs="Times New Roman" w:eastAsia="Times New Roman" w:hint="default"/>
                <w:sz w:val="18"/>
                <w:szCs w:val="18"/>
              </w:rPr>
            </w:pPr>
            <w:r>
              <w:rPr>
                <w:rFonts w:ascii="Times New Roman"/>
                <w:sz w:val="18"/>
              </w:rPr>
              <w:t>353,369</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377,391</w:t>
            </w:r>
          </w:p>
        </w:tc>
      </w:tr>
      <w:tr>
        <w:trPr>
          <w:trHeight w:val="510"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4"/>
              <w:ind w:left="98" w:right="96"/>
              <w:jc w:val="left"/>
              <w:rPr>
                <w:rFonts w:ascii="宋体" w:hAnsi="宋体" w:cs="宋体" w:eastAsia="宋体" w:hint="default"/>
                <w:sz w:val="18"/>
                <w:szCs w:val="18"/>
              </w:rPr>
            </w:pPr>
            <w:r>
              <w:rPr>
                <w:rFonts w:ascii="宋体" w:hAnsi="宋体" w:cs="宋体" w:eastAsia="宋体" w:hint="default"/>
                <w:spacing w:val="2"/>
                <w:sz w:val="18"/>
                <w:szCs w:val="18"/>
              </w:rPr>
              <w:t>经营活动产生的</w:t>
            </w:r>
            <w:r>
              <w:rPr>
                <w:rFonts w:ascii="宋体" w:hAnsi="宋体" w:cs="宋体" w:eastAsia="宋体" w:hint="default"/>
                <w:sz w:val="18"/>
                <w:szCs w:val="18"/>
              </w:rPr>
              <w:t> 现金流量净额</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3,496,476</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7"/>
              <w:jc w:val="right"/>
              <w:rPr>
                <w:rFonts w:ascii="Times New Roman" w:hAnsi="Times New Roman" w:cs="Times New Roman" w:eastAsia="Times New Roman" w:hint="default"/>
                <w:sz w:val="18"/>
                <w:szCs w:val="18"/>
              </w:rPr>
            </w:pPr>
            <w:r>
              <w:rPr>
                <w:rFonts w:ascii="Times New Roman"/>
                <w:sz w:val="18"/>
              </w:rPr>
              <w:t>150,751</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150,751</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w w:val="95"/>
                <w:sz w:val="18"/>
              </w:rPr>
              <w:t>2219.37%</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149,230</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149,230</w:t>
            </w:r>
          </w:p>
        </w:tc>
      </w:tr>
      <w:tr>
        <w:trPr>
          <w:trHeight w:val="510" w:hRule="exact"/>
        </w:trPr>
        <w:tc>
          <w:tcPr>
            <w:tcW w:w="1495"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指标</w:t>
            </w:r>
          </w:p>
        </w:tc>
        <w:tc>
          <w:tcPr>
            <w:tcW w:w="1116"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4"/>
              <w:ind w:left="169" w:right="167"/>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23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510" w:hRule="exact"/>
        </w:trPr>
        <w:tc>
          <w:tcPr>
            <w:tcW w:w="1495" w:type="dxa"/>
            <w:vMerge/>
            <w:tcBorders>
              <w:left w:val="single" w:sz="8" w:space="0" w:color="000000"/>
              <w:bottom w:val="single" w:sz="8" w:space="0" w:color="000000"/>
              <w:right w:val="single" w:sz="8" w:space="0" w:color="000000"/>
            </w:tcBorders>
          </w:tcPr>
          <w:p>
            <w:pPr/>
          </w:p>
        </w:tc>
        <w:tc>
          <w:tcPr>
            <w:tcW w:w="1116" w:type="dxa"/>
            <w:vMerge/>
            <w:tcBorders>
              <w:left w:val="single" w:sz="8" w:space="0" w:color="000000"/>
              <w:bottom w:val="single" w:sz="8" w:space="0" w:color="000000"/>
              <w:right w:val="single" w:sz="8" w:space="0" w:color="000000"/>
            </w:tcBorders>
          </w:tcPr>
          <w:p>
            <w:pP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7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2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27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27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10"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16,229,651</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7"/>
              <w:jc w:val="right"/>
              <w:rPr>
                <w:rFonts w:ascii="Times New Roman" w:hAnsi="Times New Roman" w:cs="Times New Roman" w:eastAsia="Times New Roman" w:hint="default"/>
                <w:sz w:val="18"/>
                <w:szCs w:val="18"/>
              </w:rPr>
            </w:pPr>
            <w:r>
              <w:rPr>
                <w:rFonts w:ascii="Times New Roman"/>
                <w:sz w:val="18"/>
              </w:rPr>
              <w:t>8,851,823</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8,829,047</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w w:val="95"/>
                <w:sz w:val="18"/>
              </w:rPr>
              <w:t>83.82%</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4,327,208</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4,367,195</w:t>
            </w:r>
          </w:p>
        </w:tc>
      </w:tr>
      <w:tr>
        <w:trPr>
          <w:trHeight w:val="510"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4"/>
              <w:ind w:left="98" w:right="96"/>
              <w:jc w:val="left"/>
              <w:rPr>
                <w:rFonts w:ascii="宋体" w:hAnsi="宋体" w:cs="宋体" w:eastAsia="宋体" w:hint="default"/>
                <w:sz w:val="18"/>
                <w:szCs w:val="18"/>
              </w:rPr>
            </w:pPr>
            <w:r>
              <w:rPr>
                <w:rFonts w:ascii="宋体" w:hAnsi="宋体" w:cs="宋体" w:eastAsia="宋体" w:hint="default"/>
                <w:spacing w:val="2"/>
                <w:sz w:val="18"/>
                <w:szCs w:val="18"/>
              </w:rPr>
              <w:t>归属于母公司所</w:t>
            </w:r>
            <w:r>
              <w:rPr>
                <w:rFonts w:ascii="宋体" w:hAnsi="宋体" w:cs="宋体" w:eastAsia="宋体" w:hint="default"/>
                <w:sz w:val="18"/>
                <w:szCs w:val="18"/>
              </w:rPr>
              <w:t> 有者权益</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4,623,562</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7"/>
              <w:jc w:val="right"/>
              <w:rPr>
                <w:rFonts w:ascii="Times New Roman" w:hAnsi="Times New Roman" w:cs="Times New Roman" w:eastAsia="Times New Roman" w:hint="default"/>
                <w:sz w:val="18"/>
                <w:szCs w:val="18"/>
              </w:rPr>
            </w:pPr>
            <w:r>
              <w:rPr>
                <w:rFonts w:ascii="Times New Roman"/>
                <w:sz w:val="18"/>
              </w:rPr>
              <w:t>3,084,367</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3,158,136</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w w:val="95"/>
                <w:sz w:val="18"/>
              </w:rPr>
              <w:t>46.40%</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1,169,047</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1,205,480</w:t>
            </w:r>
          </w:p>
        </w:tc>
      </w:tr>
      <w:tr>
        <w:trPr>
          <w:trHeight w:val="510"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1,441,504</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7"/>
              <w:jc w:val="right"/>
              <w:rPr>
                <w:rFonts w:ascii="Times New Roman" w:hAnsi="Times New Roman" w:cs="Times New Roman" w:eastAsia="Times New Roman" w:hint="default"/>
                <w:sz w:val="18"/>
                <w:szCs w:val="18"/>
              </w:rPr>
            </w:pPr>
            <w:r>
              <w:rPr>
                <w:rFonts w:ascii="Times New Roman"/>
                <w:sz w:val="18"/>
              </w:rPr>
              <w:t>720,752</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720,752</w:t>
            </w:r>
          </w:p>
        </w:tc>
        <w:tc>
          <w:tcPr>
            <w:tcW w:w="1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5"/>
              <w:jc w:val="right"/>
              <w:rPr>
                <w:rFonts w:ascii="Times New Roman" w:hAnsi="Times New Roman" w:cs="Times New Roman" w:eastAsia="Times New Roman" w:hint="default"/>
                <w:sz w:val="18"/>
                <w:szCs w:val="18"/>
              </w:rPr>
            </w:pPr>
            <w:r>
              <w:rPr>
                <w:rFonts w:ascii="Times New Roman"/>
                <w:sz w:val="18"/>
              </w:rPr>
              <w:t>335,376</w:t>
            </w:r>
          </w:p>
        </w:tc>
        <w:tc>
          <w:tcPr>
            <w:tcW w:w="1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6"/>
              <w:jc w:val="right"/>
              <w:rPr>
                <w:rFonts w:ascii="Times New Roman" w:hAnsi="Times New Roman" w:cs="Times New Roman" w:eastAsia="Times New Roman" w:hint="default"/>
                <w:sz w:val="18"/>
                <w:szCs w:val="18"/>
              </w:rPr>
            </w:pPr>
            <w:r>
              <w:rPr>
                <w:rFonts w:ascii="Times New Roman"/>
                <w:sz w:val="18"/>
              </w:rPr>
              <w:t>335,376</w:t>
            </w:r>
          </w:p>
        </w:tc>
      </w:tr>
    </w:tbl>
    <w:p>
      <w:pPr>
        <w:spacing w:after="0" w:line="240" w:lineRule="auto"/>
        <w:jc w:val="right"/>
        <w:rPr>
          <w:rFonts w:ascii="Times New Roman" w:hAnsi="Times New Roman" w:cs="Times New Roman" w:eastAsia="Times New Roman" w:hint="default"/>
          <w:sz w:val="18"/>
          <w:szCs w:val="18"/>
        </w:rPr>
        <w:sectPr>
          <w:pgSz w:w="11910" w:h="16840"/>
          <w:pgMar w:header="879" w:footer="982" w:top="1100" w:bottom="1180" w:left="1440" w:right="1420"/>
        </w:sectPr>
      </w:pPr>
    </w:p>
    <w:p>
      <w:pPr>
        <w:spacing w:line="240" w:lineRule="auto" w:before="10"/>
        <w:rPr>
          <w:rFonts w:ascii="宋体" w:hAnsi="宋体" w:cs="宋体" w:eastAsia="宋体" w:hint="default"/>
          <w:sz w:val="10"/>
          <w:szCs w:val="10"/>
        </w:rPr>
      </w:pPr>
    </w:p>
    <w:p>
      <w:pPr>
        <w:tabs>
          <w:tab w:pos="7963" w:val="left" w:leader="none"/>
        </w:tabs>
        <w:spacing w:before="26"/>
        <w:ind w:left="1364" w:right="883"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2</w:t>
      </w:r>
      <w:r>
        <w:rPr>
          <w:rFonts w:ascii="宋体" w:hAnsi="宋体" w:cs="宋体" w:eastAsia="宋体" w:hint="default"/>
          <w:sz w:val="24"/>
          <w:szCs w:val="24"/>
        </w:rPr>
        <w:t>、主要财务指标</w:t>
        <w:tab/>
      </w:r>
      <w:r>
        <w:rPr>
          <w:rFonts w:ascii="宋体" w:hAnsi="宋体" w:cs="宋体" w:eastAsia="宋体" w:hint="default"/>
          <w:sz w:val="21"/>
          <w:szCs w:val="21"/>
        </w:rPr>
        <w:t>（单位：元）</w:t>
      </w:r>
    </w:p>
    <w:p>
      <w:pPr>
        <w:spacing w:line="240" w:lineRule="auto" w:before="4"/>
        <w:rPr>
          <w:rFonts w:ascii="宋体" w:hAnsi="宋体" w:cs="宋体" w:eastAsia="宋体" w:hint="default"/>
          <w:sz w:val="7"/>
          <w:szCs w:val="7"/>
        </w:rPr>
      </w:pPr>
    </w:p>
    <w:tbl>
      <w:tblPr>
        <w:tblW w:w="0" w:type="auto"/>
        <w:jc w:val="left"/>
        <w:tblInd w:w="708" w:type="dxa"/>
        <w:tblLayout w:type="fixed"/>
        <w:tblCellMar>
          <w:top w:w="0" w:type="dxa"/>
          <w:left w:w="0" w:type="dxa"/>
          <w:bottom w:w="0" w:type="dxa"/>
          <w:right w:w="0" w:type="dxa"/>
        </w:tblCellMar>
        <w:tblLook w:val="01E0"/>
      </w:tblPr>
      <w:tblGrid>
        <w:gridCol w:w="2185"/>
        <w:gridCol w:w="1160"/>
        <w:gridCol w:w="960"/>
        <w:gridCol w:w="1145"/>
        <w:gridCol w:w="1302"/>
        <w:gridCol w:w="902"/>
        <w:gridCol w:w="140"/>
        <w:gridCol w:w="1153"/>
      </w:tblGrid>
      <w:tr>
        <w:trPr>
          <w:trHeight w:val="530" w:hRule="exact"/>
        </w:trPr>
        <w:tc>
          <w:tcPr>
            <w:tcW w:w="2185"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160"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14"/>
              <w:ind w:left="280" w:right="101" w:hanging="18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19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92" w:hRule="exact"/>
        </w:trPr>
        <w:tc>
          <w:tcPr>
            <w:tcW w:w="2185" w:type="dxa"/>
            <w:vMerge/>
            <w:tcBorders>
              <w:left w:val="single" w:sz="8" w:space="0" w:color="000000"/>
              <w:bottom w:val="single" w:sz="8" w:space="0" w:color="000000"/>
              <w:right w:val="single" w:sz="8" w:space="0" w:color="000000"/>
            </w:tcBorders>
          </w:tcPr>
          <w:p>
            <w:pPr/>
          </w:p>
        </w:tc>
        <w:tc>
          <w:tcPr>
            <w:tcW w:w="1160" w:type="dxa"/>
            <w:vMerge/>
            <w:tcBorders>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2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37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24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29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30" w:hRule="exact"/>
        </w:trPr>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z w:val="18"/>
              </w:rPr>
              <w:t>1.02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0.54</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w w:val="95"/>
                <w:sz w:val="18"/>
              </w:rPr>
              <w:t>88.89%</w:t>
            </w:r>
            <w:r>
              <w:rPr>
                <w:rFonts w:ascii="Times New Roman"/>
                <w:sz w:val="18"/>
              </w:rPr>
            </w:r>
          </w:p>
        </w:tc>
        <w:tc>
          <w:tcPr>
            <w:tcW w:w="104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609" w:right="0"/>
              <w:jc w:val="left"/>
              <w:rPr>
                <w:rFonts w:ascii="Times New Roman" w:hAnsi="Times New Roman" w:cs="Times New Roman" w:eastAsia="Times New Roman" w:hint="default"/>
                <w:sz w:val="18"/>
                <w:szCs w:val="18"/>
              </w:rPr>
            </w:pPr>
            <w:r>
              <w:rPr>
                <w:rFonts w:ascii="Times New Roman"/>
                <w:sz w:val="18"/>
              </w:rPr>
              <w:t>1.05</w:t>
            </w:r>
          </w:p>
        </w:tc>
        <w:tc>
          <w:tcPr>
            <w:tcW w:w="1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0.28</w:t>
            </w:r>
          </w:p>
        </w:tc>
      </w:tr>
      <w:tr>
        <w:trPr>
          <w:trHeight w:val="530" w:hRule="exact"/>
        </w:trPr>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z w:val="18"/>
              </w:rPr>
              <w:t>1.02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0.54</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w w:val="95"/>
                <w:sz w:val="18"/>
              </w:rPr>
              <w:t>88.89%</w:t>
            </w:r>
            <w:r>
              <w:rPr>
                <w:rFonts w:ascii="Times New Roman"/>
                <w:sz w:val="18"/>
              </w:rPr>
            </w:r>
          </w:p>
        </w:tc>
        <w:tc>
          <w:tcPr>
            <w:tcW w:w="104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609" w:right="0"/>
              <w:jc w:val="left"/>
              <w:rPr>
                <w:rFonts w:ascii="Times New Roman" w:hAnsi="Times New Roman" w:cs="Times New Roman" w:eastAsia="Times New Roman" w:hint="default"/>
                <w:sz w:val="18"/>
                <w:szCs w:val="18"/>
              </w:rPr>
            </w:pPr>
            <w:r>
              <w:rPr>
                <w:rFonts w:ascii="Times New Roman"/>
                <w:sz w:val="18"/>
              </w:rPr>
              <w:t>1.05</w:t>
            </w:r>
          </w:p>
        </w:tc>
        <w:tc>
          <w:tcPr>
            <w:tcW w:w="1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0.28</w:t>
            </w:r>
          </w:p>
        </w:tc>
      </w:tr>
      <w:tr>
        <w:trPr>
          <w:trHeight w:val="529" w:hRule="exact"/>
        </w:trPr>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14"/>
              <w:ind w:left="98" w:right="75"/>
              <w:jc w:val="left"/>
              <w:rPr>
                <w:rFonts w:ascii="宋体" w:hAnsi="宋体" w:cs="宋体" w:eastAsia="宋体" w:hint="default"/>
                <w:sz w:val="18"/>
                <w:szCs w:val="18"/>
              </w:rPr>
            </w:pPr>
            <w:r>
              <w:rPr>
                <w:rFonts w:ascii="宋体" w:hAnsi="宋体" w:cs="宋体" w:eastAsia="宋体" w:hint="default"/>
                <w:spacing w:val="16"/>
                <w:sz w:val="18"/>
                <w:szCs w:val="18"/>
              </w:rPr>
              <w:t>扣除非经常性损益后的</w:t>
            </w:r>
            <w:r>
              <w:rPr>
                <w:rFonts w:ascii="宋体" w:hAnsi="宋体" w:cs="宋体" w:eastAsia="宋体" w:hint="default"/>
                <w:spacing w:val="-82"/>
                <w:sz w:val="18"/>
                <w:szCs w:val="18"/>
              </w:rPr>
              <w:t> </w:t>
            </w:r>
            <w:r>
              <w:rPr>
                <w:rFonts w:ascii="宋体" w:hAnsi="宋体" w:cs="宋体" w:eastAsia="宋体" w:hint="default"/>
                <w:sz w:val="18"/>
                <w:szCs w:val="18"/>
              </w:rPr>
              <w:t>基本每股收益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z w:val="18"/>
              </w:rPr>
              <w:t>1.02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0.54</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w w:val="95"/>
                <w:sz w:val="18"/>
              </w:rPr>
              <w:t>88.89%</w:t>
            </w:r>
            <w:r>
              <w:rPr>
                <w:rFonts w:ascii="Times New Roman"/>
                <w:sz w:val="18"/>
              </w:rPr>
            </w:r>
          </w:p>
        </w:tc>
        <w:tc>
          <w:tcPr>
            <w:tcW w:w="104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609" w:right="0"/>
              <w:jc w:val="left"/>
              <w:rPr>
                <w:rFonts w:ascii="Times New Roman" w:hAnsi="Times New Roman" w:cs="Times New Roman" w:eastAsia="Times New Roman" w:hint="default"/>
                <w:sz w:val="18"/>
                <w:szCs w:val="18"/>
              </w:rPr>
            </w:pPr>
            <w:r>
              <w:rPr>
                <w:rFonts w:ascii="Times New Roman"/>
                <w:sz w:val="18"/>
              </w:rPr>
              <w:t>1.05</w:t>
            </w:r>
          </w:p>
        </w:tc>
        <w:tc>
          <w:tcPr>
            <w:tcW w:w="1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0.28</w:t>
            </w:r>
          </w:p>
        </w:tc>
      </w:tr>
      <w:tr>
        <w:trPr>
          <w:trHeight w:val="530" w:hRule="exact"/>
        </w:trPr>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z w:val="18"/>
              </w:rPr>
              <w:t>31.69%</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23.35%</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23.99%</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7.7%</w:t>
            </w:r>
          </w:p>
        </w:tc>
        <w:tc>
          <w:tcPr>
            <w:tcW w:w="104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369" w:right="0"/>
              <w:jc w:val="left"/>
              <w:rPr>
                <w:rFonts w:ascii="Times New Roman" w:hAnsi="Times New Roman" w:cs="Times New Roman" w:eastAsia="Times New Roman" w:hint="default"/>
                <w:sz w:val="18"/>
                <w:szCs w:val="18"/>
              </w:rPr>
            </w:pPr>
            <w:r>
              <w:rPr>
                <w:rFonts w:ascii="Times New Roman"/>
                <w:sz w:val="18"/>
              </w:rPr>
              <w:t>29.99%</w:t>
            </w:r>
          </w:p>
        </w:tc>
        <w:tc>
          <w:tcPr>
            <w:tcW w:w="1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31.08%</w:t>
            </w:r>
          </w:p>
        </w:tc>
      </w:tr>
      <w:tr>
        <w:trPr>
          <w:trHeight w:val="530" w:hRule="exact"/>
        </w:trPr>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z w:val="18"/>
              </w:rPr>
              <w:t>37.66%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33.87%</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34.73%</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w w:val="95"/>
                <w:sz w:val="18"/>
              </w:rPr>
              <w:t>2.93%</w:t>
            </w:r>
            <w:r>
              <w:rPr>
                <w:rFonts w:ascii="Times New Roman"/>
                <w:sz w:val="18"/>
              </w:rPr>
            </w:r>
          </w:p>
        </w:tc>
        <w:tc>
          <w:tcPr>
            <w:tcW w:w="104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369" w:right="0"/>
              <w:jc w:val="left"/>
              <w:rPr>
                <w:rFonts w:ascii="Times New Roman" w:hAnsi="Times New Roman" w:cs="Times New Roman" w:eastAsia="Times New Roman" w:hint="default"/>
                <w:sz w:val="18"/>
                <w:szCs w:val="18"/>
              </w:rPr>
            </w:pPr>
            <w:r>
              <w:rPr>
                <w:rFonts w:ascii="Times New Roman"/>
                <w:sz w:val="18"/>
              </w:rPr>
              <w:t>35.04%</w:t>
            </w:r>
          </w:p>
        </w:tc>
        <w:tc>
          <w:tcPr>
            <w:tcW w:w="1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37.00%</w:t>
            </w:r>
          </w:p>
        </w:tc>
      </w:tr>
      <w:tr>
        <w:trPr>
          <w:trHeight w:val="529" w:hRule="exact"/>
        </w:trPr>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14"/>
              <w:ind w:left="98" w:right="75"/>
              <w:jc w:val="left"/>
              <w:rPr>
                <w:rFonts w:ascii="宋体" w:hAnsi="宋体" w:cs="宋体" w:eastAsia="宋体" w:hint="default"/>
                <w:sz w:val="18"/>
                <w:szCs w:val="18"/>
              </w:rPr>
            </w:pPr>
            <w:r>
              <w:rPr>
                <w:rFonts w:ascii="宋体" w:hAnsi="宋体" w:cs="宋体" w:eastAsia="宋体" w:hint="default"/>
                <w:spacing w:val="16"/>
                <w:sz w:val="18"/>
                <w:szCs w:val="18"/>
              </w:rPr>
              <w:t>扣除非经常性损益后全</w:t>
            </w:r>
            <w:r>
              <w:rPr>
                <w:rFonts w:ascii="宋体" w:hAnsi="宋体" w:cs="宋体" w:eastAsia="宋体" w:hint="default"/>
                <w:spacing w:val="-82"/>
                <w:sz w:val="18"/>
                <w:szCs w:val="18"/>
              </w:rPr>
              <w:t> </w:t>
            </w:r>
            <w:r>
              <w:rPr>
                <w:rFonts w:ascii="宋体" w:hAnsi="宋体" w:cs="宋体" w:eastAsia="宋体" w:hint="default"/>
                <w:sz w:val="18"/>
                <w:szCs w:val="18"/>
              </w:rPr>
              <w:t>面摊薄净资产收益率</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z w:val="18"/>
              </w:rPr>
              <w:t>31.71%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23.35%</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23.99%</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w w:val="95"/>
                <w:sz w:val="18"/>
              </w:rPr>
              <w:t>7.72%</w:t>
            </w:r>
            <w:r>
              <w:rPr>
                <w:rFonts w:ascii="Times New Roman"/>
                <w:sz w:val="18"/>
              </w:rPr>
            </w:r>
          </w:p>
        </w:tc>
        <w:tc>
          <w:tcPr>
            <w:tcW w:w="104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369" w:right="0"/>
              <w:jc w:val="left"/>
              <w:rPr>
                <w:rFonts w:ascii="Times New Roman" w:hAnsi="Times New Roman" w:cs="Times New Roman" w:eastAsia="Times New Roman" w:hint="default"/>
                <w:sz w:val="18"/>
                <w:szCs w:val="18"/>
              </w:rPr>
            </w:pPr>
            <w:r>
              <w:rPr>
                <w:rFonts w:ascii="Times New Roman"/>
                <w:sz w:val="18"/>
              </w:rPr>
              <w:t>30.23%</w:t>
            </w:r>
          </w:p>
        </w:tc>
        <w:tc>
          <w:tcPr>
            <w:tcW w:w="1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31.31%</w:t>
            </w:r>
          </w:p>
        </w:tc>
      </w:tr>
      <w:tr>
        <w:trPr>
          <w:trHeight w:val="530" w:hRule="exact"/>
        </w:trPr>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14"/>
              <w:ind w:left="98" w:right="75"/>
              <w:jc w:val="left"/>
              <w:rPr>
                <w:rFonts w:ascii="宋体" w:hAnsi="宋体" w:cs="宋体" w:eastAsia="宋体" w:hint="default"/>
                <w:sz w:val="18"/>
                <w:szCs w:val="18"/>
              </w:rPr>
            </w:pPr>
            <w:r>
              <w:rPr>
                <w:rFonts w:ascii="宋体" w:hAnsi="宋体" w:cs="宋体" w:eastAsia="宋体" w:hint="default"/>
                <w:spacing w:val="16"/>
                <w:sz w:val="18"/>
                <w:szCs w:val="18"/>
              </w:rPr>
              <w:t>扣除非经常性损益后的</w:t>
            </w:r>
            <w:r>
              <w:rPr>
                <w:rFonts w:ascii="宋体" w:hAnsi="宋体" w:cs="宋体" w:eastAsia="宋体" w:hint="default"/>
                <w:spacing w:val="-82"/>
                <w:sz w:val="18"/>
                <w:szCs w:val="18"/>
              </w:rPr>
              <w:t> </w:t>
            </w:r>
            <w:r>
              <w:rPr>
                <w:rFonts w:ascii="宋体" w:hAnsi="宋体" w:cs="宋体" w:eastAsia="宋体" w:hint="default"/>
                <w:sz w:val="18"/>
                <w:szCs w:val="18"/>
              </w:rPr>
              <w:t>加权平均净资产收益率</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z w:val="18"/>
              </w:rPr>
              <w:t>37.68%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33.86%</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34.72%</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w w:val="95"/>
                <w:sz w:val="18"/>
              </w:rPr>
              <w:t>2.96%</w:t>
            </w:r>
            <w:r>
              <w:rPr>
                <w:rFonts w:ascii="Times New Roman"/>
                <w:sz w:val="18"/>
              </w:rPr>
            </w:r>
          </w:p>
        </w:tc>
        <w:tc>
          <w:tcPr>
            <w:tcW w:w="104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369" w:right="0"/>
              <w:jc w:val="left"/>
              <w:rPr>
                <w:rFonts w:ascii="Times New Roman" w:hAnsi="Times New Roman" w:cs="Times New Roman" w:eastAsia="Times New Roman" w:hint="default"/>
                <w:sz w:val="18"/>
                <w:szCs w:val="18"/>
              </w:rPr>
            </w:pPr>
            <w:r>
              <w:rPr>
                <w:rFonts w:ascii="Times New Roman"/>
                <w:sz w:val="18"/>
              </w:rPr>
              <w:t>35.32%</w:t>
            </w:r>
          </w:p>
        </w:tc>
        <w:tc>
          <w:tcPr>
            <w:tcW w:w="1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37.28%</w:t>
            </w:r>
          </w:p>
        </w:tc>
      </w:tr>
      <w:tr>
        <w:trPr>
          <w:trHeight w:val="530" w:hRule="exact"/>
        </w:trPr>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14"/>
              <w:ind w:left="98" w:right="75"/>
              <w:jc w:val="left"/>
              <w:rPr>
                <w:rFonts w:ascii="宋体" w:hAnsi="宋体" w:cs="宋体" w:eastAsia="宋体" w:hint="default"/>
                <w:sz w:val="18"/>
                <w:szCs w:val="18"/>
              </w:rPr>
            </w:pPr>
            <w:r>
              <w:rPr>
                <w:rFonts w:ascii="宋体" w:hAnsi="宋体" w:cs="宋体" w:eastAsia="宋体" w:hint="default"/>
                <w:spacing w:val="16"/>
                <w:sz w:val="18"/>
                <w:szCs w:val="18"/>
              </w:rPr>
              <w:t>每股经营活动产生的现</w:t>
            </w:r>
            <w:r>
              <w:rPr>
                <w:rFonts w:ascii="宋体" w:hAnsi="宋体" w:cs="宋体" w:eastAsia="宋体" w:hint="default"/>
                <w:spacing w:val="-82"/>
                <w:sz w:val="18"/>
                <w:szCs w:val="18"/>
              </w:rPr>
              <w:t> </w:t>
            </w:r>
            <w:r>
              <w:rPr>
                <w:rFonts w:ascii="宋体" w:hAnsi="宋体" w:cs="宋体" w:eastAsia="宋体" w:hint="default"/>
                <w:sz w:val="18"/>
                <w:szCs w:val="18"/>
              </w:rPr>
              <w:t>金流量净额</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z w:val="18"/>
              </w:rPr>
              <w:t>2.43</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0.21</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0.21</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w w:val="95"/>
                <w:sz w:val="18"/>
              </w:rPr>
              <w:t>1057.14%</w:t>
            </w:r>
            <w:r>
              <w:rPr>
                <w:rFonts w:ascii="Times New Roman"/>
                <w:sz w:val="18"/>
              </w:rPr>
            </w:r>
          </w:p>
        </w:tc>
        <w:tc>
          <w:tcPr>
            <w:tcW w:w="104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609" w:right="0"/>
              <w:jc w:val="left"/>
              <w:rPr>
                <w:rFonts w:ascii="Times New Roman" w:hAnsi="Times New Roman" w:cs="Times New Roman" w:eastAsia="Times New Roman" w:hint="default"/>
                <w:sz w:val="18"/>
                <w:szCs w:val="18"/>
              </w:rPr>
            </w:pPr>
            <w:r>
              <w:rPr>
                <w:rFonts w:ascii="Times New Roman"/>
                <w:sz w:val="18"/>
              </w:rPr>
              <w:t>0.44</w:t>
            </w:r>
          </w:p>
        </w:tc>
        <w:tc>
          <w:tcPr>
            <w:tcW w:w="1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0.44</w:t>
            </w:r>
          </w:p>
        </w:tc>
      </w:tr>
      <w:tr>
        <w:trPr>
          <w:trHeight w:val="529" w:hRule="exact"/>
        </w:trPr>
        <w:tc>
          <w:tcPr>
            <w:tcW w:w="2185"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160"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0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6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14"/>
              <w:ind w:left="100" w:right="101"/>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19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7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74" w:hRule="exact"/>
        </w:trPr>
        <w:tc>
          <w:tcPr>
            <w:tcW w:w="2185" w:type="dxa"/>
            <w:vMerge/>
            <w:tcBorders>
              <w:left w:val="single" w:sz="8" w:space="0" w:color="000000"/>
              <w:bottom w:val="single" w:sz="8" w:space="0" w:color="000000"/>
              <w:right w:val="single" w:sz="8" w:space="0" w:color="000000"/>
            </w:tcBorders>
          </w:tcPr>
          <w:p>
            <w:pPr/>
          </w:p>
        </w:tc>
        <w:tc>
          <w:tcPr>
            <w:tcW w:w="1160" w:type="dxa"/>
            <w:vMerge/>
            <w:tcBorders>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20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2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37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17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9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36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29" w:hRule="exact"/>
        </w:trPr>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14"/>
              <w:ind w:left="98" w:right="75"/>
              <w:jc w:val="left"/>
              <w:rPr>
                <w:rFonts w:ascii="宋体" w:hAnsi="宋体" w:cs="宋体" w:eastAsia="宋体" w:hint="default"/>
                <w:sz w:val="18"/>
                <w:szCs w:val="18"/>
              </w:rPr>
            </w:pPr>
            <w:r>
              <w:rPr>
                <w:rFonts w:ascii="宋体" w:hAnsi="宋体" w:cs="宋体" w:eastAsia="宋体" w:hint="default"/>
                <w:spacing w:val="16"/>
                <w:sz w:val="18"/>
                <w:szCs w:val="18"/>
              </w:rPr>
              <w:t>归属于上市公司股东的</w:t>
            </w:r>
            <w:r>
              <w:rPr>
                <w:rFonts w:ascii="宋体" w:hAnsi="宋体" w:cs="宋体" w:eastAsia="宋体" w:hint="default"/>
                <w:spacing w:val="-82"/>
                <w:sz w:val="18"/>
                <w:szCs w:val="18"/>
              </w:rPr>
              <w:t> </w:t>
            </w:r>
            <w:r>
              <w:rPr>
                <w:rFonts w:ascii="宋体" w:hAnsi="宋体" w:cs="宋体" w:eastAsia="宋体" w:hint="default"/>
                <w:sz w:val="18"/>
                <w:szCs w:val="18"/>
              </w:rPr>
              <w:t>每股净资产</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z w:val="18"/>
              </w:rPr>
              <w:t>3.21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4.28</w:t>
            </w:r>
          </w:p>
        </w:tc>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z w:val="18"/>
              </w:rPr>
              <w:t>4.38</w:t>
            </w:r>
          </w:p>
        </w:tc>
        <w:tc>
          <w:tcPr>
            <w:tcW w:w="1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w w:val="95"/>
                <w:sz w:val="18"/>
              </w:rPr>
              <w:t>-26.71%</w:t>
            </w:r>
            <w:r>
              <w:rPr>
                <w:rFonts w:ascii="Times New Roman"/>
                <w:sz w:val="18"/>
              </w:rPr>
            </w:r>
          </w:p>
        </w:tc>
        <w:tc>
          <w:tcPr>
            <w:tcW w:w="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468" w:right="0"/>
              <w:jc w:val="left"/>
              <w:rPr>
                <w:rFonts w:ascii="Times New Roman" w:hAnsi="Times New Roman" w:cs="Times New Roman" w:eastAsia="Times New Roman" w:hint="default"/>
                <w:sz w:val="18"/>
                <w:szCs w:val="18"/>
              </w:rPr>
            </w:pPr>
            <w:r>
              <w:rPr>
                <w:rFonts w:ascii="Times New Roman"/>
                <w:sz w:val="18"/>
              </w:rPr>
              <w:t>3.49</w:t>
            </w:r>
          </w:p>
        </w:tc>
        <w:tc>
          <w:tcPr>
            <w:tcW w:w="129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z w:val="18"/>
              </w:rPr>
              <w:t>3.59</w:t>
            </w:r>
          </w:p>
        </w:tc>
      </w:tr>
    </w:tbl>
    <w:p>
      <w:pPr>
        <w:pStyle w:val="BodyText"/>
        <w:spacing w:line="338" w:lineRule="auto" w:before="41"/>
        <w:ind w:left="883" w:right="883" w:firstLine="480"/>
        <w:jc w:val="left"/>
      </w:pPr>
      <w:r>
        <w:rPr>
          <w:rFonts w:ascii="Times New Roman" w:hAnsi="Times New Roman" w:cs="Times New Roman" w:eastAsia="Times New Roman" w:hint="default"/>
        </w:rPr>
        <w:t>3</w:t>
      </w:r>
      <w:r>
        <w:rPr/>
        <w:t>、按照中国证监会《公开发行证券的公司信息披露编报规则第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38"/>
        </w:rPr>
        <w:t> </w:t>
      </w:r>
      <w:r>
        <w:rPr/>
        <w:t>号》的要求 计算的净资产收益率和每股收益</w:t>
      </w:r>
    </w:p>
    <w:tbl>
      <w:tblPr>
        <w:tblW w:w="0" w:type="auto"/>
        <w:jc w:val="left"/>
        <w:tblInd w:w="159" w:type="dxa"/>
        <w:tblLayout w:type="fixed"/>
        <w:tblCellMar>
          <w:top w:w="0" w:type="dxa"/>
          <w:left w:w="0" w:type="dxa"/>
          <w:bottom w:w="0" w:type="dxa"/>
          <w:right w:w="0" w:type="dxa"/>
        </w:tblCellMar>
        <w:tblLook w:val="01E0"/>
      </w:tblPr>
      <w:tblGrid>
        <w:gridCol w:w="2160"/>
        <w:gridCol w:w="956"/>
        <w:gridCol w:w="1080"/>
        <w:gridCol w:w="1116"/>
        <w:gridCol w:w="955"/>
        <w:gridCol w:w="956"/>
        <w:gridCol w:w="956"/>
        <w:gridCol w:w="955"/>
        <w:gridCol w:w="956"/>
      </w:tblGrid>
      <w:tr>
        <w:trPr>
          <w:trHeight w:val="416"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41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08" w:hRule="exact"/>
        </w:trPr>
        <w:tc>
          <w:tcPr>
            <w:tcW w:w="2160" w:type="dxa"/>
            <w:vMerge/>
            <w:tcBorders>
              <w:left w:val="single" w:sz="4" w:space="0" w:color="000000"/>
              <w:right w:val="single" w:sz="4" w:space="0" w:color="000000"/>
            </w:tcBorders>
          </w:tcPr>
          <w:p>
            <w:pP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2"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85"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0"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5"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98" w:hRule="exact"/>
        </w:trPr>
        <w:tc>
          <w:tcPr>
            <w:tcW w:w="2160"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加权平均</w:t>
            </w:r>
          </w:p>
        </w:tc>
      </w:tr>
      <w:tr>
        <w:trPr>
          <w:trHeight w:val="52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86"/>
              <w:jc w:val="left"/>
              <w:rPr>
                <w:rFonts w:ascii="宋体" w:hAnsi="宋体" w:cs="宋体" w:eastAsia="宋体" w:hint="default"/>
                <w:sz w:val="18"/>
                <w:szCs w:val="18"/>
              </w:rPr>
            </w:pPr>
            <w:r>
              <w:rPr>
                <w:rFonts w:ascii="宋体" w:hAnsi="宋体" w:cs="宋体" w:eastAsia="宋体" w:hint="default"/>
                <w:spacing w:val="15"/>
                <w:sz w:val="18"/>
                <w:szCs w:val="18"/>
              </w:rPr>
              <w:t>归属于公司普通股股东 </w:t>
            </w:r>
            <w:r>
              <w:rPr>
                <w:rFonts w:ascii="宋体" w:hAnsi="宋体" w:cs="宋体" w:eastAsia="宋体" w:hint="default"/>
                <w:sz w:val="18"/>
                <w:szCs w:val="18"/>
              </w:rPr>
              <w:t>的净利润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31.69%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37.66%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1.02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1.02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23.99%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34.73%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0.53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0.54</w:t>
            </w: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扣除非经常性损益后归</w:t>
            </w:r>
            <w:r>
              <w:rPr>
                <w:rFonts w:ascii="宋体" w:hAnsi="宋体" w:cs="宋体" w:eastAsia="宋体" w:hint="default"/>
                <w:sz w:val="18"/>
                <w:szCs w:val="18"/>
              </w:rPr>
            </w:r>
          </w:p>
          <w:p>
            <w:pPr>
              <w:pStyle w:val="TableParagraph"/>
              <w:spacing w:line="240" w:lineRule="auto"/>
              <w:ind w:left="103" w:right="86"/>
              <w:jc w:val="left"/>
              <w:rPr>
                <w:rFonts w:ascii="宋体" w:hAnsi="宋体" w:cs="宋体" w:eastAsia="宋体" w:hint="default"/>
                <w:sz w:val="18"/>
                <w:szCs w:val="18"/>
              </w:rPr>
            </w:pPr>
            <w:r>
              <w:rPr>
                <w:rFonts w:ascii="宋体" w:hAnsi="宋体" w:cs="宋体" w:eastAsia="宋体" w:hint="default"/>
                <w:spacing w:val="15"/>
                <w:sz w:val="18"/>
                <w:szCs w:val="18"/>
              </w:rPr>
              <w:t>属于公司普通股股东的 </w:t>
            </w:r>
            <w:r>
              <w:rPr>
                <w:rFonts w:ascii="宋体" w:hAnsi="宋体" w:cs="宋体" w:eastAsia="宋体" w:hint="default"/>
                <w:sz w:val="18"/>
                <w:szCs w:val="18"/>
              </w:rPr>
              <w:t>净利润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34.72%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tabs>
          <w:tab w:pos="8146" w:val="left" w:leader="none"/>
        </w:tabs>
        <w:spacing w:before="26"/>
        <w:ind w:left="1364" w:right="0" w:firstLine="0"/>
        <w:jc w:val="left"/>
        <w:rPr>
          <w:rFonts w:ascii="宋体" w:hAnsi="宋体" w:cs="宋体" w:eastAsia="宋体" w:hint="default"/>
          <w:sz w:val="21"/>
          <w:szCs w:val="21"/>
        </w:rPr>
      </w:pPr>
      <w:r>
        <w:rPr>
          <w:rFonts w:ascii="宋体" w:hAnsi="宋体" w:cs="宋体" w:eastAsia="宋体" w:hint="default"/>
          <w:spacing w:val="-2"/>
          <w:sz w:val="24"/>
          <w:szCs w:val="24"/>
        </w:rPr>
        <w:t>三、报告期内归属于母公司所有者权益变动情况：</w:t>
        <w:tab/>
      </w:r>
      <w:r>
        <w:rPr>
          <w:rFonts w:ascii="宋体" w:hAnsi="宋体" w:cs="宋体" w:eastAsia="宋体" w:hint="default"/>
          <w:spacing w:val="-2"/>
          <w:sz w:val="21"/>
          <w:szCs w:val="21"/>
        </w:rPr>
        <w:t>（单位：千元）</w:t>
      </w:r>
    </w:p>
    <w:p>
      <w:pPr>
        <w:spacing w:line="240" w:lineRule="auto" w:before="9"/>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52"/>
        <w:gridCol w:w="1666"/>
        <w:gridCol w:w="1667"/>
        <w:gridCol w:w="1666"/>
        <w:gridCol w:w="1788"/>
        <w:gridCol w:w="1834"/>
      </w:tblGrid>
      <w:tr>
        <w:trPr>
          <w:trHeight w:val="478"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者权益合计</w:t>
            </w:r>
          </w:p>
        </w:tc>
      </w:tr>
      <w:tr>
        <w:trPr>
          <w:trHeight w:val="475"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720,752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936,391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131,018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1,369,975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3,158,136</w:t>
            </w:r>
          </w:p>
        </w:tc>
      </w:tr>
      <w:tr>
        <w:trPr>
          <w:trHeight w:val="475"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720,752</w:t>
            </w:r>
          </w:p>
        </w:tc>
        <w:tc>
          <w:tcPr>
            <w:tcW w:w="166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92,852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1,465,426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w:t>
            </w:r>
            <w:r>
              <w:rPr>
                <w:rFonts w:ascii="Times New Roman"/>
                <w:spacing w:val="-2"/>
                <w:sz w:val="18"/>
              </w:rPr>
              <w:t> </w:t>
            </w:r>
            <w:r>
              <w:rPr>
                <w:rFonts w:ascii="Times New Roman"/>
                <w:sz w:val="18"/>
              </w:rPr>
              <w:t>279,030</w:t>
            </w:r>
          </w:p>
        </w:tc>
      </w:tr>
      <w:tr>
        <w:trPr>
          <w:trHeight w:val="475"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720,752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92,852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813,604</w:t>
            </w:r>
          </w:p>
        </w:tc>
      </w:tr>
      <w:tr>
        <w:trPr>
          <w:trHeight w:val="475"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1,441,504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215,639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223,870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2,742,549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4,623,562</w:t>
            </w:r>
          </w:p>
        </w:tc>
      </w:tr>
      <w:tr>
        <w:trPr>
          <w:trHeight w:val="478"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8" w:right="0"/>
              <w:jc w:val="left"/>
              <w:rPr>
                <w:rFonts w:ascii="宋体" w:hAnsi="宋体" w:cs="宋体" w:eastAsia="宋体" w:hint="default"/>
                <w:sz w:val="18"/>
                <w:szCs w:val="18"/>
              </w:rPr>
            </w:pPr>
            <w:r>
              <w:rPr>
                <w:rFonts w:ascii="宋体" w:hAnsi="宋体" w:cs="宋体" w:eastAsia="宋体" w:hint="default"/>
                <w:sz w:val="18"/>
                <w:szCs w:val="18"/>
              </w:rPr>
              <w:t>资本公积金</w:t>
            </w:r>
          </w:p>
          <w:p>
            <w:pPr>
              <w:pStyle w:val="TableParagraph"/>
              <w:spacing w:line="235" w:lineRule="exact"/>
              <w:ind w:left="378"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7" w:right="0"/>
              <w:jc w:val="left"/>
              <w:rPr>
                <w:rFonts w:ascii="宋体" w:hAnsi="宋体" w:cs="宋体" w:eastAsia="宋体" w:hint="default"/>
                <w:sz w:val="18"/>
                <w:szCs w:val="18"/>
              </w:rPr>
            </w:pPr>
            <w:r>
              <w:rPr>
                <w:rFonts w:ascii="宋体" w:hAnsi="宋体" w:cs="宋体" w:eastAsia="宋体" w:hint="default"/>
                <w:sz w:val="18"/>
                <w:szCs w:val="18"/>
              </w:rPr>
              <w:t>资本公积金</w:t>
            </w:r>
          </w:p>
          <w:p>
            <w:pPr>
              <w:pStyle w:val="TableParagraph"/>
              <w:spacing w:line="235" w:lineRule="exact"/>
              <w:ind w:left="377"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7" w:right="0"/>
              <w:jc w:val="left"/>
              <w:rPr>
                <w:rFonts w:ascii="宋体" w:hAnsi="宋体" w:cs="宋体" w:eastAsia="宋体" w:hint="default"/>
                <w:sz w:val="18"/>
                <w:szCs w:val="18"/>
              </w:rPr>
            </w:pPr>
            <w:r>
              <w:rPr>
                <w:rFonts w:ascii="宋体" w:hAnsi="宋体" w:cs="宋体" w:eastAsia="宋体" w:hint="default"/>
                <w:sz w:val="18"/>
                <w:szCs w:val="18"/>
              </w:rPr>
              <w:t>按规定计提；</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66"/>
              <w:jc w:val="left"/>
              <w:rPr>
                <w:rFonts w:ascii="宋体" w:hAnsi="宋体" w:cs="宋体" w:eastAsia="宋体" w:hint="default"/>
                <w:sz w:val="18"/>
                <w:szCs w:val="18"/>
              </w:rPr>
            </w:pPr>
            <w:r>
              <w:rPr>
                <w:rFonts w:ascii="宋体" w:hAnsi="宋体" w:cs="宋体" w:eastAsia="宋体" w:hint="default"/>
                <w:sz w:val="18"/>
                <w:szCs w:val="18"/>
              </w:rPr>
              <w:t>本期利润增加并按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规定计提盈余公积；</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1" w:right="0"/>
              <w:jc w:val="left"/>
              <w:rPr>
                <w:rFonts w:ascii="宋体" w:hAnsi="宋体" w:cs="宋体" w:eastAsia="宋体" w:hint="default"/>
                <w:sz w:val="18"/>
                <w:szCs w:val="18"/>
              </w:rPr>
            </w:pPr>
            <w:r>
              <w:rPr>
                <w:rFonts w:ascii="宋体" w:hAnsi="宋体" w:cs="宋体" w:eastAsia="宋体" w:hint="default"/>
                <w:sz w:val="18"/>
                <w:szCs w:val="18"/>
              </w:rPr>
              <w:t>前述因素。</w:t>
            </w:r>
          </w:p>
        </w:tc>
      </w:tr>
    </w:tbl>
    <w:p>
      <w:pPr>
        <w:spacing w:after="0" w:line="240" w:lineRule="auto"/>
        <w:jc w:val="left"/>
        <w:rPr>
          <w:rFonts w:ascii="宋体" w:hAnsi="宋体" w:cs="宋体" w:eastAsia="宋体" w:hint="default"/>
          <w:sz w:val="18"/>
          <w:szCs w:val="18"/>
        </w:rPr>
        <w:sectPr>
          <w:pgSz w:w="11910" w:h="16840"/>
          <w:pgMar w:header="879" w:footer="982" w:top="1100" w:bottom="1180" w:left="760" w:right="740"/>
        </w:sectPr>
      </w:pPr>
    </w:p>
    <w:p>
      <w:pPr>
        <w:spacing w:line="240" w:lineRule="auto" w:before="8"/>
        <w:rPr>
          <w:rFonts w:ascii="宋体" w:hAnsi="宋体" w:cs="宋体" w:eastAsia="宋体" w:hint="default"/>
          <w:sz w:val="13"/>
          <w:szCs w:val="13"/>
        </w:rPr>
      </w:pPr>
    </w:p>
    <w:p>
      <w:pPr>
        <w:pStyle w:val="Heading1"/>
        <w:tabs>
          <w:tab w:pos="4470" w:val="left" w:leader="none"/>
        </w:tabs>
        <w:spacing w:line="240" w:lineRule="auto"/>
        <w:ind w:left="3190" w:right="0"/>
        <w:jc w:val="left"/>
        <w:rPr>
          <w:b w:val="0"/>
          <w:bCs w:val="0"/>
        </w:rPr>
      </w:pPr>
      <w:bookmarkStart w:name="_TOC_250008" w:id="3"/>
      <w:r>
        <w:rPr>
          <w:w w:val="95"/>
        </w:rPr>
        <w:t>第三节</w:t>
        <w:tab/>
      </w:r>
      <w:r>
        <w:rPr/>
        <w:t>股本变动及股东情况</w:t>
      </w:r>
      <w:bookmarkEnd w:id="3"/>
      <w:r>
        <w:rPr>
          <w:b w:val="0"/>
          <w:bCs w:val="0"/>
        </w:rPr>
      </w:r>
    </w:p>
    <w:p>
      <w:pPr>
        <w:pStyle w:val="BodyText"/>
        <w:spacing w:line="240" w:lineRule="auto" w:before="193"/>
        <w:ind w:left="1444" w:right="0"/>
        <w:jc w:val="left"/>
      </w:pPr>
      <w:r>
        <w:rPr/>
        <w:t>一、股本变动情况</w:t>
      </w:r>
    </w:p>
    <w:p>
      <w:pPr>
        <w:tabs>
          <w:tab w:pos="8283" w:val="left" w:leader="none"/>
        </w:tabs>
        <w:spacing w:before="154"/>
        <w:ind w:left="1443"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、股本变动情况表</w:t>
        <w:tab/>
      </w:r>
      <w:r>
        <w:rPr>
          <w:rFonts w:ascii="宋体" w:hAnsi="宋体" w:cs="宋体" w:eastAsia="宋体" w:hint="default"/>
          <w:sz w:val="21"/>
          <w:szCs w:val="21"/>
        </w:rPr>
        <w:t>（单位：股）</w:t>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41"/>
        <w:gridCol w:w="1080"/>
        <w:gridCol w:w="720"/>
        <w:gridCol w:w="540"/>
        <w:gridCol w:w="540"/>
        <w:gridCol w:w="1135"/>
        <w:gridCol w:w="1022"/>
        <w:gridCol w:w="958"/>
        <w:gridCol w:w="1205"/>
        <w:gridCol w:w="775"/>
      </w:tblGrid>
      <w:tr>
        <w:trPr>
          <w:trHeight w:val="475" w:hRule="exact"/>
        </w:trPr>
        <w:tc>
          <w:tcPr>
            <w:tcW w:w="2341" w:type="dxa"/>
            <w:vMerge w:val="restart"/>
            <w:tcBorders>
              <w:top w:val="single" w:sz="4" w:space="0" w:color="000000"/>
              <w:left w:val="single" w:sz="4" w:space="0" w:color="000000"/>
              <w:right w:val="single" w:sz="4" w:space="0" w:color="000000"/>
            </w:tcBorders>
          </w:tcPr>
          <w:p>
            <w:pP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4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0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3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78" w:hRule="exact"/>
        </w:trPr>
        <w:tc>
          <w:tcPr>
            <w:tcW w:w="2341"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5" w:lineRule="exact"/>
              <w:ind w:left="84"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4"/>
              <w:jc w:val="right"/>
              <w:rPr>
                <w:rFonts w:ascii="宋体" w:hAnsi="宋体" w:cs="宋体" w:eastAsia="宋体" w:hint="default"/>
                <w:sz w:val="18"/>
                <w:szCs w:val="18"/>
              </w:rPr>
            </w:pPr>
            <w:r>
              <w:rPr>
                <w:rFonts w:ascii="宋体" w:hAnsi="宋体" w:cs="宋体" w:eastAsia="宋体" w:hint="default"/>
                <w:sz w:val="18"/>
                <w:szCs w:val="18"/>
              </w:rPr>
              <w:t>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426,554,240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59.18%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426,554,240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-387,722,440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38,831,800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465,386,040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32.28%</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395,351,600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54.85%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395,351,600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-408,206,080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-12,854,480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382,497,120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26.53%</w:t>
            </w:r>
          </w:p>
        </w:tc>
      </w:tr>
      <w:tr>
        <w:trPr>
          <w:trHeight w:val="478"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161,438,000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22.40%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161,438,000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w w:val="95"/>
                <w:sz w:val="18"/>
              </w:rPr>
              <w:t>-234,150,400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w w:val="95"/>
                <w:sz w:val="18"/>
              </w:rPr>
              <w:t>-72,712,400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88,725,600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6.16%</w:t>
            </w:r>
            <w:r>
              <w:rPr>
                <w:rFonts w:ascii="Times New Roman"/>
                <w:sz w:val="18"/>
              </w:rPr>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1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233,913,600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32.45%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233,913,600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-174,055,680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59,857,920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293,771,520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20.38%</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w:t>
            </w:r>
          </w:p>
        </w:tc>
      </w:tr>
      <w:tr>
        <w:trPr>
          <w:trHeight w:val="474"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1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31,202,640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4.33%</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31,202,640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20,483,640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51,686,280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82,888,920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5.75%</w:t>
            </w:r>
            <w:r>
              <w:rPr>
                <w:rFonts w:ascii="Times New Roman"/>
                <w:sz w:val="18"/>
              </w:rPr>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294,197,760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40.82%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294,197,760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387,722,440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681,920,200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976,117,960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67.72%</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294,197,760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40.82%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294,197,760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387,722,440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681,920,200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976,117,960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67.72%</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w:t>
            </w:r>
          </w:p>
        </w:tc>
      </w:tr>
      <w:tr>
        <w:trPr>
          <w:trHeight w:val="474"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720,752,000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720,752,000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720,752,000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1,441,504,000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42"/>
        <w:ind w:left="138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：境内法人持股含机构投资者配售股份；</w:t>
      </w:r>
    </w:p>
    <w:p>
      <w:pPr>
        <w:spacing w:line="304" w:lineRule="auto" w:before="69"/>
        <w:ind w:left="963" w:right="958"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：公积金转股变动是因为公司实施</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年度资本公积金转增股本方案所致；其他变动 是公司部分股东有限售条件股份限售期满可上市流通及公司历任董事、监事、高级管理人员所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持股份按照国家相关法律法规规定锁定或解锁所致。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1444" w:right="0"/>
        <w:jc w:val="left"/>
      </w:pPr>
      <w:r>
        <w:rPr>
          <w:rFonts w:ascii="Times New Roman" w:hAnsi="Times New Roman" w:cs="Times New Roman" w:eastAsia="Times New Roman" w:hint="default"/>
        </w:rPr>
        <w:t>2</w:t>
      </w:r>
      <w:r>
        <w:rPr/>
        <w:t>、股票发行与上市情况：</w:t>
      </w:r>
    </w:p>
    <w:p>
      <w:pPr>
        <w:pStyle w:val="BodyText"/>
        <w:spacing w:line="240" w:lineRule="auto" w:before="135"/>
        <w:ind w:left="1443" w:right="0"/>
        <w:jc w:val="left"/>
      </w:pPr>
      <w:r>
        <w:rPr/>
        <w:t>（</w:t>
      </w:r>
      <w:r>
        <w:rPr>
          <w:rFonts w:ascii="Times New Roman" w:hAnsi="Times New Roman" w:cs="Times New Roman" w:eastAsia="Times New Roman" w:hint="default"/>
        </w:rPr>
        <w:t>1</w:t>
      </w:r>
      <w:r>
        <w:rPr/>
        <w:t>）公司历次股票发行及上市情况</w:t>
      </w:r>
    </w:p>
    <w:p>
      <w:pPr>
        <w:pStyle w:val="BodyText"/>
        <w:spacing w:line="338" w:lineRule="auto" w:before="135"/>
        <w:ind w:left="963" w:right="961" w:firstLine="480"/>
        <w:jc w:val="both"/>
      </w:pPr>
      <w:r>
        <w:rPr/>
        <w:t>①</w:t>
      </w:r>
      <w:r>
        <w:rPr>
          <w:spacing w:val="1"/>
        </w:rPr>
        <w:t> </w:t>
      </w:r>
      <w:r>
        <w:rPr>
          <w:spacing w:val="-3"/>
        </w:rPr>
        <w:t>经中国证监会证监发行字〔</w:t>
      </w:r>
      <w:r>
        <w:rPr>
          <w:rFonts w:ascii="Times New Roman" w:hAnsi="Times New Roman" w:cs="Times New Roman" w:eastAsia="Times New Roman" w:hint="default"/>
          <w:spacing w:val="-3"/>
        </w:rPr>
        <w:t>2004</w:t>
      </w:r>
      <w:r>
        <w:rPr>
          <w:spacing w:val="-3"/>
        </w:rPr>
        <w:t>〕</w:t>
      </w:r>
      <w:r>
        <w:rPr>
          <w:rFonts w:ascii="Times New Roman" w:hAnsi="Times New Roman" w:cs="Times New Roman" w:eastAsia="Times New Roman" w:hint="default"/>
          <w:spacing w:val="-3"/>
        </w:rPr>
        <w:t>97</w:t>
      </w:r>
      <w:r>
        <w:rPr>
          <w:rFonts w:ascii="Times New Roman" w:hAnsi="Times New Roman" w:cs="Times New Roman" w:eastAsia="Times New Roman" w:hint="default"/>
        </w:rPr>
        <w:t> </w:t>
      </w:r>
      <w:r>
        <w:rPr>
          <w:spacing w:val="-4"/>
        </w:rPr>
        <w:t>号文核准，公司于</w:t>
      </w:r>
      <w:r>
        <w:rPr>
          <w:spacing w:val="-60"/>
        </w:rPr>
        <w:t> </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7 </w:t>
      </w:r>
      <w:r>
        <w:rPr/>
        <w:t>日采 用全部向二级市场投资者定价配售方式发行了人民币普通股（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2,500</w:t>
      </w:r>
      <w:r>
        <w:rPr>
          <w:rFonts w:ascii="Times New Roman" w:hAnsi="Times New Roman" w:cs="Times New Roman" w:eastAsia="Times New Roman" w:hint="default"/>
          <w:spacing w:val="44"/>
        </w:rPr>
        <w:t> </w:t>
      </w:r>
      <w:r>
        <w:rPr/>
        <w:t>万股。 经深圳证券交易所同意，公司社会公众股</w:t>
      </w:r>
      <w:r>
        <w:rPr>
          <w:spacing w:val="-56"/>
        </w:rPr>
        <w:t> </w:t>
      </w:r>
      <w:r>
        <w:rPr>
          <w:rFonts w:ascii="Times New Roman" w:hAnsi="Times New Roman" w:cs="Times New Roman" w:eastAsia="Times New Roman" w:hint="default"/>
        </w:rPr>
        <w:t>2,500</w:t>
      </w:r>
      <w:r>
        <w:rPr>
          <w:rFonts w:ascii="Times New Roman" w:hAnsi="Times New Roman" w:cs="Times New Roman" w:eastAsia="Times New Roman" w:hint="default"/>
          <w:spacing w:val="4"/>
        </w:rPr>
        <w:t> </w:t>
      </w:r>
      <w:r>
        <w:rPr/>
        <w:t>万股于</w:t>
      </w:r>
      <w:r>
        <w:rPr>
          <w:spacing w:val="-56"/>
        </w:rPr>
        <w:t> </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日在深交所</w:t>
      </w:r>
    </w:p>
    <w:p>
      <w:pPr>
        <w:spacing w:after="0" w:line="338" w:lineRule="auto"/>
        <w:jc w:val="both"/>
        <w:sectPr>
          <w:pgSz w:w="11910" w:h="16840"/>
          <w:pgMar w:header="879" w:footer="982" w:top="1100" w:bottom="1180" w:left="680" w:right="680"/>
        </w:sectPr>
      </w:pPr>
    </w:p>
    <w:p>
      <w:pPr>
        <w:spacing w:line="240" w:lineRule="auto" w:before="10"/>
        <w:rPr>
          <w:rFonts w:ascii="宋体" w:hAnsi="宋体" w:cs="宋体" w:eastAsia="宋体" w:hint="default"/>
          <w:sz w:val="10"/>
          <w:szCs w:val="10"/>
        </w:rPr>
      </w:pPr>
    </w:p>
    <w:p>
      <w:pPr>
        <w:pStyle w:val="BodyText"/>
        <w:spacing w:line="240" w:lineRule="auto" w:before="26"/>
        <w:ind w:left="144" w:right="0"/>
        <w:jc w:val="both"/>
      </w:pPr>
      <w:r>
        <w:rPr/>
        <w:t>挂牌上市，公司股份总数为</w:t>
      </w:r>
      <w:r>
        <w:rPr>
          <w:spacing w:val="-60"/>
        </w:rPr>
        <w:t> </w:t>
      </w:r>
      <w:r>
        <w:rPr>
          <w:rFonts w:ascii="Times New Roman" w:hAnsi="Times New Roman" w:cs="Times New Roman" w:eastAsia="Times New Roman" w:hint="default"/>
        </w:rPr>
        <w:t>93,160,000 </w:t>
      </w:r>
      <w:r>
        <w:rPr/>
        <w:t>股。</w:t>
      </w:r>
    </w:p>
    <w:p>
      <w:pPr>
        <w:pStyle w:val="BodyText"/>
        <w:spacing w:line="338" w:lineRule="auto" w:before="135"/>
        <w:ind w:left="144" w:right="145" w:firstLine="480"/>
        <w:jc w:val="both"/>
      </w:pPr>
      <w:r>
        <w:rPr/>
        <w:t>②</w:t>
      </w:r>
      <w:r>
        <w:rPr>
          <w:spacing w:val="-2"/>
        </w:rPr>
        <w:t> </w:t>
      </w:r>
      <w:r>
        <w:rPr/>
        <w:t>经中国证监会证监发行字〔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号文核准，公司于</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 以非公开发行股票的方式向证券投资基金等特定投资者发行人民币普通股（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 </w:t>
      </w:r>
      <w:r>
        <w:rPr>
          <w:rFonts w:ascii="Times New Roman" w:hAnsi="Times New Roman" w:cs="Times New Roman" w:eastAsia="Times New Roman" w:hint="default"/>
        </w:rPr>
        <w:t>2,500</w:t>
      </w:r>
      <w:r>
        <w:rPr>
          <w:rFonts w:ascii="Times New Roman" w:hAnsi="Times New Roman" w:cs="Times New Roman" w:eastAsia="Times New Roman" w:hint="default"/>
          <w:spacing w:val="13"/>
        </w:rPr>
        <w:t> </w:t>
      </w:r>
      <w:r>
        <w:rPr/>
        <w:t>万股。经深圳证券交易所同意，该部分股份于</w:t>
      </w:r>
      <w:r>
        <w:rPr>
          <w:spacing w:val="-4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13"/>
        </w:rPr>
        <w:t> </w:t>
      </w:r>
      <w:r>
        <w:rPr/>
        <w:t>日上市。发行</w:t>
      </w:r>
    </w:p>
    <w:p>
      <w:pPr>
        <w:pStyle w:val="BodyText"/>
        <w:spacing w:line="240" w:lineRule="auto" w:before="27"/>
        <w:ind w:left="144" w:right="0"/>
        <w:jc w:val="both"/>
      </w:pPr>
      <w:r>
        <w:rPr/>
        <w:t>后，公司股份总数为</w:t>
      </w:r>
      <w:r>
        <w:rPr>
          <w:spacing w:val="-60"/>
        </w:rPr>
        <w:t> </w:t>
      </w:r>
      <w:r>
        <w:rPr>
          <w:rFonts w:ascii="Times New Roman" w:hAnsi="Times New Roman" w:cs="Times New Roman" w:eastAsia="Times New Roman" w:hint="default"/>
        </w:rPr>
        <w:t>360,376,000 </w:t>
      </w:r>
      <w:r>
        <w:rPr/>
        <w:t>股。</w:t>
      </w:r>
    </w:p>
    <w:p>
      <w:pPr>
        <w:pStyle w:val="BodyText"/>
        <w:spacing w:line="240" w:lineRule="auto" w:before="135"/>
        <w:ind w:left="624" w:right="2428"/>
        <w:jc w:val="left"/>
      </w:pPr>
      <w:r>
        <w:rPr/>
        <w:t>（</w:t>
      </w:r>
      <w:r>
        <w:rPr>
          <w:rFonts w:ascii="Times New Roman" w:hAnsi="Times New Roman" w:cs="Times New Roman" w:eastAsia="Times New Roman" w:hint="default"/>
        </w:rPr>
        <w:t>2</w:t>
      </w:r>
      <w:r>
        <w:rPr/>
        <w:t>）报告期内公司实施资本公积金转增股本情况</w:t>
      </w:r>
    </w:p>
    <w:p>
      <w:pPr>
        <w:pStyle w:val="BodyText"/>
        <w:spacing w:line="240" w:lineRule="auto" w:before="135"/>
        <w:ind w:left="624"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日，公司召开</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年年度股东大会，审议通过了《</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年度</w:t>
      </w:r>
    </w:p>
    <w:p>
      <w:pPr>
        <w:pStyle w:val="BodyText"/>
        <w:spacing w:line="240" w:lineRule="auto" w:before="135"/>
        <w:ind w:left="144" w:right="0"/>
        <w:jc w:val="both"/>
      </w:pPr>
      <w:r>
        <w:rPr/>
        <w:t>利润分配预案</w:t>
      </w:r>
      <w:r>
        <w:rPr>
          <w:spacing w:val="-120"/>
        </w:rPr>
        <w:t>》</w:t>
      </w:r>
      <w:r>
        <w:rPr/>
        <w:t>。根据决议，公司以</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日总股本</w:t>
      </w:r>
      <w:r>
        <w:rPr>
          <w:spacing w:val="-48"/>
        </w:rPr>
        <w:t> </w:t>
      </w:r>
      <w:r>
        <w:rPr>
          <w:rFonts w:ascii="Times New Roman" w:hAnsi="Times New Roman" w:cs="Times New Roman" w:eastAsia="Times New Roman" w:hint="default"/>
        </w:rPr>
        <w:t>720,752,000</w:t>
      </w:r>
      <w:r>
        <w:rPr>
          <w:rFonts w:ascii="Times New Roman" w:hAnsi="Times New Roman" w:cs="Times New Roman" w:eastAsia="Times New Roman" w:hint="default"/>
          <w:spacing w:val="12"/>
        </w:rPr>
        <w:t> </w:t>
      </w:r>
      <w:r>
        <w:rPr/>
        <w:t>股为基</w:t>
      </w:r>
    </w:p>
    <w:p>
      <w:pPr>
        <w:pStyle w:val="BodyText"/>
        <w:spacing w:line="240" w:lineRule="auto" w:before="135"/>
        <w:ind w:left="144" w:right="0"/>
        <w:jc w:val="both"/>
      </w:pPr>
      <w:r>
        <w:rPr/>
        <w:t>数，以资本公积金转增股本方式向全体股东每</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股，转增后公司总股本</w:t>
      </w:r>
    </w:p>
    <w:p>
      <w:pPr>
        <w:pStyle w:val="BodyText"/>
        <w:spacing w:line="240" w:lineRule="auto" w:before="135"/>
        <w:ind w:left="144" w:right="0"/>
        <w:jc w:val="both"/>
      </w:pPr>
      <w:r>
        <w:rPr/>
        <w:t>由</w:t>
      </w:r>
      <w:r>
        <w:rPr>
          <w:spacing w:val="-60"/>
        </w:rPr>
        <w:t> </w:t>
      </w:r>
      <w:r>
        <w:rPr>
          <w:rFonts w:ascii="Times New Roman" w:hAnsi="Times New Roman" w:cs="Times New Roman" w:eastAsia="Times New Roman" w:hint="default"/>
        </w:rPr>
        <w:t>720,752,000 </w:t>
      </w:r>
      <w:r>
        <w:rPr/>
        <w:t>股增加至</w:t>
      </w:r>
      <w:r>
        <w:rPr>
          <w:spacing w:val="-60"/>
        </w:rPr>
        <w:t> </w:t>
      </w:r>
      <w:r>
        <w:rPr>
          <w:rFonts w:ascii="Times New Roman" w:hAnsi="Times New Roman" w:cs="Times New Roman" w:eastAsia="Times New Roman" w:hint="default"/>
        </w:rPr>
        <w:t>1,441,504,000 </w:t>
      </w:r>
      <w:r>
        <w:rPr/>
        <w:t>股。</w:t>
      </w:r>
    </w:p>
    <w:p>
      <w:pPr>
        <w:pStyle w:val="BodyText"/>
        <w:spacing w:line="240" w:lineRule="auto" w:before="135"/>
        <w:ind w:left="624" w:right="2428"/>
        <w:jc w:val="left"/>
      </w:pPr>
      <w:r>
        <w:rPr/>
        <w:t>（</w:t>
      </w:r>
      <w:r>
        <w:rPr>
          <w:rFonts w:ascii="Times New Roman" w:hAnsi="Times New Roman" w:cs="Times New Roman" w:eastAsia="Times New Roman" w:hint="default"/>
        </w:rPr>
        <w:t>3</w:t>
      </w:r>
      <w:r>
        <w:rPr/>
        <w:t>）限售股份上市流通情况</w:t>
      </w:r>
    </w:p>
    <w:p>
      <w:pPr>
        <w:pStyle w:val="BodyText"/>
        <w:spacing w:line="348" w:lineRule="auto" w:before="135"/>
        <w:ind w:left="144" w:right="161" w:firstLine="480"/>
        <w:jc w:val="both"/>
      </w:pPr>
      <w:r>
        <w:rPr/>
        <w:t>①</w:t>
      </w:r>
      <w:r>
        <w:rPr>
          <w:spacing w:val="-12"/>
        </w:rPr>
        <w:t> </w:t>
      </w:r>
      <w:r>
        <w:rPr/>
        <w:t>根据《上市公司证券发行管理办法》的有关规定，公司</w:t>
      </w:r>
      <w:r>
        <w:rPr>
          <w:spacing w:val="-6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年非公开发行 </w:t>
      </w:r>
      <w:r>
        <w:rPr>
          <w:spacing w:val="-1"/>
        </w:rPr>
        <w:t>的股份自发行结束之日起，十二个月内不得转让。此次非公开发行的有限售股份持</w:t>
      </w:r>
      <w:r>
        <w:rPr>
          <w:spacing w:val="-106"/>
        </w:rPr>
        <w:t> </w:t>
      </w:r>
      <w:r>
        <w:rPr>
          <w:spacing w:val="-106"/>
        </w:rPr>
      </w:r>
      <w:r>
        <w:rPr/>
        <w:t>有人均已履行承诺。</w:t>
      </w:r>
    </w:p>
    <w:p>
      <w:pPr>
        <w:pStyle w:val="BodyText"/>
        <w:spacing w:line="240" w:lineRule="auto" w:before="46"/>
        <w:ind w:left="624" w:right="0"/>
        <w:jc w:val="left"/>
      </w:pPr>
      <w:r>
        <w:rPr>
          <w:spacing w:val="-3"/>
        </w:rPr>
        <w:t>自发行结束之日起，公司分别于</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21 </w:t>
      </w:r>
      <w:r>
        <w:rPr>
          <w:spacing w:val="-7"/>
        </w:rPr>
        <w:t>日、</w:t>
      </w:r>
      <w:r>
        <w:rPr>
          <w:rFonts w:ascii="Times New Roman" w:hAnsi="Times New Roman" w:cs="Times New Roman" w:eastAsia="Times New Roman" w:hint="default"/>
          <w:spacing w:val="-7"/>
        </w:rPr>
        <w:t>2007</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6 </w:t>
      </w:r>
      <w:r>
        <w:rPr/>
        <w:t>日实施了资</w:t>
      </w:r>
    </w:p>
    <w:p>
      <w:pPr>
        <w:pStyle w:val="BodyText"/>
        <w:spacing w:line="240" w:lineRule="auto" w:before="135"/>
        <w:ind w:left="144" w:right="0"/>
        <w:jc w:val="both"/>
      </w:pPr>
      <w:r>
        <w:rPr/>
        <w:t>本公积金转增股本方案。经过上述两次转增，公司</w:t>
      </w:r>
      <w:r>
        <w:rPr>
          <w:spacing w:val="-60"/>
        </w:rPr>
        <w:t> </w:t>
      </w:r>
      <w:r>
        <w:rPr>
          <w:rFonts w:ascii="Times New Roman" w:hAnsi="Times New Roman" w:cs="Times New Roman" w:eastAsia="Times New Roman" w:hint="default"/>
        </w:rPr>
        <w:t>2006 </w:t>
      </w:r>
      <w:r>
        <w:rPr/>
        <w:t>年非公开发行的有限售条</w:t>
      </w:r>
    </w:p>
    <w:p>
      <w:pPr>
        <w:pStyle w:val="BodyText"/>
        <w:spacing w:line="240" w:lineRule="auto" w:before="135"/>
        <w:ind w:left="144" w:right="0"/>
        <w:jc w:val="both"/>
      </w:pPr>
      <w:r>
        <w:rPr/>
        <w:t>件流通股股份数为</w:t>
      </w:r>
      <w:r>
        <w:rPr>
          <w:spacing w:val="-60"/>
        </w:rPr>
        <w:t> </w:t>
      </w:r>
      <w:r>
        <w:rPr>
          <w:rFonts w:ascii="Times New Roman" w:hAnsi="Times New Roman" w:cs="Times New Roman" w:eastAsia="Times New Roman" w:hint="default"/>
        </w:rPr>
        <w:t>10,000 </w:t>
      </w:r>
      <w:r>
        <w:rPr/>
        <w:t>万股，该部分股份于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21 </w:t>
      </w:r>
      <w:r>
        <w:rPr/>
        <w:t>日上市流通。</w:t>
      </w:r>
    </w:p>
    <w:p>
      <w:pPr>
        <w:pStyle w:val="BodyText"/>
        <w:spacing w:line="357" w:lineRule="auto" w:before="135"/>
        <w:ind w:right="158" w:firstLine="480"/>
        <w:jc w:val="both"/>
      </w:pPr>
      <w:r>
        <w:rPr/>
        <w:t>②</w:t>
      </w:r>
      <w:r>
        <w:rPr>
          <w:spacing w:val="17"/>
        </w:rPr>
        <w:t> </w:t>
      </w:r>
      <w:r>
        <w:rPr>
          <w:spacing w:val="2"/>
        </w:rPr>
        <w:t>根据公司《股权分置改革方案》及原非流通股股东做出的相关承诺，公司</w:t>
      </w:r>
      <w:r>
        <w:rPr>
          <w:spacing w:val="3"/>
        </w:rPr>
        <w:t> </w:t>
      </w:r>
      <w:r>
        <w:rPr>
          <w:spacing w:val="-1"/>
        </w:rPr>
        <w:t>原非流通股股东张近东先生、江苏苏宁电器有限公司及陈金凤女士均履行了相关承</w:t>
      </w:r>
      <w:r>
        <w:rPr>
          <w:spacing w:val="-106"/>
        </w:rPr>
        <w:t> </w:t>
      </w:r>
      <w:r>
        <w:rPr>
          <w:spacing w:val="-106"/>
        </w:rPr>
      </w:r>
      <w:r>
        <w:rPr/>
        <w:t>诺，上述股东分别持有的</w:t>
      </w:r>
      <w:r>
        <w:rPr>
          <w:spacing w:val="-53"/>
        </w:rPr>
        <w:t> </w:t>
      </w:r>
      <w:r>
        <w:rPr>
          <w:rFonts w:ascii="Times New Roman" w:hAnsi="Times New Roman" w:cs="Times New Roman" w:eastAsia="Times New Roman" w:hint="default"/>
        </w:rPr>
        <w:t>134,150,400</w:t>
      </w:r>
      <w:r>
        <w:rPr>
          <w:rFonts w:ascii="Times New Roman" w:hAnsi="Times New Roman" w:cs="Times New Roman" w:eastAsia="Times New Roman" w:hint="default"/>
          <w:spacing w:val="7"/>
        </w:rPr>
        <w:t> </w:t>
      </w:r>
      <w:r>
        <w:rPr/>
        <w:t>股、</w:t>
      </w:r>
      <w:r>
        <w:rPr>
          <w:rFonts w:ascii="Times New Roman" w:hAnsi="Times New Roman" w:cs="Times New Roman" w:eastAsia="Times New Roman" w:hint="default"/>
        </w:rPr>
        <w:t>134,150,400</w:t>
      </w:r>
      <w:r>
        <w:rPr>
          <w:rFonts w:ascii="Times New Roman" w:hAnsi="Times New Roman" w:cs="Times New Roman" w:eastAsia="Times New Roman" w:hint="default"/>
          <w:spacing w:val="7"/>
        </w:rPr>
        <w:t> </w:t>
      </w:r>
      <w:r>
        <w:rPr/>
        <w:t>股及</w:t>
      </w:r>
      <w:r>
        <w:rPr>
          <w:spacing w:val="-53"/>
        </w:rPr>
        <w:t> </w:t>
      </w:r>
      <w:r>
        <w:rPr>
          <w:rFonts w:ascii="Times New Roman" w:hAnsi="Times New Roman" w:cs="Times New Roman" w:eastAsia="Times New Roman" w:hint="default"/>
        </w:rPr>
        <w:t>39,905,280</w:t>
      </w:r>
      <w:r>
        <w:rPr>
          <w:rFonts w:ascii="Times New Roman" w:hAnsi="Times New Roman" w:cs="Times New Roman" w:eastAsia="Times New Roman" w:hint="default"/>
          <w:spacing w:val="7"/>
        </w:rPr>
        <w:t> </w:t>
      </w:r>
      <w:r>
        <w:rPr/>
        <w:t>股限售股份</w:t>
      </w:r>
    </w:p>
    <w:p>
      <w:pPr>
        <w:pStyle w:val="BodyText"/>
        <w:spacing w:line="338" w:lineRule="auto" w:before="5"/>
        <w:ind w:left="624" w:right="154" w:hanging="480"/>
        <w:jc w:val="left"/>
      </w:pPr>
      <w:r>
        <w:rPr/>
        <w:t>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13 </w:t>
      </w:r>
      <w:r>
        <w:rPr/>
        <w:t>日上市流通； </w:t>
      </w:r>
      <w:r>
        <w:rPr>
          <w:spacing w:val="-1"/>
        </w:rPr>
        <w:t>其中，张近东先生作为本公司的董事长，其所持有的股份还需按照国家相关法</w:t>
      </w:r>
    </w:p>
    <w:p>
      <w:pPr>
        <w:pStyle w:val="BodyText"/>
        <w:spacing w:line="348" w:lineRule="auto" w:before="55"/>
        <w:ind w:left="144" w:right="161"/>
        <w:jc w:val="both"/>
      </w:pPr>
      <w:r>
        <w:rPr>
          <w:spacing w:val="-1"/>
        </w:rPr>
        <w:t>律、法规和规范性文件的规定由中国证券登记结算有限责任公司深圳分公司以“高</w:t>
      </w:r>
      <w:r>
        <w:rPr>
          <w:spacing w:val="-106"/>
        </w:rPr>
        <w:t> </w:t>
      </w:r>
      <w:r>
        <w:rPr>
          <w:spacing w:val="-106"/>
        </w:rPr>
      </w:r>
      <w:r>
        <w:rPr>
          <w:spacing w:val="-3"/>
        </w:rPr>
        <w:t>管股份”的形式予以锁定，因此本次张近东先生实际可上市流通股数为</w:t>
      </w:r>
      <w:r>
        <w:rPr>
          <w:spacing w:val="-51"/>
        </w:rPr>
        <w:t> </w:t>
      </w:r>
      <w:r>
        <w:rPr>
          <w:rFonts w:ascii="Times New Roman" w:hAnsi="Times New Roman" w:cs="Times New Roman" w:eastAsia="Times New Roman" w:hint="default"/>
        </w:rPr>
        <w:t>106,980,480 </w:t>
      </w:r>
      <w:r>
        <w:rPr/>
        <w:t>股。</w:t>
      </w:r>
    </w:p>
    <w:p>
      <w:pPr>
        <w:spacing w:after="0" w:line="348" w:lineRule="auto"/>
        <w:jc w:val="both"/>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240" w:lineRule="auto" w:before="26"/>
        <w:ind w:left="1184" w:right="87"/>
        <w:jc w:val="left"/>
      </w:pPr>
      <w:r>
        <w:rPr/>
        <w:t>二、股东情况介绍：</w:t>
      </w:r>
    </w:p>
    <w:p>
      <w:pPr>
        <w:pStyle w:val="BodyText"/>
        <w:spacing w:line="240" w:lineRule="auto" w:before="154"/>
        <w:ind w:left="1183" w:right="87"/>
        <w:jc w:val="left"/>
      </w:pPr>
      <w:r>
        <w:rPr>
          <w:rFonts w:ascii="Times New Roman" w:hAnsi="Times New Roman" w:cs="Times New Roman" w:eastAsia="Times New Roman" w:hint="default"/>
        </w:rPr>
        <w:t>1</w:t>
      </w:r>
      <w:r>
        <w:rPr/>
        <w:t>、股东情况</w:t>
      </w:r>
    </w:p>
    <w:p>
      <w:pPr>
        <w:spacing w:line="240" w:lineRule="auto" w:before="4"/>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926"/>
        <w:gridCol w:w="1609"/>
        <w:gridCol w:w="551"/>
        <w:gridCol w:w="529"/>
        <w:gridCol w:w="1260"/>
        <w:gridCol w:w="731"/>
        <w:gridCol w:w="889"/>
        <w:gridCol w:w="1271"/>
      </w:tblGrid>
      <w:tr>
        <w:trPr>
          <w:trHeight w:val="474" w:hRule="exact"/>
        </w:trPr>
        <w:tc>
          <w:tcPr>
            <w:tcW w:w="292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b/>
                <w:bCs/>
                <w:sz w:val="18"/>
                <w:szCs w:val="18"/>
              </w:rPr>
              <w:t>股东总数</w:t>
            </w:r>
            <w:r>
              <w:rPr>
                <w:rFonts w:ascii="宋体" w:hAnsi="宋体" w:cs="宋体" w:eastAsia="宋体" w:hint="default"/>
                <w:sz w:val="18"/>
                <w:szCs w:val="18"/>
              </w:rPr>
            </w:r>
          </w:p>
        </w:tc>
        <w:tc>
          <w:tcPr>
            <w:tcW w:w="6840" w:type="dxa"/>
            <w:gridSpan w:val="7"/>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0"/>
              <w:ind w:left="7" w:right="0"/>
              <w:jc w:val="center"/>
              <w:rPr>
                <w:rFonts w:ascii="Times New Roman" w:hAnsi="Times New Roman" w:cs="Times New Roman" w:eastAsia="Times New Roman" w:hint="default"/>
                <w:sz w:val="18"/>
                <w:szCs w:val="18"/>
              </w:rPr>
            </w:pPr>
            <w:r>
              <w:rPr>
                <w:rFonts w:ascii="Times New Roman"/>
                <w:sz w:val="18"/>
              </w:rPr>
              <w:t>25,653</w:t>
            </w:r>
          </w:p>
        </w:tc>
      </w:tr>
      <w:tr>
        <w:trPr>
          <w:trHeight w:val="485" w:hRule="exact"/>
        </w:trPr>
        <w:tc>
          <w:tcPr>
            <w:tcW w:w="9766" w:type="dxa"/>
            <w:gridSpan w:val="8"/>
            <w:tcBorders>
              <w:top w:val="single" w:sz="4" w:space="0" w:color="000000"/>
              <w:left w:val="single" w:sz="12" w:space="0" w:color="000000"/>
              <w:bottom w:val="single" w:sz="4" w:space="0" w:color="000000"/>
              <w:right w:val="single" w:sz="12" w:space="0" w:color="000000"/>
            </w:tcBorders>
          </w:tcPr>
          <w:p>
            <w:pPr>
              <w:pStyle w:val="TableParagraph"/>
              <w:tabs>
                <w:tab w:pos="8381" w:val="left" w:leader="none"/>
              </w:tabs>
              <w:spacing w:line="240" w:lineRule="auto" w:before="89"/>
              <w:ind w:left="93" w:right="0"/>
              <w:jc w:val="left"/>
              <w:rPr>
                <w:rFonts w:ascii="宋体" w:hAnsi="宋体" w:cs="宋体" w:eastAsia="宋体" w:hint="default"/>
                <w:sz w:val="18"/>
                <w:szCs w:val="18"/>
              </w:rPr>
            </w:pPr>
            <w:r>
              <w:rPr>
                <w:rFonts w:ascii="宋体" w:hAnsi="宋体" w:cs="宋体" w:eastAsia="宋体" w:hint="default"/>
                <w:b/>
                <w:bCs/>
                <w:w w:val="95"/>
                <w:sz w:val="18"/>
                <w:szCs w:val="18"/>
              </w:rPr>
              <w:t>前</w:t>
            </w:r>
            <w:r>
              <w:rPr>
                <w:rFonts w:ascii="Times New Roman" w:hAnsi="Times New Roman" w:cs="Times New Roman" w:eastAsia="Times New Roman" w:hint="default"/>
                <w:b/>
                <w:bCs/>
                <w:w w:val="95"/>
                <w:sz w:val="18"/>
                <w:szCs w:val="18"/>
              </w:rPr>
              <w:t>10</w:t>
            </w:r>
            <w:r>
              <w:rPr>
                <w:rFonts w:ascii="宋体" w:hAnsi="宋体" w:cs="宋体" w:eastAsia="宋体" w:hint="default"/>
                <w:b/>
                <w:bCs/>
                <w:w w:val="95"/>
                <w:sz w:val="18"/>
                <w:szCs w:val="18"/>
              </w:rPr>
              <w:t>名股东持股情况</w:t>
              <w:tab/>
            </w:r>
            <w:r>
              <w:rPr>
                <w:rFonts w:ascii="宋体" w:hAnsi="宋体" w:cs="宋体" w:eastAsia="宋体" w:hint="default"/>
                <w:b/>
                <w:bCs/>
                <w:sz w:val="18"/>
                <w:szCs w:val="18"/>
              </w:rPr>
              <w:t>（单位：股）</w:t>
            </w:r>
            <w:r>
              <w:rPr>
                <w:rFonts w:ascii="宋体" w:hAnsi="宋体" w:cs="宋体" w:eastAsia="宋体" w:hint="default"/>
                <w:sz w:val="18"/>
                <w:szCs w:val="18"/>
              </w:rPr>
            </w:r>
          </w:p>
        </w:tc>
      </w:tr>
      <w:tr>
        <w:trPr>
          <w:trHeight w:val="598"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6"/>
              <w:ind w:right="7"/>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2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9"/>
              <w:ind w:left="265" w:right="0"/>
              <w:jc w:val="left"/>
              <w:rPr>
                <w:rFonts w:ascii="宋体" w:hAnsi="宋体" w:cs="宋体" w:eastAsia="宋体" w:hint="default"/>
                <w:sz w:val="18"/>
                <w:szCs w:val="18"/>
              </w:rPr>
            </w:pPr>
            <w:r>
              <w:rPr>
                <w:rFonts w:ascii="宋体" w:hAnsi="宋体" w:cs="宋体" w:eastAsia="宋体" w:hint="default"/>
                <w:sz w:val="18"/>
                <w:szCs w:val="18"/>
              </w:rPr>
              <w:t>持股总数</w:t>
            </w:r>
          </w:p>
          <w:p>
            <w:pPr>
              <w:pStyle w:val="TableParagraph"/>
              <w:spacing w:line="235" w:lineRule="exact"/>
              <w:ind w:left="35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5" w:right="173" w:hanging="90"/>
              <w:jc w:val="left"/>
              <w:rPr>
                <w:rFonts w:ascii="宋体" w:hAnsi="宋体" w:cs="宋体" w:eastAsia="宋体" w:hint="default"/>
                <w:sz w:val="18"/>
                <w:szCs w:val="18"/>
              </w:rPr>
            </w:pPr>
            <w:r>
              <w:rPr>
                <w:rFonts w:ascii="宋体" w:hAnsi="宋体" w:cs="宋体" w:eastAsia="宋体" w:hint="default"/>
                <w:sz w:val="18"/>
                <w:szCs w:val="18"/>
              </w:rPr>
              <w:t>持有限售条件股 份数量（注）</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left="181" w:right="168"/>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464"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92" w:right="0"/>
              <w:jc w:val="left"/>
              <w:rPr>
                <w:rFonts w:ascii="宋体" w:hAnsi="宋体" w:cs="宋体" w:eastAsia="宋体" w:hint="default"/>
                <w:sz w:val="18"/>
                <w:szCs w:val="18"/>
              </w:rPr>
            </w:pPr>
            <w:r>
              <w:rPr>
                <w:rFonts w:ascii="宋体" w:hAnsi="宋体" w:cs="宋体" w:eastAsia="宋体" w:hint="default"/>
                <w:sz w:val="18"/>
                <w:szCs w:val="18"/>
              </w:rPr>
              <w:t>张近东</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11" w:right="0"/>
              <w:jc w:val="left"/>
              <w:rPr>
                <w:rFonts w:ascii="Times New Roman" w:hAnsi="Times New Roman" w:cs="Times New Roman" w:eastAsia="Times New Roman" w:hint="default"/>
                <w:sz w:val="18"/>
                <w:szCs w:val="18"/>
              </w:rPr>
            </w:pPr>
            <w:r>
              <w:rPr>
                <w:rFonts w:ascii="Times New Roman"/>
                <w:sz w:val="18"/>
              </w:rPr>
              <w:t>29.69%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427,921,920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320,941,440</w:t>
            </w:r>
            <w:r>
              <w:rPr>
                <w:rFonts w:ascii="宋体" w:hAnsi="宋体" w:cs="宋体" w:eastAsia="宋体" w:hint="default"/>
                <w:sz w:val="18"/>
                <w:szCs w:val="18"/>
              </w:rPr>
              <w:t>（注）</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8"/>
              <w:ind w:left="9" w:right="0"/>
              <w:jc w:val="center"/>
              <w:rPr>
                <w:rFonts w:ascii="Times New Roman" w:hAnsi="Times New Roman" w:cs="Times New Roman" w:eastAsia="Times New Roman" w:hint="default"/>
                <w:sz w:val="18"/>
                <w:szCs w:val="18"/>
              </w:rPr>
            </w:pPr>
            <w:r>
              <w:rPr>
                <w:rFonts w:ascii="Times New Roman"/>
                <w:sz w:val="18"/>
              </w:rPr>
              <w:t>0</w:t>
            </w:r>
          </w:p>
        </w:tc>
      </w:tr>
      <w:tr>
        <w:trPr>
          <w:trHeight w:val="456"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2" w:right="0"/>
              <w:jc w:val="left"/>
              <w:rPr>
                <w:rFonts w:ascii="宋体" w:hAnsi="宋体" w:cs="宋体" w:eastAsia="宋体" w:hint="default"/>
                <w:sz w:val="18"/>
                <w:szCs w:val="18"/>
              </w:rPr>
            </w:pPr>
            <w:r>
              <w:rPr>
                <w:rFonts w:ascii="宋体" w:hAnsi="宋体" w:cs="宋体" w:eastAsia="宋体" w:hint="default"/>
                <w:sz w:val="18"/>
                <w:szCs w:val="18"/>
              </w:rPr>
              <w:t>江苏苏宁电器有限公司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1" w:right="0"/>
              <w:jc w:val="left"/>
              <w:rPr>
                <w:rFonts w:ascii="Times New Roman" w:hAnsi="Times New Roman" w:cs="Times New Roman" w:eastAsia="Times New Roman" w:hint="default"/>
                <w:sz w:val="18"/>
                <w:szCs w:val="18"/>
              </w:rPr>
            </w:pPr>
            <w:r>
              <w:rPr>
                <w:rFonts w:ascii="Times New Roman"/>
                <w:sz w:val="18"/>
              </w:rPr>
              <w:t>15.17%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218,743,720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95" w:right="0"/>
              <w:jc w:val="left"/>
              <w:rPr>
                <w:rFonts w:ascii="Times New Roman" w:hAnsi="Times New Roman" w:cs="Times New Roman" w:eastAsia="Times New Roman" w:hint="default"/>
                <w:sz w:val="18"/>
                <w:szCs w:val="18"/>
              </w:rPr>
            </w:pPr>
            <w:r>
              <w:rPr>
                <w:rFonts w:ascii="Times New Roman"/>
                <w:sz w:val="18"/>
              </w:rPr>
              <w:t>88,725,600</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5"/>
              <w:ind w:left="9" w:right="0"/>
              <w:jc w:val="center"/>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6"/>
              <w:ind w:left="92" w:right="0"/>
              <w:jc w:val="left"/>
              <w:rPr>
                <w:rFonts w:ascii="宋体" w:hAnsi="宋体" w:cs="宋体" w:eastAsia="宋体" w:hint="default"/>
                <w:sz w:val="18"/>
                <w:szCs w:val="18"/>
              </w:rPr>
            </w:pPr>
            <w:r>
              <w:rPr>
                <w:rFonts w:ascii="宋体" w:hAnsi="宋体" w:cs="宋体" w:eastAsia="宋体" w:hint="default"/>
                <w:sz w:val="18"/>
                <w:szCs w:val="18"/>
              </w:rPr>
              <w:t>陈金凤</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01" w:right="0"/>
              <w:jc w:val="left"/>
              <w:rPr>
                <w:rFonts w:ascii="Times New Roman" w:hAnsi="Times New Roman" w:cs="Times New Roman" w:eastAsia="Times New Roman" w:hint="default"/>
                <w:sz w:val="18"/>
                <w:szCs w:val="18"/>
              </w:rPr>
            </w:pPr>
            <w:r>
              <w:rPr>
                <w:rFonts w:ascii="Times New Roman"/>
                <w:sz w:val="18"/>
              </w:rPr>
              <w:t>3.97%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57,274,680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55"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4"/>
              <w:ind w:left="92" w:right="0"/>
              <w:jc w:val="left"/>
              <w:rPr>
                <w:rFonts w:ascii="宋体" w:hAnsi="宋体" w:cs="宋体" w:eastAsia="宋体" w:hint="default"/>
                <w:sz w:val="18"/>
                <w:szCs w:val="18"/>
              </w:rPr>
            </w:pPr>
            <w:r>
              <w:rPr>
                <w:rFonts w:ascii="宋体" w:hAnsi="宋体" w:cs="宋体" w:eastAsia="宋体" w:hint="default"/>
                <w:sz w:val="18"/>
                <w:szCs w:val="18"/>
              </w:rPr>
              <w:t>金明</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01" w:right="0"/>
              <w:jc w:val="left"/>
              <w:rPr>
                <w:rFonts w:ascii="Times New Roman" w:hAnsi="Times New Roman" w:cs="Times New Roman" w:eastAsia="Times New Roman" w:hint="default"/>
                <w:sz w:val="18"/>
                <w:szCs w:val="18"/>
              </w:rPr>
            </w:pPr>
            <w:r>
              <w:rPr>
                <w:rFonts w:ascii="Times New Roman"/>
                <w:sz w:val="18"/>
              </w:rPr>
              <w:t>1.86%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26,745,120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20,058,840</w:t>
            </w:r>
            <w:r>
              <w:rPr>
                <w:rFonts w:ascii="宋体" w:hAnsi="宋体" w:cs="宋体" w:eastAsia="宋体" w:hint="default"/>
                <w:sz w:val="18"/>
                <w:szCs w:val="18"/>
              </w:rPr>
              <w:t>（注）</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left="9" w:right="0"/>
              <w:jc w:val="center"/>
              <w:rPr>
                <w:rFonts w:ascii="Times New Roman" w:hAnsi="Times New Roman" w:cs="Times New Roman" w:eastAsia="Times New Roman" w:hint="default"/>
                <w:sz w:val="18"/>
                <w:szCs w:val="18"/>
              </w:rPr>
            </w:pPr>
            <w:r>
              <w:rPr>
                <w:rFonts w:ascii="Times New Roman"/>
                <w:sz w:val="18"/>
              </w:rPr>
              <w:t>0</w:t>
            </w:r>
          </w:p>
        </w:tc>
      </w:tr>
      <w:tr>
        <w:trPr>
          <w:trHeight w:val="474"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92" w:right="0"/>
              <w:jc w:val="left"/>
              <w:rPr>
                <w:rFonts w:ascii="宋体" w:hAnsi="宋体" w:cs="宋体" w:eastAsia="宋体" w:hint="default"/>
                <w:sz w:val="18"/>
                <w:szCs w:val="18"/>
              </w:rPr>
            </w:pPr>
            <w:r>
              <w:rPr>
                <w:rFonts w:ascii="宋体" w:hAnsi="宋体" w:cs="宋体" w:eastAsia="宋体" w:hint="default"/>
                <w:sz w:val="18"/>
                <w:szCs w:val="18"/>
              </w:rPr>
              <w:t>蒋勇</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01" w:right="0"/>
              <w:jc w:val="left"/>
              <w:rPr>
                <w:rFonts w:ascii="Times New Roman" w:hAnsi="Times New Roman" w:cs="Times New Roman" w:eastAsia="Times New Roman" w:hint="default"/>
                <w:sz w:val="18"/>
                <w:szCs w:val="18"/>
              </w:rPr>
            </w:pPr>
            <w:r>
              <w:rPr>
                <w:rFonts w:ascii="Times New Roman"/>
                <w:sz w:val="18"/>
              </w:rPr>
              <w:t>1.86%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26,745,120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26,745,120</w:t>
            </w:r>
            <w:r>
              <w:rPr>
                <w:rFonts w:ascii="宋体" w:hAnsi="宋体" w:cs="宋体" w:eastAsia="宋体" w:hint="default"/>
                <w:sz w:val="18"/>
                <w:szCs w:val="18"/>
              </w:rPr>
              <w:t>（注）</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left="9" w:right="0"/>
              <w:jc w:val="center"/>
              <w:rPr>
                <w:rFonts w:ascii="Times New Roman" w:hAnsi="Times New Roman" w:cs="Times New Roman" w:eastAsia="Times New Roman" w:hint="default"/>
                <w:sz w:val="18"/>
                <w:szCs w:val="18"/>
              </w:rPr>
            </w:pPr>
            <w:r>
              <w:rPr>
                <w:rFonts w:ascii="Times New Roman"/>
                <w:sz w:val="18"/>
              </w:rPr>
              <w:t>0</w:t>
            </w:r>
          </w:p>
        </w:tc>
      </w:tr>
      <w:tr>
        <w:trPr>
          <w:trHeight w:val="481"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14" w:lineRule="exact"/>
              <w:ind w:left="92" w:right="0"/>
              <w:jc w:val="left"/>
              <w:rPr>
                <w:rFonts w:ascii="宋体" w:hAnsi="宋体" w:cs="宋体" w:eastAsia="宋体" w:hint="default"/>
                <w:sz w:val="18"/>
                <w:szCs w:val="18"/>
              </w:rPr>
            </w:pP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华夏蓝筹核心混合型证</w:t>
            </w:r>
          </w:p>
          <w:p>
            <w:pPr>
              <w:pStyle w:val="TableParagraph"/>
              <w:spacing w:line="242" w:lineRule="exact"/>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券投资基金</w:t>
            </w:r>
            <w:r>
              <w:rPr>
                <w:rFonts w:ascii="Times New Roman" w:hAnsi="Times New Roman" w:cs="Times New Roman" w:eastAsia="Times New Roman" w:hint="default"/>
                <w:sz w:val="18"/>
                <w:szCs w:val="18"/>
              </w:rPr>
              <w:t>(LOF)</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1" w:right="0"/>
              <w:jc w:val="left"/>
              <w:rPr>
                <w:rFonts w:ascii="Times New Roman" w:hAnsi="Times New Roman" w:cs="Times New Roman" w:eastAsia="Times New Roman" w:hint="default"/>
                <w:sz w:val="18"/>
                <w:szCs w:val="18"/>
              </w:rPr>
            </w:pPr>
            <w:r>
              <w:rPr>
                <w:rFonts w:ascii="Times New Roman"/>
                <w:sz w:val="18"/>
              </w:rPr>
              <w:t>1.71%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24,682,818</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14" w:lineRule="exact"/>
              <w:ind w:left="92"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华夏红利混合型开</w:t>
            </w:r>
          </w:p>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放式证券投资基金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1" w:right="0"/>
              <w:jc w:val="left"/>
              <w:rPr>
                <w:rFonts w:ascii="Times New Roman" w:hAnsi="Times New Roman" w:cs="Times New Roman" w:eastAsia="Times New Roman" w:hint="default"/>
                <w:sz w:val="18"/>
                <w:szCs w:val="18"/>
              </w:rPr>
            </w:pPr>
            <w:r>
              <w:rPr>
                <w:rFonts w:ascii="Times New Roman"/>
                <w:sz w:val="18"/>
              </w:rPr>
              <w:t>1.43%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20,652,503</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14" w:lineRule="exact"/>
              <w:ind w:left="92"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中小企业板交易型</w:t>
            </w:r>
          </w:p>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开放式指数基金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1" w:right="0"/>
              <w:jc w:val="left"/>
              <w:rPr>
                <w:rFonts w:ascii="Times New Roman" w:hAnsi="Times New Roman" w:cs="Times New Roman" w:eastAsia="Times New Roman" w:hint="default"/>
                <w:sz w:val="18"/>
                <w:szCs w:val="18"/>
              </w:rPr>
            </w:pPr>
            <w:r>
              <w:rPr>
                <w:rFonts w:ascii="Times New Roman"/>
                <w:sz w:val="18"/>
              </w:rPr>
              <w:t>1.38%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19,909,488</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14" w:lineRule="exact"/>
              <w:ind w:left="92" w:right="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广发聚丰股票型证</w:t>
            </w:r>
          </w:p>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1" w:right="0"/>
              <w:jc w:val="left"/>
              <w:rPr>
                <w:rFonts w:ascii="Times New Roman" w:hAnsi="Times New Roman" w:cs="Times New Roman" w:eastAsia="Times New Roman" w:hint="default"/>
                <w:sz w:val="18"/>
                <w:szCs w:val="18"/>
              </w:rPr>
            </w:pPr>
            <w:r>
              <w:rPr>
                <w:rFonts w:ascii="Times New Roman"/>
                <w:sz w:val="18"/>
              </w:rPr>
              <w:t>1.26%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18,199,816</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2926" w:type="dxa"/>
            <w:tcBorders>
              <w:top w:val="single" w:sz="4" w:space="0" w:color="000000"/>
              <w:left w:val="single" w:sz="12" w:space="0" w:color="000000"/>
              <w:bottom w:val="single" w:sz="4" w:space="0" w:color="000000"/>
              <w:right w:val="single" w:sz="4" w:space="0" w:color="000000"/>
            </w:tcBorders>
          </w:tcPr>
          <w:p>
            <w:pPr>
              <w:pStyle w:val="TableParagraph"/>
              <w:spacing w:line="214" w:lineRule="exact"/>
              <w:ind w:left="92" w:right="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汇添富成长焦点股</w:t>
            </w:r>
          </w:p>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票型证券投资基金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1" w:right="0"/>
              <w:jc w:val="left"/>
              <w:rPr>
                <w:rFonts w:ascii="Times New Roman" w:hAnsi="Times New Roman" w:cs="Times New Roman" w:eastAsia="Times New Roman" w:hint="default"/>
                <w:sz w:val="18"/>
                <w:szCs w:val="18"/>
              </w:rPr>
            </w:pPr>
            <w:r>
              <w:rPr>
                <w:rFonts w:ascii="Times New Roman"/>
                <w:sz w:val="18"/>
              </w:rPr>
              <w:t>1.26%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18,092,362</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w:t>
            </w:r>
          </w:p>
        </w:tc>
        <w:tc>
          <w:tcPr>
            <w:tcW w:w="12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528" w:hRule="exact"/>
        </w:trPr>
        <w:tc>
          <w:tcPr>
            <w:tcW w:w="9766" w:type="dxa"/>
            <w:gridSpan w:val="8"/>
            <w:tcBorders>
              <w:top w:val="single" w:sz="4" w:space="0" w:color="000000"/>
              <w:left w:val="single" w:sz="12" w:space="0" w:color="000000"/>
              <w:bottom w:val="single" w:sz="4" w:space="0" w:color="000000"/>
              <w:right w:val="single" w:sz="12" w:space="0" w:color="000000"/>
            </w:tcBorders>
          </w:tcPr>
          <w:p>
            <w:pPr>
              <w:pStyle w:val="TableParagraph"/>
              <w:tabs>
                <w:tab w:pos="8381" w:val="left" w:leader="none"/>
              </w:tabs>
              <w:spacing w:line="240" w:lineRule="auto" w:before="111"/>
              <w:ind w:left="93" w:right="0"/>
              <w:jc w:val="left"/>
              <w:rPr>
                <w:rFonts w:ascii="宋体" w:hAnsi="宋体" w:cs="宋体" w:eastAsia="宋体" w:hint="default"/>
                <w:sz w:val="18"/>
                <w:szCs w:val="18"/>
              </w:rPr>
            </w:pPr>
            <w:r>
              <w:rPr>
                <w:rFonts w:ascii="宋体" w:hAnsi="宋体" w:cs="宋体" w:eastAsia="宋体" w:hint="default"/>
                <w:b/>
                <w:bCs/>
                <w:w w:val="95"/>
                <w:sz w:val="18"/>
                <w:szCs w:val="18"/>
              </w:rPr>
              <w:t>前</w:t>
            </w:r>
            <w:r>
              <w:rPr>
                <w:rFonts w:ascii="Times New Roman" w:hAnsi="Times New Roman" w:cs="Times New Roman" w:eastAsia="Times New Roman" w:hint="default"/>
                <w:b/>
                <w:bCs/>
                <w:w w:val="95"/>
                <w:sz w:val="18"/>
                <w:szCs w:val="18"/>
              </w:rPr>
              <w:t>10</w:t>
            </w:r>
            <w:r>
              <w:rPr>
                <w:rFonts w:ascii="宋体" w:hAnsi="宋体" w:cs="宋体" w:eastAsia="宋体" w:hint="default"/>
                <w:b/>
                <w:bCs/>
                <w:w w:val="95"/>
                <w:sz w:val="18"/>
                <w:szCs w:val="18"/>
              </w:rPr>
              <w:t>名无限售条件股东持股情况</w:t>
              <w:tab/>
            </w:r>
            <w:r>
              <w:rPr>
                <w:rFonts w:ascii="宋体" w:hAnsi="宋体" w:cs="宋体" w:eastAsia="宋体" w:hint="default"/>
                <w:b/>
                <w:bCs/>
                <w:sz w:val="18"/>
                <w:szCs w:val="18"/>
              </w:rPr>
              <w:t>（单位：股）</w:t>
            </w:r>
            <w:r>
              <w:rPr>
                <w:rFonts w:ascii="宋体" w:hAnsi="宋体" w:cs="宋体" w:eastAsia="宋体" w:hint="default"/>
                <w:sz w:val="18"/>
                <w:szCs w:val="18"/>
              </w:rPr>
            </w:r>
          </w:p>
        </w:tc>
      </w:tr>
      <w:tr>
        <w:trPr>
          <w:trHeight w:val="340"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1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41"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江苏苏宁电器有限公司</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05" w:right="0"/>
              <w:jc w:val="left"/>
              <w:rPr>
                <w:rFonts w:ascii="Times New Roman" w:hAnsi="Times New Roman" w:cs="Times New Roman" w:eastAsia="Times New Roman" w:hint="default"/>
                <w:sz w:val="18"/>
                <w:szCs w:val="18"/>
              </w:rPr>
            </w:pPr>
            <w:r>
              <w:rPr>
                <w:rFonts w:ascii="Times New Roman"/>
                <w:sz w:val="18"/>
              </w:rPr>
              <w:t>130,018,120</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张近东</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05" w:right="0"/>
              <w:jc w:val="left"/>
              <w:rPr>
                <w:rFonts w:ascii="Times New Roman" w:hAnsi="Times New Roman" w:cs="Times New Roman" w:eastAsia="Times New Roman" w:hint="default"/>
                <w:sz w:val="18"/>
                <w:szCs w:val="18"/>
              </w:rPr>
            </w:pPr>
            <w:r>
              <w:rPr>
                <w:rFonts w:ascii="Times New Roman"/>
                <w:sz w:val="18"/>
              </w:rPr>
              <w:t>106,980,480</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陈金凤</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95" w:right="0"/>
              <w:jc w:val="left"/>
              <w:rPr>
                <w:rFonts w:ascii="Times New Roman" w:hAnsi="Times New Roman" w:cs="Times New Roman" w:eastAsia="Times New Roman" w:hint="default"/>
                <w:sz w:val="18"/>
                <w:szCs w:val="18"/>
              </w:rPr>
            </w:pPr>
            <w:r>
              <w:rPr>
                <w:rFonts w:ascii="Times New Roman"/>
                <w:sz w:val="18"/>
              </w:rPr>
              <w:t>57,274,680</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交通银行－华夏蓝筹核心混合型证券投资基金</w:t>
            </w:r>
            <w:r>
              <w:rPr>
                <w:rFonts w:ascii="Times New Roman" w:hAnsi="Times New Roman" w:cs="Times New Roman" w:eastAsia="Times New Roman" w:hint="default"/>
                <w:sz w:val="18"/>
                <w:szCs w:val="18"/>
              </w:rPr>
              <w:t>(LOF)</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95" w:right="0"/>
              <w:jc w:val="left"/>
              <w:rPr>
                <w:rFonts w:ascii="Times New Roman" w:hAnsi="Times New Roman" w:cs="Times New Roman" w:eastAsia="Times New Roman" w:hint="default"/>
                <w:sz w:val="18"/>
                <w:szCs w:val="18"/>
              </w:rPr>
            </w:pPr>
            <w:r>
              <w:rPr>
                <w:rFonts w:ascii="Times New Roman"/>
                <w:sz w:val="18"/>
              </w:rPr>
              <w:t>24,682,818</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中国建设银行－华夏红利混合型开放式证券投资基金</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95" w:right="0"/>
              <w:jc w:val="left"/>
              <w:rPr>
                <w:rFonts w:ascii="Times New Roman" w:hAnsi="Times New Roman" w:cs="Times New Roman" w:eastAsia="Times New Roman" w:hint="default"/>
                <w:sz w:val="18"/>
                <w:szCs w:val="18"/>
              </w:rPr>
            </w:pPr>
            <w:r>
              <w:rPr>
                <w:rFonts w:ascii="Times New Roman"/>
                <w:sz w:val="18"/>
              </w:rPr>
              <w:t>20,652,503</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中国建设银行－中小企业板交易型开放式指数基金</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95" w:right="0"/>
              <w:jc w:val="left"/>
              <w:rPr>
                <w:rFonts w:ascii="Times New Roman" w:hAnsi="Times New Roman" w:cs="Times New Roman" w:eastAsia="Times New Roman" w:hint="default"/>
                <w:sz w:val="18"/>
                <w:szCs w:val="18"/>
              </w:rPr>
            </w:pPr>
            <w:r>
              <w:rPr>
                <w:rFonts w:ascii="Times New Roman"/>
                <w:sz w:val="18"/>
              </w:rPr>
              <w:t>19,909,488</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中国工商银行－广发聚丰股票型证券投资基金</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95" w:right="0"/>
              <w:jc w:val="left"/>
              <w:rPr>
                <w:rFonts w:ascii="Times New Roman" w:hAnsi="Times New Roman" w:cs="Times New Roman" w:eastAsia="Times New Roman" w:hint="default"/>
                <w:sz w:val="18"/>
                <w:szCs w:val="18"/>
              </w:rPr>
            </w:pPr>
            <w:r>
              <w:rPr>
                <w:rFonts w:ascii="Times New Roman"/>
                <w:sz w:val="18"/>
              </w:rPr>
              <w:t>18,199,816</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中国工商银行－汇添富成长焦点股票型证券投资基金</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95" w:right="0"/>
              <w:jc w:val="left"/>
              <w:rPr>
                <w:rFonts w:ascii="Times New Roman" w:hAnsi="Times New Roman" w:cs="Times New Roman" w:eastAsia="Times New Roman" w:hint="default"/>
                <w:sz w:val="18"/>
                <w:szCs w:val="18"/>
              </w:rPr>
            </w:pPr>
            <w:r>
              <w:rPr>
                <w:rFonts w:ascii="Times New Roman"/>
                <w:sz w:val="18"/>
              </w:rPr>
              <w:t>18,092,362</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中国建设银行－银华核心价值优选股票型证券投资基金</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95" w:right="0"/>
              <w:jc w:val="left"/>
              <w:rPr>
                <w:rFonts w:ascii="Times New Roman" w:hAnsi="Times New Roman" w:cs="Times New Roman" w:eastAsia="Times New Roman" w:hint="default"/>
                <w:sz w:val="18"/>
                <w:szCs w:val="18"/>
              </w:rPr>
            </w:pPr>
            <w:r>
              <w:rPr>
                <w:rFonts w:ascii="Times New Roman"/>
                <w:sz w:val="18"/>
              </w:rPr>
              <w:t>15,903,315</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5085"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中国工商银行－汇添富均衡增长股票型证券投资基金</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95" w:right="0"/>
              <w:jc w:val="left"/>
              <w:rPr>
                <w:rFonts w:ascii="Times New Roman" w:hAnsi="Times New Roman" w:cs="Times New Roman" w:eastAsia="Times New Roman" w:hint="default"/>
                <w:sz w:val="18"/>
                <w:szCs w:val="18"/>
              </w:rPr>
            </w:pPr>
            <w:r>
              <w:rPr>
                <w:rFonts w:ascii="Times New Roman"/>
                <w:sz w:val="18"/>
              </w:rPr>
              <w:t>15,349,780</w:t>
            </w:r>
          </w:p>
        </w:tc>
        <w:tc>
          <w:tcPr>
            <w:tcW w:w="216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445" w:hRule="exact"/>
        </w:trPr>
        <w:tc>
          <w:tcPr>
            <w:tcW w:w="9766" w:type="dxa"/>
            <w:gridSpan w:val="8"/>
            <w:tcBorders>
              <w:top w:val="single" w:sz="4" w:space="0" w:color="000000"/>
              <w:left w:val="single" w:sz="12" w:space="0" w:color="000000"/>
              <w:bottom w:val="single" w:sz="12" w:space="0" w:color="000000"/>
              <w:right w:val="single" w:sz="12"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p>
            <w:pPr>
              <w:pStyle w:val="TableParagraph"/>
              <w:spacing w:line="234" w:lineRule="exact" w:before="22"/>
              <w:ind w:left="93" w:right="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、公司股东张近东同时还持有江苏苏宁电器有限公司</w:t>
            </w:r>
            <w:r>
              <w:rPr>
                <w:rFonts w:ascii="Times New Roman" w:hAnsi="Times New Roman" w:cs="Times New Roman" w:eastAsia="Times New Roman" w:hint="default"/>
                <w:spacing w:val="-1"/>
                <w:sz w:val="18"/>
                <w:szCs w:val="18"/>
              </w:rPr>
              <w:t>28%</w:t>
            </w:r>
            <w:r>
              <w:rPr>
                <w:rFonts w:ascii="宋体" w:hAnsi="宋体" w:cs="宋体" w:eastAsia="宋体" w:hint="default"/>
                <w:spacing w:val="-1"/>
                <w:sz w:val="18"/>
                <w:szCs w:val="18"/>
              </w:rPr>
              <w:t>的股权，陈金凤持有江苏苏宁电器有限公司</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的股权。张</w:t>
            </w:r>
            <w:r>
              <w:rPr>
                <w:rFonts w:ascii="宋体" w:hAnsi="宋体" w:cs="宋体" w:eastAsia="宋体" w:hint="default"/>
                <w:sz w:val="18"/>
                <w:szCs w:val="18"/>
              </w:rPr>
              <w:t> 近东与江苏苏宁电器有限公司构成关联股东关系，陈金凤与江苏苏宁电器有限公司构成关联股东关系，除此之外，未知公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司的主要股东之间是否存在其他关联关系。</w:t>
            </w:r>
          </w:p>
          <w:p>
            <w:pPr>
              <w:pStyle w:val="TableParagraph"/>
              <w:spacing w:line="234" w:lineRule="exact"/>
              <w:ind w:left="93" w:right="9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、公司未知前十名无限售条件股东之间是否存在关联关系，也未知是否存在《上市公司股东持股变动信息披露管理办</w:t>
            </w:r>
            <w:r>
              <w:rPr>
                <w:rFonts w:ascii="宋体" w:hAnsi="宋体" w:cs="宋体" w:eastAsia="宋体" w:hint="default"/>
                <w:sz w:val="18"/>
                <w:szCs w:val="18"/>
              </w:rPr>
              <w:t> 法》中规定的一致行动人的情况。</w:t>
            </w:r>
          </w:p>
        </w:tc>
      </w:tr>
    </w:tbl>
    <w:p>
      <w:pPr>
        <w:spacing w:line="372" w:lineRule="auto" w:before="47"/>
        <w:ind w:left="704" w:right="721" w:firstLine="482"/>
        <w:jc w:val="both"/>
        <w:rPr>
          <w:rFonts w:ascii="宋体" w:hAnsi="宋体" w:cs="宋体" w:eastAsia="宋体" w:hint="default"/>
          <w:sz w:val="21"/>
          <w:szCs w:val="21"/>
        </w:rPr>
      </w:pPr>
      <w:r>
        <w:rPr>
          <w:rFonts w:ascii="宋体" w:hAnsi="宋体" w:cs="宋体" w:eastAsia="宋体" w:hint="default"/>
          <w:spacing w:val="-2"/>
          <w:sz w:val="21"/>
          <w:szCs w:val="21"/>
        </w:rPr>
        <w:t>注：张近东先生作为公司董事长，其所持股份除因股改承诺而限售外，还需按照国家相关</w:t>
      </w:r>
      <w:r>
        <w:rPr>
          <w:rFonts w:ascii="宋体" w:hAnsi="宋体" w:cs="宋体" w:eastAsia="宋体" w:hint="default"/>
          <w:sz w:val="21"/>
          <w:szCs w:val="21"/>
        </w:rPr>
        <w:t> 法律法规进行锁定；金明先生为现任董事，蒋勇先生作为离任未满</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个月的监事，其所持有的 公司股份需按照国家相关法律法规及规范性文件进行锁定。</w:t>
      </w:r>
    </w:p>
    <w:p>
      <w:pPr>
        <w:spacing w:after="0" w:line="372" w:lineRule="auto"/>
        <w:jc w:val="both"/>
        <w:rPr>
          <w:rFonts w:ascii="宋体" w:hAnsi="宋体" w:cs="宋体" w:eastAsia="宋体" w:hint="default"/>
          <w:sz w:val="21"/>
          <w:szCs w:val="21"/>
        </w:rPr>
        <w:sectPr>
          <w:pgSz w:w="11910" w:h="16840"/>
          <w:pgMar w:header="879" w:footer="982" w:top="1100" w:bottom="1180" w:left="940" w:right="920"/>
        </w:sectPr>
      </w:pPr>
    </w:p>
    <w:p>
      <w:pPr>
        <w:spacing w:line="240" w:lineRule="auto" w:before="10"/>
        <w:rPr>
          <w:rFonts w:ascii="宋体" w:hAnsi="宋体" w:cs="宋体" w:eastAsia="宋体" w:hint="default"/>
          <w:sz w:val="10"/>
          <w:szCs w:val="10"/>
        </w:rPr>
      </w:pPr>
    </w:p>
    <w:p>
      <w:pPr>
        <w:pStyle w:val="BodyText"/>
        <w:spacing w:line="240" w:lineRule="auto" w:before="26"/>
        <w:ind w:left="624" w:right="87"/>
        <w:jc w:val="left"/>
      </w:pPr>
      <w:r>
        <w:rPr>
          <w:rFonts w:ascii="Times New Roman" w:hAnsi="Times New Roman" w:cs="Times New Roman" w:eastAsia="Times New Roman" w:hint="default"/>
        </w:rPr>
        <w:t>2</w:t>
      </w:r>
      <w:r>
        <w:rPr/>
        <w:t>、公司控股股东及实际控制人情况：</w:t>
      </w:r>
    </w:p>
    <w:p>
      <w:pPr>
        <w:pStyle w:val="BodyText"/>
        <w:spacing w:line="350" w:lineRule="auto" w:before="135"/>
        <w:ind w:left="144" w:right="87" w:firstLine="480"/>
        <w:jc w:val="left"/>
      </w:pPr>
      <w:r>
        <w:rPr>
          <w:spacing w:val="-3"/>
        </w:rPr>
        <w:t>（</w:t>
      </w:r>
      <w:r>
        <w:rPr>
          <w:rFonts w:ascii="Times New Roman" w:hAnsi="Times New Roman" w:cs="Times New Roman" w:eastAsia="Times New Roman" w:hint="default"/>
          <w:spacing w:val="-3"/>
        </w:rPr>
        <w:t>1</w:t>
      </w:r>
      <w:r>
        <w:rPr>
          <w:spacing w:val="-3"/>
        </w:rPr>
        <w:t>）公司控股股东或实际控制人：张近东先生，中国国籍，</w:t>
      </w:r>
      <w:r>
        <w:rPr>
          <w:rFonts w:ascii="Times New Roman" w:hAnsi="Times New Roman" w:cs="Times New Roman" w:eastAsia="Times New Roman" w:hint="default"/>
          <w:spacing w:val="-3"/>
        </w:rPr>
        <w:t>1963</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月出生， 本科学历，曾任江苏苏宁交家电有限公司董事长兼总经理，现任苏宁电器股份有限 公司董事长。无其他国家或地区居住权。张近东先生直接持有和通过江苏苏宁电器 有限公司控制公司</w:t>
      </w:r>
      <w:r>
        <w:rPr>
          <w:spacing w:val="-60"/>
        </w:rPr>
        <w:t> </w:t>
      </w:r>
      <w:r>
        <w:rPr>
          <w:rFonts w:ascii="Times New Roman" w:hAnsi="Times New Roman" w:cs="Times New Roman" w:eastAsia="Times New Roman" w:hint="default"/>
        </w:rPr>
        <w:t>33.94</w:t>
      </w:r>
      <w:r>
        <w:rPr/>
        <w:t>％的股份。</w:t>
      </w:r>
    </w:p>
    <w:p>
      <w:pPr>
        <w:pStyle w:val="BodyText"/>
        <w:spacing w:line="240" w:lineRule="auto" w:before="13"/>
        <w:ind w:left="624" w:right="87"/>
        <w:jc w:val="left"/>
      </w:pPr>
      <w:r>
        <w:rPr/>
        <w:t>（</w:t>
      </w:r>
      <w:r>
        <w:rPr>
          <w:rFonts w:ascii="Times New Roman" w:hAnsi="Times New Roman" w:cs="Times New Roman" w:eastAsia="Times New Roman" w:hint="default"/>
        </w:rPr>
        <w:t>2</w:t>
      </w:r>
      <w:r>
        <w:rPr/>
        <w:t>）公司与实际控制人的产权和控制关系如下图：</w:t>
      </w:r>
    </w:p>
    <w:p>
      <w:pPr>
        <w:spacing w:line="240" w:lineRule="auto" w:before="3"/>
        <w:rPr>
          <w:rFonts w:ascii="宋体" w:hAnsi="宋体" w:cs="宋体" w:eastAsia="宋体" w:hint="default"/>
          <w:sz w:val="19"/>
          <w:szCs w:val="19"/>
        </w:rPr>
      </w:pPr>
    </w:p>
    <w:p>
      <w:pPr>
        <w:spacing w:line="468" w:lineRule="exact"/>
        <w:ind w:left="320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81pt;height:23.4pt;mso-position-horizontal-relative:char;mso-position-vertical-relative:line" type="#_x0000_t202" filled="false" stroked="true" strokeweight=".75pt" strokecolor="#000000">
            <w10:anchorlock/>
            <v:textbox inset="0,0,0,0">
              <w:txbxContent>
                <w:p>
                  <w:pPr>
                    <w:spacing w:before="58"/>
                    <w:ind w:left="488" w:right="0" w:firstLine="0"/>
                    <w:jc w:val="left"/>
                    <w:rPr>
                      <w:rFonts w:ascii="宋体" w:hAnsi="宋体" w:cs="宋体" w:eastAsia="宋体" w:hint="default"/>
                      <w:sz w:val="21"/>
                      <w:szCs w:val="21"/>
                    </w:rPr>
                  </w:pPr>
                  <w:r>
                    <w:rPr>
                      <w:rFonts w:ascii="宋体" w:hAnsi="宋体" w:cs="宋体" w:eastAsia="宋体" w:hint="default"/>
                      <w:sz w:val="21"/>
                      <w:szCs w:val="21"/>
                    </w:rPr>
                    <w:t>张近东</w:t>
                  </w:r>
                </w:p>
              </w:txbxContent>
            </v:textbox>
          </v:shape>
        </w:pict>
      </w:r>
      <w:r>
        <w:rPr>
          <w:rFonts w:ascii="宋体" w:hAnsi="宋体" w:cs="宋体" w:eastAsia="宋体" w:hint="default"/>
          <w:position w:val="-8"/>
          <w:sz w:val="20"/>
          <w:szCs w:val="20"/>
        </w:rPr>
      </w:r>
    </w:p>
    <w:p>
      <w:pPr>
        <w:spacing w:line="240" w:lineRule="auto" w:before="1"/>
        <w:rPr>
          <w:rFonts w:ascii="宋体" w:hAnsi="宋体" w:cs="宋体" w:eastAsia="宋体" w:hint="default"/>
          <w:sz w:val="31"/>
          <w:szCs w:val="31"/>
        </w:rPr>
      </w:pPr>
    </w:p>
    <w:p>
      <w:pPr>
        <w:pStyle w:val="BodyText"/>
        <w:spacing w:line="240" w:lineRule="auto"/>
        <w:ind w:left="1988" w:right="3760"/>
        <w:jc w:val="center"/>
        <w:rPr>
          <w:rFonts w:ascii="Times New Roman" w:hAnsi="Times New Roman" w:cs="Times New Roman" w:eastAsia="Times New Roman" w:hint="default"/>
        </w:rPr>
      </w:pPr>
      <w:r>
        <w:rPr/>
        <w:pict>
          <v:group style="position:absolute;margin-left:241.199997pt;margin-top:-20.71657pt;width:6pt;height:48.2pt;mso-position-horizontal-relative:page;mso-position-vertical-relative:paragraph;z-index:-578800" coordorigin="4824,-414" coordsize="120,964">
            <v:shape style="position:absolute;left:4824;top:-414;width:120;height:964" coordorigin="4824,-414" coordsize="120,964" path="m4877,429l4824,429,4884,549,4930,457,4884,457,4879,454,4877,448,4877,429xe" filled="true" fillcolor="#000000" stroked="false">
              <v:path arrowok="t"/>
              <v:fill type="solid"/>
            </v:shape>
            <v:shape style="position:absolute;left:4824;top:-414;width:120;height:964" coordorigin="4824,-414" coordsize="120,964" path="m4884,-414l4879,-412,4877,-407,4877,448,4879,454,4884,457,4889,454,4891,448,4891,-407,4889,-412,4884,-414xe" filled="true" fillcolor="#000000" stroked="false">
              <v:path arrowok="t"/>
              <v:fill type="solid"/>
            </v:shape>
            <v:shape style="position:absolute;left:4824;top:-414;width:120;height:964" coordorigin="4824,-414" coordsize="120,964" path="m4944,429l4891,429,4891,448,4889,454,4884,457,4930,457,4944,429xe" filled="true" fillcolor="#000000" stroked="false">
              <v:path arrowok="t"/>
              <v:fill type="solid"/>
            </v:shape>
            <w10:wrap type="none"/>
          </v:group>
        </w:pict>
      </w:r>
      <w:r>
        <w:rPr/>
        <w:pict>
          <v:group style="position:absolute;margin-left:295.200012pt;margin-top:-20.71657pt;width:6pt;height:126.2pt;mso-position-horizontal-relative:page;mso-position-vertical-relative:paragraph;z-index:-578752" coordorigin="5904,-414" coordsize="120,2524">
            <v:shape style="position:absolute;left:5904;top:-414;width:120;height:2524" coordorigin="5904,-414" coordsize="120,2524" path="m5957,1989l5904,1989,5964,2109,6010,2017,5964,2017,5959,2014,5957,2008,5957,1989xe" filled="true" fillcolor="#000000" stroked="false">
              <v:path arrowok="t"/>
              <v:fill type="solid"/>
            </v:shape>
            <v:shape style="position:absolute;left:5904;top:-414;width:120;height:2524" coordorigin="5904,-414" coordsize="120,2524" path="m5964,-414l5959,-412,5957,-407,5957,2008,5959,2014,5964,2017,5969,2014,5971,2008,5971,-407,5969,-412,5964,-414xe" filled="true" fillcolor="#000000" stroked="false">
              <v:path arrowok="t"/>
              <v:fill type="solid"/>
            </v:shape>
            <v:shape style="position:absolute;left:5904;top:-414;width:120;height:2524" coordorigin="5904,-414" coordsize="120,2524" path="m6024,1989l5971,1989,5971,2008,5969,2014,5964,2017,6010,2017,6024,1989xe" filled="true" fillcolor="#000000" stroked="false">
              <v:path arrowok="t"/>
              <v:fill type="solid"/>
            </v:shape>
            <w10:wrap type="none"/>
          </v:group>
        </w:pict>
      </w:r>
      <w:r>
        <w:rPr>
          <w:rFonts w:ascii="Times New Roman"/>
        </w:rPr>
        <w:t>28%</w:t>
      </w:r>
    </w:p>
    <w:p>
      <w:pPr>
        <w:spacing w:line="240" w:lineRule="auto" w:before="0"/>
        <w:rPr>
          <w:rFonts w:ascii="Times New Roman" w:hAnsi="Times New Roman" w:cs="Times New Roman" w:eastAsia="Times New Roman" w:hint="default"/>
          <w:sz w:val="24"/>
          <w:szCs w:val="24"/>
        </w:rPr>
      </w:pPr>
    </w:p>
    <w:p>
      <w:pPr>
        <w:pStyle w:val="BodyText"/>
        <w:spacing w:line="240" w:lineRule="auto" w:before="150"/>
        <w:ind w:left="2285" w:right="1602"/>
        <w:jc w:val="center"/>
        <w:rPr>
          <w:rFonts w:ascii="Times New Roman" w:hAnsi="Times New Roman" w:cs="Times New Roman" w:eastAsia="Times New Roman" w:hint="default"/>
        </w:rPr>
      </w:pPr>
      <w:r>
        <w:rPr/>
        <w:pict>
          <v:group style="position:absolute;margin-left:223.199997pt;margin-top:37.483456pt;width:6pt;height:39.4pt;mso-position-horizontal-relative:page;mso-position-vertical-relative:paragraph;z-index:-578776" coordorigin="4464,750" coordsize="120,788">
            <v:shape style="position:absolute;left:4464;top:750;width:120;height:788" coordorigin="4464,750" coordsize="120,788" path="m4517,1417l4464,1417,4524,1537,4570,1444,4524,1444,4519,1442,4517,1437,4517,1417xe" filled="true" fillcolor="#000000" stroked="false">
              <v:path arrowok="t"/>
              <v:fill type="solid"/>
            </v:shape>
            <v:shape style="position:absolute;left:4464;top:750;width:120;height:788" coordorigin="4464,750" coordsize="120,788" path="m4524,750l4519,752,4517,757,4517,1437,4519,1442,4524,1444,4529,1442,4531,1437,4531,757,4529,752,4524,750xe" filled="true" fillcolor="#000000" stroked="false">
              <v:path arrowok="t"/>
              <v:fill type="solid"/>
            </v:shape>
            <v:shape style="position:absolute;left:4464;top:750;width:120;height:788" coordorigin="4464,750" coordsize="120,788" path="m4584,1417l4531,1417,4531,1437,4529,1442,4524,1444,4570,1444,4584,1417xe" filled="true" fillcolor="#000000" stroked="false">
              <v:path arrowok="t"/>
              <v:fill type="solid"/>
            </v:shape>
            <w10:wrap type="none"/>
          </v:group>
        </w:pict>
      </w:r>
      <w:r>
        <w:rPr/>
        <w:pict>
          <v:shape style="position:absolute;margin-left:154.199997pt;margin-top:-1.156545pt;width:108pt;height:39pt;mso-position-horizontal-relative:page;mso-position-vertical-relative:paragraph;z-index:1144" type="#_x0000_t202" filled="false" stroked="true" strokeweight=".75pt" strokecolor="#000000">
            <v:textbox inset="0,0,0,0">
              <w:txbxContent>
                <w:p>
                  <w:pPr>
                    <w:spacing w:line="273" w:lineRule="auto" w:before="58"/>
                    <w:ind w:left="653" w:right="439" w:hanging="210"/>
                    <w:jc w:val="left"/>
                    <w:rPr>
                      <w:rFonts w:ascii="宋体" w:hAnsi="宋体" w:cs="宋体" w:eastAsia="宋体" w:hint="default"/>
                      <w:sz w:val="21"/>
                      <w:szCs w:val="21"/>
                    </w:rPr>
                  </w:pPr>
                  <w:r>
                    <w:rPr>
                      <w:rFonts w:ascii="宋体" w:hAnsi="宋体" w:cs="宋体" w:eastAsia="宋体" w:hint="default"/>
                      <w:sz w:val="21"/>
                      <w:szCs w:val="21"/>
                    </w:rPr>
                    <w:t>江苏苏宁电器 有限公司</w:t>
                  </w:r>
                </w:p>
              </w:txbxContent>
            </v:textbox>
            <w10:wrap type="none"/>
          </v:shape>
        </w:pict>
      </w:r>
      <w:r>
        <w:rPr>
          <w:rFonts w:ascii="Times New Roman"/>
        </w:rPr>
        <w:t>29.69%</w:t>
      </w:r>
    </w:p>
    <w:p>
      <w:pPr>
        <w:spacing w:line="240" w:lineRule="auto" w:before="0"/>
        <w:rPr>
          <w:rFonts w:ascii="Times New Roman" w:hAnsi="Times New Roman" w:cs="Times New Roman" w:eastAsia="Times New Roman" w:hint="default"/>
          <w:sz w:val="24"/>
          <w:szCs w:val="24"/>
        </w:rPr>
      </w:pPr>
    </w:p>
    <w:p>
      <w:pPr>
        <w:spacing w:line="240" w:lineRule="auto" w:before="5"/>
        <w:rPr>
          <w:rFonts w:ascii="Times New Roman" w:hAnsi="Times New Roman" w:cs="Times New Roman" w:eastAsia="Times New Roman" w:hint="default"/>
          <w:sz w:val="33"/>
          <w:szCs w:val="33"/>
        </w:rPr>
      </w:pPr>
    </w:p>
    <w:p>
      <w:pPr>
        <w:pStyle w:val="BodyText"/>
        <w:spacing w:line="240" w:lineRule="auto"/>
        <w:ind w:left="126" w:right="3760"/>
        <w:jc w:val="center"/>
        <w:rPr>
          <w:rFonts w:ascii="Times New Roman" w:hAnsi="Times New Roman" w:cs="Times New Roman" w:eastAsia="Times New Roman" w:hint="default"/>
        </w:rPr>
      </w:pPr>
      <w:r>
        <w:rPr>
          <w:rFonts w:ascii="Times New Roman"/>
        </w:rPr>
        <w:t>15.17%</w:t>
      </w:r>
    </w:p>
    <w:p>
      <w:pPr>
        <w:spacing w:line="240" w:lineRule="auto" w:before="2"/>
        <w:rPr>
          <w:rFonts w:ascii="Times New Roman" w:hAnsi="Times New Roman" w:cs="Times New Roman" w:eastAsia="Times New Roman" w:hint="default"/>
          <w:sz w:val="15"/>
          <w:szCs w:val="15"/>
        </w:rPr>
      </w:pPr>
    </w:p>
    <w:p>
      <w:pPr>
        <w:spacing w:line="528" w:lineRule="exact"/>
        <w:ind w:left="23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171pt;height:26.4pt;mso-position-horizontal-relative:char;mso-position-vertical-relative:line" type="#_x0000_t202" filled="false" stroked="true" strokeweight=".75pt" strokecolor="#000000">
            <w10:anchorlock/>
            <v:textbox inset="0,0,0,0">
              <w:txbxContent>
                <w:p>
                  <w:pPr>
                    <w:spacing w:before="57"/>
                    <w:ind w:left="653" w:right="0" w:firstLine="0"/>
                    <w:jc w:val="left"/>
                    <w:rPr>
                      <w:rFonts w:ascii="宋体" w:hAnsi="宋体" w:cs="宋体" w:eastAsia="宋体" w:hint="default"/>
                      <w:sz w:val="21"/>
                      <w:szCs w:val="21"/>
                    </w:rPr>
                  </w:pPr>
                  <w:r>
                    <w:rPr>
                      <w:rFonts w:ascii="宋体" w:hAnsi="宋体" w:cs="宋体" w:eastAsia="宋体" w:hint="default"/>
                      <w:sz w:val="21"/>
                      <w:szCs w:val="21"/>
                    </w:rPr>
                    <w:t>苏宁电器股份有限公司</w:t>
                  </w:r>
                </w:p>
              </w:txbxContent>
            </v:textbox>
          </v:shape>
        </w:pict>
      </w:r>
      <w:r>
        <w:rPr>
          <w:rFonts w:ascii="Times New Roman" w:hAnsi="Times New Roman" w:cs="Times New Roman" w:eastAsia="Times New Roman" w:hint="default"/>
          <w:position w:val="-10"/>
          <w:sz w:val="20"/>
          <w:szCs w:val="20"/>
        </w:rPr>
      </w:r>
    </w:p>
    <w:p>
      <w:pPr>
        <w:spacing w:line="240" w:lineRule="auto" w:before="5"/>
        <w:rPr>
          <w:rFonts w:ascii="Times New Roman" w:hAnsi="Times New Roman" w:cs="Times New Roman" w:eastAsia="Times New Roman" w:hint="default"/>
          <w:sz w:val="25"/>
          <w:szCs w:val="25"/>
        </w:rPr>
      </w:pPr>
    </w:p>
    <w:p>
      <w:pPr>
        <w:pStyle w:val="BodyText"/>
        <w:spacing w:line="338" w:lineRule="auto"/>
        <w:ind w:left="624" w:right="202"/>
        <w:jc w:val="left"/>
      </w:pPr>
      <w:r>
        <w:rPr/>
        <w:t>（</w:t>
      </w:r>
      <w:r>
        <w:rPr>
          <w:rFonts w:ascii="Times New Roman" w:hAnsi="Times New Roman" w:cs="Times New Roman" w:eastAsia="Times New Roman" w:hint="default"/>
        </w:rPr>
        <w:t>3</w:t>
      </w:r>
      <w:r>
        <w:rPr/>
        <w:t>）其他持股在</w:t>
      </w:r>
      <w:r>
        <w:rPr>
          <w:spacing w:val="-60"/>
        </w:rPr>
        <w:t> </w:t>
      </w:r>
      <w:r>
        <w:rPr>
          <w:rFonts w:ascii="Times New Roman" w:hAnsi="Times New Roman" w:cs="Times New Roman" w:eastAsia="Times New Roman" w:hint="default"/>
        </w:rPr>
        <w:t>10%</w:t>
      </w:r>
      <w:r>
        <w:rPr/>
        <w:t>以上的法人股东： 江苏苏宁电器有限公司，法定代表人马晓咏，注册资本 </w:t>
      </w:r>
      <w:r>
        <w:rPr>
          <w:rFonts w:ascii="Times New Roman" w:hAnsi="Times New Roman" w:cs="Times New Roman" w:eastAsia="Times New Roman" w:hint="default"/>
        </w:rPr>
        <w:t>200,000,000</w:t>
      </w:r>
      <w:r>
        <w:rPr>
          <w:rFonts w:ascii="Times New Roman" w:hAnsi="Times New Roman" w:cs="Times New Roman" w:eastAsia="Times New Roman" w:hint="default"/>
          <w:spacing w:val="38"/>
        </w:rPr>
        <w:t> </w:t>
      </w:r>
      <w:r>
        <w:rPr/>
        <w:t>元，成立</w:t>
      </w:r>
    </w:p>
    <w:p>
      <w:pPr>
        <w:pStyle w:val="BodyText"/>
        <w:spacing w:line="352" w:lineRule="auto" w:before="27"/>
        <w:ind w:left="144" w:right="88"/>
        <w:jc w:val="left"/>
      </w:pPr>
      <w:r>
        <w:rPr/>
        <w:t>日期</w:t>
      </w:r>
      <w:r>
        <w:rPr>
          <w:spacing w:val="-43"/>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7"/>
        </w:rPr>
        <w:t> </w:t>
      </w:r>
      <w:r>
        <w:rPr/>
        <w:t>年</w:t>
      </w:r>
      <w:r>
        <w:rPr>
          <w:spacing w:val="-4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7"/>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17"/>
        </w:rPr>
        <w:t> </w:t>
      </w:r>
      <w:r>
        <w:rPr/>
        <w:t>日，经营范围：汽车专用照明电器、电子元件、电工器材和 电气信号设备加工制造，房屋租赁、维修，物业管理，室内装饰，园林绿化，经济 </w:t>
      </w:r>
      <w:r>
        <w:rPr>
          <w:spacing w:val="-4"/>
        </w:rPr>
        <w:t>信息咨询，音像制品零售，茶座，实业投资。百货、黄金、珠宝玉器、工艺美术品、</w:t>
      </w:r>
      <w:r>
        <w:rPr/>
        <w:t> 鲜花销售，洗衣服务，柜台、场地租赁，国内商品展示服务。国产、进口化妆品的 销售，企业形象策划，人才培训。卷烟、烟丝、雪茄烟零售，国内版图书、期刊零 </w:t>
      </w:r>
      <w:r>
        <w:rPr>
          <w:spacing w:val="-4"/>
        </w:rPr>
        <w:t>售，零售各类定型包装食品、饮料、酒类。（限指定的分支机构经营）</w:t>
      </w:r>
    </w:p>
    <w:p>
      <w:pPr>
        <w:spacing w:after="0" w:line="352" w:lineRule="auto"/>
        <w:jc w:val="left"/>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240" w:lineRule="auto" w:before="26"/>
        <w:ind w:left="1344" w:right="208"/>
        <w:jc w:val="left"/>
      </w:pPr>
      <w:r>
        <w:rPr>
          <w:rFonts w:ascii="Times New Roman" w:hAnsi="Times New Roman" w:cs="Times New Roman" w:eastAsia="Times New Roman" w:hint="default"/>
        </w:rPr>
        <w:t>3</w:t>
      </w:r>
      <w:r>
        <w:rPr/>
        <w:t>、有限售条件股份情况</w:t>
      </w:r>
    </w:p>
    <w:p>
      <w:pPr>
        <w:pStyle w:val="BodyText"/>
        <w:spacing w:line="240" w:lineRule="auto" w:before="135"/>
        <w:ind w:left="1343" w:right="208"/>
        <w:jc w:val="left"/>
      </w:pPr>
      <w:r>
        <w:rPr/>
        <w:t>（</w:t>
      </w:r>
      <w:r>
        <w:rPr>
          <w:rFonts w:ascii="Times New Roman" w:hAnsi="Times New Roman" w:cs="Times New Roman" w:eastAsia="Times New Roman" w:hint="default"/>
        </w:rPr>
        <w:t>1</w:t>
      </w:r>
      <w:r>
        <w:rPr/>
        <w:t>） 前十名股东中有限售条件股东持股数量及限售条件（单位：股）</w:t>
      </w:r>
    </w:p>
    <w:p>
      <w:pPr>
        <w:spacing w:line="240" w:lineRule="auto" w:before="4"/>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444"/>
        <w:gridCol w:w="1208"/>
        <w:gridCol w:w="1615"/>
        <w:gridCol w:w="1080"/>
        <w:gridCol w:w="1440"/>
        <w:gridCol w:w="4325"/>
      </w:tblGrid>
      <w:tr>
        <w:trPr>
          <w:trHeight w:val="625" w:hRule="exact"/>
        </w:trPr>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6" w:right="126"/>
              <w:jc w:val="left"/>
              <w:rPr>
                <w:rFonts w:ascii="宋体" w:hAnsi="宋体" w:cs="宋体" w:eastAsia="宋体" w:hint="default"/>
                <w:sz w:val="18"/>
                <w:szCs w:val="18"/>
              </w:rPr>
            </w:pPr>
            <w:r>
              <w:rPr>
                <w:rFonts w:ascii="宋体" w:hAnsi="宋体" w:cs="宋体" w:eastAsia="宋体" w:hint="default"/>
                <w:sz w:val="18"/>
                <w:szCs w:val="18"/>
              </w:rPr>
              <w:t>序 号</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9" w:right="146" w:hanging="90"/>
              <w:jc w:val="left"/>
              <w:rPr>
                <w:rFonts w:ascii="宋体" w:hAnsi="宋体" w:cs="宋体" w:eastAsia="宋体" w:hint="default"/>
                <w:sz w:val="18"/>
                <w:szCs w:val="18"/>
              </w:rPr>
            </w:pPr>
            <w:r>
              <w:rPr>
                <w:rFonts w:ascii="宋体" w:hAnsi="宋体" w:cs="宋体" w:eastAsia="宋体" w:hint="default"/>
                <w:sz w:val="18"/>
                <w:szCs w:val="18"/>
              </w:rPr>
              <w:t>有限售条件 股东名称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2" w:right="170" w:hanging="90"/>
              <w:jc w:val="left"/>
              <w:rPr>
                <w:rFonts w:ascii="宋体" w:hAnsi="宋体" w:cs="宋体" w:eastAsia="宋体" w:hint="default"/>
                <w:sz w:val="18"/>
                <w:szCs w:val="18"/>
              </w:rPr>
            </w:pPr>
            <w:r>
              <w:rPr>
                <w:rFonts w:ascii="宋体" w:hAnsi="宋体" w:cs="宋体" w:eastAsia="宋体" w:hint="default"/>
                <w:sz w:val="18"/>
                <w:szCs w:val="18"/>
              </w:rPr>
              <w:t>持有的有限售条 件股份的数量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5" w:right="173" w:hanging="90"/>
              <w:jc w:val="left"/>
              <w:rPr>
                <w:rFonts w:ascii="宋体" w:hAnsi="宋体" w:cs="宋体" w:eastAsia="宋体" w:hint="default"/>
                <w:sz w:val="18"/>
                <w:szCs w:val="18"/>
              </w:rPr>
            </w:pPr>
            <w:r>
              <w:rPr>
                <w:rFonts w:ascii="宋体" w:hAnsi="宋体" w:cs="宋体" w:eastAsia="宋体" w:hint="default"/>
                <w:sz w:val="18"/>
                <w:szCs w:val="18"/>
              </w:rPr>
              <w:t>可上市交 易时间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5" w:right="173" w:hanging="90"/>
              <w:jc w:val="left"/>
              <w:rPr>
                <w:rFonts w:ascii="宋体" w:hAnsi="宋体" w:cs="宋体" w:eastAsia="宋体" w:hint="default"/>
                <w:sz w:val="18"/>
                <w:szCs w:val="18"/>
              </w:rPr>
            </w:pPr>
            <w:r>
              <w:rPr>
                <w:rFonts w:ascii="宋体" w:hAnsi="宋体" w:cs="宋体" w:eastAsia="宋体" w:hint="default"/>
                <w:sz w:val="18"/>
                <w:szCs w:val="18"/>
              </w:rPr>
              <w:t>新增可上市交 易股份数量</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302" w:hRule="exact"/>
        </w:trPr>
        <w:tc>
          <w:tcPr>
            <w:tcW w:w="444" w:type="dxa"/>
            <w:tcBorders>
              <w:top w:val="single" w:sz="4" w:space="0" w:color="000000"/>
              <w:left w:val="single" w:sz="4" w:space="0" w:color="000000"/>
              <w:bottom w:val="nil" w:sz="6" w:space="0" w:color="auto"/>
              <w:right w:val="single" w:sz="4" w:space="0" w:color="000000"/>
            </w:tcBorders>
          </w:tcPr>
          <w:p>
            <w:pPr/>
          </w:p>
        </w:tc>
        <w:tc>
          <w:tcPr>
            <w:tcW w:w="1208"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日，不上市交</w:t>
            </w:r>
          </w:p>
        </w:tc>
      </w:tr>
      <w:tr>
        <w:trPr>
          <w:trHeight w:val="22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易或转让；</w:t>
            </w:r>
          </w:p>
        </w:tc>
      </w:tr>
      <w:tr>
        <w:trPr>
          <w:trHeight w:val="23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日，通过深圳</w:t>
            </w:r>
          </w:p>
        </w:tc>
      </w:tr>
      <w:tr>
        <w:trPr>
          <w:trHeight w:val="22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证券交易所中小企业板出售苏宁电器的股份不超过</w:t>
            </w:r>
            <w:r>
              <w:rPr>
                <w:rFonts w:ascii="宋体" w:hAnsi="宋体" w:cs="宋体" w:eastAsia="宋体" w:hint="default"/>
                <w:sz w:val="18"/>
                <w:szCs w:val="18"/>
              </w:rPr>
            </w:r>
          </w:p>
        </w:tc>
      </w:tr>
      <w:tr>
        <w:trPr>
          <w:trHeight w:val="23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，出售价格不低于每股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22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（如果自非流通股获得流通权之日起至出售股份期</w:t>
            </w:r>
            <w:r>
              <w:rPr>
                <w:rFonts w:ascii="宋体" w:hAnsi="宋体" w:cs="宋体" w:eastAsia="宋体" w:hint="default"/>
                <w:sz w:val="18"/>
                <w:szCs w:val="18"/>
              </w:rPr>
            </w:r>
          </w:p>
        </w:tc>
      </w:tr>
      <w:tr>
        <w:trPr>
          <w:trHeight w:val="234"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间有派息、送股、资本公积金转增股本等事项，应对</w:t>
            </w:r>
          </w:p>
        </w:tc>
      </w:tr>
      <w:tr>
        <w:trPr>
          <w:trHeight w:val="707" w:hRule="exact"/>
        </w:trPr>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17" w:right="0"/>
              <w:jc w:val="left"/>
              <w:rPr>
                <w:rFonts w:ascii="Times New Roman" w:hAnsi="Times New Roman" w:cs="Times New Roman" w:eastAsia="Times New Roman" w:hint="default"/>
                <w:sz w:val="18"/>
                <w:szCs w:val="18"/>
              </w:rPr>
            </w:pPr>
            <w:r>
              <w:rPr>
                <w:rFonts w:ascii="Times New Roman"/>
                <w:sz w:val="18"/>
              </w:rPr>
              <w:t>1</w:t>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张近东</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320,941,440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1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2" w:lineRule="exact"/>
              <w:ind w:left="2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323"/>
              <w:jc w:val="right"/>
              <w:rPr>
                <w:rFonts w:ascii="Times New Roman" w:hAnsi="Times New Roman" w:cs="Times New Roman" w:eastAsia="Times New Roman" w:hint="default"/>
                <w:sz w:val="18"/>
                <w:szCs w:val="18"/>
              </w:rPr>
            </w:pPr>
            <w:r>
              <w:rPr>
                <w:rFonts w:ascii="Times New Roman"/>
                <w:sz w:val="18"/>
              </w:rPr>
              <w:t>293,771,520</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该价格进行除权、除息处理</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1" w:lineRule="exact"/>
              <w:ind w:left="18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日起的两个月内，若公司股票连续</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二日收盘价格低于每股人民币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25.80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元（若此间有派</w:t>
            </w:r>
          </w:p>
        </w:tc>
      </w:tr>
      <w:tr>
        <w:trPr>
          <w:trHeight w:val="22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息、送股、资本公积金转增股本等事项，应对该价格</w:t>
            </w:r>
          </w:p>
        </w:tc>
      </w:tr>
      <w:tr>
        <w:trPr>
          <w:trHeight w:val="234"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进行除权、</w:t>
            </w:r>
            <w:r>
              <w:rPr>
                <w:rFonts w:ascii="宋体" w:hAnsi="宋体" w:cs="宋体" w:eastAsia="宋体" w:hint="default"/>
                <w:spacing w:val="3"/>
                <w:sz w:val="18"/>
                <w:szCs w:val="18"/>
              </w:rPr>
              <w:t>除</w:t>
            </w:r>
            <w:r>
              <w:rPr>
                <w:rFonts w:ascii="宋体" w:hAnsi="宋体" w:cs="宋体" w:eastAsia="宋体" w:hint="default"/>
                <w:spacing w:val="2"/>
                <w:sz w:val="18"/>
                <w:szCs w:val="18"/>
              </w:rPr>
              <w:t>息处理</w:t>
            </w:r>
            <w:r>
              <w:rPr>
                <w:rFonts w:ascii="宋体" w:hAnsi="宋体" w:cs="宋体" w:eastAsia="宋体" w:hint="default"/>
                <w:spacing w:val="-88"/>
                <w:sz w:val="18"/>
                <w:szCs w:val="18"/>
              </w:rPr>
              <w:t>）</w:t>
            </w:r>
            <w:r>
              <w:rPr>
                <w:rFonts w:ascii="宋体" w:hAnsi="宋体" w:cs="宋体" w:eastAsia="宋体" w:hint="default"/>
                <w:spacing w:val="2"/>
                <w:sz w:val="18"/>
                <w:szCs w:val="18"/>
              </w:rPr>
              <w:t>，</w:t>
            </w:r>
            <w:r>
              <w:rPr>
                <w:rFonts w:ascii="宋体" w:hAnsi="宋体" w:cs="宋体" w:eastAsia="宋体" w:hint="default"/>
                <w:spacing w:val="3"/>
                <w:sz w:val="18"/>
                <w:szCs w:val="18"/>
              </w:rPr>
              <w:t>则张</w:t>
            </w:r>
            <w:r>
              <w:rPr>
                <w:rFonts w:ascii="宋体" w:hAnsi="宋体" w:cs="宋体" w:eastAsia="宋体" w:hint="default"/>
                <w:spacing w:val="2"/>
                <w:sz w:val="18"/>
                <w:szCs w:val="18"/>
              </w:rPr>
              <w:t>近东和江苏</w:t>
            </w:r>
            <w:r>
              <w:rPr>
                <w:rFonts w:ascii="宋体" w:hAnsi="宋体" w:cs="宋体" w:eastAsia="宋体" w:hint="default"/>
                <w:spacing w:val="3"/>
                <w:sz w:val="18"/>
                <w:szCs w:val="18"/>
              </w:rPr>
              <w:t>苏</w:t>
            </w:r>
            <w:r>
              <w:rPr>
                <w:rFonts w:ascii="宋体" w:hAnsi="宋体" w:cs="宋体" w:eastAsia="宋体" w:hint="default"/>
                <w:spacing w:val="2"/>
                <w:sz w:val="18"/>
                <w:szCs w:val="18"/>
              </w:rPr>
              <w:t>宁电器有</w:t>
            </w:r>
            <w:r>
              <w:rPr>
                <w:rFonts w:ascii="宋体" w:hAnsi="宋体" w:cs="宋体" w:eastAsia="宋体" w:hint="default"/>
                <w:sz w:val="18"/>
                <w:szCs w:val="18"/>
              </w:rPr>
            </w:r>
          </w:p>
        </w:tc>
      </w:tr>
      <w:tr>
        <w:trPr>
          <w:trHeight w:val="234"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限公司在下一个交易日开始在二级市场上增持苏宁</w:t>
            </w:r>
            <w:r>
              <w:rPr>
                <w:rFonts w:ascii="宋体" w:hAnsi="宋体" w:cs="宋体" w:eastAsia="宋体" w:hint="default"/>
                <w:sz w:val="18"/>
                <w:szCs w:val="18"/>
              </w:rPr>
            </w:r>
          </w:p>
        </w:tc>
      </w:tr>
      <w:tr>
        <w:trPr>
          <w:trHeight w:val="234"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电器股份有限公司社会公众股股份，增持数量合计不</w:t>
            </w:r>
          </w:p>
        </w:tc>
      </w:tr>
      <w:tr>
        <w:trPr>
          <w:trHeight w:val="23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万股，增持股份计划完成后的六个月内不出</w:t>
            </w:r>
          </w:p>
        </w:tc>
      </w:tr>
      <w:tr>
        <w:trPr>
          <w:trHeight w:val="297"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售所增持的股份并履行相关信息披露义务。</w:t>
            </w:r>
          </w:p>
        </w:tc>
      </w:tr>
      <w:tr>
        <w:trPr>
          <w:trHeight w:val="635" w:hRule="exact"/>
        </w:trPr>
        <w:tc>
          <w:tcPr>
            <w:tcW w:w="444" w:type="dxa"/>
            <w:tcBorders>
              <w:top w:val="nil" w:sz="6" w:space="0" w:color="auto"/>
              <w:left w:val="single" w:sz="4" w:space="0" w:color="000000"/>
              <w:bottom w:val="single" w:sz="4" w:space="0" w:color="000000"/>
              <w:right w:val="single" w:sz="4" w:space="0" w:color="000000"/>
            </w:tcBorders>
          </w:tcPr>
          <w:p>
            <w:pPr/>
          </w:p>
        </w:tc>
        <w:tc>
          <w:tcPr>
            <w:tcW w:w="1208"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67"/>
              <w:jc w:val="right"/>
              <w:rPr>
                <w:rFonts w:ascii="Times New Roman" w:hAnsi="Times New Roman" w:cs="Times New Roman" w:eastAsia="Times New Roman" w:hint="default"/>
                <w:sz w:val="18"/>
                <w:szCs w:val="18"/>
              </w:rPr>
            </w:pPr>
            <w:r>
              <w:rPr>
                <w:rFonts w:ascii="Times New Roman"/>
                <w:sz w:val="18"/>
              </w:rPr>
              <w:t>27,169,920</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101" w:firstLine="180"/>
              <w:jc w:val="left"/>
              <w:rPr>
                <w:rFonts w:ascii="宋体" w:hAnsi="宋体" w:cs="宋体" w:eastAsia="宋体" w:hint="default"/>
                <w:sz w:val="18"/>
                <w:szCs w:val="18"/>
              </w:rPr>
            </w:pPr>
            <w:r>
              <w:rPr>
                <w:rFonts w:ascii="宋体" w:hAnsi="宋体" w:cs="宋体" w:eastAsia="宋体" w:hint="default"/>
                <w:spacing w:val="-2"/>
                <w:sz w:val="18"/>
                <w:szCs w:val="18"/>
              </w:rPr>
              <w:t>按照国家相关法律法规及规范性文件要求，以“高</w:t>
            </w:r>
            <w:r>
              <w:rPr>
                <w:rFonts w:ascii="宋体" w:hAnsi="宋体" w:cs="宋体" w:eastAsia="宋体" w:hint="default"/>
                <w:sz w:val="18"/>
                <w:szCs w:val="18"/>
              </w:rPr>
              <w:t> 管股份”形式锁定。</w:t>
            </w:r>
          </w:p>
        </w:tc>
      </w:tr>
      <w:tr>
        <w:trPr>
          <w:trHeight w:val="320" w:hRule="exact"/>
        </w:trPr>
        <w:tc>
          <w:tcPr>
            <w:tcW w:w="444" w:type="dxa"/>
            <w:tcBorders>
              <w:top w:val="single" w:sz="4" w:space="0" w:color="000000"/>
              <w:left w:val="single" w:sz="4" w:space="0" w:color="000000"/>
              <w:bottom w:val="nil" w:sz="6" w:space="0" w:color="auto"/>
              <w:right w:val="single" w:sz="4" w:space="0" w:color="000000"/>
            </w:tcBorders>
          </w:tcPr>
          <w:p>
            <w:pPr/>
          </w:p>
        </w:tc>
        <w:tc>
          <w:tcPr>
            <w:tcW w:w="1208"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日，不上市交</w:t>
            </w:r>
          </w:p>
        </w:tc>
      </w:tr>
      <w:tr>
        <w:trPr>
          <w:trHeight w:val="22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易或转让；</w:t>
            </w:r>
          </w:p>
        </w:tc>
      </w:tr>
      <w:tr>
        <w:trPr>
          <w:trHeight w:val="23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日，通过深圳</w:t>
            </w:r>
          </w:p>
        </w:tc>
      </w:tr>
      <w:tr>
        <w:trPr>
          <w:trHeight w:val="22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证券交易所中小企业板出售苏宁电器的股份不超过</w:t>
            </w:r>
            <w:r>
              <w:rPr>
                <w:rFonts w:ascii="宋体" w:hAnsi="宋体" w:cs="宋体" w:eastAsia="宋体" w:hint="default"/>
                <w:sz w:val="18"/>
                <w:szCs w:val="18"/>
              </w:rPr>
            </w:r>
          </w:p>
        </w:tc>
      </w:tr>
      <w:tr>
        <w:trPr>
          <w:trHeight w:val="23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，出售价格不低于每股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22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（如果自非流通股获得流通权之日起至出售股份期</w:t>
            </w:r>
            <w:r>
              <w:rPr>
                <w:rFonts w:ascii="宋体" w:hAnsi="宋体" w:cs="宋体" w:eastAsia="宋体" w:hint="default"/>
                <w:sz w:val="18"/>
                <w:szCs w:val="18"/>
              </w:rPr>
            </w:r>
          </w:p>
        </w:tc>
      </w:tr>
      <w:tr>
        <w:trPr>
          <w:trHeight w:val="707" w:hRule="exact"/>
        </w:trPr>
        <w:tc>
          <w:tcPr>
            <w:tcW w:w="44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w:t>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352" w:lineRule="exact" w:before="16"/>
              <w:ind w:left="103" w:right="79"/>
              <w:jc w:val="left"/>
              <w:rPr>
                <w:rFonts w:ascii="宋体" w:hAnsi="宋体" w:cs="宋体" w:eastAsia="宋体" w:hint="default"/>
                <w:sz w:val="18"/>
                <w:szCs w:val="18"/>
              </w:rPr>
            </w:pPr>
            <w:r>
              <w:rPr>
                <w:rFonts w:ascii="宋体" w:hAnsi="宋体" w:cs="宋体" w:eastAsia="宋体" w:hint="default"/>
                <w:spacing w:val="17"/>
                <w:sz w:val="18"/>
                <w:szCs w:val="18"/>
              </w:rPr>
              <w:t>江苏苏宁电</w:t>
            </w:r>
            <w:r>
              <w:rPr>
                <w:rFonts w:ascii="宋体" w:hAnsi="宋体" w:cs="宋体" w:eastAsia="宋体" w:hint="default"/>
                <w:spacing w:val="-88"/>
                <w:sz w:val="18"/>
                <w:szCs w:val="18"/>
              </w:rPr>
              <w:t> </w:t>
            </w:r>
            <w:r>
              <w:rPr>
                <w:rFonts w:ascii="宋体" w:hAnsi="宋体" w:cs="宋体" w:eastAsia="宋体" w:hint="default"/>
                <w:sz w:val="18"/>
                <w:szCs w:val="18"/>
              </w:rPr>
              <w:t>器有限公司</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97" w:right="0"/>
              <w:jc w:val="left"/>
              <w:rPr>
                <w:rFonts w:ascii="Times New Roman" w:hAnsi="Times New Roman" w:cs="Times New Roman" w:eastAsia="Times New Roman" w:hint="default"/>
                <w:sz w:val="18"/>
                <w:szCs w:val="18"/>
              </w:rPr>
            </w:pPr>
            <w:r>
              <w:rPr>
                <w:rFonts w:ascii="Times New Roman"/>
                <w:sz w:val="18"/>
              </w:rPr>
              <w:t>88,725,600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2" w:lineRule="exact"/>
              <w:ind w:left="1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2" w:lineRule="exact"/>
              <w:ind w:left="2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07"/>
              <w:jc w:val="right"/>
              <w:rPr>
                <w:rFonts w:ascii="Times New Roman" w:hAnsi="Times New Roman" w:cs="Times New Roman" w:eastAsia="Times New Roman" w:hint="default"/>
                <w:sz w:val="18"/>
                <w:szCs w:val="18"/>
              </w:rPr>
            </w:pPr>
            <w:r>
              <w:rPr>
                <w:rFonts w:ascii="Times New Roman"/>
                <w:sz w:val="18"/>
              </w:rPr>
              <w:t>88,725,600</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间有派息、送股、资本公积金转增股本等事项，应对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该价格进行除权、除息处理</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日起的两个月内，若公司股票连续</w:t>
            </w:r>
          </w:p>
        </w:tc>
      </w:tr>
      <w:tr>
        <w:trPr>
          <w:trHeight w:val="234"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二日收盘价格低于每股人民币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25.80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元（若此间有派</w:t>
            </w:r>
          </w:p>
        </w:tc>
      </w:tr>
      <w:tr>
        <w:trPr>
          <w:trHeight w:val="22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息、送股、资本公积金转增股本等事项，应对该价格</w:t>
            </w:r>
          </w:p>
        </w:tc>
      </w:tr>
      <w:tr>
        <w:trPr>
          <w:trHeight w:val="234"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进行除权、</w:t>
            </w:r>
            <w:r>
              <w:rPr>
                <w:rFonts w:ascii="宋体" w:hAnsi="宋体" w:cs="宋体" w:eastAsia="宋体" w:hint="default"/>
                <w:spacing w:val="3"/>
                <w:sz w:val="18"/>
                <w:szCs w:val="18"/>
              </w:rPr>
              <w:t>除</w:t>
            </w:r>
            <w:r>
              <w:rPr>
                <w:rFonts w:ascii="宋体" w:hAnsi="宋体" w:cs="宋体" w:eastAsia="宋体" w:hint="default"/>
                <w:spacing w:val="2"/>
                <w:sz w:val="18"/>
                <w:szCs w:val="18"/>
              </w:rPr>
              <w:t>息处理</w:t>
            </w:r>
            <w:r>
              <w:rPr>
                <w:rFonts w:ascii="宋体" w:hAnsi="宋体" w:cs="宋体" w:eastAsia="宋体" w:hint="default"/>
                <w:spacing w:val="-88"/>
                <w:sz w:val="18"/>
                <w:szCs w:val="18"/>
              </w:rPr>
              <w:t>）</w:t>
            </w:r>
            <w:r>
              <w:rPr>
                <w:rFonts w:ascii="宋体" w:hAnsi="宋体" w:cs="宋体" w:eastAsia="宋体" w:hint="default"/>
                <w:spacing w:val="2"/>
                <w:sz w:val="18"/>
                <w:szCs w:val="18"/>
              </w:rPr>
              <w:t>，</w:t>
            </w:r>
            <w:r>
              <w:rPr>
                <w:rFonts w:ascii="宋体" w:hAnsi="宋体" w:cs="宋体" w:eastAsia="宋体" w:hint="default"/>
                <w:spacing w:val="3"/>
                <w:sz w:val="18"/>
                <w:szCs w:val="18"/>
              </w:rPr>
              <w:t>则张</w:t>
            </w:r>
            <w:r>
              <w:rPr>
                <w:rFonts w:ascii="宋体" w:hAnsi="宋体" w:cs="宋体" w:eastAsia="宋体" w:hint="default"/>
                <w:spacing w:val="2"/>
                <w:sz w:val="18"/>
                <w:szCs w:val="18"/>
              </w:rPr>
              <w:t>近东和江苏</w:t>
            </w:r>
            <w:r>
              <w:rPr>
                <w:rFonts w:ascii="宋体" w:hAnsi="宋体" w:cs="宋体" w:eastAsia="宋体" w:hint="default"/>
                <w:spacing w:val="3"/>
                <w:sz w:val="18"/>
                <w:szCs w:val="18"/>
              </w:rPr>
              <w:t>苏</w:t>
            </w:r>
            <w:r>
              <w:rPr>
                <w:rFonts w:ascii="宋体" w:hAnsi="宋体" w:cs="宋体" w:eastAsia="宋体" w:hint="default"/>
                <w:spacing w:val="2"/>
                <w:sz w:val="18"/>
                <w:szCs w:val="18"/>
              </w:rPr>
              <w:t>宁电器有</w:t>
            </w:r>
            <w:r>
              <w:rPr>
                <w:rFonts w:ascii="宋体" w:hAnsi="宋体" w:cs="宋体" w:eastAsia="宋体" w:hint="default"/>
                <w:sz w:val="18"/>
                <w:szCs w:val="18"/>
              </w:rPr>
            </w:r>
          </w:p>
        </w:tc>
      </w:tr>
      <w:tr>
        <w:trPr>
          <w:trHeight w:val="234"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限公司在下一个交易日开始在二级市场上增持苏宁</w:t>
            </w:r>
            <w:r>
              <w:rPr>
                <w:rFonts w:ascii="宋体" w:hAnsi="宋体" w:cs="宋体" w:eastAsia="宋体" w:hint="default"/>
                <w:sz w:val="18"/>
                <w:szCs w:val="18"/>
              </w:rPr>
            </w:r>
          </w:p>
        </w:tc>
      </w:tr>
      <w:tr>
        <w:trPr>
          <w:trHeight w:val="234"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电器股份有限公司社会公众股股份，增持数量合计不</w:t>
            </w:r>
          </w:p>
        </w:tc>
      </w:tr>
      <w:tr>
        <w:trPr>
          <w:trHeight w:val="239" w:hRule="exact"/>
        </w:trPr>
        <w:tc>
          <w:tcPr>
            <w:tcW w:w="444" w:type="dxa"/>
            <w:tcBorders>
              <w:top w:val="nil" w:sz="6" w:space="0" w:color="auto"/>
              <w:left w:val="single" w:sz="4" w:space="0" w:color="000000"/>
              <w:bottom w:val="nil" w:sz="6" w:space="0" w:color="auto"/>
              <w:right w:val="single" w:sz="4" w:space="0" w:color="000000"/>
            </w:tcBorders>
          </w:tcPr>
          <w:p>
            <w:pPr/>
          </w:p>
        </w:tc>
        <w:tc>
          <w:tcPr>
            <w:tcW w:w="1208"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万股，增持股份计划完成后的六个月内不出</w:t>
            </w:r>
          </w:p>
        </w:tc>
      </w:tr>
      <w:tr>
        <w:trPr>
          <w:trHeight w:val="315" w:hRule="exact"/>
        </w:trPr>
        <w:tc>
          <w:tcPr>
            <w:tcW w:w="444" w:type="dxa"/>
            <w:tcBorders>
              <w:top w:val="nil" w:sz="6" w:space="0" w:color="auto"/>
              <w:left w:val="single" w:sz="4" w:space="0" w:color="000000"/>
              <w:bottom w:val="single" w:sz="4" w:space="0" w:color="000000"/>
              <w:right w:val="single" w:sz="4" w:space="0" w:color="000000"/>
            </w:tcBorders>
          </w:tcPr>
          <w:p>
            <w:pPr/>
          </w:p>
        </w:tc>
        <w:tc>
          <w:tcPr>
            <w:tcW w:w="1208"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售所增持的股份并履行相关信息披露义务。</w:t>
            </w:r>
          </w:p>
        </w:tc>
      </w:tr>
      <w:tr>
        <w:trPr>
          <w:trHeight w:val="619" w:hRule="exact"/>
        </w:trPr>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7" w:right="0"/>
              <w:jc w:val="left"/>
              <w:rPr>
                <w:rFonts w:ascii="Times New Roman" w:hAnsi="Times New Roman" w:cs="Times New Roman" w:eastAsia="Times New Roman" w:hint="default"/>
                <w:sz w:val="18"/>
                <w:szCs w:val="18"/>
              </w:rPr>
            </w:pPr>
            <w:r>
              <w:rPr>
                <w:rFonts w:ascii="Times New Roman"/>
                <w:sz w:val="18"/>
              </w:rPr>
              <w:t>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金明</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20,058,840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07"/>
              <w:jc w:val="right"/>
              <w:rPr>
                <w:rFonts w:ascii="Times New Roman" w:hAnsi="Times New Roman" w:cs="Times New Roman" w:eastAsia="Times New Roman" w:hint="default"/>
                <w:sz w:val="18"/>
                <w:szCs w:val="18"/>
              </w:rPr>
            </w:pPr>
            <w:r>
              <w:rPr>
                <w:rFonts w:ascii="Times New Roman"/>
                <w:sz w:val="18"/>
              </w:rPr>
              <w:t>20,058,840</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101" w:firstLine="180"/>
              <w:jc w:val="left"/>
              <w:rPr>
                <w:rFonts w:ascii="宋体" w:hAnsi="宋体" w:cs="宋体" w:eastAsia="宋体" w:hint="default"/>
                <w:sz w:val="18"/>
                <w:szCs w:val="18"/>
              </w:rPr>
            </w:pPr>
            <w:r>
              <w:rPr>
                <w:rFonts w:ascii="宋体" w:hAnsi="宋体" w:cs="宋体" w:eastAsia="宋体" w:hint="default"/>
                <w:spacing w:val="-2"/>
                <w:sz w:val="18"/>
                <w:szCs w:val="18"/>
              </w:rPr>
              <w:t>按照国家相关法律法规及规范性文件要求，以“高</w:t>
            </w:r>
            <w:r>
              <w:rPr>
                <w:rFonts w:ascii="宋体" w:hAnsi="宋体" w:cs="宋体" w:eastAsia="宋体" w:hint="default"/>
                <w:sz w:val="18"/>
                <w:szCs w:val="18"/>
              </w:rPr>
              <w:t> 管股份”形式锁定。</w:t>
            </w:r>
          </w:p>
        </w:tc>
      </w:tr>
      <w:tr>
        <w:trPr>
          <w:trHeight w:val="620" w:hRule="exact"/>
        </w:trPr>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7" w:right="0"/>
              <w:jc w:val="left"/>
              <w:rPr>
                <w:rFonts w:ascii="Times New Roman" w:hAnsi="Times New Roman" w:cs="Times New Roman" w:eastAsia="Times New Roman" w:hint="default"/>
                <w:sz w:val="18"/>
                <w:szCs w:val="18"/>
              </w:rPr>
            </w:pPr>
            <w:r>
              <w:rPr>
                <w:rFonts w:ascii="Times New Roman"/>
                <w:sz w:val="18"/>
              </w:rPr>
              <w:t>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蒋勇</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26,745,120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40"/>
              <w:ind w:left="1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2"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07"/>
              <w:jc w:val="right"/>
              <w:rPr>
                <w:rFonts w:ascii="Times New Roman" w:hAnsi="Times New Roman" w:cs="Times New Roman" w:eastAsia="Times New Roman" w:hint="default"/>
                <w:sz w:val="18"/>
                <w:szCs w:val="18"/>
              </w:rPr>
            </w:pPr>
            <w:r>
              <w:rPr>
                <w:rFonts w:ascii="Times New Roman"/>
                <w:sz w:val="18"/>
              </w:rPr>
              <w:t>26,745,120</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83" w:right="0"/>
              <w:jc w:val="left"/>
              <w:rPr>
                <w:rFonts w:ascii="宋体" w:hAnsi="宋体" w:cs="宋体" w:eastAsia="宋体" w:hint="default"/>
                <w:sz w:val="18"/>
                <w:szCs w:val="18"/>
              </w:rPr>
            </w:pPr>
            <w:r>
              <w:rPr>
                <w:rFonts w:ascii="宋体" w:hAnsi="宋体" w:cs="宋体" w:eastAsia="宋体" w:hint="default"/>
                <w:sz w:val="18"/>
                <w:szCs w:val="18"/>
              </w:rPr>
              <w:t>离任监事股份锁定</w:t>
            </w:r>
          </w:p>
        </w:tc>
      </w:tr>
    </w:tbl>
    <w:p>
      <w:pPr>
        <w:spacing w:after="0" w:line="240" w:lineRule="auto"/>
        <w:jc w:val="left"/>
        <w:rPr>
          <w:rFonts w:ascii="宋体" w:hAnsi="宋体" w:cs="宋体" w:eastAsia="宋体" w:hint="default"/>
          <w:sz w:val="18"/>
          <w:szCs w:val="18"/>
        </w:rPr>
        <w:sectPr>
          <w:pgSz w:w="11910" w:h="16840"/>
          <w:pgMar w:header="879" w:footer="982" w:top="1100" w:bottom="1180" w:left="780" w:right="780"/>
        </w:sectPr>
      </w:pPr>
    </w:p>
    <w:p>
      <w:pPr>
        <w:spacing w:line="240" w:lineRule="auto" w:before="10"/>
        <w:rPr>
          <w:rFonts w:ascii="宋体" w:hAnsi="宋体" w:cs="宋体" w:eastAsia="宋体" w:hint="default"/>
          <w:sz w:val="10"/>
          <w:szCs w:val="10"/>
        </w:rPr>
      </w:pPr>
    </w:p>
    <w:p>
      <w:pPr>
        <w:pStyle w:val="BodyText"/>
        <w:tabs>
          <w:tab w:pos="7943" w:val="left" w:leader="none"/>
        </w:tabs>
        <w:spacing w:line="240" w:lineRule="auto" w:before="26"/>
        <w:ind w:left="984" w:right="0"/>
        <w:jc w:val="left"/>
        <w:rPr>
          <w:sz w:val="21"/>
          <w:szCs w:val="21"/>
        </w:rPr>
      </w:pPr>
      <w:r>
        <w:rPr/>
        <w:t>（</w:t>
      </w:r>
      <w:r>
        <w:rPr>
          <w:rFonts w:ascii="Times New Roman" w:hAnsi="Times New Roman" w:cs="Times New Roman" w:eastAsia="Times New Roman" w:hint="default"/>
        </w:rPr>
        <w:t>2</w:t>
      </w:r>
      <w:r>
        <w:rPr/>
        <w:t>）截至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日有限售条件股份可上市交易时间</w:t>
        <w:tab/>
      </w:r>
      <w:r>
        <w:rPr>
          <w:sz w:val="21"/>
          <w:szCs w:val="21"/>
        </w:rPr>
        <w:t>（单位：股）</w:t>
      </w:r>
    </w:p>
    <w:p>
      <w:pPr>
        <w:spacing w:line="240" w:lineRule="auto" w:before="4"/>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1622"/>
        <w:gridCol w:w="1980"/>
        <w:gridCol w:w="1440"/>
        <w:gridCol w:w="1620"/>
        <w:gridCol w:w="2672"/>
      </w:tblGrid>
      <w:tr>
        <w:trPr>
          <w:trHeight w:val="47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限售期满新增可上市</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交易股份数量</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有限售条件股</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份数量余额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无限售条件股份</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数量余额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42" w:hRule="exact"/>
        </w:trPr>
        <w:tc>
          <w:tcPr>
            <w:tcW w:w="1622"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2672"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、原监事蒋勇先生、原财务负</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责人陈世清先生离任时间已达</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tc>
      </w:tr>
      <w:tr>
        <w:trPr>
          <w:trHeight w:val="229"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个月，所持股份解除锁定；</w:t>
            </w:r>
          </w:p>
        </w:tc>
      </w:tr>
      <w:tr>
        <w:trPr>
          <w:trHeight w:val="239"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、有限售条件股份余额中包括</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77"/>
              <w:jc w:val="right"/>
              <w:rPr>
                <w:rFonts w:ascii="Times New Roman" w:hAnsi="Times New Roman" w:cs="Times New Roman" w:eastAsia="Times New Roman" w:hint="default"/>
                <w:sz w:val="18"/>
                <w:szCs w:val="18"/>
              </w:rPr>
            </w:pPr>
            <w:r>
              <w:rPr>
                <w:rFonts w:ascii="Times New Roman"/>
                <w:sz w:val="18"/>
              </w:rPr>
              <w:t>35,660,160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Times New Roman" w:hAnsi="Times New Roman" w:cs="Times New Roman" w:eastAsia="Times New Roman" w:hint="default"/>
                <w:sz w:val="18"/>
                <w:szCs w:val="18"/>
              </w:rPr>
            </w:pPr>
            <w:r>
              <w:rPr>
                <w:rFonts w:ascii="Times New Roman"/>
                <w:sz w:val="18"/>
              </w:rPr>
              <w:t>429,725,880</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89"/>
              <w:jc w:val="right"/>
              <w:rPr>
                <w:rFonts w:ascii="Times New Roman" w:hAnsi="Times New Roman" w:cs="Times New Roman" w:eastAsia="Times New Roman" w:hint="default"/>
                <w:sz w:val="18"/>
                <w:szCs w:val="18"/>
              </w:rPr>
            </w:pPr>
            <w:r>
              <w:rPr>
                <w:rFonts w:ascii="Times New Roman"/>
                <w:spacing w:val="-1"/>
                <w:sz w:val="18"/>
              </w:rPr>
              <w:t>1,011,778,120</w:t>
            </w: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张近东先生、江苏苏宁电器有限</w:t>
            </w:r>
          </w:p>
        </w:tc>
      </w:tr>
      <w:tr>
        <w:trPr>
          <w:trHeight w:val="229"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公司持有的因股权分置改革承</w:t>
            </w:r>
            <w:r>
              <w:rPr>
                <w:rFonts w:ascii="宋体" w:hAnsi="宋体" w:cs="宋体" w:eastAsia="宋体" w:hint="default"/>
                <w:sz w:val="18"/>
                <w:szCs w:val="18"/>
              </w:rPr>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诺限售的股份以及张近东先生、</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金明先生持有的以“高管股份”</w:t>
            </w:r>
          </w:p>
        </w:tc>
      </w:tr>
      <w:tr>
        <w:trPr>
          <w:trHeight w:val="242" w:hRule="exact"/>
        </w:trPr>
        <w:tc>
          <w:tcPr>
            <w:tcW w:w="1622"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2672"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形式锁定的股份。</w:t>
            </w:r>
          </w:p>
        </w:tc>
      </w:tr>
      <w:tr>
        <w:trPr>
          <w:trHeight w:val="242" w:hRule="exact"/>
        </w:trPr>
        <w:tc>
          <w:tcPr>
            <w:tcW w:w="1622"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2672"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、张近东先生、江苏苏宁电器</w:t>
            </w:r>
          </w:p>
        </w:tc>
      </w:tr>
      <w:tr>
        <w:trPr>
          <w:trHeight w:val="229"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有限公司持有的股改限售股份</w:t>
            </w:r>
            <w:r>
              <w:rPr>
                <w:rFonts w:ascii="宋体" w:hAnsi="宋体" w:cs="宋体" w:eastAsia="宋体" w:hint="default"/>
                <w:sz w:val="18"/>
                <w:szCs w:val="18"/>
              </w:rPr>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限售期满，可上市交易；</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83" w:right="0"/>
              <w:jc w:val="left"/>
              <w:rPr>
                <w:rFonts w:ascii="宋体" w:hAnsi="宋体" w:cs="宋体" w:eastAsia="宋体" w:hint="default"/>
                <w:sz w:val="18"/>
                <w:szCs w:val="18"/>
              </w:rPr>
            </w:pPr>
            <w:r>
              <w:rPr>
                <w:rFonts w:ascii="宋体" w:hAnsi="宋体" w:cs="宋体" w:eastAsia="宋体" w:hint="default"/>
                <w:spacing w:val="-5"/>
                <w:sz w:val="18"/>
                <w:szCs w:val="18"/>
              </w:rPr>
              <w:t>同时，张近东先生作为公司董</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事长，其所持有的股份还需按照</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国家相关法律法规的规定以“高</w:t>
            </w:r>
          </w:p>
        </w:tc>
      </w:tr>
      <w:tr>
        <w:trPr>
          <w:trHeight w:val="239" w:hRule="exact"/>
        </w:trPr>
        <w:tc>
          <w:tcPr>
            <w:tcW w:w="162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77"/>
              <w:jc w:val="right"/>
              <w:rPr>
                <w:rFonts w:ascii="Times New Roman" w:hAnsi="Times New Roman" w:cs="Times New Roman" w:eastAsia="Times New Roman" w:hint="default"/>
                <w:sz w:val="18"/>
                <w:szCs w:val="18"/>
              </w:rPr>
            </w:pPr>
            <w:r>
              <w:rPr>
                <w:rFonts w:ascii="Times New Roman"/>
                <w:sz w:val="18"/>
              </w:rPr>
              <w:t>88,725,600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341,000,280</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6"/>
              <w:jc w:val="right"/>
              <w:rPr>
                <w:rFonts w:ascii="Times New Roman" w:hAnsi="Times New Roman" w:cs="Times New Roman" w:eastAsia="Times New Roman" w:hint="default"/>
                <w:sz w:val="18"/>
                <w:szCs w:val="18"/>
              </w:rPr>
            </w:pPr>
            <w:r>
              <w:rPr>
                <w:rFonts w:ascii="Times New Roman"/>
                <w:spacing w:val="-1"/>
                <w:sz w:val="18"/>
              </w:rPr>
              <w:t>1,100,503,720</w:t>
            </w: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管股份”形式锁定，故其实际可</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上市交易的股份为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、有限售条件股份余额中包括</w:t>
            </w:r>
          </w:p>
        </w:tc>
      </w:tr>
      <w:tr>
        <w:trPr>
          <w:trHeight w:val="229"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董事长张近东先生、董事金明先</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生持有的以“高管股份”形式锁</w:t>
            </w:r>
          </w:p>
        </w:tc>
      </w:tr>
      <w:tr>
        <w:trPr>
          <w:trHeight w:val="234" w:hRule="exact"/>
        </w:trPr>
        <w:tc>
          <w:tcPr>
            <w:tcW w:w="1622"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定的股份。该部分股份可上市交</w:t>
            </w:r>
          </w:p>
        </w:tc>
      </w:tr>
      <w:tr>
        <w:trPr>
          <w:trHeight w:val="240" w:hRule="exact"/>
        </w:trPr>
        <w:tc>
          <w:tcPr>
            <w:tcW w:w="1622"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2672"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易时间未知。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7994" w:val="left" w:leader="none"/>
        </w:tabs>
        <w:spacing w:before="26"/>
        <w:ind w:left="983" w:right="0" w:firstLine="0"/>
        <w:jc w:val="left"/>
        <w:rPr>
          <w:rFonts w:ascii="宋体" w:hAnsi="宋体" w:cs="宋体" w:eastAsia="宋体" w:hint="default"/>
          <w:sz w:val="21"/>
          <w:szCs w:val="21"/>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）有限售条件股份变动情况表</w:t>
        <w:tab/>
      </w:r>
      <w:r>
        <w:rPr>
          <w:rFonts w:ascii="宋体" w:hAnsi="宋体" w:cs="宋体" w:eastAsia="宋体" w:hint="default"/>
          <w:spacing w:val="-5"/>
          <w:sz w:val="21"/>
          <w:szCs w:val="21"/>
        </w:rPr>
        <w:t>（单位：股）</w:t>
      </w:r>
    </w:p>
    <w:p>
      <w:pPr>
        <w:spacing w:line="240" w:lineRule="auto" w:before="4"/>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834"/>
        <w:gridCol w:w="1091"/>
        <w:gridCol w:w="1080"/>
        <w:gridCol w:w="1080"/>
        <w:gridCol w:w="1080"/>
        <w:gridCol w:w="1620"/>
        <w:gridCol w:w="1620"/>
      </w:tblGrid>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5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年初限售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5"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5"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94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张近东（注）</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213,960,960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106,980,480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213,960,960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320,941,440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20"/>
              <w:jc w:val="left"/>
              <w:rPr>
                <w:rFonts w:ascii="宋体" w:hAnsi="宋体" w:cs="宋体" w:eastAsia="宋体" w:hint="default"/>
                <w:sz w:val="18"/>
                <w:szCs w:val="18"/>
              </w:rPr>
            </w:pPr>
            <w:r>
              <w:rPr>
                <w:rFonts w:ascii="宋体" w:hAnsi="宋体" w:cs="宋体" w:eastAsia="宋体" w:hint="default"/>
                <w:spacing w:val="-7"/>
                <w:sz w:val="18"/>
                <w:szCs w:val="18"/>
              </w:rPr>
              <w:t>依据股改承诺、高管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股份锁定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left"/>
              <w:rPr>
                <w:rFonts w:ascii="宋体" w:hAnsi="宋体" w:cs="宋体" w:eastAsia="宋体" w:hint="default"/>
                <w:sz w:val="18"/>
                <w:szCs w:val="18"/>
              </w:rPr>
            </w:pPr>
            <w:r>
              <w:rPr>
                <w:rFonts w:ascii="宋体" w:hAnsi="宋体" w:cs="宋体" w:eastAsia="宋体" w:hint="default"/>
                <w:sz w:val="18"/>
                <w:szCs w:val="18"/>
              </w:rPr>
              <w:t>股改限售于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before="15"/>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日解除；高 管限售解禁时间未 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江苏苏宁电器有限公</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2"/>
                <w:sz w:val="18"/>
              </w:rPr>
              <w:t>111,438,000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134,150,400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2"/>
                <w:sz w:val="18"/>
              </w:rPr>
              <w:t>111,438,000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88,725,600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依据股改承诺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陈金凤</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19,952,640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39,905,280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19,952,640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依据股改承诺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金明（注）</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13,372,560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6,686,280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13,372,560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20,058,840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蒋勇（注）</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13,372,560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6,686,280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20,058,840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26,745,120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离任高管股份锁定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陈世清（注）</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4,457,520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2,228,760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6,686,280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8,915,040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离任高管股份锁定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景顺长城鼎益股票型</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开放式证券投资基金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同益证券投资基金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银华优质增长股票型</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兴和证券投资基金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易方达积极成长证券</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同盛证券投资基金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3,900,000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3,900,000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9" w:footer="982" w:top="1100" w:bottom="1180" w:left="1140" w:right="1120"/>
        </w:sectPr>
      </w:pPr>
    </w:p>
    <w:p>
      <w:pPr>
        <w:spacing w:line="240" w:lineRule="auto" w:before="1"/>
        <w:rPr>
          <w:rFonts w:ascii="Times New Roman" w:hAnsi="Times New Roman" w:cs="Times New Roman" w:eastAsia="Times New Roman"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834"/>
        <w:gridCol w:w="1091"/>
        <w:gridCol w:w="1080"/>
        <w:gridCol w:w="1080"/>
        <w:gridCol w:w="1080"/>
        <w:gridCol w:w="1620"/>
        <w:gridCol w:w="1620"/>
      </w:tblGrid>
      <w:tr>
        <w:trPr>
          <w:trHeight w:val="696"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长盛同智优势成长混</w:t>
            </w:r>
          </w:p>
          <w:p>
            <w:pPr>
              <w:pStyle w:val="TableParagraph"/>
              <w:spacing w:line="240" w:lineRule="auto"/>
              <w:ind w:left="22" w:right="20"/>
              <w:jc w:val="left"/>
              <w:rPr>
                <w:rFonts w:ascii="宋体" w:hAnsi="宋体" w:cs="宋体" w:eastAsia="宋体" w:hint="default"/>
                <w:sz w:val="18"/>
                <w:szCs w:val="18"/>
              </w:rPr>
            </w:pPr>
            <w:r>
              <w:rPr>
                <w:rFonts w:ascii="宋体" w:hAnsi="宋体" w:cs="宋体" w:eastAsia="宋体" w:hint="default"/>
                <w:spacing w:val="-3"/>
                <w:sz w:val="18"/>
                <w:szCs w:val="18"/>
              </w:rPr>
              <w:t>合型证券投资基金（原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同智证券投资基金）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兴安证券投资基金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1,040,000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全国社保基金六零三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易方达策略成长证券</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景顺长城内需增长开</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放式证券投资基金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同德证券投资基金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9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179"/>
              <w:jc w:val="both"/>
              <w:rPr>
                <w:rFonts w:ascii="宋体" w:hAnsi="宋体" w:cs="宋体" w:eastAsia="宋体" w:hint="default"/>
                <w:sz w:val="18"/>
                <w:szCs w:val="18"/>
              </w:rPr>
            </w:pPr>
            <w:r>
              <w:rPr>
                <w:rFonts w:ascii="宋体" w:hAnsi="宋体" w:cs="宋体" w:eastAsia="宋体" w:hint="default"/>
                <w:sz w:val="18"/>
                <w:szCs w:val="18"/>
              </w:rPr>
              <w:t>中国建设银行－华夏 红利混合型开放式证 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景顺长城优选股票证</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全国社保基金一零五</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华夏成长证券投资基</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易方达平稳增长证券</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长盛成长价值证券投</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全国社保基金一零七</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申万巴黎盛利精选证</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科汇证券投资基金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天华证券投资基金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景顺长城动力平衡证</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40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中国建设银行－中小</w:t>
            </w:r>
          </w:p>
          <w:p>
            <w:pPr>
              <w:pStyle w:val="TableParagraph"/>
              <w:spacing w:line="240" w:lineRule="auto"/>
              <w:ind w:left="22" w:right="20"/>
              <w:jc w:val="left"/>
              <w:rPr>
                <w:rFonts w:ascii="宋体" w:hAnsi="宋体" w:cs="宋体" w:eastAsia="宋体" w:hint="default"/>
                <w:sz w:val="18"/>
                <w:szCs w:val="18"/>
              </w:rPr>
            </w:pPr>
            <w:r>
              <w:rPr>
                <w:rFonts w:ascii="宋体" w:hAnsi="宋体" w:cs="宋体" w:eastAsia="宋体" w:hint="default"/>
                <w:sz w:val="18"/>
                <w:szCs w:val="18"/>
              </w:rPr>
              <w:t>企业板交易型开放式 </w:t>
            </w:r>
            <w:r>
              <w:rPr>
                <w:rFonts w:ascii="宋体" w:hAnsi="宋体" w:cs="宋体" w:eastAsia="宋体" w:hint="default"/>
                <w:spacing w:val="-3"/>
                <w:sz w:val="18"/>
                <w:szCs w:val="18"/>
              </w:rPr>
              <w:t>指数基金（原中国建设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银行－华夏中小企业 板交易型开放式指数 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6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9"/>
              <w:ind w:left="22" w:right="20"/>
              <w:jc w:val="left"/>
              <w:rPr>
                <w:rFonts w:ascii="宋体" w:hAnsi="宋体" w:cs="宋体" w:eastAsia="宋体" w:hint="default"/>
                <w:sz w:val="18"/>
                <w:szCs w:val="18"/>
              </w:rPr>
            </w:pPr>
            <w:r>
              <w:rPr>
                <w:rFonts w:ascii="宋体" w:hAnsi="宋体" w:cs="宋体" w:eastAsia="宋体" w:hint="default"/>
                <w:sz w:val="18"/>
                <w:szCs w:val="18"/>
              </w:rPr>
              <w:t>华夏平稳增长混合型 </w:t>
            </w:r>
            <w:r>
              <w:rPr>
                <w:rFonts w:ascii="宋体" w:hAnsi="宋体" w:cs="宋体" w:eastAsia="宋体" w:hint="default"/>
                <w:spacing w:val="-3"/>
                <w:sz w:val="18"/>
                <w:szCs w:val="18"/>
              </w:rPr>
              <w:t>证券投资基金（原兴业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易方达价值精选股票</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24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179"/>
              <w:jc w:val="left"/>
              <w:rPr>
                <w:rFonts w:ascii="宋体" w:hAnsi="宋体" w:cs="宋体" w:eastAsia="宋体" w:hint="default"/>
                <w:sz w:val="18"/>
                <w:szCs w:val="18"/>
              </w:rPr>
            </w:pPr>
            <w:r>
              <w:rPr>
                <w:rFonts w:ascii="宋体" w:hAnsi="宋体" w:cs="宋体" w:eastAsia="宋体" w:hint="default"/>
                <w:sz w:val="18"/>
                <w:szCs w:val="18"/>
              </w:rPr>
              <w:t>景顺长城资源垄断股 票型证券投资基金</w:t>
            </w:r>
          </w:p>
          <w:p>
            <w:pPr>
              <w:pStyle w:val="TableParagraph"/>
              <w:spacing w:line="234" w:lineRule="exact" w:before="21"/>
              <w:ind w:left="22" w:right="109"/>
              <w:jc w:val="left"/>
              <w:rPr>
                <w:rFonts w:ascii="宋体" w:hAnsi="宋体" w:cs="宋体" w:eastAsia="宋体" w:hint="default"/>
                <w:sz w:val="18"/>
                <w:szCs w:val="18"/>
              </w:rPr>
            </w:pPr>
            <w:r>
              <w:rPr>
                <w:rFonts w:ascii="宋体" w:hAnsi="宋体" w:cs="宋体" w:eastAsia="宋体" w:hint="default"/>
                <w:spacing w:val="-9"/>
                <w:w w:val="99"/>
                <w:sz w:val="18"/>
                <w:szCs w:val="18"/>
              </w:rPr>
              <w:t>（</w:t>
            </w:r>
            <w:r>
              <w:rPr>
                <w:rFonts w:ascii="Times New Roman" w:hAnsi="Times New Roman" w:cs="Times New Roman" w:eastAsia="Times New Roman" w:hint="default"/>
                <w:spacing w:val="-9"/>
                <w:w w:val="99"/>
                <w:sz w:val="18"/>
                <w:szCs w:val="18"/>
              </w:rPr>
              <w:t>LOF</w:t>
            </w:r>
            <w:r>
              <w:rPr>
                <w:rFonts w:ascii="宋体" w:hAnsi="宋体" w:cs="宋体" w:eastAsia="宋体" w:hint="default"/>
                <w:spacing w:val="-9"/>
                <w:w w:val="99"/>
                <w:sz w:val="18"/>
                <w:szCs w:val="18"/>
              </w:rPr>
              <w:t>）（原景顺长城</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资源垄断股票型开放 式证券投资基金）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申万巴黎新动力股票</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汇添富优势精选混合</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426,554,240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396,637,480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435,469,280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6" w:right="0"/>
              <w:jc w:val="left"/>
              <w:rPr>
                <w:rFonts w:ascii="Times New Roman" w:hAnsi="Times New Roman" w:cs="Times New Roman" w:eastAsia="Times New Roman" w:hint="default"/>
                <w:sz w:val="18"/>
                <w:szCs w:val="18"/>
              </w:rPr>
            </w:pPr>
            <w:r>
              <w:rPr>
                <w:rFonts w:ascii="Times New Roman"/>
                <w:sz w:val="18"/>
              </w:rPr>
              <w:t>465,386,040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9" w:footer="982" w:top="1100" w:bottom="1180" w:left="1140" w:right="1120"/>
        </w:sectPr>
      </w:pPr>
    </w:p>
    <w:p>
      <w:pPr>
        <w:spacing w:line="240" w:lineRule="auto" w:before="6"/>
        <w:rPr>
          <w:rFonts w:ascii="Times New Roman" w:hAnsi="Times New Roman" w:cs="Times New Roman" w:eastAsia="Times New Roman" w:hint="default"/>
          <w:sz w:val="13"/>
          <w:szCs w:val="13"/>
        </w:rPr>
      </w:pPr>
    </w:p>
    <w:p>
      <w:pPr>
        <w:spacing w:line="400" w:lineRule="auto" w:before="35"/>
        <w:ind w:left="444" w:right="458" w:firstLine="482"/>
        <w:jc w:val="both"/>
        <w:rPr>
          <w:rFonts w:ascii="宋体" w:hAnsi="宋体" w:cs="宋体" w:eastAsia="宋体" w:hint="default"/>
          <w:sz w:val="21"/>
          <w:szCs w:val="21"/>
        </w:rPr>
      </w:pPr>
      <w:r>
        <w:rPr>
          <w:rFonts w:ascii="宋体" w:hAnsi="宋体" w:cs="宋体" w:eastAsia="宋体" w:hint="default"/>
          <w:spacing w:val="-2"/>
          <w:sz w:val="21"/>
          <w:szCs w:val="21"/>
        </w:rPr>
        <w:t>注：股东张近东先生作为公司董事长，其所持股份除因股改承诺而限售外，还需按照国家</w:t>
      </w:r>
      <w:r>
        <w:rPr>
          <w:rFonts w:ascii="宋体" w:hAnsi="宋体" w:cs="宋体" w:eastAsia="宋体" w:hint="default"/>
          <w:sz w:val="21"/>
          <w:szCs w:val="21"/>
        </w:rPr>
        <w:t> 相关法律法规进行锁定；股东金明先生作为公司现任董事，蒋勇先生、陈世清先生作为公司离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任未满</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个月的监事、财务负责人，其持有的公司股份需按照国家相关法律法规及规范性文件 进行锁定。</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2509" w:val="left" w:leader="none"/>
        </w:tabs>
        <w:spacing w:line="240" w:lineRule="auto" w:before="0"/>
        <w:ind w:left="1228" w:right="0"/>
        <w:jc w:val="left"/>
        <w:rPr>
          <w:b w:val="0"/>
          <w:bCs w:val="0"/>
        </w:rPr>
      </w:pPr>
      <w:bookmarkStart w:name="_TOC_250007" w:id="4"/>
      <w:r>
        <w:rPr>
          <w:w w:val="95"/>
        </w:rPr>
        <w:t>第四节</w:t>
        <w:tab/>
      </w:r>
      <w:r>
        <w:rPr/>
        <w:t>董事、监事、高级管理人员和员工的情况</w:t>
      </w:r>
      <w:bookmarkEnd w:id="4"/>
      <w:r>
        <w:rPr>
          <w:b w:val="0"/>
          <w:bCs w:val="0"/>
        </w:rPr>
      </w:r>
    </w:p>
    <w:p>
      <w:pPr>
        <w:pStyle w:val="BodyText"/>
        <w:spacing w:line="240" w:lineRule="auto" w:before="193"/>
        <w:ind w:left="924" w:right="0"/>
        <w:jc w:val="left"/>
      </w:pPr>
      <w:r>
        <w:rPr/>
        <w:t>一、公司董事、监事和高级管理人员情况：</w:t>
      </w:r>
    </w:p>
    <w:p>
      <w:pPr>
        <w:pStyle w:val="BodyText"/>
        <w:spacing w:line="240" w:lineRule="auto" w:before="154"/>
        <w:ind w:left="923" w:right="0"/>
        <w:jc w:val="left"/>
      </w:pPr>
      <w:r>
        <w:rPr>
          <w:rFonts w:ascii="Times New Roman" w:hAnsi="Times New Roman" w:cs="Times New Roman" w:eastAsia="Times New Roman" w:hint="default"/>
        </w:rPr>
        <w:t>1</w:t>
      </w:r>
      <w:r>
        <w:rPr/>
        <w:t>、基本情况：</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943"/>
        <w:gridCol w:w="560"/>
        <w:gridCol w:w="560"/>
        <w:gridCol w:w="1440"/>
        <w:gridCol w:w="2130"/>
        <w:gridCol w:w="1080"/>
        <w:gridCol w:w="1111"/>
        <w:gridCol w:w="1469"/>
      </w:tblGrid>
      <w:tr>
        <w:trPr>
          <w:trHeight w:val="632"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4" w:right="185"/>
              <w:jc w:val="center"/>
              <w:rPr>
                <w:rFonts w:ascii="宋体" w:hAnsi="宋体" w:cs="宋体" w:eastAsia="宋体" w:hint="default"/>
                <w:sz w:val="18"/>
                <w:szCs w:val="18"/>
              </w:rPr>
            </w:pPr>
            <w:r>
              <w:rPr>
                <w:rFonts w:ascii="宋体" w:hAnsi="宋体" w:cs="宋体" w:eastAsia="宋体" w:hint="default"/>
                <w:sz w:val="18"/>
                <w:szCs w:val="18"/>
              </w:rPr>
              <w:t>年 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4" w:right="185"/>
              <w:jc w:val="center"/>
              <w:rPr>
                <w:rFonts w:ascii="宋体" w:hAnsi="宋体" w:cs="宋体" w:eastAsia="宋体" w:hint="default"/>
                <w:sz w:val="18"/>
                <w:szCs w:val="18"/>
              </w:rPr>
            </w:pPr>
            <w:r>
              <w:rPr>
                <w:rFonts w:ascii="宋体" w:hAnsi="宋体" w:cs="宋体" w:eastAsia="宋体" w:hint="default"/>
                <w:sz w:val="18"/>
                <w:szCs w:val="18"/>
              </w:rPr>
              <w:t>性 别</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35" w:right="353" w:hanging="180"/>
              <w:jc w:val="left"/>
              <w:rPr>
                <w:rFonts w:ascii="宋体" w:hAnsi="宋体" w:cs="宋体" w:eastAsia="宋体" w:hint="default"/>
                <w:sz w:val="18"/>
                <w:szCs w:val="18"/>
              </w:rPr>
            </w:pPr>
            <w:r>
              <w:rPr>
                <w:rFonts w:ascii="宋体" w:hAnsi="宋体" w:cs="宋体" w:eastAsia="宋体" w:hint="default"/>
                <w:sz w:val="18"/>
                <w:szCs w:val="18"/>
              </w:rPr>
              <w:t>股份公司 任职</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任期起止日期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6"/>
              <w:ind w:right="0"/>
              <w:jc w:val="center"/>
              <w:rPr>
                <w:rFonts w:ascii="宋体" w:hAnsi="宋体" w:cs="宋体" w:eastAsia="宋体" w:hint="default"/>
                <w:sz w:val="18"/>
                <w:szCs w:val="18"/>
              </w:rPr>
            </w:pPr>
            <w:r>
              <w:rPr>
                <w:rFonts w:ascii="宋体" w:hAnsi="宋体" w:cs="宋体" w:eastAsia="宋体" w:hint="default"/>
                <w:sz w:val="18"/>
                <w:szCs w:val="18"/>
              </w:rPr>
              <w:t>年末持股数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6"/>
              <w:ind w:right="0"/>
              <w:jc w:val="center"/>
              <w:rPr>
                <w:rFonts w:ascii="宋体" w:hAnsi="宋体" w:cs="宋体" w:eastAsia="宋体" w:hint="default"/>
                <w:sz w:val="18"/>
                <w:szCs w:val="18"/>
              </w:rPr>
            </w:pPr>
            <w:r>
              <w:rPr>
                <w:rFonts w:ascii="宋体" w:hAnsi="宋体" w:cs="宋体" w:eastAsia="宋体" w:hint="default"/>
                <w:sz w:val="18"/>
                <w:szCs w:val="18"/>
              </w:rPr>
              <w:t>年初持股数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增减变动原因</w:t>
            </w:r>
          </w:p>
        </w:tc>
      </w:tr>
      <w:tr>
        <w:trPr>
          <w:trHeight w:val="454"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张近东</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427,921,920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213,960,960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left"/>
              <w:rPr>
                <w:rFonts w:ascii="宋体" w:hAnsi="宋体" w:cs="宋体" w:eastAsia="宋体" w:hint="default"/>
                <w:sz w:val="18"/>
                <w:szCs w:val="18"/>
              </w:rPr>
            </w:pPr>
            <w:r>
              <w:rPr>
                <w:rFonts w:ascii="宋体" w:hAnsi="宋体" w:cs="宋体" w:eastAsia="宋体" w:hint="default"/>
                <w:spacing w:val="2"/>
                <w:sz w:val="18"/>
                <w:szCs w:val="18"/>
              </w:rPr>
              <w:t>资本公积金转增股</w:t>
            </w:r>
            <w:r>
              <w:rPr>
                <w:rFonts w:ascii="宋体" w:hAnsi="宋体" w:cs="宋体" w:eastAsia="宋体" w:hint="default"/>
                <w:sz w:val="18"/>
                <w:szCs w:val="18"/>
              </w:rPr>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w:t>
            </w:r>
          </w:p>
        </w:tc>
      </w:tr>
      <w:tr>
        <w:trPr>
          <w:trHeight w:val="454"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孙为民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孟祥胜</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36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金  明</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37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26,745,120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13,372,560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left"/>
              <w:rPr>
                <w:rFonts w:ascii="宋体" w:hAnsi="宋体" w:cs="宋体" w:eastAsia="宋体" w:hint="default"/>
                <w:sz w:val="18"/>
                <w:szCs w:val="18"/>
              </w:rPr>
            </w:pPr>
            <w:r>
              <w:rPr>
                <w:rFonts w:ascii="宋体" w:hAnsi="宋体" w:cs="宋体" w:eastAsia="宋体" w:hint="default"/>
                <w:spacing w:val="2"/>
                <w:sz w:val="18"/>
                <w:szCs w:val="18"/>
              </w:rPr>
              <w:t>资本公积金转增股</w:t>
            </w:r>
            <w:r>
              <w:rPr>
                <w:rFonts w:ascii="宋体" w:hAnsi="宋体" w:cs="宋体" w:eastAsia="宋体" w:hint="default"/>
                <w:sz w:val="18"/>
                <w:szCs w:val="18"/>
              </w:rPr>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w:t>
            </w:r>
          </w:p>
        </w:tc>
      </w:tr>
      <w:tr>
        <w:trPr>
          <w:trHeight w:val="454"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任  峻</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31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董事、董秘</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李  东</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47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沈坤荣</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孙剑平</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戴新民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46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李建颖</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39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汪晓玲</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肖忠祥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37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朱  华</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43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0"/>
        <w:ind w:left="924" w:right="0"/>
        <w:jc w:val="left"/>
      </w:pPr>
      <w:r>
        <w:rPr>
          <w:rFonts w:ascii="Times New Roman" w:hAnsi="Times New Roman" w:cs="Times New Roman" w:eastAsia="Times New Roman" w:hint="default"/>
        </w:rPr>
        <w:t>2</w:t>
      </w:r>
      <w:r>
        <w:rPr/>
        <w:t>、公司的董事、监事不存在在股东单位任职的情况。</w:t>
      </w:r>
    </w:p>
    <w:p>
      <w:pPr>
        <w:pStyle w:val="BodyText"/>
        <w:spacing w:line="338" w:lineRule="auto" w:before="135"/>
        <w:ind w:left="443" w:right="458" w:firstLine="480"/>
        <w:jc w:val="both"/>
      </w:pPr>
      <w:r>
        <w:rPr>
          <w:rFonts w:ascii="Times New Roman" w:hAnsi="Times New Roman" w:cs="Times New Roman" w:eastAsia="Times New Roman" w:hint="default"/>
          <w:spacing w:val="2"/>
        </w:rPr>
        <w:t>3</w:t>
      </w:r>
      <w:r>
        <w:rPr>
          <w:spacing w:val="2"/>
        </w:rPr>
        <w:t>、现任董事、监事、高级管理人员的主要工作经历和在其他单位的任职或兼</w:t>
      </w:r>
      <w:r>
        <w:rPr>
          <w:spacing w:val="3"/>
        </w:rPr>
        <w:t> </w:t>
      </w:r>
      <w:r>
        <w:rPr/>
        <w:t>职情况：</w:t>
      </w:r>
    </w:p>
    <w:p>
      <w:pPr>
        <w:pStyle w:val="BodyText"/>
        <w:spacing w:line="240" w:lineRule="auto" w:before="55"/>
        <w:ind w:left="924" w:right="0"/>
        <w:jc w:val="left"/>
      </w:pPr>
      <w:r>
        <w:rPr/>
        <w:t>（</w:t>
      </w:r>
      <w:r>
        <w:rPr>
          <w:rFonts w:ascii="Times New Roman" w:hAnsi="Times New Roman" w:cs="Times New Roman" w:eastAsia="Times New Roman" w:hint="default"/>
        </w:rPr>
        <w:t>1</w:t>
      </w:r>
      <w:r>
        <w:rPr/>
        <w:t>）董事</w:t>
      </w:r>
    </w:p>
    <w:p>
      <w:pPr>
        <w:pStyle w:val="BodyText"/>
        <w:spacing w:line="350" w:lineRule="auto" w:before="135"/>
        <w:ind w:left="444" w:right="461" w:firstLine="480"/>
        <w:jc w:val="both"/>
      </w:pPr>
      <w:r>
        <w:rPr/>
        <w:t>张近东先生 </w:t>
      </w:r>
      <w:r>
        <w:rPr>
          <w:spacing w:val="-3"/>
        </w:rPr>
        <w:t>公司实际控制人，</w:t>
      </w:r>
      <w:r>
        <w:rPr>
          <w:rFonts w:ascii="Times New Roman" w:hAnsi="Times New Roman" w:cs="Times New Roman" w:eastAsia="Times New Roman" w:hint="default"/>
          <w:spacing w:val="-3"/>
        </w:rPr>
        <w:t>45</w:t>
      </w:r>
      <w:r>
        <w:rPr>
          <w:rFonts w:ascii="Times New Roman" w:hAnsi="Times New Roman" w:cs="Times New Roman" w:eastAsia="Times New Roman" w:hint="default"/>
          <w:spacing w:val="21"/>
        </w:rPr>
        <w:t> </w:t>
      </w:r>
      <w:r>
        <w:rPr>
          <w:spacing w:val="-4"/>
        </w:rPr>
        <w:t>岁，汉族，本科学历，曾任江苏苏宁交家电</w:t>
      </w:r>
      <w:r>
        <w:rPr/>
        <w:t> </w:t>
      </w:r>
      <w:r>
        <w:rPr>
          <w:spacing w:val="-1"/>
        </w:rPr>
        <w:t>有限公司董事长兼总经理、中国人民政治协商会议第十届全国委员会委员、中华全</w:t>
      </w:r>
      <w:r>
        <w:rPr>
          <w:spacing w:val="-106"/>
        </w:rPr>
        <w:t> </w:t>
      </w:r>
      <w:r>
        <w:rPr>
          <w:spacing w:val="-106"/>
        </w:rPr>
      </w:r>
      <w:r>
        <w:rPr>
          <w:spacing w:val="-1"/>
        </w:rPr>
        <w:t>国工商业联合会常委，现任苏宁电器股份有限公司董事长、中国人民政治协商会议</w:t>
      </w:r>
      <w:r>
        <w:rPr>
          <w:spacing w:val="-106"/>
        </w:rPr>
        <w:t> </w:t>
      </w:r>
      <w:r>
        <w:rPr>
          <w:spacing w:val="-106"/>
        </w:rPr>
      </w:r>
      <w:r>
        <w:rPr>
          <w:spacing w:val="-1"/>
        </w:rPr>
        <w:t>第十一届全国委员会委员、中华全国工商业联合会副主席、江苏省第十一届人民代</w:t>
      </w:r>
    </w:p>
    <w:p>
      <w:pPr>
        <w:spacing w:after="0" w:line="350" w:lineRule="auto"/>
        <w:jc w:val="both"/>
        <w:sectPr>
          <w:pgSz w:w="11910" w:h="16840"/>
          <w:pgMar w:header="879" w:footer="982" w:top="1100" w:bottom="1180" w:left="1200" w:right="1180"/>
        </w:sectPr>
      </w:pPr>
    </w:p>
    <w:p>
      <w:pPr>
        <w:spacing w:line="240" w:lineRule="auto" w:before="10"/>
        <w:rPr>
          <w:rFonts w:ascii="宋体" w:hAnsi="宋体" w:cs="宋体" w:eastAsia="宋体" w:hint="default"/>
          <w:sz w:val="10"/>
          <w:szCs w:val="10"/>
        </w:rPr>
      </w:pPr>
    </w:p>
    <w:p>
      <w:pPr>
        <w:pStyle w:val="BodyText"/>
        <w:spacing w:line="240" w:lineRule="auto" w:before="26"/>
        <w:ind w:left="144" w:right="87"/>
        <w:jc w:val="left"/>
      </w:pPr>
      <w:r>
        <w:rPr/>
        <w:t>表大会代表。无在其他单位任职或兼职情况。</w:t>
      </w:r>
    </w:p>
    <w:p>
      <w:pPr>
        <w:pStyle w:val="BodyText"/>
        <w:spacing w:line="352" w:lineRule="auto" w:before="154"/>
        <w:ind w:right="221" w:firstLine="481"/>
        <w:jc w:val="both"/>
      </w:pPr>
      <w:r>
        <w:rPr/>
        <w:t>孙为民先生 </w:t>
      </w:r>
      <w:r>
        <w:rPr>
          <w:rFonts w:ascii="Times New Roman" w:hAnsi="Times New Roman" w:cs="Times New Roman" w:eastAsia="Times New Roman" w:hint="default"/>
        </w:rPr>
        <w:t>45</w:t>
      </w:r>
      <w:r>
        <w:rPr>
          <w:rFonts w:ascii="Times New Roman" w:hAnsi="Times New Roman" w:cs="Times New Roman" w:eastAsia="Times New Roman" w:hint="default"/>
          <w:spacing w:val="18"/>
        </w:rPr>
        <w:t> </w:t>
      </w:r>
      <w:r>
        <w:rPr>
          <w:spacing w:val="-4"/>
        </w:rPr>
        <w:t>岁，汉族，硕士学历，曾在南京理工大学执教，曾任苏宁交家</w:t>
      </w:r>
      <w:r>
        <w:rPr/>
        <w:t> </w:t>
      </w:r>
      <w:r>
        <w:rPr>
          <w:spacing w:val="-1"/>
        </w:rPr>
        <w:t>电（集团）有限公司副总裁，现任苏宁电器股份有限公司董事兼总裁、中国连锁经</w:t>
      </w:r>
      <w:r>
        <w:rPr>
          <w:spacing w:val="-107"/>
        </w:rPr>
        <w:t> </w:t>
      </w:r>
      <w:r>
        <w:rPr>
          <w:spacing w:val="-107"/>
        </w:rPr>
      </w:r>
      <w:r>
        <w:rPr>
          <w:spacing w:val="-1"/>
        </w:rPr>
        <w:t>营协会第一副会长、清华大学中国零售研究院专家委员、中国电子商会副会长、南</w:t>
      </w:r>
      <w:r>
        <w:rPr>
          <w:spacing w:val="-108"/>
        </w:rPr>
        <w:t> </w:t>
      </w:r>
      <w:r>
        <w:rPr>
          <w:spacing w:val="-108"/>
        </w:rPr>
      </w:r>
      <w:r>
        <w:rPr>
          <w:spacing w:val="-1"/>
        </w:rPr>
        <w:t>京市政协常务委员、南京市鼓楼区人大代表、北京苏宁电器有限公司法人代表、陕</w:t>
      </w:r>
      <w:r>
        <w:rPr>
          <w:spacing w:val="-108"/>
        </w:rPr>
        <w:t> </w:t>
      </w:r>
      <w:r>
        <w:rPr>
          <w:spacing w:val="-108"/>
        </w:rPr>
      </w:r>
      <w:r>
        <w:rPr/>
        <w:t>西苏宁电器有限责任公司法人代表、深圳市苏宁电器有限公司法人代表。</w:t>
      </w:r>
    </w:p>
    <w:p>
      <w:pPr>
        <w:pStyle w:val="BodyText"/>
        <w:spacing w:line="348" w:lineRule="auto" w:before="41"/>
        <w:ind w:right="221" w:firstLine="480"/>
        <w:jc w:val="both"/>
      </w:pPr>
      <w:r>
        <w:rPr/>
        <w:t>孟祥胜先生 </w:t>
      </w:r>
      <w:r>
        <w:rPr>
          <w:rFonts w:ascii="Times New Roman" w:hAnsi="Times New Roman" w:cs="Times New Roman" w:eastAsia="Times New Roman" w:hint="default"/>
        </w:rPr>
        <w:t>36</w:t>
      </w:r>
      <w:r>
        <w:rPr>
          <w:rFonts w:ascii="Times New Roman" w:hAnsi="Times New Roman" w:cs="Times New Roman" w:eastAsia="Times New Roman" w:hint="default"/>
          <w:spacing w:val="23"/>
        </w:rPr>
        <w:t> </w:t>
      </w:r>
      <w:r>
        <w:rPr>
          <w:spacing w:val="-4"/>
        </w:rPr>
        <w:t>岁，汉族，本科学历，曾任海尔药业浙江市场部经理、南京东</w:t>
      </w:r>
      <w:r>
        <w:rPr/>
        <w:t> </w:t>
      </w:r>
      <w:r>
        <w:rPr>
          <w:spacing w:val="-1"/>
        </w:rPr>
        <w:t>方置业管理咨询顾问公司管理顾问，现任苏宁电器股份有限公司董事兼副总裁。无</w:t>
      </w:r>
      <w:r>
        <w:rPr>
          <w:spacing w:val="-106"/>
        </w:rPr>
        <w:t> </w:t>
      </w:r>
      <w:r>
        <w:rPr>
          <w:spacing w:val="-106"/>
        </w:rPr>
      </w:r>
      <w:r>
        <w:rPr/>
        <w:t>在其他单位任职或兼职情况。</w:t>
      </w:r>
    </w:p>
    <w:p>
      <w:pPr>
        <w:pStyle w:val="BodyText"/>
        <w:spacing w:line="348" w:lineRule="auto" w:before="46"/>
        <w:ind w:right="221" w:firstLine="480"/>
        <w:jc w:val="both"/>
      </w:pPr>
      <w:r>
        <w:rPr/>
        <w:t>金 明先生 </w:t>
      </w:r>
      <w:r>
        <w:rPr>
          <w:rFonts w:ascii="Times New Roman" w:hAnsi="Times New Roman" w:cs="Times New Roman" w:eastAsia="Times New Roman" w:hint="default"/>
        </w:rPr>
        <w:t>37</w:t>
      </w:r>
      <w:r>
        <w:rPr>
          <w:rFonts w:ascii="Times New Roman" w:hAnsi="Times New Roman" w:cs="Times New Roman" w:eastAsia="Times New Roman" w:hint="default"/>
          <w:spacing w:val="22"/>
        </w:rPr>
        <w:t> </w:t>
      </w:r>
      <w:r>
        <w:rPr>
          <w:spacing w:val="-4"/>
        </w:rPr>
        <w:t>岁，汉族，本科学历，曾任苏宁交家电（集团）有限公司营销</w:t>
      </w:r>
      <w:r>
        <w:rPr/>
        <w:t> </w:t>
      </w:r>
      <w:r>
        <w:rPr>
          <w:spacing w:val="-1"/>
        </w:rPr>
        <w:t>管理中心总监，现任苏宁电器股份有限公司董事兼副总裁。无在其他单位任职或兼</w:t>
      </w:r>
      <w:r>
        <w:rPr>
          <w:spacing w:val="-106"/>
        </w:rPr>
        <w:t> </w:t>
      </w:r>
      <w:r>
        <w:rPr>
          <w:spacing w:val="-106"/>
        </w:rPr>
      </w:r>
      <w:r>
        <w:rPr/>
        <w:t>职情况。</w:t>
      </w:r>
    </w:p>
    <w:p>
      <w:pPr>
        <w:pStyle w:val="BodyText"/>
        <w:spacing w:line="338" w:lineRule="auto" w:before="46"/>
        <w:ind w:right="221" w:firstLine="480"/>
        <w:jc w:val="both"/>
      </w:pPr>
      <w:r>
        <w:rPr/>
        <w:t>任 峻先生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spacing w:val="-4"/>
        </w:rPr>
        <w:t>岁，汉族，本科学历，现任苏宁电器股份有限公司董事、董事</w:t>
      </w:r>
      <w:r>
        <w:rPr/>
        <w:t> 会秘书。无在其他单位任职或兼职情况。</w:t>
      </w:r>
    </w:p>
    <w:p>
      <w:pPr>
        <w:pStyle w:val="BodyText"/>
        <w:spacing w:line="338" w:lineRule="auto" w:before="55"/>
        <w:ind w:right="221" w:firstLine="480"/>
        <w:jc w:val="both"/>
      </w:pPr>
      <w:r>
        <w:rPr/>
        <w:t>李 东先生 </w:t>
      </w:r>
      <w:r>
        <w:rPr>
          <w:rFonts w:ascii="Times New Roman" w:hAnsi="Times New Roman" w:cs="Times New Roman" w:eastAsia="Times New Roman" w:hint="default"/>
        </w:rPr>
        <w:t>47</w:t>
      </w:r>
      <w:r>
        <w:rPr>
          <w:rFonts w:ascii="Times New Roman" w:hAnsi="Times New Roman" w:cs="Times New Roman" w:eastAsia="Times New Roman" w:hint="default"/>
          <w:spacing w:val="23"/>
        </w:rPr>
        <w:t> </w:t>
      </w:r>
      <w:r>
        <w:rPr>
          <w:spacing w:val="-4"/>
        </w:rPr>
        <w:t>岁，汉族，研究生学历，曾任金陵石化公司工程师，现任东南</w:t>
      </w:r>
      <w:r>
        <w:rPr/>
        <w:t> 大学经济管理学院副院长，本公司董事。</w:t>
      </w:r>
    </w:p>
    <w:p>
      <w:pPr>
        <w:pStyle w:val="BodyText"/>
        <w:spacing w:line="348" w:lineRule="auto" w:before="55"/>
        <w:ind w:right="198" w:firstLine="480"/>
        <w:jc w:val="both"/>
      </w:pPr>
      <w:r>
        <w:rPr/>
        <w:t>沈坤荣先生 </w:t>
      </w:r>
      <w:r>
        <w:rPr>
          <w:rFonts w:ascii="Times New Roman" w:hAnsi="Times New Roman" w:cs="Times New Roman" w:eastAsia="Times New Roman" w:hint="default"/>
        </w:rPr>
        <w:t>45</w:t>
      </w:r>
      <w:r>
        <w:rPr>
          <w:rFonts w:ascii="Times New Roman" w:hAnsi="Times New Roman" w:cs="Times New Roman" w:eastAsia="Times New Roman" w:hint="default"/>
          <w:spacing w:val="21"/>
        </w:rPr>
        <w:t> </w:t>
      </w:r>
      <w:r>
        <w:rPr>
          <w:spacing w:val="-4"/>
        </w:rPr>
        <w:t>岁，汉族，研究生学历，曾任中国社科院博士后，南京大学经</w:t>
      </w:r>
      <w:r>
        <w:rPr/>
        <w:t> 济系教授、博导，美国斯坦福大学高级研究学者，现任南京大学经济学院副院长、 教授、博导，江苏交通经济研究会会长，本公司独立董事。</w:t>
      </w:r>
    </w:p>
    <w:p>
      <w:pPr>
        <w:pStyle w:val="BodyText"/>
        <w:tabs>
          <w:tab w:pos="1583" w:val="left" w:leader="none"/>
          <w:tab w:pos="2063" w:val="left" w:leader="none"/>
        </w:tabs>
        <w:spacing w:line="348" w:lineRule="auto" w:before="46"/>
        <w:ind w:right="198" w:firstLine="480"/>
        <w:jc w:val="right"/>
      </w:pPr>
      <w:r>
        <w:rPr/>
        <w:t>孙剑平先生</w:t>
        <w:tab/>
      </w:r>
      <w:r>
        <w:rPr>
          <w:rFonts w:ascii="Times New Roman" w:hAnsi="Times New Roman" w:cs="Times New Roman" w:eastAsia="Times New Roman" w:hint="default"/>
        </w:rPr>
        <w:t>55</w:t>
      </w:r>
      <w:r>
        <w:rPr>
          <w:rFonts w:ascii="Times New Roman" w:hAnsi="Times New Roman" w:cs="Times New Roman" w:eastAsia="Times New Roman" w:hint="default"/>
          <w:spacing w:val="24"/>
        </w:rPr>
        <w:t> </w:t>
      </w:r>
      <w:r>
        <w:rPr>
          <w:spacing w:val="-4"/>
        </w:rPr>
        <w:t>岁，汉族，研究生学历，曾任南京理工大学经济学系主任、人</w:t>
      </w:r>
      <w:r>
        <w:rPr/>
        <w:t> 文学院副院长，现任南京理工大学人力资源管理研究中心主任、本公司独立董事。 戴新民先生</w:t>
        <w:tab/>
      </w:r>
      <w:r>
        <w:rPr>
          <w:rFonts w:ascii="Times New Roman" w:hAnsi="Times New Roman" w:cs="Times New Roman" w:eastAsia="Times New Roman" w:hint="default"/>
        </w:rPr>
        <w:t>46</w:t>
      </w:r>
      <w:r>
        <w:rPr>
          <w:rFonts w:ascii="Times New Roman" w:hAnsi="Times New Roman" w:cs="Times New Roman" w:eastAsia="Times New Roman" w:hint="default"/>
          <w:spacing w:val="24"/>
        </w:rPr>
        <w:t> </w:t>
      </w:r>
      <w:r>
        <w:rPr>
          <w:spacing w:val="-4"/>
        </w:rPr>
        <w:t>岁，汉族，本科学历，注册会计师，曾任安徽工业大学管理学</w:t>
      </w:r>
    </w:p>
    <w:p>
      <w:pPr>
        <w:pStyle w:val="BodyText"/>
        <w:spacing w:line="240" w:lineRule="auto" w:before="16"/>
        <w:ind w:right="87"/>
        <w:jc w:val="left"/>
      </w:pPr>
      <w:r>
        <w:rPr/>
        <w:t>院教师，现任南京理工大学经济管理学院系主任、本公司独立董事。</w:t>
      </w:r>
    </w:p>
    <w:p>
      <w:pPr>
        <w:pStyle w:val="BodyText"/>
        <w:spacing w:line="240" w:lineRule="auto" w:before="154"/>
        <w:ind w:left="623" w:right="87"/>
        <w:jc w:val="left"/>
      </w:pPr>
      <w:r>
        <w:rPr/>
        <w:t>（</w:t>
      </w:r>
      <w:r>
        <w:rPr>
          <w:rFonts w:ascii="Times New Roman" w:hAnsi="Times New Roman" w:cs="Times New Roman" w:eastAsia="Times New Roman" w:hint="default"/>
        </w:rPr>
        <w:t>2</w:t>
      </w:r>
      <w:r>
        <w:rPr/>
        <w:t>）监事</w:t>
      </w:r>
    </w:p>
    <w:p>
      <w:pPr>
        <w:pStyle w:val="BodyText"/>
        <w:spacing w:line="348" w:lineRule="auto" w:before="135"/>
        <w:ind w:right="217" w:firstLine="480"/>
        <w:jc w:val="both"/>
      </w:pPr>
      <w:r>
        <w:rPr>
          <w:spacing w:val="-7"/>
        </w:rPr>
        <w:t>李建颖女士 </w:t>
      </w:r>
      <w:r>
        <w:rPr>
          <w:rFonts w:ascii="Times New Roman" w:hAnsi="Times New Roman" w:cs="Times New Roman" w:eastAsia="Times New Roman" w:hint="default"/>
        </w:rPr>
        <w:t>39</w:t>
      </w:r>
      <w:r>
        <w:rPr>
          <w:rFonts w:ascii="Times New Roman" w:hAnsi="Times New Roman" w:cs="Times New Roman" w:eastAsia="Times New Roman" w:hint="default"/>
          <w:spacing w:val="-15"/>
        </w:rPr>
        <w:t> </w:t>
      </w:r>
      <w:r>
        <w:rPr>
          <w:spacing w:val="-10"/>
        </w:rPr>
        <w:t>岁，汉族，大专学历，曾在南京市紫金无线电厂任职，现任苏宁</w:t>
      </w:r>
      <w:r>
        <w:rPr>
          <w:spacing w:val="-9"/>
        </w:rPr>
        <w:t> </w:t>
      </w:r>
      <w:r>
        <w:rPr>
          <w:spacing w:val="-8"/>
        </w:rPr>
        <w:t>电器股份有限公司结算管理中心总监，公司监事会主席。无在其他单位任职或兼职情</w:t>
      </w:r>
      <w:r>
        <w:rPr>
          <w:spacing w:val="-95"/>
        </w:rPr>
        <w:t> </w:t>
      </w:r>
      <w:r>
        <w:rPr>
          <w:spacing w:val="-95"/>
        </w:rPr>
      </w:r>
      <w:r>
        <w:rPr>
          <w:spacing w:val="-8"/>
        </w:rPr>
        <w:t>况。</w:t>
      </w:r>
      <w:r>
        <w:rPr/>
      </w:r>
    </w:p>
    <w:p>
      <w:pPr>
        <w:pStyle w:val="BodyText"/>
        <w:tabs>
          <w:tab w:pos="2063" w:val="left" w:leader="none"/>
        </w:tabs>
        <w:spacing w:line="348" w:lineRule="auto" w:before="46"/>
        <w:ind w:right="101" w:firstLine="480"/>
        <w:jc w:val="left"/>
      </w:pPr>
      <w:r>
        <w:rPr/>
        <w:t>汪晓玲女士</w:t>
        <w:tab/>
      </w:r>
      <w:r>
        <w:rPr>
          <w:rFonts w:ascii="Times New Roman" w:hAnsi="Times New Roman" w:cs="Times New Roman" w:eastAsia="Times New Roman" w:hint="default"/>
        </w:rPr>
        <w:t>35</w:t>
      </w:r>
      <w:r>
        <w:rPr>
          <w:rFonts w:ascii="Times New Roman" w:hAnsi="Times New Roman" w:cs="Times New Roman" w:eastAsia="Times New Roman" w:hint="default"/>
          <w:spacing w:val="20"/>
        </w:rPr>
        <w:t> </w:t>
      </w:r>
      <w:r>
        <w:rPr>
          <w:spacing w:val="-8"/>
        </w:rPr>
        <w:t>岁，汉族，大学本科学历，曾任南京新闻发展公司办公室主任，</w:t>
      </w:r>
      <w:r>
        <w:rPr/>
        <w:t> 现任苏宁电器股份有限公司费用管理中心常务副总监、公司监事。无在其他单位任 职或兼职情况。</w:t>
      </w:r>
    </w:p>
    <w:p>
      <w:pPr>
        <w:spacing w:after="0" w:line="348" w:lineRule="auto"/>
        <w:jc w:val="left"/>
        <w:sectPr>
          <w:footerReference w:type="default" r:id="rId11"/>
          <w:pgSz w:w="11910" w:h="16840"/>
          <w:pgMar w:footer="982" w:header="879" w:top="1100" w:bottom="1180" w:left="1500" w:right="1420"/>
          <w:pgNumType w:start="15"/>
        </w:sectPr>
      </w:pPr>
    </w:p>
    <w:p>
      <w:pPr>
        <w:spacing w:line="240" w:lineRule="auto" w:before="10"/>
        <w:rPr>
          <w:rFonts w:ascii="宋体" w:hAnsi="宋体" w:cs="宋体" w:eastAsia="宋体" w:hint="default"/>
          <w:sz w:val="10"/>
          <w:szCs w:val="10"/>
        </w:rPr>
      </w:pPr>
    </w:p>
    <w:p>
      <w:pPr>
        <w:pStyle w:val="BodyText"/>
        <w:spacing w:line="348" w:lineRule="auto" w:before="26"/>
        <w:ind w:right="221" w:firstLine="480"/>
        <w:jc w:val="both"/>
      </w:pPr>
      <w:r>
        <w:rPr/>
        <w:t>肖忠祥先生 </w:t>
      </w:r>
      <w:r>
        <w:rPr>
          <w:rFonts w:ascii="Times New Roman" w:hAnsi="Times New Roman" w:cs="Times New Roman" w:eastAsia="Times New Roman" w:hint="default"/>
        </w:rPr>
        <w:t>37</w:t>
      </w:r>
      <w:r>
        <w:rPr>
          <w:rFonts w:ascii="Times New Roman" w:hAnsi="Times New Roman" w:cs="Times New Roman" w:eastAsia="Times New Roman" w:hint="default"/>
          <w:spacing w:val="23"/>
        </w:rPr>
        <w:t> </w:t>
      </w:r>
      <w:r>
        <w:rPr>
          <w:spacing w:val="-4"/>
        </w:rPr>
        <w:t>岁，汉族，本科学历，曾任南京无线电八厂会计、苏宁电器股</w:t>
      </w:r>
      <w:r>
        <w:rPr/>
        <w:t> </w:t>
      </w:r>
      <w:r>
        <w:rPr>
          <w:spacing w:val="-1"/>
        </w:rPr>
        <w:t>份有限公司财务部经理，现任公司财务管理中心副总监、公司监事。无在其他单位</w:t>
      </w:r>
      <w:r>
        <w:rPr>
          <w:spacing w:val="-108"/>
        </w:rPr>
        <w:t> </w:t>
      </w:r>
      <w:r>
        <w:rPr>
          <w:spacing w:val="-108"/>
        </w:rPr>
      </w:r>
      <w:r>
        <w:rPr/>
        <w:t>任职或兼职情况。</w:t>
      </w:r>
    </w:p>
    <w:p>
      <w:pPr>
        <w:pStyle w:val="BodyText"/>
        <w:spacing w:line="240" w:lineRule="auto" w:before="46"/>
        <w:ind w:left="623" w:right="87"/>
        <w:jc w:val="left"/>
      </w:pPr>
      <w:r>
        <w:rPr/>
        <w:t>（</w:t>
      </w:r>
      <w:r>
        <w:rPr>
          <w:rFonts w:ascii="Times New Roman" w:hAnsi="Times New Roman" w:cs="Times New Roman" w:eastAsia="Times New Roman" w:hint="default"/>
        </w:rPr>
        <w:t>3</w:t>
      </w:r>
      <w:r>
        <w:rPr/>
        <w:t>）高级管理人员</w:t>
      </w:r>
    </w:p>
    <w:p>
      <w:pPr>
        <w:pStyle w:val="BodyText"/>
        <w:tabs>
          <w:tab w:pos="1103" w:val="left" w:leader="none"/>
          <w:tab w:pos="2063" w:val="left" w:leader="none"/>
        </w:tabs>
        <w:spacing w:line="357" w:lineRule="auto" w:before="135"/>
        <w:ind w:left="623" w:right="3438"/>
        <w:jc w:val="left"/>
      </w:pPr>
      <w:r>
        <w:rPr/>
        <w:t>孙为民先生</w:t>
        <w:tab/>
        <w:t>总裁</w:t>
      </w:r>
      <w:r>
        <w:rPr>
          <w:spacing w:val="-120"/>
        </w:rPr>
        <w:t>。</w:t>
      </w:r>
      <w:r>
        <w:rPr/>
        <w:t>（简历见前述董事介绍）</w:t>
      </w:r>
      <w:r>
        <w:rPr/>
        <w:t> 孟祥胜先生</w:t>
        <w:tab/>
        <w:t>副总裁</w:t>
      </w:r>
      <w:r>
        <w:rPr>
          <w:spacing w:val="-120"/>
        </w:rPr>
        <w:t>。</w:t>
      </w:r>
      <w:r>
        <w:rPr/>
        <w:t>（简历见前述董事介绍）</w:t>
      </w:r>
      <w:r>
        <w:rPr/>
        <w:t> 金</w:t>
        <w:tab/>
        <w:t>明先生</w:t>
        <w:tab/>
        <w:t>副总裁</w:t>
      </w:r>
      <w:r>
        <w:rPr>
          <w:spacing w:val="-120"/>
        </w:rPr>
        <w:t>。</w:t>
      </w:r>
      <w:r>
        <w:rPr/>
        <w:t>（简历见前述董事介绍）</w:t>
      </w:r>
    </w:p>
    <w:p>
      <w:pPr>
        <w:pStyle w:val="BodyText"/>
        <w:spacing w:line="338" w:lineRule="auto" w:before="36"/>
        <w:ind w:right="221" w:firstLine="480"/>
        <w:jc w:val="both"/>
      </w:pPr>
      <w:r>
        <w:rPr/>
        <w:t>朱 华女士 </w:t>
      </w:r>
      <w:r>
        <w:rPr>
          <w:rFonts w:ascii="Times New Roman" w:hAnsi="Times New Roman" w:cs="Times New Roman" w:eastAsia="Times New Roman" w:hint="default"/>
        </w:rPr>
        <w:t>43</w:t>
      </w:r>
      <w:r>
        <w:rPr>
          <w:rFonts w:ascii="Times New Roman" w:hAnsi="Times New Roman" w:cs="Times New Roman" w:eastAsia="Times New Roman" w:hint="default"/>
          <w:spacing w:val="23"/>
        </w:rPr>
        <w:t> </w:t>
      </w:r>
      <w:r>
        <w:rPr>
          <w:spacing w:val="-4"/>
        </w:rPr>
        <w:t>岁，汉族，大专学历，曾任中外合作乐富来实业有限公司财务</w:t>
      </w:r>
      <w:r>
        <w:rPr/>
        <w:t> 部经理，现任公司财务负责人。无在其他单位任职或兼职情况。</w:t>
      </w:r>
    </w:p>
    <w:p>
      <w:pPr>
        <w:pStyle w:val="BodyText"/>
        <w:tabs>
          <w:tab w:pos="1103" w:val="left" w:leader="none"/>
          <w:tab w:pos="2063" w:val="left" w:leader="none"/>
        </w:tabs>
        <w:spacing w:line="240" w:lineRule="auto" w:before="55"/>
        <w:ind w:left="623" w:right="87"/>
        <w:jc w:val="left"/>
      </w:pPr>
      <w:r>
        <w:rPr/>
        <w:t>任</w:t>
        <w:tab/>
        <w:t>峻先生</w:t>
        <w:tab/>
        <w:t>董事会秘书</w:t>
      </w:r>
      <w:r>
        <w:rPr>
          <w:spacing w:val="-120"/>
        </w:rPr>
        <w:t>。</w:t>
      </w:r>
      <w:r>
        <w:rPr/>
        <w:t>（简历见前述董事介绍）</w:t>
      </w:r>
    </w:p>
    <w:p>
      <w:pPr>
        <w:pStyle w:val="BodyText"/>
        <w:spacing w:line="240" w:lineRule="auto" w:before="154"/>
        <w:ind w:left="623" w:right="87"/>
        <w:jc w:val="left"/>
      </w:pPr>
      <w:r>
        <w:rPr>
          <w:rFonts w:ascii="Times New Roman" w:hAnsi="Times New Roman" w:cs="Times New Roman" w:eastAsia="Times New Roman" w:hint="default"/>
        </w:rPr>
        <w:t>4</w:t>
      </w:r>
      <w:r>
        <w:rPr/>
        <w:t>、年度报酬情况：</w:t>
      </w:r>
    </w:p>
    <w:p>
      <w:pPr>
        <w:pStyle w:val="BodyText"/>
        <w:spacing w:line="240" w:lineRule="auto" w:before="135"/>
        <w:ind w:left="623" w:right="87"/>
        <w:jc w:val="left"/>
      </w:pPr>
      <w:r>
        <w:rPr/>
        <w:t>（</w:t>
      </w:r>
      <w:r>
        <w:rPr>
          <w:rFonts w:ascii="Times New Roman" w:hAnsi="Times New Roman" w:cs="Times New Roman" w:eastAsia="Times New Roman" w:hint="default"/>
        </w:rPr>
        <w:t>1</w:t>
      </w:r>
      <w:r>
        <w:rPr/>
        <w:t>）薪酬决策程序及确定依据</w:t>
      </w:r>
    </w:p>
    <w:p>
      <w:pPr>
        <w:pStyle w:val="BodyText"/>
        <w:spacing w:line="345" w:lineRule="auto" w:before="135"/>
        <w:ind w:right="216" w:firstLine="480"/>
        <w:jc w:val="both"/>
      </w:pPr>
      <w:r>
        <w:rPr/>
        <w:t>① 公司 </w:t>
      </w:r>
      <w:r>
        <w:rPr>
          <w:rFonts w:ascii="Times New Roman" w:hAnsi="Times New Roman" w:cs="Times New Roman" w:eastAsia="Times New Roman" w:hint="default"/>
        </w:rPr>
        <w:t>2004</w:t>
      </w:r>
      <w:r>
        <w:rPr>
          <w:rFonts w:ascii="Times New Roman" w:hAnsi="Times New Roman" w:cs="Times New Roman" w:eastAsia="Times New Roman" w:hint="default"/>
          <w:spacing w:val="38"/>
        </w:rPr>
        <w:t> </w:t>
      </w:r>
      <w:r>
        <w:rPr/>
        <w:t>年年度股东大会审议通过《关于确定公司董事、监事、高级管 </w:t>
      </w:r>
      <w:r>
        <w:rPr>
          <w:spacing w:val="-2"/>
        </w:rPr>
        <w:t>理人员薪酬津贴的议案》，对张近东先生、孙为民先生、孟祥胜先生、金明先生、</w:t>
      </w:r>
      <w:r>
        <w:rPr>
          <w:spacing w:val="-98"/>
        </w:rPr>
        <w:t> </w:t>
      </w:r>
      <w:r>
        <w:rPr>
          <w:spacing w:val="-98"/>
        </w:rPr>
      </w:r>
      <w:r>
        <w:rPr/>
        <w:t>任峻先生、朱华女士、李建颖女士及公司外部董事、独立董事自 </w:t>
      </w:r>
      <w:r>
        <w:rPr>
          <w:rFonts w:ascii="Times New Roman" w:hAnsi="Times New Roman" w:cs="Times New Roman" w:eastAsia="Times New Roman" w:hint="default"/>
        </w:rPr>
        <w:t>2005</w:t>
      </w:r>
      <w:r>
        <w:rPr>
          <w:rFonts w:ascii="Times New Roman" w:hAnsi="Times New Roman" w:cs="Times New Roman" w:eastAsia="Times New Roman" w:hint="default"/>
          <w:spacing w:val="38"/>
        </w:rPr>
        <w:t> </w:t>
      </w:r>
      <w:r>
        <w:rPr/>
        <w:t>年起的薪酬 及津贴进行调整；</w:t>
      </w:r>
    </w:p>
    <w:p>
      <w:pPr>
        <w:pStyle w:val="BodyText"/>
        <w:spacing w:line="338" w:lineRule="auto" w:before="48"/>
        <w:ind w:right="221" w:firstLine="480"/>
        <w:jc w:val="both"/>
      </w:pPr>
      <w:r>
        <w:rPr/>
        <w:t>② 公司 </w:t>
      </w:r>
      <w:r>
        <w:rPr>
          <w:rFonts w:ascii="Times New Roman" w:hAnsi="Times New Roman" w:cs="Times New Roman" w:eastAsia="Times New Roman" w:hint="default"/>
        </w:rPr>
        <w:t>2005</w:t>
      </w:r>
      <w:r>
        <w:rPr>
          <w:rFonts w:ascii="Times New Roman" w:hAnsi="Times New Roman" w:cs="Times New Roman" w:eastAsia="Times New Roman" w:hint="default"/>
          <w:spacing w:val="38"/>
        </w:rPr>
        <w:t> </w:t>
      </w:r>
      <w:r>
        <w:rPr/>
        <w:t>年年度股东大会审议通过《关于调整公司部分董事、高级管理 </w:t>
      </w:r>
      <w:r>
        <w:rPr>
          <w:spacing w:val="-5"/>
        </w:rPr>
        <w:t>人员薪酬的议案》，对孙为民先生、孟祥胜先生、金明先生、任峻先生自</w:t>
      </w:r>
      <w:r>
        <w:rPr>
          <w:spacing w:val="-5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spacing w:val="1"/>
        </w:rPr>
        <w:t>年起 </w:t>
      </w:r>
      <w:r>
        <w:rPr/>
        <w:t>的薪酬进行调整；</w:t>
      </w:r>
    </w:p>
    <w:p>
      <w:pPr>
        <w:pStyle w:val="BodyText"/>
        <w:tabs>
          <w:tab w:pos="1103" w:val="left" w:leader="none"/>
        </w:tabs>
        <w:spacing w:line="338" w:lineRule="auto" w:before="55"/>
        <w:ind w:right="101" w:firstLine="480"/>
        <w:jc w:val="left"/>
      </w:pPr>
      <w:r>
        <w:rPr/>
        <w:t>③</w:t>
        <w:tab/>
        <w:t>公司</w:t>
      </w:r>
      <w:r>
        <w:rPr>
          <w:spacing w:val="-6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9"/>
        </w:rPr>
        <w:t>年年度股东大会审议通过《关于调整公司独立董事津贴的议案》，</w:t>
      </w:r>
      <w:r>
        <w:rPr/>
        <w:t> 对公司独立董事自</w:t>
      </w:r>
      <w:r>
        <w:rPr>
          <w:spacing w:val="-60"/>
        </w:rPr>
        <w:t> </w:t>
      </w:r>
      <w:r>
        <w:rPr>
          <w:rFonts w:ascii="Times New Roman" w:hAnsi="Times New Roman" w:cs="Times New Roman" w:eastAsia="Times New Roman" w:hint="default"/>
        </w:rPr>
        <w:t>2007 </w:t>
      </w:r>
      <w:r>
        <w:rPr/>
        <w:t>年起的独立董事津贴进行调整；</w:t>
      </w:r>
    </w:p>
    <w:p>
      <w:pPr>
        <w:pStyle w:val="BodyText"/>
        <w:spacing w:line="348" w:lineRule="auto" w:before="27"/>
        <w:ind w:left="144" w:right="216" w:firstLine="480"/>
        <w:jc w:val="both"/>
      </w:pPr>
      <w:r>
        <w:rPr/>
        <w:t>④ 公司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年第二次临时股东大会审议通过《关于调整公司外部董事津贴 </w:t>
      </w:r>
      <w:r>
        <w:rPr>
          <w:spacing w:val="-2"/>
        </w:rPr>
        <w:t>的议案》及《关于确定监事薪酬的议案》，对李建颖女士、汪晓玲女士及公司外部</w:t>
      </w:r>
      <w:r>
        <w:rPr>
          <w:spacing w:val="-97"/>
        </w:rPr>
        <w:t> </w:t>
      </w:r>
      <w:r>
        <w:rPr>
          <w:spacing w:val="-97"/>
        </w:rPr>
      </w:r>
      <w:r>
        <w:rPr/>
        <w:t>董事自</w:t>
      </w:r>
      <w:r>
        <w:rPr>
          <w:spacing w:val="-60"/>
        </w:rPr>
        <w:t> </w:t>
      </w:r>
      <w:r>
        <w:rPr>
          <w:rFonts w:ascii="Times New Roman" w:hAnsi="Times New Roman" w:cs="Times New Roman" w:eastAsia="Times New Roman" w:hint="default"/>
        </w:rPr>
        <w:t>2007 </w:t>
      </w:r>
      <w:r>
        <w:rPr/>
        <w:t>年起的薪酬及津贴进行调整。</w:t>
      </w:r>
    </w:p>
    <w:p>
      <w:pPr>
        <w:pStyle w:val="BodyText"/>
        <w:spacing w:line="338" w:lineRule="auto" w:before="16"/>
        <w:ind w:left="144" w:right="218" w:firstLine="480"/>
        <w:jc w:val="both"/>
      </w:pPr>
      <w:r>
        <w:rPr>
          <w:spacing w:val="2"/>
        </w:rPr>
        <w:t>（</w:t>
      </w:r>
      <w:r>
        <w:rPr>
          <w:rFonts w:ascii="Times New Roman" w:hAnsi="Times New Roman" w:cs="Times New Roman" w:eastAsia="Times New Roman" w:hint="default"/>
          <w:spacing w:val="2"/>
        </w:rPr>
        <w:t>2</w:t>
      </w:r>
      <w:r>
        <w:rPr>
          <w:spacing w:val="2"/>
        </w:rPr>
        <w:t>）报告期内，公司董事、监事、高级管理人员从公司获得的报酬（包括基</w:t>
      </w:r>
      <w:r>
        <w:rPr>
          <w:spacing w:val="3"/>
        </w:rPr>
        <w:t> </w:t>
      </w:r>
      <w:r>
        <w:rPr/>
        <w:t>本工资、各项奖金、福利、住房津贴及其他津贴）分别是：</w:t>
      </w:r>
    </w:p>
    <w:tbl>
      <w:tblPr>
        <w:tblW w:w="0" w:type="auto"/>
        <w:jc w:val="left"/>
        <w:tblInd w:w="991" w:type="dxa"/>
        <w:tblLayout w:type="fixed"/>
        <w:tblCellMar>
          <w:top w:w="0" w:type="dxa"/>
          <w:left w:w="0" w:type="dxa"/>
          <w:bottom w:w="0" w:type="dxa"/>
          <w:right w:w="0" w:type="dxa"/>
        </w:tblCellMar>
        <w:tblLook w:val="01E0"/>
      </w:tblPr>
      <w:tblGrid>
        <w:gridCol w:w="3493"/>
        <w:gridCol w:w="3420"/>
      </w:tblGrid>
      <w:tr>
        <w:trPr>
          <w:trHeight w:val="478"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年度实际报酬总额</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（单位：万元，注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张近东</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150.00</w:t>
            </w:r>
          </w:p>
        </w:tc>
      </w:tr>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孙为民</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80.00</w:t>
            </w:r>
          </w:p>
        </w:tc>
      </w:tr>
      <w:tr>
        <w:trPr>
          <w:trHeight w:val="349"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孟祥胜</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60.00</w:t>
            </w:r>
          </w:p>
        </w:tc>
      </w:tr>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  明</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60.00</w:t>
            </w:r>
          </w:p>
        </w:tc>
      </w:tr>
    </w:tbl>
    <w:p>
      <w:pPr>
        <w:spacing w:after="0" w:line="240" w:lineRule="auto"/>
        <w:jc w:val="right"/>
        <w:rPr>
          <w:rFonts w:ascii="Times New Roman" w:hAnsi="Times New Roman" w:cs="Times New Roman" w:eastAsia="Times New Roman" w:hint="default"/>
          <w:sz w:val="18"/>
          <w:szCs w:val="18"/>
        </w:rPr>
        <w:sectPr>
          <w:pgSz w:w="11910" w:h="16840"/>
          <w:pgMar w:header="879" w:footer="982" w:top="1100" w:bottom="1180" w:left="1500" w:right="1420"/>
        </w:sectPr>
      </w:pPr>
    </w:p>
    <w:p>
      <w:pPr>
        <w:spacing w:line="240" w:lineRule="auto" w:before="9"/>
        <w:rPr>
          <w:rFonts w:ascii="宋体" w:hAnsi="宋体" w:cs="宋体" w:eastAsia="宋体" w:hint="default"/>
          <w:sz w:val="9"/>
          <w:szCs w:val="9"/>
        </w:rPr>
      </w:pPr>
    </w:p>
    <w:tbl>
      <w:tblPr>
        <w:tblW w:w="0" w:type="auto"/>
        <w:jc w:val="left"/>
        <w:tblInd w:w="991" w:type="dxa"/>
        <w:tblLayout w:type="fixed"/>
        <w:tblCellMar>
          <w:top w:w="0" w:type="dxa"/>
          <w:left w:w="0" w:type="dxa"/>
          <w:bottom w:w="0" w:type="dxa"/>
          <w:right w:w="0" w:type="dxa"/>
        </w:tblCellMar>
        <w:tblLook w:val="01E0"/>
      </w:tblPr>
      <w:tblGrid>
        <w:gridCol w:w="3493"/>
        <w:gridCol w:w="3420"/>
      </w:tblGrid>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任  峻</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30.00</w:t>
            </w:r>
          </w:p>
        </w:tc>
      </w:tr>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李  东（注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2.29</w:t>
            </w:r>
          </w:p>
        </w:tc>
      </w:tr>
      <w:tr>
        <w:trPr>
          <w:trHeight w:val="349"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沈坤荣（注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2.29</w:t>
            </w:r>
          </w:p>
        </w:tc>
      </w:tr>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孙剑平（注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2.29</w:t>
            </w:r>
          </w:p>
        </w:tc>
      </w:tr>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戴新民（注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2.29</w:t>
            </w:r>
          </w:p>
        </w:tc>
      </w:tr>
      <w:tr>
        <w:trPr>
          <w:trHeight w:val="349"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李建颖（注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13.38</w:t>
            </w:r>
          </w:p>
        </w:tc>
      </w:tr>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汪晓玲（注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8.92</w:t>
            </w:r>
          </w:p>
        </w:tc>
      </w:tr>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肖忠祥（注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10.92</w:t>
            </w:r>
          </w:p>
        </w:tc>
      </w:tr>
      <w:tr>
        <w:trPr>
          <w:trHeight w:val="349"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朱  华</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15.00</w:t>
            </w:r>
          </w:p>
        </w:tc>
      </w:tr>
      <w:tr>
        <w:trPr>
          <w:trHeight w:val="3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437.38</w:t>
            </w:r>
          </w:p>
        </w:tc>
      </w:tr>
    </w:tbl>
    <w:p>
      <w:pPr>
        <w:spacing w:before="63"/>
        <w:ind w:left="669" w:right="8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：上述薪酬均为税前薪酬；</w:t>
      </w:r>
    </w:p>
    <w:p>
      <w:pPr>
        <w:spacing w:line="386" w:lineRule="auto" w:before="177"/>
        <w:ind w:left="144" w:right="211" w:firstLine="525"/>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0"/>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：李东先生为公司第三届董事会新任外部董事，沈坤荣、孙剑平、戴新民为公司第三</w:t>
      </w:r>
      <w:r>
        <w:rPr>
          <w:rFonts w:ascii="宋体" w:hAnsi="宋体" w:cs="宋体" w:eastAsia="宋体" w:hint="default"/>
          <w:sz w:val="21"/>
          <w:szCs w:val="21"/>
        </w:rPr>
        <w:t> 届董事会新任独立董事，任期自</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日起，津贴均为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年，报告期内从公司获</w:t>
      </w:r>
    </w:p>
    <w:p>
      <w:pPr>
        <w:spacing w:before="35"/>
        <w:ind w:left="143" w:right="87" w:firstLine="0"/>
        <w:jc w:val="left"/>
        <w:rPr>
          <w:rFonts w:ascii="宋体" w:hAnsi="宋体" w:cs="宋体" w:eastAsia="宋体" w:hint="default"/>
          <w:sz w:val="21"/>
          <w:szCs w:val="21"/>
        </w:rPr>
      </w:pPr>
      <w:r>
        <w:rPr>
          <w:rFonts w:ascii="宋体" w:hAnsi="宋体" w:cs="宋体" w:eastAsia="宋体" w:hint="default"/>
          <w:sz w:val="21"/>
          <w:szCs w:val="21"/>
        </w:rPr>
        <w:t>得的实际薪酬均为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77"/>
        <w:ind w:left="669" w:right="8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：李建颖女士作为公司第三届监事会主席，自本年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日起，其年薪由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p>
    <w:p>
      <w:pPr>
        <w:spacing w:before="177"/>
        <w:ind w:left="143" w:right="87" w:firstLine="0"/>
        <w:jc w:val="left"/>
        <w:rPr>
          <w:rFonts w:ascii="宋体" w:hAnsi="宋体" w:cs="宋体" w:eastAsia="宋体" w:hint="default"/>
          <w:sz w:val="21"/>
          <w:szCs w:val="21"/>
        </w:rPr>
      </w:pPr>
      <w:r>
        <w:rPr>
          <w:rFonts w:ascii="宋体" w:hAnsi="宋体" w:cs="宋体" w:eastAsia="宋体" w:hint="default"/>
          <w:sz w:val="21"/>
          <w:szCs w:val="21"/>
        </w:rPr>
        <w:t>万元整调整为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万元整，因此报告期内从公司获得的实际薪酬为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before="177"/>
        <w:ind w:left="669" w:right="8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：汪晓玲女士作为公司第三届监事会新任监事，自本年度</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日起，其年</w:t>
      </w:r>
    </w:p>
    <w:p>
      <w:pPr>
        <w:spacing w:before="177"/>
        <w:ind w:left="143" w:right="87" w:firstLine="0"/>
        <w:jc w:val="left"/>
        <w:rPr>
          <w:rFonts w:ascii="宋体" w:hAnsi="宋体" w:cs="宋体" w:eastAsia="宋体" w:hint="default"/>
          <w:sz w:val="21"/>
          <w:szCs w:val="21"/>
        </w:rPr>
      </w:pPr>
      <w:r>
        <w:rPr>
          <w:rFonts w:ascii="宋体" w:hAnsi="宋体" w:cs="宋体" w:eastAsia="宋体" w:hint="default"/>
          <w:sz w:val="21"/>
          <w:szCs w:val="21"/>
        </w:rPr>
        <w:t>薪由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万元整调整至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万元整，因此报告期内从公司获得的实际薪酬为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8.92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before="177"/>
        <w:ind w:left="669" w:right="8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：肖忠祥先生作为公司第三届监事会新任监事，自本年度</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日起，其年</w:t>
      </w:r>
    </w:p>
    <w:p>
      <w:pPr>
        <w:spacing w:before="177"/>
        <w:ind w:left="143" w:right="87" w:firstLine="0"/>
        <w:jc w:val="left"/>
        <w:rPr>
          <w:rFonts w:ascii="宋体" w:hAnsi="宋体" w:cs="宋体" w:eastAsia="宋体" w:hint="default"/>
          <w:sz w:val="21"/>
          <w:szCs w:val="21"/>
        </w:rPr>
      </w:pPr>
      <w:r>
        <w:rPr>
          <w:rFonts w:ascii="宋体" w:hAnsi="宋体" w:cs="宋体" w:eastAsia="宋体" w:hint="default"/>
          <w:sz w:val="21"/>
          <w:szCs w:val="21"/>
        </w:rPr>
        <w:t>薪由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万元整调整至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万元整，因此报告期内从公司获得的实际薪酬为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BodyText"/>
        <w:spacing w:line="240" w:lineRule="auto" w:before="154"/>
        <w:ind w:left="624" w:right="87"/>
        <w:jc w:val="left"/>
      </w:pPr>
      <w:r>
        <w:rPr>
          <w:rFonts w:ascii="Times New Roman" w:hAnsi="Times New Roman" w:cs="Times New Roman" w:eastAsia="Times New Roman" w:hint="default"/>
        </w:rPr>
        <w:t>5</w:t>
      </w:r>
      <w:r>
        <w:rPr/>
        <w:t>、报告期内，公司董事、监事和高级管理人员变动情况</w:t>
      </w:r>
    </w:p>
    <w:p>
      <w:pPr>
        <w:pStyle w:val="BodyText"/>
        <w:spacing w:line="240" w:lineRule="auto" w:before="135"/>
        <w:ind w:left="623" w:right="87"/>
        <w:jc w:val="left"/>
      </w:pPr>
      <w:r>
        <w:rPr/>
        <w:t>（</w:t>
      </w:r>
      <w:r>
        <w:rPr>
          <w:rFonts w:ascii="Times New Roman" w:hAnsi="Times New Roman" w:cs="Times New Roman" w:eastAsia="Times New Roman" w:hint="default"/>
        </w:rPr>
        <w:t>1</w:t>
      </w:r>
      <w:r>
        <w:rPr/>
        <w:t>）董事选举及变动</w:t>
      </w:r>
    </w:p>
    <w:p>
      <w:pPr>
        <w:pStyle w:val="BodyText"/>
        <w:spacing w:line="352" w:lineRule="auto" w:before="135"/>
        <w:ind w:left="144" w:right="88" w:firstLine="480"/>
        <w:jc w:val="left"/>
      </w:pPr>
      <w:r>
        <w:rPr>
          <w:spacing w:val="-4"/>
        </w:rPr>
        <w:t>报告期内，公司第二届董事会任期届满，公司于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t>日召开的</w:t>
      </w:r>
      <w:r>
        <w:rPr>
          <w:spacing w:val="-60"/>
        </w:rPr>
        <w:t> </w:t>
      </w:r>
      <w:r>
        <w:rPr>
          <w:rFonts w:ascii="Times New Roman" w:hAnsi="Times New Roman" w:cs="Times New Roman" w:eastAsia="Times New Roman" w:hint="default"/>
        </w:rPr>
        <w:t>2007 </w:t>
      </w:r>
      <w:r>
        <w:rPr>
          <w:spacing w:val="-2"/>
        </w:rPr>
        <w:t>年第二次临时股东大会审议通过了《关于公司董事会换届选举的议案》：选举张近</w:t>
      </w:r>
      <w:r>
        <w:rPr>
          <w:spacing w:val="-98"/>
        </w:rPr>
        <w:t> </w:t>
      </w:r>
      <w:r>
        <w:rPr>
          <w:spacing w:val="-98"/>
        </w:rPr>
      </w:r>
      <w:r>
        <w:rPr>
          <w:spacing w:val="-4"/>
        </w:rPr>
        <w:t>东先生、孙为民先生、孟祥胜先生、金明先生、任峻先生为公司第三届董事会董事，</w:t>
      </w:r>
      <w:r>
        <w:rPr>
          <w:spacing w:val="-116"/>
        </w:rPr>
        <w:t> </w:t>
      </w:r>
      <w:r>
        <w:rPr>
          <w:spacing w:val="-116"/>
        </w:rPr>
      </w:r>
      <w:r>
        <w:rPr/>
        <w:t>选举李东先生为公司第三届董事会外部董事，选举沈坤荣先生、孙剑平先生、戴新</w:t>
      </w:r>
      <w:r>
        <w:rPr/>
        <w:t> 民先生为公司第三届董事会独立董事。</w:t>
      </w:r>
    </w:p>
    <w:p>
      <w:pPr>
        <w:pStyle w:val="BodyText"/>
        <w:spacing w:line="240" w:lineRule="auto" w:before="41"/>
        <w:ind w:left="624" w:right="87"/>
        <w:jc w:val="left"/>
      </w:pPr>
      <w:r>
        <w:rPr>
          <w:spacing w:val="-3"/>
        </w:rPr>
        <w:t>报告期内，公司于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t>日召开的第三届董事会第一次会议审议通过</w:t>
      </w:r>
    </w:p>
    <w:p>
      <w:pPr>
        <w:pStyle w:val="BodyText"/>
        <w:spacing w:line="240" w:lineRule="auto" w:before="135"/>
        <w:ind w:left="144" w:right="87"/>
        <w:jc w:val="left"/>
      </w:pPr>
      <w:r>
        <w:rPr/>
        <w:t>《关于选举公司董事长的议案</w:t>
      </w:r>
      <w:r>
        <w:rPr>
          <w:spacing w:val="-120"/>
        </w:rPr>
        <w:t>》</w:t>
      </w:r>
      <w:r>
        <w:rPr/>
        <w:t>：选举张近东先生为公司第三届董事会董事长。</w:t>
      </w:r>
    </w:p>
    <w:p>
      <w:pPr>
        <w:pStyle w:val="BodyText"/>
        <w:spacing w:line="338" w:lineRule="auto" w:before="154"/>
        <w:ind w:left="624" w:right="87"/>
        <w:jc w:val="left"/>
      </w:pPr>
      <w:r>
        <w:rPr/>
        <w:t>（</w:t>
      </w:r>
      <w:r>
        <w:rPr>
          <w:rFonts w:ascii="Times New Roman" w:hAnsi="Times New Roman" w:cs="Times New Roman" w:eastAsia="Times New Roman" w:hint="default"/>
        </w:rPr>
        <w:t>2</w:t>
      </w:r>
      <w:r>
        <w:rPr/>
        <w:t>）监事选举及变动 </w:t>
      </w:r>
      <w:r>
        <w:rPr>
          <w:spacing w:val="5"/>
        </w:rPr>
        <w:t>报告期内，公司第二届监事会任期届满，为保证监事会的正常运作，公司于</w:t>
      </w:r>
      <w:r>
        <w:rPr/>
      </w:r>
    </w:p>
    <w:p>
      <w:pPr>
        <w:pStyle w:val="BodyText"/>
        <w:spacing w:line="338" w:lineRule="auto" w:before="55"/>
        <w:ind w:left="144" w:right="87"/>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12 </w:t>
      </w:r>
      <w:r>
        <w:rPr/>
        <w:t>日召开了苏宁电器股份有限公司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spacing w:val="-7"/>
        </w:rPr>
        <w:t>年第一次职工代表大会，推</w:t>
      </w:r>
      <w:r>
        <w:rPr/>
        <w:t> 举肖忠祥同志为公司第三届监事会职工代表监事。</w:t>
      </w:r>
    </w:p>
    <w:p>
      <w:pPr>
        <w:spacing w:after="0" w:line="338" w:lineRule="auto"/>
        <w:jc w:val="left"/>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48" w:lineRule="auto" w:before="26"/>
        <w:ind w:left="223" w:right="156" w:firstLine="480"/>
        <w:jc w:val="both"/>
      </w:pP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spacing w:val="-5"/>
        </w:rPr>
        <w:t>日，公司召开</w:t>
      </w:r>
      <w:r>
        <w:rPr>
          <w:spacing w:val="-60"/>
        </w:rPr>
        <w:t> </w:t>
      </w:r>
      <w:r>
        <w:rPr>
          <w:rFonts w:ascii="Times New Roman" w:hAnsi="Times New Roman" w:cs="Times New Roman" w:eastAsia="Times New Roman" w:hint="default"/>
        </w:rPr>
        <w:t>2007 </w:t>
      </w:r>
      <w:r>
        <w:rPr>
          <w:spacing w:val="-3"/>
        </w:rPr>
        <w:t>年第二次临时股东大会，审议通过了《关于</w:t>
      </w:r>
      <w:r>
        <w:rPr/>
        <w:t> </w:t>
      </w:r>
      <w:r>
        <w:rPr>
          <w:spacing w:val="-2"/>
        </w:rPr>
        <w:t>公司监事会换届选举的议案》：选举李建颖女士、汪晓玲女士为公司第三届监事会</w:t>
      </w:r>
      <w:r>
        <w:rPr>
          <w:spacing w:val="-97"/>
        </w:rPr>
        <w:t> </w:t>
      </w:r>
      <w:r>
        <w:rPr>
          <w:spacing w:val="-97"/>
        </w:rPr>
      </w:r>
      <w:r>
        <w:rPr/>
        <w:t>监事，并与职工代表监事共同组成第三届监事会。</w:t>
      </w:r>
    </w:p>
    <w:p>
      <w:pPr>
        <w:pStyle w:val="BodyText"/>
        <w:spacing w:line="338" w:lineRule="auto" w:before="46"/>
        <w:ind w:left="224" w:right="144" w:firstLine="48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日，公司第三届监事会第一次会议审议通过《关于选举监事会 </w:t>
      </w:r>
      <w:r>
        <w:rPr>
          <w:spacing w:val="-5"/>
        </w:rPr>
        <w:t>主席的议案》：选举李建颖女士为公司第三届监事会主席。</w:t>
      </w:r>
    </w:p>
    <w:p>
      <w:pPr>
        <w:pStyle w:val="BodyText"/>
        <w:spacing w:line="240" w:lineRule="auto" w:before="55"/>
        <w:ind w:left="704" w:right="144"/>
        <w:jc w:val="left"/>
      </w:pPr>
      <w:r>
        <w:rPr/>
        <w:t>（</w:t>
      </w:r>
      <w:r>
        <w:rPr>
          <w:rFonts w:ascii="Times New Roman" w:hAnsi="Times New Roman" w:cs="Times New Roman" w:eastAsia="Times New Roman" w:hint="default"/>
        </w:rPr>
        <w:t>3</w:t>
      </w:r>
      <w:r>
        <w:rPr/>
        <w:t>）高级管理人员聘任及变动</w:t>
      </w:r>
    </w:p>
    <w:p>
      <w:pPr>
        <w:pStyle w:val="BodyText"/>
        <w:spacing w:line="240" w:lineRule="auto" w:before="135"/>
        <w:ind w:left="704" w:right="0"/>
        <w:jc w:val="left"/>
      </w:pPr>
      <w:r>
        <w:rPr>
          <w:spacing w:val="-3"/>
        </w:rPr>
        <w:t>报告期内，公司于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t>日召开的第三届董事会第一次会议审议通过</w:t>
      </w:r>
    </w:p>
    <w:p>
      <w:pPr>
        <w:pStyle w:val="BodyText"/>
        <w:spacing w:line="357" w:lineRule="auto" w:before="135"/>
        <w:ind w:left="223" w:right="155"/>
        <w:jc w:val="both"/>
      </w:pPr>
      <w:r>
        <w:rPr>
          <w:spacing w:val="-7"/>
        </w:rPr>
        <w:t>《关于聘任公司总裁的议案》、《关于聘任公司副总裁的议案》、《关于聘任公司财</w:t>
      </w:r>
      <w:r>
        <w:rPr>
          <w:spacing w:val="6"/>
        </w:rPr>
        <w:t> </w:t>
      </w:r>
      <w:r>
        <w:rPr>
          <w:spacing w:val="-2"/>
        </w:rPr>
        <w:t>务负责人的议案》：聘请孙为民先生为公司总裁，聘请孟祥胜先生、金明先生为公</w:t>
      </w:r>
      <w:r>
        <w:rPr>
          <w:spacing w:val="-97"/>
        </w:rPr>
        <w:t> </w:t>
      </w:r>
      <w:r>
        <w:rPr>
          <w:spacing w:val="-97"/>
        </w:rPr>
      </w:r>
      <w:r>
        <w:rPr/>
        <w:t>司副总裁，聘请朱华女士为公司财务负责人。</w:t>
      </w:r>
    </w:p>
    <w:p>
      <w:pPr>
        <w:spacing w:line="240" w:lineRule="auto" w:before="0"/>
        <w:rPr>
          <w:rFonts w:ascii="宋体" w:hAnsi="宋体" w:cs="宋体" w:eastAsia="宋体" w:hint="default"/>
          <w:sz w:val="24"/>
          <w:szCs w:val="24"/>
        </w:rPr>
      </w:pPr>
    </w:p>
    <w:p>
      <w:pPr>
        <w:pStyle w:val="BodyText"/>
        <w:spacing w:line="240" w:lineRule="auto" w:before="190"/>
        <w:ind w:left="703" w:right="144"/>
        <w:jc w:val="left"/>
      </w:pPr>
      <w:r>
        <w:rPr/>
        <w:t>二、公司员工情况：</w:t>
      </w:r>
    </w:p>
    <w:p>
      <w:pPr>
        <w:pStyle w:val="BodyText"/>
        <w:spacing w:line="240" w:lineRule="auto" w:before="154"/>
        <w:ind w:left="703" w:right="144"/>
        <w:jc w:val="left"/>
      </w:pPr>
      <w:r>
        <w:rPr/>
        <w:t>截止到</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日，公司母公司共有在册员工</w:t>
      </w:r>
      <w:r>
        <w:rPr>
          <w:spacing w:val="-60"/>
        </w:rPr>
        <w:t> </w:t>
      </w:r>
      <w:r>
        <w:rPr>
          <w:rFonts w:ascii="Times New Roman" w:hAnsi="Times New Roman" w:cs="Times New Roman" w:eastAsia="Times New Roman" w:hint="default"/>
        </w:rPr>
        <w:t>4451 </w:t>
      </w:r>
      <w:r>
        <w:rPr/>
        <w:t>名。</w:t>
      </w:r>
    </w:p>
    <w:p>
      <w:pPr>
        <w:pStyle w:val="BodyText"/>
        <w:spacing w:line="240" w:lineRule="auto" w:before="135"/>
        <w:ind w:left="703" w:right="144"/>
        <w:jc w:val="left"/>
      </w:pPr>
      <w:r>
        <w:rPr>
          <w:rFonts w:ascii="Times New Roman" w:hAnsi="Times New Roman" w:cs="Times New Roman" w:eastAsia="Times New Roman" w:hint="default"/>
        </w:rPr>
        <w:t>1</w:t>
      </w:r>
      <w:r>
        <w:rPr/>
        <w:t>、按专业结构分：</w:t>
      </w:r>
    </w:p>
    <w:p>
      <w:pPr>
        <w:spacing w:line="240" w:lineRule="auto" w:before="4"/>
        <w:rPr>
          <w:rFonts w:ascii="宋体" w:hAnsi="宋体" w:cs="宋体" w:eastAsia="宋体" w:hint="default"/>
          <w:sz w:val="7"/>
          <w:szCs w:val="7"/>
        </w:rPr>
      </w:pPr>
    </w:p>
    <w:tbl>
      <w:tblPr>
        <w:tblW w:w="0" w:type="auto"/>
        <w:jc w:val="left"/>
        <w:tblInd w:w="264" w:type="dxa"/>
        <w:tblLayout w:type="fixed"/>
        <w:tblCellMar>
          <w:top w:w="0" w:type="dxa"/>
          <w:left w:w="0" w:type="dxa"/>
          <w:bottom w:w="0" w:type="dxa"/>
          <w:right w:w="0" w:type="dxa"/>
        </w:tblCellMar>
        <w:tblLook w:val="01E0"/>
      </w:tblPr>
      <w:tblGrid>
        <w:gridCol w:w="2842"/>
        <w:gridCol w:w="2843"/>
        <w:gridCol w:w="2843"/>
      </w:tblGrid>
      <w:tr>
        <w:trPr>
          <w:trHeight w:val="34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分工</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6"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5" w:right="0"/>
              <w:jc w:val="left"/>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34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采购体系人员</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81" w:right="0"/>
              <w:jc w:val="left"/>
              <w:rPr>
                <w:rFonts w:ascii="Times New Roman" w:hAnsi="Times New Roman" w:cs="Times New Roman" w:eastAsia="Times New Roman" w:hint="default"/>
                <w:sz w:val="18"/>
                <w:szCs w:val="18"/>
              </w:rPr>
            </w:pPr>
            <w:r>
              <w:rPr>
                <w:rFonts w:ascii="Times New Roman"/>
                <w:sz w:val="18"/>
              </w:rPr>
              <w:t>322</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7.23</w:t>
            </w:r>
          </w:p>
        </w:tc>
      </w:tr>
      <w:tr>
        <w:trPr>
          <w:trHeight w:val="34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销售体系人员</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81" w:right="0"/>
              <w:jc w:val="left"/>
              <w:rPr>
                <w:rFonts w:ascii="Times New Roman" w:hAnsi="Times New Roman" w:cs="Times New Roman" w:eastAsia="Times New Roman" w:hint="default"/>
                <w:sz w:val="18"/>
                <w:szCs w:val="18"/>
              </w:rPr>
            </w:pPr>
            <w:r>
              <w:rPr>
                <w:rFonts w:ascii="Times New Roman"/>
                <w:sz w:val="18"/>
              </w:rPr>
              <w:t>234</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5.26</w:t>
            </w:r>
          </w:p>
        </w:tc>
      </w:tr>
      <w:tr>
        <w:trPr>
          <w:trHeight w:val="34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财务体系人员</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81" w:right="0"/>
              <w:jc w:val="left"/>
              <w:rPr>
                <w:rFonts w:ascii="Times New Roman" w:hAnsi="Times New Roman" w:cs="Times New Roman" w:eastAsia="Times New Roman" w:hint="default"/>
                <w:sz w:val="18"/>
                <w:szCs w:val="18"/>
              </w:rPr>
            </w:pPr>
            <w:r>
              <w:rPr>
                <w:rFonts w:ascii="Times New Roman"/>
                <w:sz w:val="18"/>
              </w:rPr>
              <w:t>517</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2"/>
                <w:sz w:val="18"/>
              </w:rPr>
              <w:t>11.62</w:t>
            </w:r>
          </w:p>
        </w:tc>
      </w:tr>
      <w:tr>
        <w:trPr>
          <w:trHeight w:val="34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职能体系人员</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81" w:right="0"/>
              <w:jc w:val="left"/>
              <w:rPr>
                <w:rFonts w:ascii="Times New Roman" w:hAnsi="Times New Roman" w:cs="Times New Roman" w:eastAsia="Times New Roman" w:hint="default"/>
                <w:sz w:val="18"/>
                <w:szCs w:val="18"/>
              </w:rPr>
            </w:pPr>
            <w:r>
              <w:rPr>
                <w:rFonts w:ascii="Times New Roman"/>
                <w:sz w:val="18"/>
              </w:rPr>
              <w:t>824</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18.51</w:t>
            </w:r>
          </w:p>
        </w:tc>
      </w:tr>
      <w:tr>
        <w:trPr>
          <w:trHeight w:val="34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服务体系人员</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81" w:right="0"/>
              <w:jc w:val="left"/>
              <w:rPr>
                <w:rFonts w:ascii="Times New Roman" w:hAnsi="Times New Roman" w:cs="Times New Roman" w:eastAsia="Times New Roman" w:hint="default"/>
                <w:sz w:val="18"/>
                <w:szCs w:val="18"/>
              </w:rPr>
            </w:pPr>
            <w:r>
              <w:rPr>
                <w:rFonts w:ascii="Times New Roman"/>
                <w:sz w:val="18"/>
              </w:rPr>
              <w:t>256</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5.75</w:t>
            </w:r>
          </w:p>
        </w:tc>
      </w:tr>
      <w:tr>
        <w:trPr>
          <w:trHeight w:val="34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终端作业人员</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35" w:right="0"/>
              <w:jc w:val="left"/>
              <w:rPr>
                <w:rFonts w:ascii="Times New Roman" w:hAnsi="Times New Roman" w:cs="Times New Roman" w:eastAsia="Times New Roman" w:hint="default"/>
                <w:sz w:val="18"/>
                <w:szCs w:val="18"/>
              </w:rPr>
            </w:pPr>
            <w:r>
              <w:rPr>
                <w:rFonts w:ascii="Times New Roman"/>
                <w:sz w:val="18"/>
              </w:rPr>
              <w:t>2298</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51.63</w:t>
            </w:r>
          </w:p>
        </w:tc>
      </w:tr>
      <w:tr>
        <w:trPr>
          <w:trHeight w:val="34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35" w:right="0"/>
              <w:jc w:val="left"/>
              <w:rPr>
                <w:rFonts w:ascii="Times New Roman" w:hAnsi="Times New Roman" w:cs="Times New Roman" w:eastAsia="Times New Roman" w:hint="default"/>
                <w:sz w:val="18"/>
                <w:szCs w:val="18"/>
              </w:rPr>
            </w:pPr>
            <w:r>
              <w:rPr>
                <w:rFonts w:ascii="Times New Roman"/>
                <w:sz w:val="18"/>
              </w:rPr>
              <w:t>4451</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04" w:right="144"/>
        <w:jc w:val="left"/>
      </w:pPr>
      <w:r>
        <w:rPr>
          <w:rFonts w:ascii="Times New Roman" w:hAnsi="Times New Roman" w:cs="Times New Roman" w:eastAsia="Times New Roman" w:hint="default"/>
        </w:rPr>
        <w:t>2</w:t>
      </w:r>
      <w:r>
        <w:rPr/>
        <w:t>、按受教育程度分：</w:t>
      </w:r>
    </w:p>
    <w:p>
      <w:pPr>
        <w:spacing w:line="240" w:lineRule="auto" w:before="4"/>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842"/>
        <w:gridCol w:w="2844"/>
        <w:gridCol w:w="2843"/>
      </w:tblGrid>
      <w:tr>
        <w:trPr>
          <w:trHeight w:val="38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36"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6" w:right="0"/>
              <w:jc w:val="left"/>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38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大学以上</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239" w:right="0"/>
              <w:jc w:val="left"/>
              <w:rPr>
                <w:rFonts w:ascii="Times New Roman" w:hAnsi="Times New Roman" w:cs="Times New Roman" w:eastAsia="Times New Roman" w:hint="default"/>
                <w:sz w:val="18"/>
                <w:szCs w:val="18"/>
              </w:rPr>
            </w:pPr>
            <w:r>
              <w:rPr>
                <w:rFonts w:ascii="Times New Roman"/>
                <w:sz w:val="18"/>
              </w:rPr>
              <w:t>1126</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25.30</w:t>
            </w:r>
          </w:p>
        </w:tc>
      </w:tr>
      <w:tr>
        <w:trPr>
          <w:trHeight w:val="38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235" w:right="0"/>
              <w:jc w:val="left"/>
              <w:rPr>
                <w:rFonts w:ascii="Times New Roman" w:hAnsi="Times New Roman" w:cs="Times New Roman" w:eastAsia="Times New Roman" w:hint="default"/>
                <w:sz w:val="18"/>
                <w:szCs w:val="18"/>
              </w:rPr>
            </w:pPr>
            <w:r>
              <w:rPr>
                <w:rFonts w:ascii="Times New Roman"/>
                <w:sz w:val="18"/>
              </w:rPr>
              <w:t>1206</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27.10</w:t>
            </w:r>
          </w:p>
        </w:tc>
      </w:tr>
      <w:tr>
        <w:trPr>
          <w:trHeight w:val="3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中专</w:t>
            </w:r>
            <w:r>
              <w:rPr>
                <w:rFonts w:ascii="Times New Roman" w:hAnsi="Times New Roman" w:cs="Times New Roman" w:eastAsia="Times New Roman" w:hint="default"/>
                <w:sz w:val="18"/>
                <w:szCs w:val="18"/>
              </w:rPr>
              <w:t>/</w:t>
            </w:r>
            <w:r>
              <w:rPr>
                <w:rFonts w:ascii="宋体" w:hAnsi="宋体" w:cs="宋体" w:eastAsia="宋体" w:hint="default"/>
                <w:sz w:val="18"/>
                <w:szCs w:val="18"/>
              </w:rPr>
              <w:t>高中</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235" w:right="0"/>
              <w:jc w:val="left"/>
              <w:rPr>
                <w:rFonts w:ascii="Times New Roman" w:hAnsi="Times New Roman" w:cs="Times New Roman" w:eastAsia="Times New Roman" w:hint="default"/>
                <w:sz w:val="18"/>
                <w:szCs w:val="18"/>
              </w:rPr>
            </w:pPr>
            <w:r>
              <w:rPr>
                <w:rFonts w:ascii="Times New Roman"/>
                <w:sz w:val="18"/>
              </w:rPr>
              <w:t>1446</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32.49</w:t>
            </w:r>
          </w:p>
        </w:tc>
      </w:tr>
      <w:tr>
        <w:trPr>
          <w:trHeight w:val="38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281" w:right="0"/>
              <w:jc w:val="left"/>
              <w:rPr>
                <w:rFonts w:ascii="Times New Roman" w:hAnsi="Times New Roman" w:cs="Times New Roman" w:eastAsia="Times New Roman" w:hint="default"/>
                <w:sz w:val="18"/>
                <w:szCs w:val="18"/>
              </w:rPr>
            </w:pPr>
            <w:r>
              <w:rPr>
                <w:rFonts w:ascii="Times New Roman"/>
                <w:sz w:val="18"/>
              </w:rPr>
              <w:t>673</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15.12</w:t>
            </w:r>
          </w:p>
        </w:tc>
      </w:tr>
      <w:tr>
        <w:trPr>
          <w:trHeight w:val="38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235" w:right="0"/>
              <w:jc w:val="left"/>
              <w:rPr>
                <w:rFonts w:ascii="Times New Roman" w:hAnsi="Times New Roman" w:cs="Times New Roman" w:eastAsia="Times New Roman" w:hint="default"/>
                <w:sz w:val="18"/>
                <w:szCs w:val="18"/>
              </w:rPr>
            </w:pPr>
            <w:r>
              <w:rPr>
                <w:rFonts w:ascii="Times New Roman"/>
                <w:sz w:val="18"/>
              </w:rPr>
              <w:t>4451</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04" w:right="144"/>
        <w:jc w:val="left"/>
      </w:pPr>
      <w:r>
        <w:rPr>
          <w:rFonts w:ascii="Times New Roman" w:hAnsi="Times New Roman" w:cs="Times New Roman" w:eastAsia="Times New Roman" w:hint="default"/>
        </w:rPr>
        <w:t>3</w:t>
      </w:r>
      <w:r>
        <w:rPr/>
        <w:t>、公司不存在需要承担的离退休职工。</w:t>
      </w:r>
    </w:p>
    <w:p>
      <w:pPr>
        <w:spacing w:after="0" w:line="240" w:lineRule="auto"/>
        <w:jc w:val="left"/>
        <w:sectPr>
          <w:pgSz w:w="11910" w:h="16840"/>
          <w:pgMar w:header="879" w:footer="982" w:top="1100" w:bottom="1180" w:left="1420" w:right="1480"/>
        </w:sectPr>
      </w:pPr>
    </w:p>
    <w:p>
      <w:pPr>
        <w:spacing w:line="240" w:lineRule="auto" w:before="8"/>
        <w:rPr>
          <w:rFonts w:ascii="宋体" w:hAnsi="宋体" w:cs="宋体" w:eastAsia="宋体" w:hint="default"/>
          <w:sz w:val="13"/>
          <w:szCs w:val="13"/>
        </w:rPr>
      </w:pPr>
    </w:p>
    <w:p>
      <w:pPr>
        <w:pStyle w:val="Heading1"/>
        <w:tabs>
          <w:tab w:pos="4131" w:val="left" w:leader="none"/>
        </w:tabs>
        <w:spacing w:line="240" w:lineRule="auto"/>
        <w:ind w:left="2851" w:right="87"/>
        <w:jc w:val="left"/>
        <w:rPr>
          <w:b w:val="0"/>
          <w:bCs w:val="0"/>
        </w:rPr>
      </w:pPr>
      <w:bookmarkStart w:name="_TOC_250006" w:id="5"/>
      <w:r>
        <w:rPr>
          <w:w w:val="95"/>
        </w:rPr>
        <w:t>第五节</w:t>
        <w:tab/>
      </w:r>
      <w:r>
        <w:rPr/>
        <w:t>公司治理结构</w:t>
      </w:r>
      <w:bookmarkEnd w:id="5"/>
      <w:r>
        <w:rPr>
          <w:b w:val="0"/>
          <w:bCs w:val="0"/>
        </w:rPr>
      </w:r>
    </w:p>
    <w:p>
      <w:pPr>
        <w:pStyle w:val="BodyText"/>
        <w:spacing w:line="357" w:lineRule="auto" w:before="193"/>
        <w:ind w:left="563" w:right="87" w:firstLine="60"/>
        <w:jc w:val="left"/>
      </w:pPr>
      <w:r>
        <w:rPr/>
        <w:t>一、公司治理情况 </w:t>
      </w:r>
      <w:r>
        <w:rPr>
          <w:spacing w:val="-13"/>
        </w:rPr>
        <w:t>报告期内，公司严格按照《公司法》、《证券法》、《上市公司治理准则》和《深</w:t>
      </w:r>
      <w:r>
        <w:rPr/>
      </w:r>
    </w:p>
    <w:p>
      <w:pPr>
        <w:pStyle w:val="BodyText"/>
        <w:spacing w:line="357" w:lineRule="auto" w:before="36"/>
        <w:ind w:left="144" w:right="216"/>
        <w:jc w:val="left"/>
      </w:pPr>
      <w:r>
        <w:rPr>
          <w:spacing w:val="-1"/>
        </w:rPr>
        <w:t>圳证券交易所股票上市规则》等相关法律、法规的规定，不断完善公司法人治理结</w:t>
      </w:r>
      <w:r>
        <w:rPr>
          <w:spacing w:val="-108"/>
        </w:rPr>
        <w:t> </w:t>
      </w:r>
      <w:r>
        <w:rPr>
          <w:spacing w:val="-108"/>
        </w:rPr>
      </w:r>
      <w:r>
        <w:rPr/>
        <w:t>构，健全内部控制体系，进一步实现规范运作。</w:t>
      </w:r>
    </w:p>
    <w:p>
      <w:pPr>
        <w:pStyle w:val="BodyText"/>
        <w:spacing w:line="357" w:lineRule="auto" w:before="36"/>
        <w:ind w:left="144" w:right="217" w:firstLine="420"/>
        <w:jc w:val="both"/>
      </w:pPr>
      <w:r>
        <w:rPr/>
        <w:t>按照中国证券监督管理委员会、深圳证券交易所、江苏证监局的要求，报告期</w:t>
      </w:r>
      <w:r>
        <w:rPr>
          <w:spacing w:val="1"/>
        </w:rPr>
        <w:t> </w:t>
      </w:r>
      <w:r>
        <w:rPr>
          <w:spacing w:val="-14"/>
        </w:rPr>
        <w:t>内公司及时修订了《章程》、三会议事规则、《总裁工作细则》、《董事会秘书工作细</w:t>
      </w:r>
      <w:r>
        <w:rPr>
          <w:spacing w:val="-90"/>
        </w:rPr>
        <w:t> </w:t>
      </w:r>
      <w:r>
        <w:rPr>
          <w:spacing w:val="-90"/>
        </w:rPr>
      </w:r>
      <w:r>
        <w:rPr>
          <w:spacing w:val="-20"/>
        </w:rPr>
        <w:t>则》、《信息披露管理制度》、《募集资金管理制度》、《关联交易决策制度》等。</w:t>
      </w:r>
    </w:p>
    <w:p>
      <w:pPr>
        <w:pStyle w:val="BodyText"/>
        <w:spacing w:line="350" w:lineRule="auto" w:before="36"/>
        <w:ind w:right="89" w:firstLine="480"/>
        <w:jc w:val="left"/>
      </w:pPr>
      <w:r>
        <w:rPr/>
        <w:t>同时，报告期内，公司根据中国证监会证监公司字</w:t>
      </w:r>
      <w:r>
        <w:rPr>
          <w:rFonts w:ascii="Times New Roman" w:hAnsi="Times New Roman" w:cs="Times New Roman" w:eastAsia="Times New Roman" w:hint="default"/>
        </w:rPr>
        <w:t>[2007]28</w:t>
      </w:r>
      <w:r>
        <w:rPr>
          <w:rFonts w:ascii="Times New Roman" w:hAnsi="Times New Roman" w:cs="Times New Roman" w:eastAsia="Times New Roman" w:hint="default"/>
          <w:spacing w:val="-9"/>
        </w:rPr>
        <w:t> </w:t>
      </w:r>
      <w:r>
        <w:rPr/>
        <w:t>号文《开展加强上 </w:t>
      </w:r>
      <w:r>
        <w:rPr>
          <w:spacing w:val="-7"/>
        </w:rPr>
        <w:t>市公司治理专项活动有关事项的通知》、江苏证监局苏证监公司字</w:t>
      </w:r>
      <w:r>
        <w:rPr>
          <w:rFonts w:ascii="Times New Roman" w:hAnsi="Times New Roman" w:cs="Times New Roman" w:eastAsia="Times New Roman" w:hint="default"/>
          <w:spacing w:val="-7"/>
        </w:rPr>
        <w:t>[2007]104</w:t>
      </w:r>
      <w:r>
        <w:rPr>
          <w:rFonts w:ascii="Times New Roman" w:hAnsi="Times New Roman" w:cs="Times New Roman" w:eastAsia="Times New Roman" w:hint="default"/>
        </w:rPr>
        <w:t> </w:t>
      </w:r>
      <w:r>
        <w:rPr>
          <w:spacing w:val="-30"/>
        </w:rPr>
        <w:t>号文《关</w:t>
      </w:r>
      <w:r>
        <w:rPr>
          <w:spacing w:val="-103"/>
        </w:rPr>
        <w:t> </w:t>
      </w:r>
      <w:r>
        <w:rPr>
          <w:spacing w:val="-103"/>
        </w:rPr>
      </w:r>
      <w:r>
        <w:rPr>
          <w:spacing w:val="-4"/>
        </w:rPr>
        <w:t>于开展上市公司专项活动相关工作的通知》的要求，认真开展公司治理的自查活动。</w:t>
      </w:r>
      <w:r>
        <w:rPr>
          <w:spacing w:val="-114"/>
        </w:rPr>
        <w:t> </w:t>
      </w:r>
      <w:r>
        <w:rPr>
          <w:spacing w:val="-114"/>
        </w:rPr>
      </w:r>
      <w:r>
        <w:rPr/>
        <w:t>深圳证券交易所、江苏证监局也对公司的自查情况进行了核查，并出具综合评价及</w:t>
      </w:r>
      <w:r>
        <w:rPr/>
        <w:t> 整改建议。针对公司自查结果、监管部门的整改建议以及公众评议中发现的问题， 公司董事会制定了严密的整改计划，及时进行了整改。</w:t>
      </w:r>
    </w:p>
    <w:p>
      <w:pPr>
        <w:pStyle w:val="BodyText"/>
        <w:spacing w:line="357" w:lineRule="auto" w:before="43"/>
        <w:ind w:right="220" w:firstLine="480"/>
        <w:jc w:val="both"/>
      </w:pPr>
      <w:r>
        <w:rPr>
          <w:spacing w:val="-1"/>
        </w:rPr>
        <w:t>目前，公司整体运作比较规范、独立性强、信息披露规范，实际情况与中国证</w:t>
      </w:r>
      <w:r>
        <w:rPr/>
        <w:t> 监会有关上市公司治理的规范性文件要求基本符合。</w:t>
      </w:r>
    </w:p>
    <w:p>
      <w:pPr>
        <w:pStyle w:val="BodyText"/>
        <w:spacing w:line="348" w:lineRule="auto" w:before="36"/>
        <w:ind w:right="218" w:firstLine="480"/>
        <w:jc w:val="both"/>
      </w:pPr>
      <w:r>
        <w:rPr>
          <w:rFonts w:ascii="Times New Roman" w:hAnsi="Times New Roman" w:cs="Times New Roman" w:eastAsia="Times New Roman" w:hint="default"/>
          <w:spacing w:val="2"/>
        </w:rPr>
        <w:t>1</w:t>
      </w:r>
      <w:r>
        <w:rPr>
          <w:spacing w:val="2"/>
        </w:rPr>
        <w:t>、关于股东与股东大会：报告期内，公司严格按照《上市公司股东大会规范</w:t>
      </w:r>
      <w:r>
        <w:rPr>
          <w:spacing w:val="3"/>
        </w:rPr>
        <w:t> </w:t>
      </w:r>
      <w:r>
        <w:rPr>
          <w:spacing w:val="-1"/>
        </w:rPr>
        <w:t>意见》和《股东大会议事规则》的规定和要求，规范股东大会的召集、召开、表决</w:t>
      </w:r>
      <w:r>
        <w:rPr>
          <w:spacing w:val="-108"/>
        </w:rPr>
        <w:t> </w:t>
      </w:r>
      <w:r>
        <w:rPr>
          <w:spacing w:val="-108"/>
        </w:rPr>
      </w:r>
      <w:r>
        <w:rPr/>
        <w:t>程序，平等对待所有股东，确保股东特别是中小股东能充分行使其权利。</w:t>
      </w:r>
    </w:p>
    <w:p>
      <w:pPr>
        <w:pStyle w:val="BodyText"/>
        <w:spacing w:line="357" w:lineRule="auto" w:before="46"/>
        <w:ind w:left="144" w:right="215" w:firstLine="480"/>
        <w:jc w:val="both"/>
      </w:pPr>
      <w:r>
        <w:rPr>
          <w:spacing w:val="-2"/>
        </w:rPr>
        <w:t>按照江苏证监局提出的相关建议，公司进一步完善了《股东大会议事规则》，</w:t>
      </w:r>
      <w:r>
        <w:rPr/>
        <w:t> </w:t>
      </w:r>
      <w:r>
        <w:rPr>
          <w:spacing w:val="6"/>
        </w:rPr>
        <w:t>并对股东大会授权委托书格式进行了重新设计，更加有利于维护广大投资者的利</w:t>
      </w:r>
      <w:r>
        <w:rPr>
          <w:spacing w:val="6"/>
        </w:rPr>
        <w:t> </w:t>
      </w:r>
      <w:r>
        <w:rPr/>
        <w:t>益。</w:t>
      </w:r>
    </w:p>
    <w:p>
      <w:pPr>
        <w:pStyle w:val="BodyText"/>
        <w:spacing w:line="348" w:lineRule="auto" w:before="36"/>
        <w:ind w:right="218" w:firstLine="480"/>
        <w:jc w:val="both"/>
      </w:pPr>
      <w:r>
        <w:rPr>
          <w:rFonts w:ascii="Times New Roman" w:hAnsi="Times New Roman" w:cs="Times New Roman" w:eastAsia="Times New Roman" w:hint="default"/>
          <w:spacing w:val="2"/>
        </w:rPr>
        <w:t>2</w:t>
      </w:r>
      <w:r>
        <w:rPr>
          <w:spacing w:val="2"/>
        </w:rPr>
        <w:t>、关于控股股东与上市公司的关系：公司控股股东行为规范，能依法行使其</w:t>
      </w:r>
      <w:r>
        <w:rPr>
          <w:spacing w:val="3"/>
        </w:rPr>
        <w:t> </w:t>
      </w:r>
      <w:r>
        <w:rPr>
          <w:spacing w:val="-1"/>
        </w:rPr>
        <w:t>权利，并承担相应义务，没有干预公司的决策和经营活动。公司具有独立的经营能</w:t>
      </w:r>
      <w:r>
        <w:rPr>
          <w:spacing w:val="-108"/>
        </w:rPr>
        <w:t> </w:t>
      </w:r>
      <w:r>
        <w:rPr>
          <w:spacing w:val="-108"/>
        </w:rPr>
      </w:r>
      <w:r>
        <w:rPr/>
        <w:t>力和完备的供销系统，公司董事会、监事会和内部机构能够独立运作。</w:t>
      </w:r>
    </w:p>
    <w:p>
      <w:pPr>
        <w:pStyle w:val="BodyText"/>
        <w:spacing w:line="352" w:lineRule="auto" w:before="46"/>
        <w:ind w:left="144" w:right="221" w:firstLine="480"/>
        <w:jc w:val="both"/>
      </w:pPr>
      <w:r>
        <w:rPr>
          <w:rFonts w:ascii="Times New Roman" w:hAnsi="Times New Roman" w:cs="Times New Roman" w:eastAsia="Times New Roman" w:hint="default"/>
          <w:spacing w:val="-5"/>
        </w:rPr>
        <w:t>3</w:t>
      </w:r>
      <w:r>
        <w:rPr>
          <w:spacing w:val="-5"/>
        </w:rPr>
        <w:t>、关于董事和董事会：报告期内，公司对《董事会议事规则》、《董事会秘书</w:t>
      </w:r>
      <w:r>
        <w:rPr>
          <w:spacing w:val="2"/>
        </w:rPr>
        <w:t> </w:t>
      </w:r>
      <w:r>
        <w:rPr>
          <w:spacing w:val="-1"/>
        </w:rPr>
        <w:t>工作细则》等制度进一步修订、完善。公司严格按照《章程》规定的选聘程序选举</w:t>
      </w:r>
      <w:r>
        <w:rPr>
          <w:spacing w:val="-109"/>
        </w:rPr>
        <w:t> </w:t>
      </w:r>
      <w:r>
        <w:rPr>
          <w:spacing w:val="-109"/>
        </w:rPr>
      </w:r>
      <w:r>
        <w:rPr>
          <w:spacing w:val="-1"/>
        </w:rPr>
        <w:t>董事，董事会的人数及结构符合法律法规和公司《章程》的要求。全体董事严格按</w:t>
      </w:r>
      <w:r>
        <w:rPr>
          <w:spacing w:val="-107"/>
        </w:rPr>
        <w:t> </w:t>
      </w:r>
      <w:r>
        <w:rPr>
          <w:spacing w:val="-107"/>
        </w:rPr>
      </w:r>
      <w:r>
        <w:rPr>
          <w:spacing w:val="-8"/>
        </w:rPr>
        <w:t>照《公司法》和公司《章程》、《董事会议事规则》的规定，规范董事会的召集、召</w:t>
      </w:r>
      <w:r>
        <w:rPr>
          <w:spacing w:val="-88"/>
        </w:rPr>
        <w:t> </w:t>
      </w:r>
      <w:r>
        <w:rPr>
          <w:spacing w:val="-88"/>
        </w:rPr>
      </w:r>
      <w:r>
        <w:rPr>
          <w:spacing w:val="-1"/>
        </w:rPr>
        <w:t>开和表决；认真出席董事会和股东大会，积极参加对相关知识的培训，熟悉有关法</w:t>
      </w:r>
    </w:p>
    <w:p>
      <w:pPr>
        <w:spacing w:after="0" w:line="352"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240" w:lineRule="auto" w:before="26"/>
        <w:ind w:left="144" w:right="2428"/>
        <w:jc w:val="left"/>
      </w:pPr>
      <w:r>
        <w:rPr/>
        <w:t>律法规，勤勉尽责。</w:t>
      </w:r>
    </w:p>
    <w:p>
      <w:pPr>
        <w:pStyle w:val="BodyText"/>
        <w:spacing w:line="352" w:lineRule="auto" w:before="154"/>
        <w:ind w:right="161" w:firstLine="480"/>
        <w:jc w:val="both"/>
      </w:pPr>
      <w:r>
        <w:rPr>
          <w:rFonts w:ascii="Times New Roman" w:hAnsi="Times New Roman" w:cs="Times New Roman" w:eastAsia="Times New Roman" w:hint="default"/>
          <w:spacing w:val="-5"/>
        </w:rPr>
        <w:t>4</w:t>
      </w:r>
      <w:r>
        <w:rPr>
          <w:spacing w:val="-5"/>
        </w:rPr>
        <w:t>、关于监事和监事会：公司严格按照《公司法》、公司《章程》的规定选举产</w:t>
      </w:r>
      <w:r>
        <w:rPr/>
        <w:t> </w:t>
      </w:r>
      <w:r>
        <w:rPr>
          <w:spacing w:val="-1"/>
        </w:rPr>
        <w:t>生监事，监事会的人数及结构符合法律法规和公司《章程》的要求。监事会严格按</w:t>
      </w:r>
      <w:r>
        <w:rPr>
          <w:spacing w:val="-107"/>
        </w:rPr>
        <w:t> </w:t>
      </w:r>
      <w:r>
        <w:rPr>
          <w:spacing w:val="-107"/>
        </w:rPr>
      </w:r>
      <w:r>
        <w:rPr>
          <w:spacing w:val="-8"/>
        </w:rPr>
        <w:t>照公司《章程》、《监事会议事规则》的规定，规范监事会的召集、召开和表决，公</w:t>
      </w:r>
      <w:r>
        <w:rPr>
          <w:spacing w:val="-88"/>
        </w:rPr>
        <w:t> </w:t>
      </w:r>
      <w:r>
        <w:rPr>
          <w:spacing w:val="-88"/>
        </w:rPr>
      </w:r>
      <w:r>
        <w:rPr>
          <w:spacing w:val="-1"/>
        </w:rPr>
        <w:t>司监事认真履行职责，诚信、勤勉、尽责地对公司财务以及董事、高级管理人员履</w:t>
      </w:r>
      <w:r>
        <w:rPr>
          <w:spacing w:val="-108"/>
        </w:rPr>
        <w:t> </w:t>
      </w:r>
      <w:r>
        <w:rPr>
          <w:spacing w:val="-108"/>
        </w:rPr>
      </w:r>
      <w:r>
        <w:rPr/>
        <w:t>行职责的合法、合规性进行监督，维护公司及股东的合法权益。</w:t>
      </w:r>
    </w:p>
    <w:p>
      <w:pPr>
        <w:pStyle w:val="BodyText"/>
        <w:spacing w:line="348" w:lineRule="auto" w:before="41"/>
        <w:ind w:right="138" w:firstLine="480"/>
        <w:jc w:val="both"/>
      </w:pPr>
      <w:r>
        <w:rPr>
          <w:rFonts w:ascii="Times New Roman" w:hAnsi="Times New Roman" w:cs="Times New Roman" w:eastAsia="Times New Roman" w:hint="default"/>
          <w:spacing w:val="2"/>
        </w:rPr>
        <w:t>5</w:t>
      </w:r>
      <w:r>
        <w:rPr>
          <w:spacing w:val="2"/>
        </w:rPr>
        <w:t>、关于绩效评价与激励约束机制：公司逐步建立和完善公正、透明的董事、</w:t>
      </w:r>
      <w:r>
        <w:rPr>
          <w:spacing w:val="3"/>
        </w:rPr>
        <w:t> </w:t>
      </w:r>
      <w:r>
        <w:rPr/>
        <w:t>监事和高级管理人员的绩效评价标准和激励约束机制，公司高管人员的聘任公开、</w:t>
      </w:r>
      <w:r>
        <w:rPr/>
        <w:t> 透明，符合法律法规的规定。</w:t>
      </w:r>
    </w:p>
    <w:p>
      <w:pPr>
        <w:pStyle w:val="BodyText"/>
        <w:spacing w:line="348" w:lineRule="auto" w:before="46"/>
        <w:ind w:right="158" w:firstLine="480"/>
        <w:jc w:val="both"/>
      </w:pPr>
      <w:r>
        <w:rPr>
          <w:rFonts w:ascii="Times New Roman" w:hAnsi="Times New Roman" w:cs="Times New Roman" w:eastAsia="Times New Roman" w:hint="default"/>
          <w:spacing w:val="2"/>
        </w:rPr>
        <w:t>6</w:t>
      </w:r>
      <w:r>
        <w:rPr>
          <w:spacing w:val="2"/>
        </w:rPr>
        <w:t>、关于相关利益者：公司能够充分尊重和维护相关利益者的合法权益，积极</w:t>
      </w:r>
      <w:r>
        <w:rPr>
          <w:spacing w:val="3"/>
        </w:rPr>
        <w:t> </w:t>
      </w:r>
      <w:r>
        <w:rPr>
          <w:spacing w:val="-1"/>
        </w:rPr>
        <w:t>与相关利益者合作，加强与各方的沟通和交流，实现股东、员工、社会等各方利益</w:t>
      </w:r>
      <w:r>
        <w:rPr>
          <w:spacing w:val="-108"/>
        </w:rPr>
        <w:t> </w:t>
      </w:r>
      <w:r>
        <w:rPr>
          <w:spacing w:val="-108"/>
        </w:rPr>
      </w:r>
      <w:r>
        <w:rPr/>
        <w:t>的均衡，以推动公司持续、稳定、健康地发展。</w:t>
      </w:r>
    </w:p>
    <w:p>
      <w:pPr>
        <w:pStyle w:val="BodyText"/>
        <w:spacing w:line="355" w:lineRule="auto" w:before="46"/>
        <w:ind w:right="187" w:firstLine="480"/>
        <w:jc w:val="both"/>
      </w:pPr>
      <w:r>
        <w:rPr>
          <w:rFonts w:ascii="Times New Roman" w:hAnsi="Times New Roman" w:cs="Times New Roman" w:eastAsia="Times New Roman" w:hint="default"/>
        </w:rPr>
        <w:t>7</w:t>
      </w:r>
      <w:r>
        <w:rPr/>
        <w:t>、关于信息披露与透明度：根据中国证监会《上市公司信息披露管理办法》</w:t>
      </w:r>
      <w:r>
        <w:rPr>
          <w:spacing w:val="2"/>
        </w:rPr>
        <w:t> </w:t>
      </w:r>
      <w:r>
        <w:rPr>
          <w:spacing w:val="-2"/>
        </w:rPr>
        <w:t>的要求，公司对《信息披露管理制度》进一步修订和完善，并严格按照《信息披露</w:t>
      </w:r>
      <w:r>
        <w:rPr>
          <w:spacing w:val="-103"/>
        </w:rPr>
        <w:t> </w:t>
      </w:r>
      <w:r>
        <w:rPr>
          <w:spacing w:val="-103"/>
        </w:rPr>
      </w:r>
      <w:r>
        <w:rPr>
          <w:spacing w:val="-2"/>
        </w:rPr>
        <w:t>管理制度》和《投资者关系管理制度》的要求，指定公司董事会秘书负责信息披露</w:t>
      </w:r>
      <w:r>
        <w:rPr>
          <w:spacing w:val="-104"/>
        </w:rPr>
        <w:t> </w:t>
      </w:r>
      <w:r>
        <w:rPr>
          <w:spacing w:val="-104"/>
        </w:rPr>
      </w:r>
      <w:r>
        <w:rPr>
          <w:spacing w:val="-2"/>
        </w:rPr>
        <w:t>工作、接待股东来访和咨询，严格按照有关规定真实、准确、完整、及时地披露有</w:t>
      </w:r>
      <w:r>
        <w:rPr>
          <w:spacing w:val="-103"/>
        </w:rPr>
        <w:t> </w:t>
      </w:r>
      <w:r>
        <w:rPr>
          <w:spacing w:val="-103"/>
        </w:rPr>
      </w:r>
      <w:r>
        <w:rPr>
          <w:spacing w:val="-2"/>
        </w:rPr>
        <w:t>关信息，确保公司所有股东能够以平等的机会获得信息。同时，公司还将进一步加</w:t>
      </w:r>
      <w:r>
        <w:rPr>
          <w:spacing w:val="-102"/>
        </w:rPr>
        <w:t> </w:t>
      </w:r>
      <w:r>
        <w:rPr>
          <w:spacing w:val="-102"/>
        </w:rPr>
      </w:r>
      <w:r>
        <w:rPr>
          <w:spacing w:val="-2"/>
        </w:rPr>
        <w:t>强与深圳证券交易所的经常性联系和沟通，及时、主动地报告公司的有关事项，从</w:t>
      </w:r>
      <w:r>
        <w:rPr>
          <w:spacing w:val="-102"/>
        </w:rPr>
        <w:t> </w:t>
      </w:r>
      <w:r>
        <w:rPr>
          <w:spacing w:val="-102"/>
        </w:rPr>
      </w:r>
      <w:r>
        <w:rPr>
          <w:spacing w:val="-2"/>
        </w:rPr>
        <w:t>而准确地理解信息披露的规范要求，并不断适应新的披露要求，使公司透明度和信</w:t>
      </w:r>
      <w:r>
        <w:rPr>
          <w:spacing w:val="-102"/>
        </w:rPr>
        <w:t> </w:t>
      </w:r>
      <w:r>
        <w:rPr>
          <w:spacing w:val="-102"/>
        </w:rPr>
      </w:r>
      <w:r>
        <w:rPr/>
        <w:t>息披露的质量进一步提高。</w:t>
      </w:r>
    </w:p>
    <w:p>
      <w:pPr>
        <w:spacing w:line="240" w:lineRule="auto" w:before="0"/>
        <w:rPr>
          <w:rFonts w:ascii="宋体" w:hAnsi="宋体" w:cs="宋体" w:eastAsia="宋体" w:hint="default"/>
          <w:sz w:val="24"/>
          <w:szCs w:val="24"/>
        </w:rPr>
      </w:pPr>
    </w:p>
    <w:p>
      <w:pPr>
        <w:pStyle w:val="BodyText"/>
        <w:spacing w:line="240" w:lineRule="auto" w:before="192"/>
        <w:ind w:left="623" w:right="2428"/>
        <w:jc w:val="left"/>
      </w:pPr>
      <w:r>
        <w:rPr/>
        <w:t>二、公司董事长、独立董事及其他董事履行职责情况：</w:t>
      </w:r>
    </w:p>
    <w:p>
      <w:pPr>
        <w:pStyle w:val="BodyText"/>
        <w:spacing w:line="352" w:lineRule="auto" w:before="154"/>
        <w:ind w:left="144" w:right="159" w:firstLine="480"/>
        <w:jc w:val="both"/>
      </w:pPr>
      <w:r>
        <w:rPr>
          <w:rFonts w:ascii="Times New Roman" w:hAnsi="Times New Roman" w:cs="Times New Roman" w:eastAsia="Times New Roman" w:hint="default"/>
          <w:spacing w:val="-5"/>
        </w:rPr>
        <w:t>1</w:t>
      </w:r>
      <w:r>
        <w:rPr>
          <w:spacing w:val="-5"/>
        </w:rPr>
        <w:t>、报告期内，公司全体董事严格按照《公司法》、《深圳证券交易所中小企业</w:t>
      </w:r>
      <w:r>
        <w:rPr>
          <w:spacing w:val="2"/>
        </w:rPr>
        <w:t> </w:t>
      </w:r>
      <w:r>
        <w:rPr>
          <w:spacing w:val="-1"/>
        </w:rPr>
        <w:t>板块上市公司董事行为指引》及公司《章程》的规定和要求，履行董事职责，遵守</w:t>
      </w:r>
      <w:r>
        <w:rPr>
          <w:spacing w:val="-108"/>
        </w:rPr>
        <w:t> </w:t>
      </w:r>
      <w:r>
        <w:rPr>
          <w:spacing w:val="-108"/>
        </w:rPr>
      </w:r>
      <w:r>
        <w:rPr>
          <w:spacing w:val="-1"/>
        </w:rPr>
        <w:t>董事行为规范，积极参加中国证监会江苏监管局组织的上市公司董事、监事、高级</w:t>
      </w:r>
      <w:r>
        <w:rPr>
          <w:spacing w:val="-108"/>
        </w:rPr>
        <w:t> </w:t>
      </w:r>
      <w:r>
        <w:rPr>
          <w:spacing w:val="-108"/>
        </w:rPr>
      </w:r>
      <w:r>
        <w:rPr>
          <w:spacing w:val="-1"/>
        </w:rPr>
        <w:t>管理人员培训学习，提高规范运作水平。董事在董事会会议投票表决重大事项或其</w:t>
      </w:r>
      <w:r>
        <w:rPr>
          <w:spacing w:val="-106"/>
        </w:rPr>
        <w:t> </w:t>
      </w:r>
      <w:r>
        <w:rPr>
          <w:spacing w:val="-106"/>
        </w:rPr>
      </w:r>
      <w:r>
        <w:rPr>
          <w:spacing w:val="-1"/>
        </w:rPr>
        <w:t>他对公司有重大影响的事项时，严格遵循公司董事会议事规则的有关审议规定，审</w:t>
      </w:r>
      <w:r>
        <w:rPr>
          <w:spacing w:val="-106"/>
        </w:rPr>
        <w:t> </w:t>
      </w:r>
      <w:r>
        <w:rPr>
          <w:spacing w:val="-106"/>
        </w:rPr>
      </w:r>
      <w:r>
        <w:rPr/>
        <w:t>慎决策，切实保护公司和投资者利益。</w:t>
      </w:r>
    </w:p>
    <w:p>
      <w:pPr>
        <w:pStyle w:val="BodyText"/>
        <w:spacing w:line="338" w:lineRule="auto" w:before="41"/>
        <w:ind w:left="144" w:right="138" w:firstLine="480"/>
        <w:jc w:val="both"/>
      </w:pPr>
      <w:r>
        <w:rPr>
          <w:rFonts w:ascii="Times New Roman" w:hAnsi="Times New Roman" w:cs="Times New Roman" w:eastAsia="Times New Roman" w:hint="default"/>
          <w:spacing w:val="-5"/>
        </w:rPr>
        <w:t>2</w:t>
      </w:r>
      <w:r>
        <w:rPr>
          <w:spacing w:val="-5"/>
        </w:rPr>
        <w:t>、公司董事长在履行职责时，严格按照《公司法》、《深圳证券交易所中小企</w:t>
      </w:r>
      <w:r>
        <w:rPr>
          <w:spacing w:val="2"/>
        </w:rPr>
        <w:t> </w:t>
      </w:r>
      <w:r>
        <w:rPr/>
        <w:t>业板块上市公司董事行为指引》和公司《章程》规定，行使董事长职权。在召集、</w:t>
      </w:r>
    </w:p>
    <w:p>
      <w:pPr>
        <w:spacing w:after="0" w:line="338" w:lineRule="auto"/>
        <w:jc w:val="both"/>
        <w:sectPr>
          <w:footerReference w:type="default" r:id="rId12"/>
          <w:pgSz w:w="11910" w:h="16840"/>
          <w:pgMar w:footer="982" w:header="879" w:top="1100" w:bottom="1180" w:left="1500" w:right="1480"/>
          <w:pgNumType w:start="20"/>
        </w:sectPr>
      </w:pPr>
    </w:p>
    <w:p>
      <w:pPr>
        <w:spacing w:line="240" w:lineRule="auto" w:before="10"/>
        <w:rPr>
          <w:rFonts w:ascii="宋体" w:hAnsi="宋体" w:cs="宋体" w:eastAsia="宋体" w:hint="default"/>
          <w:sz w:val="10"/>
          <w:szCs w:val="10"/>
        </w:rPr>
      </w:pPr>
    </w:p>
    <w:p>
      <w:pPr>
        <w:pStyle w:val="BodyText"/>
        <w:spacing w:line="357" w:lineRule="auto" w:before="26"/>
        <w:ind w:left="364" w:right="356"/>
        <w:jc w:val="left"/>
      </w:pPr>
      <w:r>
        <w:rPr>
          <w:spacing w:val="-1"/>
        </w:rPr>
        <w:t>主持董事会会议时，带头执行董事会集体决策机制，并积极推动公司内部管理制度</w:t>
      </w:r>
      <w:r>
        <w:rPr>
          <w:spacing w:val="-106"/>
        </w:rPr>
        <w:t> </w:t>
      </w:r>
      <w:r>
        <w:rPr>
          <w:spacing w:val="-106"/>
        </w:rPr>
      </w:r>
      <w:r>
        <w:rPr/>
        <w:t>的制订和完善，督促执行股东大会和董事会的各项决议，确保公司规范运作。</w:t>
      </w:r>
    </w:p>
    <w:p>
      <w:pPr>
        <w:pStyle w:val="BodyText"/>
        <w:spacing w:line="352" w:lineRule="auto" w:before="36"/>
        <w:ind w:left="363" w:right="227" w:firstLine="480"/>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6"/>
        </w:rPr>
        <w:t> </w:t>
      </w:r>
      <w:r>
        <w:rPr>
          <w:spacing w:val="-2"/>
        </w:rPr>
        <w:t>年，公司第二届董事会独立董事赵曙明先生、吴远女士和黄丽洁女士，</w:t>
      </w:r>
      <w:r>
        <w:rPr/>
        <w:t> 严格按照有关法律、法规及公司《章程》的规定履行职责，按时亲自或委托其他独 立董事，或以通讯方式参加了第二届董事会的十四次董事会，认真审议各项议案， 客观的发表自己的看法及观点，并利用自己的专业知识做出独立、公正的判断。对 报告期内公司聘任高级管理人员、聘任公司审计机构、公司累计和当期对外担保等 </w:t>
      </w:r>
      <w:r>
        <w:rPr>
          <w:spacing w:val="-4"/>
        </w:rPr>
        <w:t>事项发表独立董事意见，不受公司和主要股东的影响，切实维护了中小股东的利益。</w:t>
      </w:r>
    </w:p>
    <w:p>
      <w:pPr>
        <w:pStyle w:val="BodyText"/>
        <w:spacing w:line="357" w:lineRule="auto" w:before="41"/>
        <w:ind w:left="364" w:right="338" w:firstLine="480"/>
        <w:jc w:val="both"/>
      </w:pPr>
      <w:r>
        <w:rPr>
          <w:spacing w:val="-1"/>
        </w:rPr>
        <w:t>公司第三届董事会独立董事沈坤荣先生、孙剑平先生和戴新民先生，严格按照</w:t>
      </w:r>
      <w:r>
        <w:rPr/>
        <w:t> </w:t>
      </w:r>
      <w:r>
        <w:rPr>
          <w:spacing w:val="-1"/>
        </w:rPr>
        <w:t>有关法律、法规及公司《章程》的规定履行职责，按时亲自或以通讯方式参加了第</w:t>
      </w:r>
      <w:r>
        <w:rPr>
          <w:spacing w:val="-108"/>
        </w:rPr>
        <w:t> </w:t>
      </w:r>
      <w:r>
        <w:rPr>
          <w:spacing w:val="-108"/>
        </w:rPr>
      </w:r>
      <w:r>
        <w:rPr>
          <w:spacing w:val="-1"/>
        </w:rPr>
        <w:t>三届董事会的九次董事会，认真审议各项议案，客观的发表自己的看法及观点，并</w:t>
      </w:r>
      <w:r>
        <w:rPr>
          <w:spacing w:val="-108"/>
        </w:rPr>
        <w:t> </w:t>
      </w:r>
      <w:r>
        <w:rPr>
          <w:spacing w:val="-108"/>
        </w:rPr>
      </w:r>
      <w:r>
        <w:rPr/>
        <w:t>利用自己的专业知识做出独立、公正的判断。对报告期内公司聘任高级管理人员、 改聘审计机构、对外担保等事项发表独立董事意见，不受公司和主要股东的影响， 切实维护了中小股东的利益。</w:t>
      </w:r>
    </w:p>
    <w:p>
      <w:pPr>
        <w:pStyle w:val="BodyText"/>
        <w:spacing w:line="357" w:lineRule="auto" w:before="36"/>
        <w:ind w:left="364" w:right="354" w:firstLine="480"/>
        <w:jc w:val="left"/>
      </w:pPr>
      <w:r>
        <w:rPr>
          <w:spacing w:val="-1"/>
        </w:rPr>
        <w:t>报告期内，公司所有独立董事对公司董事会的议案及公司其他事项没有提出异</w:t>
      </w:r>
      <w:r>
        <w:rPr/>
        <w:t> 议。</w:t>
      </w:r>
    </w:p>
    <w:p>
      <w:pPr>
        <w:pStyle w:val="BodyText"/>
        <w:spacing w:line="240" w:lineRule="auto" w:before="36"/>
        <w:ind w:left="844" w:right="356"/>
        <w:jc w:val="left"/>
      </w:pPr>
      <w:r>
        <w:rPr>
          <w:rFonts w:ascii="Times New Roman" w:hAnsi="Times New Roman" w:cs="Times New Roman" w:eastAsia="Times New Roman" w:hint="default"/>
        </w:rPr>
        <w:t>4</w:t>
      </w:r>
      <w:r>
        <w:rPr/>
        <w:t>、公司董事出席董事会的情况：</w:t>
      </w:r>
    </w:p>
    <w:p>
      <w:pPr>
        <w:spacing w:line="240" w:lineRule="auto" w:before="4"/>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188"/>
        <w:gridCol w:w="2520"/>
        <w:gridCol w:w="1260"/>
        <w:gridCol w:w="1260"/>
        <w:gridCol w:w="1109"/>
        <w:gridCol w:w="1771"/>
      </w:tblGrid>
      <w:tr>
        <w:trPr>
          <w:trHeight w:val="340" w:hRule="exact"/>
        </w:trPr>
        <w:tc>
          <w:tcPr>
            <w:tcW w:w="4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09" w:right="0"/>
              <w:jc w:val="left"/>
              <w:rPr>
                <w:rFonts w:ascii="宋体" w:hAnsi="宋体" w:cs="宋体" w:eastAsia="宋体" w:hint="default"/>
                <w:sz w:val="18"/>
                <w:szCs w:val="18"/>
              </w:rPr>
            </w:pPr>
            <w:r>
              <w:rPr>
                <w:rFonts w:ascii="宋体" w:hAnsi="宋体" w:cs="宋体" w:eastAsia="宋体" w:hint="default"/>
                <w:sz w:val="18"/>
                <w:szCs w:val="18"/>
              </w:rPr>
              <w:t>报告期内董事会会议召开次数</w:t>
            </w:r>
          </w:p>
        </w:tc>
        <w:tc>
          <w:tcPr>
            <w:tcW w:w="4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23</w:t>
            </w:r>
          </w:p>
        </w:tc>
      </w:tr>
      <w:tr>
        <w:trPr>
          <w:trHeight w:val="582"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1"/>
              <w:ind w:left="265" w:right="0"/>
              <w:jc w:val="left"/>
              <w:rPr>
                <w:rFonts w:ascii="宋体" w:hAnsi="宋体" w:cs="宋体" w:eastAsia="宋体" w:hint="default"/>
                <w:sz w:val="18"/>
                <w:szCs w:val="18"/>
              </w:rPr>
            </w:pPr>
            <w:r>
              <w:rPr>
                <w:rFonts w:ascii="宋体" w:hAnsi="宋体" w:cs="宋体" w:eastAsia="宋体" w:hint="default"/>
                <w:sz w:val="18"/>
                <w:szCs w:val="18"/>
              </w:rPr>
              <w:t>亲自出席</w:t>
            </w:r>
          </w:p>
          <w:p>
            <w:pPr>
              <w:pStyle w:val="TableParagraph"/>
              <w:spacing w:line="235" w:lineRule="exact"/>
              <w:ind w:left="355" w:right="0"/>
              <w:jc w:val="left"/>
              <w:rPr>
                <w:rFonts w:ascii="宋体" w:hAnsi="宋体" w:cs="宋体" w:eastAsia="宋体" w:hint="default"/>
                <w:sz w:val="18"/>
                <w:szCs w:val="18"/>
              </w:rPr>
            </w:pPr>
            <w:r>
              <w:rPr>
                <w:rFonts w:ascii="宋体" w:hAnsi="宋体" w:cs="宋体" w:eastAsia="宋体" w:hint="default"/>
                <w:sz w:val="18"/>
                <w:szCs w:val="18"/>
              </w:rPr>
              <w:t>（次）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1"/>
              <w:ind w:left="265" w:right="0"/>
              <w:jc w:val="left"/>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35" w:lineRule="exact"/>
              <w:ind w:left="355" w:right="0"/>
              <w:jc w:val="left"/>
              <w:rPr>
                <w:rFonts w:ascii="宋体" w:hAnsi="宋体" w:cs="宋体" w:eastAsia="宋体" w:hint="default"/>
                <w:sz w:val="18"/>
                <w:szCs w:val="18"/>
              </w:rPr>
            </w:pPr>
            <w:r>
              <w:rPr>
                <w:rFonts w:ascii="宋体" w:hAnsi="宋体" w:cs="宋体" w:eastAsia="宋体" w:hint="default"/>
                <w:sz w:val="18"/>
                <w:szCs w:val="18"/>
              </w:rPr>
              <w:t>（次）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1"/>
              <w:ind w:right="0"/>
              <w:jc w:val="center"/>
              <w:rPr>
                <w:rFonts w:ascii="宋体" w:hAnsi="宋体" w:cs="宋体" w:eastAsia="宋体" w:hint="default"/>
                <w:sz w:val="18"/>
                <w:szCs w:val="18"/>
              </w:rPr>
            </w:pPr>
            <w:r>
              <w:rPr>
                <w:rFonts w:ascii="宋体" w:hAnsi="宋体" w:cs="宋体" w:eastAsia="宋体" w:hint="default"/>
                <w:sz w:val="18"/>
                <w:szCs w:val="18"/>
              </w:rPr>
              <w:t>缺席</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0" w:right="158" w:hanging="270"/>
              <w:jc w:val="left"/>
              <w:rPr>
                <w:rFonts w:ascii="宋体" w:hAnsi="宋体" w:cs="宋体" w:eastAsia="宋体" w:hint="default"/>
                <w:sz w:val="18"/>
                <w:szCs w:val="18"/>
              </w:rPr>
            </w:pPr>
            <w:r>
              <w:rPr>
                <w:rFonts w:ascii="宋体" w:hAnsi="宋体" w:cs="宋体" w:eastAsia="宋体" w:hint="default"/>
                <w:sz w:val="18"/>
                <w:szCs w:val="18"/>
              </w:rPr>
              <w:t>是否连续两次未亲 自出席会议</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张近东</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5" w:right="0"/>
              <w:jc w:val="left"/>
              <w:rPr>
                <w:rFonts w:ascii="Times New Roman" w:hAnsi="Times New Roman" w:cs="Times New Roman" w:eastAsia="Times New Roman" w:hint="default"/>
                <w:sz w:val="18"/>
                <w:szCs w:val="18"/>
              </w:rPr>
            </w:pPr>
            <w:r>
              <w:rPr>
                <w:rFonts w:ascii="Times New Roman"/>
                <w:sz w:val="18"/>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孙为民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5" w:right="0"/>
              <w:jc w:val="left"/>
              <w:rPr>
                <w:rFonts w:ascii="Times New Roman" w:hAnsi="Times New Roman" w:cs="Times New Roman" w:eastAsia="Times New Roman" w:hint="default"/>
                <w:sz w:val="18"/>
                <w:szCs w:val="18"/>
              </w:rPr>
            </w:pPr>
            <w:r>
              <w:rPr>
                <w:rFonts w:ascii="Times New Roman"/>
                <w:sz w:val="18"/>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孟祥胜</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5" w:right="0"/>
              <w:jc w:val="left"/>
              <w:rPr>
                <w:rFonts w:ascii="Times New Roman" w:hAnsi="Times New Roman" w:cs="Times New Roman" w:eastAsia="Times New Roman" w:hint="default"/>
                <w:sz w:val="18"/>
                <w:szCs w:val="18"/>
              </w:rPr>
            </w:pPr>
            <w:r>
              <w:rPr>
                <w:rFonts w:ascii="Times New Roman"/>
                <w:sz w:val="18"/>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  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5" w:right="0"/>
              <w:jc w:val="left"/>
              <w:rPr>
                <w:rFonts w:ascii="Times New Roman" w:hAnsi="Times New Roman" w:cs="Times New Roman" w:eastAsia="Times New Roman" w:hint="default"/>
                <w:sz w:val="18"/>
                <w:szCs w:val="18"/>
              </w:rPr>
            </w:pPr>
            <w:r>
              <w:rPr>
                <w:rFonts w:ascii="Times New Roman"/>
                <w:sz w:val="18"/>
              </w:rPr>
              <w:t>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任  峻</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董事、董秘</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5" w:right="0"/>
              <w:jc w:val="left"/>
              <w:rPr>
                <w:rFonts w:ascii="Times New Roman" w:hAnsi="Times New Roman" w:cs="Times New Roman" w:eastAsia="Times New Roman" w:hint="default"/>
                <w:sz w:val="18"/>
                <w:szCs w:val="18"/>
              </w:rPr>
            </w:pPr>
            <w:r>
              <w:rPr>
                <w:rFonts w:ascii="Times New Roman"/>
                <w:sz w:val="18"/>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谢俊元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第二届董事会外部董事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5" w:right="0"/>
              <w:jc w:val="left"/>
              <w:rPr>
                <w:rFonts w:ascii="Times New Roman" w:hAnsi="Times New Roman" w:cs="Times New Roman" w:eastAsia="Times New Roman" w:hint="default"/>
                <w:sz w:val="18"/>
                <w:szCs w:val="18"/>
              </w:rPr>
            </w:pPr>
            <w:r>
              <w:rPr>
                <w:rFonts w:ascii="Times New Roman"/>
                <w:sz w:val="18"/>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赵曙明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第二届董事会独立董事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5" w:right="0"/>
              <w:jc w:val="left"/>
              <w:rPr>
                <w:rFonts w:ascii="Times New Roman" w:hAnsi="Times New Roman" w:cs="Times New Roman" w:eastAsia="Times New Roman" w:hint="default"/>
                <w:sz w:val="18"/>
                <w:szCs w:val="18"/>
              </w:rPr>
            </w:pPr>
            <w:r>
              <w:rPr>
                <w:rFonts w:ascii="Times New Roman"/>
                <w:sz w:val="18"/>
              </w:rPr>
              <w:t>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吴  远</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第二届董事会独立董事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5" w:right="0"/>
              <w:jc w:val="left"/>
              <w:rPr>
                <w:rFonts w:ascii="Times New Roman" w:hAnsi="Times New Roman" w:cs="Times New Roman" w:eastAsia="Times New Roman" w:hint="default"/>
                <w:sz w:val="18"/>
                <w:szCs w:val="18"/>
              </w:rPr>
            </w:pPr>
            <w:r>
              <w:rPr>
                <w:rFonts w:ascii="Times New Roman"/>
                <w:sz w:val="18"/>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黄丽洁</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第二届董事会独立董事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5" w:right="0"/>
              <w:jc w:val="left"/>
              <w:rPr>
                <w:rFonts w:ascii="Times New Roman" w:hAnsi="Times New Roman" w:cs="Times New Roman" w:eastAsia="Times New Roman" w:hint="default"/>
                <w:sz w:val="18"/>
                <w:szCs w:val="18"/>
              </w:rPr>
            </w:pPr>
            <w:r>
              <w:rPr>
                <w:rFonts w:ascii="Times New Roman"/>
                <w:sz w:val="18"/>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李  东</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第三届董事会外部董事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79" w:right="0"/>
              <w:jc w:val="left"/>
              <w:rPr>
                <w:rFonts w:ascii="Times New Roman" w:hAnsi="Times New Roman" w:cs="Times New Roman" w:eastAsia="Times New Roman" w:hint="default"/>
                <w:sz w:val="18"/>
                <w:szCs w:val="18"/>
              </w:rPr>
            </w:pPr>
            <w:r>
              <w:rPr>
                <w:rFonts w:ascii="Times New Roman"/>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沈坤荣</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第三届董事会独立董事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79" w:right="0"/>
              <w:jc w:val="left"/>
              <w:rPr>
                <w:rFonts w:ascii="Times New Roman" w:hAnsi="Times New Roman" w:cs="Times New Roman" w:eastAsia="Times New Roman" w:hint="default"/>
                <w:sz w:val="18"/>
                <w:szCs w:val="18"/>
              </w:rPr>
            </w:pPr>
            <w:r>
              <w:rPr>
                <w:rFonts w:ascii="Times New Roman"/>
                <w:sz w:val="18"/>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孙剑平</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第三届董事会独立董事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79" w:right="0"/>
              <w:jc w:val="left"/>
              <w:rPr>
                <w:rFonts w:ascii="Times New Roman" w:hAnsi="Times New Roman" w:cs="Times New Roman" w:eastAsia="Times New Roman" w:hint="default"/>
                <w:sz w:val="18"/>
                <w:szCs w:val="18"/>
              </w:rPr>
            </w:pPr>
            <w:r>
              <w:rPr>
                <w:rFonts w:ascii="Times New Roman"/>
                <w:sz w:val="18"/>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戴新民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第三届董事会独立董事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79" w:right="0"/>
              <w:jc w:val="left"/>
              <w:rPr>
                <w:rFonts w:ascii="Times New Roman" w:hAnsi="Times New Roman" w:cs="Times New Roman" w:eastAsia="Times New Roman" w:hint="default"/>
                <w:sz w:val="18"/>
                <w:szCs w:val="18"/>
              </w:rPr>
            </w:pPr>
            <w:r>
              <w:rPr>
                <w:rFonts w:ascii="Times New Roman"/>
                <w:sz w:val="18"/>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03"/>
              <w:jc w:val="right"/>
              <w:rPr>
                <w:rFonts w:ascii="Times New Roman" w:hAnsi="Times New Roman" w:cs="Times New Roman" w:eastAsia="Times New Roman" w:hint="default"/>
                <w:sz w:val="18"/>
                <w:szCs w:val="18"/>
              </w:rPr>
            </w:pPr>
            <w:r>
              <w:rPr>
                <w:rFonts w:ascii="Times New Roman"/>
                <w:sz w:val="18"/>
              </w:rPr>
              <w:t>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9" w:footer="982" w:top="1100" w:bottom="1180" w:left="1280" w:right="1280"/>
        </w:sectPr>
      </w:pPr>
    </w:p>
    <w:p>
      <w:pPr>
        <w:spacing w:line="240" w:lineRule="auto" w:before="10"/>
        <w:rPr>
          <w:rFonts w:ascii="宋体" w:hAnsi="宋体" w:cs="宋体" w:eastAsia="宋体" w:hint="default"/>
          <w:sz w:val="10"/>
          <w:szCs w:val="10"/>
        </w:rPr>
      </w:pPr>
    </w:p>
    <w:p>
      <w:pPr>
        <w:pStyle w:val="BodyText"/>
        <w:spacing w:line="357" w:lineRule="auto" w:before="26"/>
        <w:ind w:left="825" w:right="153" w:hanging="2"/>
        <w:jc w:val="left"/>
      </w:pPr>
      <w:r>
        <w:rPr/>
        <w:t>三、公司与控股股东在业务、人员、资产、机构、财务等方面的情况 </w:t>
      </w:r>
      <w:r>
        <w:rPr>
          <w:spacing w:val="-1"/>
        </w:rPr>
        <w:t>因公司控股股东为自然人，故不存在公司与控股股东在业务、人员、资产、机</w:t>
      </w:r>
    </w:p>
    <w:p>
      <w:pPr>
        <w:pStyle w:val="BodyText"/>
        <w:spacing w:line="357" w:lineRule="auto" w:before="36"/>
        <w:ind w:left="105" w:right="156"/>
        <w:jc w:val="left"/>
      </w:pPr>
      <w:r>
        <w:rPr>
          <w:spacing w:val="-1"/>
        </w:rPr>
        <w:t>构等方面的问题，同时公司的控股股东及其关联公司未以任何形式占用公司的货币资</w:t>
      </w:r>
      <w:r>
        <w:rPr>
          <w:spacing w:val="-106"/>
        </w:rPr>
        <w:t> </w:t>
      </w:r>
      <w:r>
        <w:rPr>
          <w:spacing w:val="-106"/>
        </w:rPr>
      </w:r>
      <w:r>
        <w:rPr/>
        <w:t>金或其他资产。</w:t>
      </w:r>
    </w:p>
    <w:p>
      <w:pPr>
        <w:spacing w:line="240" w:lineRule="auto" w:before="0"/>
        <w:rPr>
          <w:rFonts w:ascii="宋体" w:hAnsi="宋体" w:cs="宋体" w:eastAsia="宋体" w:hint="default"/>
          <w:sz w:val="24"/>
          <w:szCs w:val="24"/>
        </w:rPr>
      </w:pPr>
    </w:p>
    <w:p>
      <w:pPr>
        <w:pStyle w:val="BodyText"/>
        <w:spacing w:line="240" w:lineRule="auto" w:before="190"/>
        <w:ind w:left="823" w:right="153"/>
        <w:jc w:val="left"/>
      </w:pPr>
      <w:r>
        <w:rPr/>
        <w:t>四、公司内部控制制度的建立和健全情况</w:t>
      </w:r>
    </w:p>
    <w:p>
      <w:pPr>
        <w:pStyle w:val="BodyText"/>
        <w:spacing w:line="350" w:lineRule="auto" w:before="154"/>
        <w:ind w:left="343" w:right="161"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spacing w:val="-3"/>
        </w:rPr>
        <w:t>年公司以上市公司治理专项活动为契机，健全法人治理结构，完善内部控</w:t>
      </w:r>
      <w:r>
        <w:rPr/>
        <w:t> </w:t>
      </w:r>
      <w:r>
        <w:rPr>
          <w:spacing w:val="-1"/>
        </w:rPr>
        <w:t>制制度体系，并对公司的业务流程和管理制度进行了全面梳理与检查，目前已建立</w:t>
      </w:r>
      <w:r>
        <w:rPr>
          <w:spacing w:val="-106"/>
        </w:rPr>
        <w:t> </w:t>
      </w:r>
      <w:r>
        <w:rPr>
          <w:spacing w:val="-106"/>
        </w:rPr>
      </w:r>
      <w:r>
        <w:rPr>
          <w:spacing w:val="-1"/>
        </w:rPr>
        <w:t>起一套相对完整、且符合公司实际情况的内部控制制度，并得到有效执行。具体情</w:t>
      </w:r>
      <w:r>
        <w:rPr>
          <w:spacing w:val="-108"/>
        </w:rPr>
        <w:t> </w:t>
      </w:r>
      <w:r>
        <w:rPr>
          <w:spacing w:val="-108"/>
        </w:rPr>
      </w:r>
      <w:r>
        <w:rPr/>
        <w:t>况如下：</w:t>
      </w:r>
    </w:p>
    <w:p>
      <w:pPr>
        <w:pStyle w:val="BodyText"/>
        <w:spacing w:line="240" w:lineRule="auto" w:before="43"/>
        <w:ind w:left="823" w:right="153"/>
        <w:jc w:val="left"/>
      </w:pPr>
      <w:r>
        <w:rPr/>
        <w:t>（一）内部控制制度建立健全情况</w:t>
      </w:r>
    </w:p>
    <w:p>
      <w:pPr>
        <w:pStyle w:val="BodyText"/>
        <w:spacing w:line="352" w:lineRule="auto" w:before="154"/>
        <w:ind w:left="343" w:right="153" w:firstLine="480"/>
        <w:jc w:val="both"/>
      </w:pPr>
      <w:r>
        <w:rPr>
          <w:rFonts w:ascii="Times New Roman" w:hAnsi="Times New Roman" w:cs="Times New Roman" w:eastAsia="Times New Roman" w:hint="default"/>
          <w:spacing w:val="2"/>
        </w:rPr>
        <w:t>1</w:t>
      </w:r>
      <w:r>
        <w:rPr>
          <w:spacing w:val="2"/>
        </w:rPr>
        <w:t>、管理控制：公司有较为健全的法人治理结构和完善的管理制度，主要包括</w:t>
      </w:r>
      <w:r>
        <w:rPr>
          <w:spacing w:val="3"/>
        </w:rPr>
        <w:t> </w:t>
      </w:r>
      <w:r>
        <w:rPr>
          <w:spacing w:val="-14"/>
        </w:rPr>
        <w:t>公司《章程》、三会议事规则、专门委员会工作细则、《内部审计制度》、《重大投资</w:t>
      </w:r>
      <w:r>
        <w:rPr>
          <w:spacing w:val="-92"/>
        </w:rPr>
        <w:t> </w:t>
      </w:r>
      <w:r>
        <w:rPr>
          <w:spacing w:val="-92"/>
        </w:rPr>
      </w:r>
      <w:r>
        <w:rPr>
          <w:spacing w:val="-14"/>
        </w:rPr>
        <w:t>与财务决策制度》、《关联交易决策制度》、《募集资金管理制度》、《投资者关系管</w:t>
      </w:r>
      <w:r>
        <w:rPr>
          <w:spacing w:val="-87"/>
        </w:rPr>
        <w:t> </w:t>
      </w:r>
      <w:r>
        <w:rPr>
          <w:spacing w:val="-87"/>
        </w:rPr>
      </w:r>
      <w:r>
        <w:rPr>
          <w:spacing w:val="-8"/>
        </w:rPr>
        <w:t>理制度》、《信息披露管理制度》、财务管理制度、各体系经营管理手册等。公司各</w:t>
      </w:r>
      <w:r>
        <w:rPr>
          <w:spacing w:val="-110"/>
        </w:rPr>
        <w:t> </w:t>
      </w:r>
      <w:r>
        <w:rPr>
          <w:spacing w:val="-110"/>
        </w:rPr>
      </w:r>
      <w:r>
        <w:rPr/>
        <w:t>项管理制度建立之后均能得到有效地贯彻执行。</w:t>
      </w:r>
    </w:p>
    <w:p>
      <w:pPr>
        <w:pStyle w:val="BodyText"/>
        <w:spacing w:line="352" w:lineRule="auto" w:before="41"/>
        <w:ind w:left="344" w:right="158" w:firstLine="480"/>
        <w:jc w:val="both"/>
      </w:pPr>
      <w:r>
        <w:rPr>
          <w:rFonts w:ascii="Times New Roman" w:hAnsi="Times New Roman" w:cs="Times New Roman" w:eastAsia="Times New Roman" w:hint="default"/>
          <w:spacing w:val="2"/>
        </w:rPr>
        <w:t>2</w:t>
      </w:r>
      <w:r>
        <w:rPr>
          <w:spacing w:val="2"/>
        </w:rPr>
        <w:t>、经营控制：公司针对各体系、各层级、各岗位制定了明确的工作职责和权</w:t>
      </w:r>
      <w:r>
        <w:rPr>
          <w:spacing w:val="3"/>
        </w:rPr>
        <w:t> </w:t>
      </w:r>
      <w:r>
        <w:rPr>
          <w:spacing w:val="-1"/>
        </w:rPr>
        <w:t>限，同时制订了相应的经营管理手册，逐步规范和完善各项制度、标准和流程。通</w:t>
      </w:r>
      <w:r>
        <w:rPr>
          <w:spacing w:val="-107"/>
        </w:rPr>
        <w:t> </w:t>
      </w:r>
      <w:r>
        <w:rPr>
          <w:spacing w:val="-107"/>
        </w:rPr>
      </w:r>
      <w:r>
        <w:rPr>
          <w:spacing w:val="-1"/>
        </w:rPr>
        <w:t>过信息平台的建设，上述制度、流程和标准进一步固化，远程管理信息得到有效掌</w:t>
      </w:r>
      <w:r>
        <w:rPr>
          <w:spacing w:val="-108"/>
        </w:rPr>
        <w:t> </w:t>
      </w:r>
      <w:r>
        <w:rPr>
          <w:spacing w:val="-108"/>
        </w:rPr>
      </w:r>
      <w:r>
        <w:rPr>
          <w:spacing w:val="-1"/>
        </w:rPr>
        <w:t>控，经营管理的统一性加强。同时，公司还会不定期对各项制度、流程的执行情况</w:t>
      </w:r>
      <w:r>
        <w:rPr>
          <w:spacing w:val="-108"/>
        </w:rPr>
        <w:t> </w:t>
      </w:r>
      <w:r>
        <w:rPr>
          <w:spacing w:val="-108"/>
        </w:rPr>
      </w:r>
      <w:r>
        <w:rPr/>
        <w:t>进行检查和评估，对公司正常经营和规范运作起到了较好的监督、控制作用。</w:t>
      </w:r>
    </w:p>
    <w:p>
      <w:pPr>
        <w:pStyle w:val="BodyText"/>
        <w:spacing w:line="348" w:lineRule="auto" w:before="41"/>
        <w:ind w:left="343" w:right="158" w:firstLine="480"/>
        <w:jc w:val="both"/>
      </w:pPr>
      <w:r>
        <w:rPr>
          <w:rFonts w:ascii="Times New Roman" w:hAnsi="Times New Roman" w:cs="Times New Roman" w:eastAsia="Times New Roman" w:hint="default"/>
          <w:spacing w:val="2"/>
        </w:rPr>
        <w:t>3</w:t>
      </w:r>
      <w:r>
        <w:rPr>
          <w:spacing w:val="2"/>
        </w:rPr>
        <w:t>、财务控制：公司按照企业会计制度、会计法、税法、经济法等国家有关法</w:t>
      </w:r>
      <w:r>
        <w:rPr>
          <w:spacing w:val="3"/>
        </w:rPr>
        <w:t> </w:t>
      </w:r>
      <w:r>
        <w:rPr>
          <w:spacing w:val="-1"/>
        </w:rPr>
        <w:t>律法规的规定，建立了较为完善的财务管理制度和内部控制体系，具体包括财务会</w:t>
      </w:r>
      <w:r>
        <w:rPr>
          <w:spacing w:val="-106"/>
        </w:rPr>
        <w:t> </w:t>
      </w:r>
      <w:r>
        <w:rPr>
          <w:spacing w:val="-106"/>
        </w:rPr>
      </w:r>
      <w:r>
        <w:rPr>
          <w:spacing w:val="-3"/>
        </w:rPr>
        <w:t>计制度、发票管理制度等。公司通过</w:t>
      </w:r>
      <w:r>
        <w:rPr>
          <w:spacing w:val="-55"/>
        </w:rPr>
        <w:t> </w:t>
      </w:r>
      <w:r>
        <w:rPr>
          <w:rFonts w:ascii="Times New Roman" w:hAnsi="Times New Roman" w:cs="Times New Roman" w:eastAsia="Times New Roman" w:hint="default"/>
        </w:rPr>
        <w:t>SAP</w:t>
      </w:r>
      <w:r>
        <w:rPr>
          <w:rFonts w:ascii="Times New Roman" w:hAnsi="Times New Roman" w:cs="Times New Roman" w:eastAsia="Times New Roman" w:hint="default"/>
          <w:spacing w:val="4"/>
        </w:rPr>
        <w:t> </w:t>
      </w:r>
      <w:r>
        <w:rPr>
          <w:spacing w:val="-4"/>
        </w:rPr>
        <w:t>系统，对货币资金、采购与付款、销售与</w:t>
      </w:r>
      <w:r>
        <w:rPr/>
        <w:t> </w:t>
      </w:r>
      <w:r>
        <w:rPr>
          <w:spacing w:val="-1"/>
        </w:rPr>
        <w:t>收款、固定资产存货等建立了严格的内部审批程序，规定了相应的审批权限，并实</w:t>
      </w:r>
      <w:r>
        <w:rPr>
          <w:spacing w:val="-108"/>
        </w:rPr>
        <w:t> </w:t>
      </w:r>
      <w:r>
        <w:rPr>
          <w:spacing w:val="-108"/>
        </w:rPr>
      </w:r>
      <w:r>
        <w:rPr/>
        <w:t>施有效控制管理。</w:t>
      </w:r>
    </w:p>
    <w:p>
      <w:pPr>
        <w:pStyle w:val="BodyText"/>
        <w:spacing w:line="348" w:lineRule="auto" w:before="46"/>
        <w:ind w:left="343" w:right="161" w:firstLine="480"/>
        <w:jc w:val="both"/>
      </w:pPr>
      <w:r>
        <w:rPr>
          <w:rFonts w:ascii="Times New Roman" w:hAnsi="Times New Roman" w:cs="Times New Roman" w:eastAsia="Times New Roman" w:hint="default"/>
          <w:spacing w:val="-5"/>
        </w:rPr>
        <w:t>4</w:t>
      </w:r>
      <w:r>
        <w:rPr>
          <w:spacing w:val="-5"/>
        </w:rPr>
        <w:t>、投资决策控制：公司制定《重大投资与财务决策制度》，按照符合公司发展</w:t>
      </w:r>
      <w:r>
        <w:rPr/>
        <w:t> </w:t>
      </w:r>
      <w:r>
        <w:rPr>
          <w:spacing w:val="-1"/>
        </w:rPr>
        <w:t>战略、合理配置企业资源、促进要素优化组合、创造良好经济效益的原则，就公司</w:t>
      </w:r>
      <w:r>
        <w:rPr>
          <w:spacing w:val="-108"/>
        </w:rPr>
        <w:t> </w:t>
      </w:r>
      <w:r>
        <w:rPr>
          <w:spacing w:val="-108"/>
        </w:rPr>
      </w:r>
      <w:r>
        <w:rPr/>
        <w:t>购买资产、对外投资、对外担保、银行借款等进行了规范和科学决策。</w:t>
      </w:r>
    </w:p>
    <w:p>
      <w:pPr>
        <w:pStyle w:val="BodyText"/>
        <w:spacing w:line="240" w:lineRule="auto" w:before="46"/>
        <w:ind w:left="823" w:right="0"/>
        <w:jc w:val="left"/>
      </w:pPr>
      <w:r>
        <w:rPr>
          <w:rFonts w:ascii="Times New Roman" w:hAnsi="Times New Roman" w:cs="Times New Roman" w:eastAsia="Times New Roman" w:hint="default"/>
        </w:rPr>
        <w:t>5</w:t>
      </w:r>
      <w:r>
        <w:rPr>
          <w:spacing w:val="-6"/>
        </w:rPr>
        <w:t>、</w:t>
      </w:r>
      <w:r>
        <w:rPr/>
        <w:t>信息披露控制</w:t>
      </w:r>
      <w:r>
        <w:rPr>
          <w:spacing w:val="-6"/>
        </w:rPr>
        <w:t>：</w:t>
      </w:r>
      <w:r>
        <w:rPr/>
        <w:t>公司已制订严格</w:t>
      </w:r>
      <w:r>
        <w:rPr>
          <w:spacing w:val="-6"/>
        </w:rPr>
        <w:t>的</w:t>
      </w:r>
      <w:r>
        <w:rPr/>
        <w:t>《信息披露管理制度</w:t>
      </w:r>
      <w:r>
        <w:rPr>
          <w:spacing w:val="-120"/>
        </w:rPr>
        <w:t>》</w:t>
      </w:r>
      <w:r>
        <w:rPr>
          <w:spacing w:val="-6"/>
        </w:rPr>
        <w:t>，</w:t>
      </w:r>
      <w:r>
        <w:rPr/>
        <w:t>在制度中规定了</w:t>
      </w:r>
    </w:p>
    <w:p>
      <w:pPr>
        <w:spacing w:after="0" w:line="240" w:lineRule="auto"/>
        <w:jc w:val="left"/>
        <w:sectPr>
          <w:pgSz w:w="11910" w:h="16840"/>
          <w:pgMar w:header="879" w:footer="982" w:top="1100" w:bottom="1180" w:left="1300" w:right="1480"/>
        </w:sectPr>
      </w:pPr>
    </w:p>
    <w:p>
      <w:pPr>
        <w:spacing w:line="240" w:lineRule="auto" w:before="10"/>
        <w:rPr>
          <w:rFonts w:ascii="宋体" w:hAnsi="宋体" w:cs="宋体" w:eastAsia="宋体" w:hint="default"/>
          <w:sz w:val="10"/>
          <w:szCs w:val="10"/>
        </w:rPr>
      </w:pPr>
    </w:p>
    <w:p>
      <w:pPr>
        <w:pStyle w:val="BodyText"/>
        <w:spacing w:line="357" w:lineRule="auto" w:before="26"/>
        <w:ind w:left="144" w:right="221"/>
        <w:jc w:val="both"/>
      </w:pPr>
      <w:r>
        <w:rPr>
          <w:spacing w:val="-1"/>
        </w:rPr>
        <w:t>信息披露事务管理部门、责任人及义务人职责；信息披露的内容和标准；信息披露</w:t>
      </w:r>
      <w:r>
        <w:rPr>
          <w:spacing w:val="-108"/>
        </w:rPr>
        <w:t> </w:t>
      </w:r>
      <w:r>
        <w:rPr>
          <w:spacing w:val="-108"/>
        </w:rPr>
      </w:r>
      <w:r>
        <w:rPr>
          <w:spacing w:val="-1"/>
        </w:rPr>
        <w:t>的报告、流转、审核、披露程序；信息披露相关文件、资料的档案管理；投资者关</w:t>
      </w:r>
      <w:r>
        <w:rPr>
          <w:spacing w:val="-108"/>
        </w:rPr>
        <w:t> </w:t>
      </w:r>
      <w:r>
        <w:rPr>
          <w:spacing w:val="-108"/>
        </w:rPr>
      </w:r>
      <w:r>
        <w:rPr>
          <w:spacing w:val="-1"/>
        </w:rPr>
        <w:t>系活动；信息披露的保密与处罚措施等等，特别是对定期报告、临时报告、重大事</w:t>
      </w:r>
      <w:r>
        <w:rPr>
          <w:spacing w:val="-108"/>
        </w:rPr>
        <w:t> </w:t>
      </w:r>
      <w:r>
        <w:rPr>
          <w:spacing w:val="-108"/>
        </w:rPr>
      </w:r>
      <w:r>
        <w:rPr/>
        <w:t>项的流转程序作了严格规定。公司能够按照相关制度认真执行。</w:t>
      </w:r>
    </w:p>
    <w:p>
      <w:pPr>
        <w:pStyle w:val="BodyText"/>
        <w:spacing w:line="352" w:lineRule="auto" w:before="36"/>
        <w:ind w:right="218" w:firstLine="480"/>
        <w:jc w:val="both"/>
      </w:pPr>
      <w:r>
        <w:rPr>
          <w:rFonts w:ascii="Times New Roman" w:hAnsi="Times New Roman" w:cs="Times New Roman" w:eastAsia="Times New Roman" w:hint="default"/>
          <w:spacing w:val="2"/>
        </w:rPr>
        <w:t>6</w:t>
      </w:r>
      <w:r>
        <w:rPr>
          <w:spacing w:val="2"/>
        </w:rPr>
        <w:t>、内部审计制度：公司内部审计按照公司《内部审计制度》的规定，以企业</w:t>
      </w:r>
      <w:r>
        <w:rPr>
          <w:spacing w:val="3"/>
        </w:rPr>
        <w:t> </w:t>
      </w:r>
      <w:r>
        <w:rPr>
          <w:spacing w:val="-1"/>
        </w:rPr>
        <w:t>经济效益为中心，企业规章制度为依据，采用必审和抽审，事前控制和事后审计相</w:t>
      </w:r>
      <w:r>
        <w:rPr>
          <w:spacing w:val="-108"/>
        </w:rPr>
        <w:t> </w:t>
      </w:r>
      <w:r>
        <w:rPr>
          <w:spacing w:val="-108"/>
        </w:rPr>
      </w:r>
      <w:r>
        <w:rPr>
          <w:spacing w:val="-1"/>
        </w:rPr>
        <w:t>结合的内审工作方式，充分发挥了内审的检查监督职能。通过内部审计，公司及时</w:t>
      </w:r>
      <w:r>
        <w:rPr>
          <w:spacing w:val="-108"/>
        </w:rPr>
        <w:t> </w:t>
      </w:r>
      <w:r>
        <w:rPr>
          <w:spacing w:val="-108"/>
        </w:rPr>
      </w:r>
      <w:r>
        <w:rPr>
          <w:spacing w:val="-1"/>
        </w:rPr>
        <w:t>发现有关经营活动中存在的问题，提出整改建议，落实整改措施，促进公司强化管</w:t>
      </w:r>
      <w:r>
        <w:rPr>
          <w:spacing w:val="-108"/>
        </w:rPr>
        <w:t> </w:t>
      </w:r>
      <w:r>
        <w:rPr>
          <w:spacing w:val="-108"/>
        </w:rPr>
      </w:r>
      <w:r>
        <w:rPr/>
        <w:t>理，提高内部控制、内部监督的有效性，进一步防范企业经营风险和财务风险。</w:t>
      </w:r>
    </w:p>
    <w:p>
      <w:pPr>
        <w:pStyle w:val="BodyText"/>
        <w:spacing w:line="357" w:lineRule="auto" w:before="41"/>
        <w:ind w:left="623" w:right="215"/>
        <w:jc w:val="left"/>
      </w:pPr>
      <w:r>
        <w:rPr/>
        <w:t>（二）内部控制检查监督部门的设置及检查监督情况 </w:t>
      </w:r>
      <w:r>
        <w:rPr>
          <w:spacing w:val="-1"/>
        </w:rPr>
        <w:t>公司董事会下设的审计委员会是公司内部控制监督机构，审计委员会由五名董</w:t>
      </w:r>
    </w:p>
    <w:p>
      <w:pPr>
        <w:pStyle w:val="BodyText"/>
        <w:spacing w:line="357" w:lineRule="auto" w:before="36"/>
        <w:ind w:right="89"/>
        <w:jc w:val="left"/>
      </w:pPr>
      <w:r>
        <w:rPr>
          <w:spacing w:val="-4"/>
        </w:rPr>
        <w:t>事组成，其中三名为独立董事；审计委员会下设审计办公室，独立于公司其他部门，</w:t>
      </w:r>
      <w:r>
        <w:rPr>
          <w:spacing w:val="-113"/>
        </w:rPr>
        <w:t> </w:t>
      </w:r>
      <w:r>
        <w:rPr>
          <w:spacing w:val="-113"/>
        </w:rPr>
      </w:r>
      <w:r>
        <w:rPr/>
        <w:t>接受董事会的监督与指导，执行日常内部控制的监督和检查工作。</w:t>
      </w:r>
    </w:p>
    <w:p>
      <w:pPr>
        <w:pStyle w:val="BodyText"/>
        <w:spacing w:line="350" w:lineRule="auto" w:before="36"/>
        <w:ind w:right="198"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spacing w:val="-3"/>
        </w:rPr>
        <w:t>年，审计办公室主要开展了工程项目审计（物流建设项目、连锁店装饰装</w:t>
      </w:r>
      <w:r>
        <w:rPr/>
        <w:t> </w:t>
      </w:r>
      <w:r>
        <w:rPr>
          <w:spacing w:val="-2"/>
        </w:rPr>
        <w:t>修项目）、财务常规性审计、综合管理审计、重要岗位离任审计、对外投资审计、</w:t>
      </w:r>
      <w:r>
        <w:rPr>
          <w:spacing w:val="-96"/>
        </w:rPr>
        <w:t> </w:t>
      </w:r>
      <w:r>
        <w:rPr>
          <w:spacing w:val="-96"/>
        </w:rPr>
      </w:r>
      <w:r>
        <w:rPr>
          <w:spacing w:val="-1"/>
        </w:rPr>
        <w:t>募集资金的存放与使用审计。以及对其他有必要深入的事项实施专项审计、各类招</w:t>
      </w:r>
      <w:r>
        <w:rPr>
          <w:spacing w:val="-106"/>
        </w:rPr>
        <w:t> </w:t>
      </w:r>
      <w:r>
        <w:rPr>
          <w:spacing w:val="-106"/>
        </w:rPr>
      </w:r>
      <w:r>
        <w:rPr/>
        <w:t>标项目的过程监督等。此外，对公司现金、银行账户等进行不定期抽查，对设备、 </w:t>
      </w:r>
      <w:r>
        <w:rPr>
          <w:spacing w:val="-1"/>
        </w:rPr>
        <w:t>库存等组织人员进行不定期监盘，重大经济合同复核。报告期内，公司审计办公室</w:t>
      </w:r>
      <w:r>
        <w:rPr>
          <w:spacing w:val="-108"/>
        </w:rPr>
        <w:t> </w:t>
      </w:r>
      <w:r>
        <w:rPr>
          <w:spacing w:val="-108"/>
        </w:rPr>
      </w:r>
      <w:r>
        <w:rPr/>
        <w:t>共出具例行审计报告</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4"/>
        </w:rPr>
        <w:t>份，专项审计报告</w:t>
      </w:r>
      <w:r>
        <w:rPr>
          <w:spacing w:val="-59"/>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5"/>
        </w:rPr>
        <w:t>份，对总部相关部门、</w:t>
      </w:r>
      <w:r>
        <w:rPr>
          <w:rFonts w:ascii="Times New Roman" w:hAnsi="Times New Roman" w:cs="Times New Roman" w:eastAsia="Times New Roman" w:hint="default"/>
          <w:spacing w:val="-5"/>
        </w:rPr>
        <w:t>17</w:t>
      </w:r>
      <w:r>
        <w:rPr>
          <w:rFonts w:ascii="Times New Roman" w:hAnsi="Times New Roman" w:cs="Times New Roman" w:eastAsia="Times New Roman" w:hint="default"/>
          <w:spacing w:val="1"/>
        </w:rPr>
        <w:t> </w:t>
      </w:r>
      <w:r>
        <w:rPr/>
        <w:t>个大区及其 下辖公司提出整改意见和建议。</w:t>
      </w:r>
    </w:p>
    <w:p>
      <w:pPr>
        <w:pStyle w:val="BodyText"/>
        <w:spacing w:line="357" w:lineRule="auto" w:before="43"/>
        <w:ind w:left="623" w:right="215"/>
        <w:jc w:val="left"/>
      </w:pPr>
      <w:r>
        <w:rPr/>
        <w:t>（三）董事会对公司内部控制自我评价的意见 </w:t>
      </w:r>
      <w:r>
        <w:rPr>
          <w:spacing w:val="-1"/>
        </w:rPr>
        <w:t>公司已结合自身经营特点，制定了一系列内部控制的规章制度，并结合公司信</w:t>
      </w:r>
    </w:p>
    <w:p>
      <w:pPr>
        <w:pStyle w:val="BodyText"/>
        <w:spacing w:line="350" w:lineRule="auto" w:before="36"/>
        <w:ind w:right="221"/>
        <w:jc w:val="both"/>
      </w:pPr>
      <w:r>
        <w:rPr>
          <w:spacing w:val="-1"/>
        </w:rPr>
        <w:t>息系统的优势，得到相对有效的执行，从而保证了公司经营管理的正常进行。公司</w:t>
      </w:r>
      <w:r>
        <w:rPr>
          <w:spacing w:val="-108"/>
        </w:rPr>
        <w:t> </w:t>
      </w:r>
      <w:r>
        <w:rPr>
          <w:spacing w:val="-108"/>
        </w:rPr>
      </w:r>
      <w:r>
        <w:rPr>
          <w:spacing w:val="-1"/>
        </w:rPr>
        <w:t>管理层认为：公司内部控制就总体而言体现了完整性、合理性、有效性。我们确信</w:t>
      </w:r>
      <w:r>
        <w:rPr>
          <w:spacing w:val="-108"/>
        </w:rPr>
        <w:t> </w:t>
      </w:r>
      <w:r>
        <w:rPr>
          <w:spacing w:val="-108"/>
        </w:rPr>
      </w:r>
      <w:r>
        <w:rPr>
          <w:spacing w:val="-4"/>
        </w:rPr>
        <w:t>公司按照《内部会计控制规范</w:t>
      </w:r>
      <w:r>
        <w:rPr>
          <w:rFonts w:ascii="Times New Roman" w:hAnsi="Times New Roman" w:cs="Times New Roman" w:eastAsia="Times New Roman" w:hint="default"/>
          <w:spacing w:val="-4"/>
        </w:rPr>
        <w:t>--</w:t>
      </w:r>
      <w:r>
        <w:rPr>
          <w:spacing w:val="-4"/>
        </w:rPr>
        <w:t>基本规范</w:t>
      </w:r>
      <w:r>
        <w:rPr>
          <w:rFonts w:ascii="Times New Roman" w:hAnsi="Times New Roman" w:cs="Times New Roman" w:eastAsia="Times New Roman" w:hint="default"/>
          <w:spacing w:val="-4"/>
        </w:rPr>
        <w:t>(</w:t>
      </w:r>
      <w:r>
        <w:rPr>
          <w:spacing w:val="-4"/>
        </w:rPr>
        <w:t>试行</w:t>
      </w:r>
      <w:r>
        <w:rPr>
          <w:rFonts w:ascii="Times New Roman" w:hAnsi="Times New Roman" w:cs="Times New Roman" w:eastAsia="Times New Roman" w:hint="default"/>
          <w:spacing w:val="-4"/>
        </w:rPr>
        <w:t>)</w:t>
      </w:r>
      <w:r>
        <w:rPr>
          <w:spacing w:val="-4"/>
        </w:rPr>
        <w:t>》的控制标准，在所有重大方面保持</w:t>
      </w:r>
      <w:r>
        <w:rPr>
          <w:spacing w:val="-83"/>
        </w:rPr>
        <w:t> </w:t>
      </w:r>
      <w:r>
        <w:rPr>
          <w:spacing w:val="-83"/>
        </w:rPr>
      </w:r>
      <w:r>
        <w:rPr/>
        <w:t>了对截至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日的会计报表有效的内部控制。</w:t>
      </w:r>
    </w:p>
    <w:p>
      <w:pPr>
        <w:pStyle w:val="BodyText"/>
        <w:spacing w:line="357" w:lineRule="auto" w:before="13"/>
        <w:ind w:right="221" w:firstLine="480"/>
        <w:jc w:val="both"/>
      </w:pPr>
      <w:r>
        <w:rPr>
          <w:spacing w:val="-1"/>
        </w:rPr>
        <w:t>随着国家法律法规的逐步深化完善和公司不断发展的需要，以及经营环境、情</w:t>
      </w:r>
      <w:r>
        <w:rPr/>
        <w:t> </w:t>
      </w:r>
      <w:r>
        <w:rPr>
          <w:spacing w:val="-1"/>
        </w:rPr>
        <w:t>况的可能的改变，内部控制的有效性可能随之改变，公司将继续强化和细化内部控</w:t>
      </w:r>
      <w:r>
        <w:rPr>
          <w:spacing w:val="-106"/>
        </w:rPr>
        <w:t> </w:t>
      </w:r>
      <w:r>
        <w:rPr>
          <w:spacing w:val="-106"/>
        </w:rPr>
      </w:r>
      <w:r>
        <w:rPr/>
        <w:t>制制度，并加强制度的执行和检查工作，杜绝因为管理不到位等原因造成损失。</w:t>
      </w:r>
    </w:p>
    <w:p>
      <w:pPr>
        <w:spacing w:after="0" w:line="357"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57" w:lineRule="auto" w:before="26"/>
        <w:ind w:left="144" w:right="221" w:firstLine="480"/>
        <w:jc w:val="right"/>
      </w:pPr>
      <w:r>
        <w:rPr>
          <w:spacing w:val="-1"/>
        </w:rPr>
        <w:t>五、公司对高级管理人员的考评和激励机制、相关奖励制度的建立及实施情况</w:t>
      </w:r>
      <w:r>
        <w:rPr/>
        <w:t> </w:t>
      </w:r>
      <w:r>
        <w:rPr>
          <w:spacing w:val="-1"/>
        </w:rPr>
        <w:t>报告期内，公司以量化的考核指标定期对高级管理人员进行业绩考核。经过考</w:t>
      </w:r>
      <w:r>
        <w:rPr/>
        <w:t> </w:t>
      </w:r>
      <w:r>
        <w:rPr>
          <w:spacing w:val="-5"/>
        </w:rPr>
        <w:t>评，</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10"/>
        </w:rPr>
        <w:t> </w:t>
      </w:r>
      <w:r>
        <w:rPr>
          <w:spacing w:val="-2"/>
        </w:rPr>
        <w:t>年度公司高管人员认真的履行了工作职责，工作业绩良好，较好的完成了</w:t>
      </w:r>
    </w:p>
    <w:p>
      <w:pPr>
        <w:pStyle w:val="BodyText"/>
        <w:spacing w:line="357" w:lineRule="auto" w:before="5"/>
        <w:ind w:left="624" w:right="214" w:hanging="480"/>
        <w:jc w:val="left"/>
      </w:pPr>
      <w:r>
        <w:rPr/>
        <w:t>本年度所确定的各项任务。 </w:t>
      </w:r>
      <w:r>
        <w:rPr>
          <w:spacing w:val="-1"/>
        </w:rPr>
        <w:t>同时，公司还将继续推进《股票期权激励计划》的出台和实施，以进一步完善</w:t>
      </w:r>
    </w:p>
    <w:p>
      <w:pPr>
        <w:pStyle w:val="BodyText"/>
        <w:spacing w:line="357" w:lineRule="auto" w:before="36"/>
        <w:ind w:left="144" w:right="221"/>
        <w:jc w:val="both"/>
      </w:pPr>
      <w:r>
        <w:rPr>
          <w:spacing w:val="-1"/>
        </w:rPr>
        <w:t>公司治理结构，健全公司激励约束机制，有效调动管理者和重要骨干的积极性，吸</w:t>
      </w:r>
      <w:r>
        <w:rPr>
          <w:spacing w:val="-108"/>
        </w:rPr>
        <w:t> </w:t>
      </w:r>
      <w:r>
        <w:rPr>
          <w:spacing w:val="-108"/>
        </w:rPr>
      </w:r>
      <w:r>
        <w:rPr/>
        <w:t>引和留住优秀管理人才和业务骨干，从而更好地促进公司长期稳定发展。</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pStyle w:val="Heading1"/>
        <w:tabs>
          <w:tab w:pos="1841" w:val="left" w:leader="none"/>
        </w:tabs>
        <w:spacing w:line="240" w:lineRule="auto" w:before="0"/>
        <w:ind w:right="0"/>
        <w:jc w:val="center"/>
        <w:rPr>
          <w:b w:val="0"/>
          <w:bCs w:val="0"/>
        </w:rPr>
      </w:pPr>
      <w:bookmarkStart w:name="_TOC_250005" w:id="6"/>
      <w:r>
        <w:rPr>
          <w:w w:val="95"/>
        </w:rPr>
        <w:t>第六节</w:t>
        <w:tab/>
      </w:r>
      <w:r>
        <w:rPr/>
        <w:t>股东大会情况简介</w:t>
      </w:r>
      <w:bookmarkEnd w:id="6"/>
      <w:r>
        <w:rPr>
          <w:b w:val="0"/>
          <w:bCs w:val="0"/>
        </w:rPr>
      </w:r>
    </w:p>
    <w:p>
      <w:pPr>
        <w:pStyle w:val="BodyText"/>
        <w:spacing w:line="357" w:lineRule="auto" w:before="193"/>
        <w:ind w:right="221" w:firstLine="480"/>
        <w:jc w:val="both"/>
      </w:pPr>
      <w:r>
        <w:rPr>
          <w:spacing w:val="-1"/>
        </w:rPr>
        <w:t>报告期内，公司共召开一次年度股东大会和两次临时股东大会。股东大会的通</w:t>
      </w:r>
      <w:r>
        <w:rPr/>
        <w:t> </w:t>
      </w:r>
      <w:r>
        <w:rPr>
          <w:spacing w:val="-8"/>
        </w:rPr>
        <w:t>知、召开、出席人员的资格、表决程序符合《公司法》、《上市公司股东大会规范意</w:t>
      </w:r>
      <w:r>
        <w:rPr>
          <w:spacing w:val="-87"/>
        </w:rPr>
        <w:t> </w:t>
      </w:r>
      <w:r>
        <w:rPr>
          <w:spacing w:val="-87"/>
        </w:rPr>
      </w:r>
      <w:r>
        <w:rPr/>
        <w:t>见》和公司《章程》的有关规定。</w:t>
      </w:r>
    </w:p>
    <w:p>
      <w:pPr>
        <w:pStyle w:val="BodyText"/>
        <w:spacing w:line="240" w:lineRule="auto" w:before="36"/>
        <w:ind w:left="623" w:right="87"/>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120"/>
        </w:rPr>
        <w:t>、</w:t>
      </w:r>
      <w:r>
        <w:rPr/>
        <w:t>公司于</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日在公司会议室召开公司</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年年度股东大会</w:t>
      </w:r>
      <w:r>
        <w:rPr>
          <w:spacing w:val="-120"/>
        </w:rPr>
        <w:t>。</w:t>
      </w:r>
      <w:r>
        <w:rPr>
          <w:rFonts w:ascii="Times New Roman" w:hAnsi="Times New Roman" w:cs="Times New Roman" w:eastAsia="Times New Roman" w:hint="default"/>
        </w:rPr>
        <w:t>2007</w:t>
      </w:r>
    </w:p>
    <w:p>
      <w:pPr>
        <w:pStyle w:val="BodyText"/>
        <w:spacing w:line="240" w:lineRule="auto" w:before="135"/>
        <w:ind w:right="0"/>
        <w:jc w:val="both"/>
      </w:pPr>
      <w:r>
        <w:rPr/>
        <w:t>年</w:t>
      </w:r>
      <w:r>
        <w:rPr>
          <w:spacing w:val="-6"/>
        </w:rPr>
        <w:t> </w:t>
      </w:r>
      <w:r>
        <w:rPr>
          <w:rFonts w:ascii="Times New Roman" w:hAnsi="Times New Roman" w:cs="Times New Roman" w:eastAsia="Times New Roman" w:hint="default"/>
        </w:rPr>
        <w:t>3 </w:t>
      </w:r>
      <w:r>
        <w:rPr>
          <w:rFonts w:ascii="Times New Roman" w:hAnsi="Times New Roman" w:cs="Times New Roman" w:eastAsia="Times New Roman" w:hint="default"/>
          <w:spacing w:val="-6"/>
        </w:rPr>
        <w:t> </w:t>
      </w:r>
      <w:r>
        <w:rPr/>
        <w:t>月</w:t>
      </w:r>
      <w:r>
        <w:rPr>
          <w:spacing w:val="-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rFonts w:ascii="Times New Roman" w:hAnsi="Times New Roman" w:cs="Times New Roman" w:eastAsia="Times New Roman" w:hint="default"/>
          <w:spacing w:val="-6"/>
        </w:rPr>
        <w:t> </w:t>
      </w:r>
      <w:r>
        <w:rPr/>
        <w:t>日，公司在巨潮资讯网</w:t>
      </w:r>
      <w:r>
        <w:rPr>
          <w:spacing w:val="-120"/>
        </w:rPr>
        <w:t>、</w:t>
      </w:r>
      <w:r>
        <w:rPr/>
        <w:t>《证券时报</w:t>
      </w:r>
      <w:r>
        <w:rPr>
          <w:spacing w:val="-120"/>
        </w:rPr>
        <w:t>》、</w:t>
      </w:r>
      <w:r>
        <w:rPr/>
        <w:t>《中国证券报</w:t>
      </w:r>
      <w:r>
        <w:rPr>
          <w:spacing w:val="-120"/>
        </w:rPr>
        <w:t>》、</w:t>
      </w:r>
      <w:r>
        <w:rPr/>
        <w:t>《上海证券报</w:t>
      </w:r>
      <w:r>
        <w:rPr>
          <w:spacing w:val="-120"/>
        </w:rPr>
        <w:t>》</w:t>
      </w:r>
      <w:r>
        <w:rPr/>
        <w:t>、</w:t>
      </w:r>
    </w:p>
    <w:p>
      <w:pPr>
        <w:pStyle w:val="BodyText"/>
        <w:spacing w:line="357" w:lineRule="auto" w:before="135"/>
        <w:ind w:right="221"/>
        <w:jc w:val="both"/>
      </w:pPr>
      <w:r>
        <w:rPr>
          <w:spacing w:val="-1"/>
        </w:rPr>
        <w:t>《证券日报》上以公告形式发出会议通知，明确了召开股东大会的时间、地点、内</w:t>
      </w:r>
      <w:r>
        <w:rPr>
          <w:spacing w:val="-107"/>
        </w:rPr>
        <w:t> </w:t>
      </w:r>
      <w:r>
        <w:rPr>
          <w:spacing w:val="-107"/>
        </w:rPr>
      </w:r>
      <w:r>
        <w:rPr/>
        <w:t>容及参会方法等。股东大会于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日上午</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在公司十七楼会议室召</w:t>
      </w:r>
    </w:p>
    <w:p>
      <w:pPr>
        <w:pStyle w:val="BodyText"/>
        <w:spacing w:line="338" w:lineRule="auto" w:before="5"/>
        <w:ind w:right="221"/>
        <w:jc w:val="both"/>
      </w:pPr>
      <w:r>
        <w:rPr/>
        <w:t>开，出席会议的股东及股东代理人</w:t>
      </w:r>
      <w:r>
        <w:rPr>
          <w:spacing w:val="-66"/>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人，代表公司股份</w:t>
      </w:r>
      <w:r>
        <w:rPr>
          <w:spacing w:val="-66"/>
        </w:rPr>
        <w:t> </w:t>
      </w:r>
      <w:r>
        <w:rPr>
          <w:rFonts w:ascii="Times New Roman" w:hAnsi="Times New Roman" w:cs="Times New Roman" w:eastAsia="Times New Roman" w:hint="default"/>
        </w:rPr>
        <w:t>403,760,872</w:t>
      </w:r>
      <w:r>
        <w:rPr>
          <w:rFonts w:ascii="Times New Roman" w:hAnsi="Times New Roman" w:cs="Times New Roman" w:eastAsia="Times New Roman" w:hint="default"/>
          <w:spacing w:val="-6"/>
        </w:rPr>
        <w:t> </w:t>
      </w:r>
      <w:r>
        <w:rPr/>
        <w:t>股，占公司股 本总额的</w:t>
      </w:r>
      <w:r>
        <w:rPr>
          <w:spacing w:val="-60"/>
        </w:rPr>
        <w:t> </w:t>
      </w:r>
      <w:r>
        <w:rPr>
          <w:rFonts w:ascii="Times New Roman" w:hAnsi="Times New Roman" w:cs="Times New Roman" w:eastAsia="Times New Roman" w:hint="default"/>
          <w:spacing w:val="-3"/>
        </w:rPr>
        <w:t>56.02%</w:t>
      </w:r>
      <w:r>
        <w:rPr>
          <w:spacing w:val="-3"/>
        </w:rPr>
        <w:t>。会议的召开符合《公司法》和公司《章程》的规定。大会以记名</w:t>
      </w:r>
      <w:r>
        <w:rPr/>
        <w:t> 表决方式，审议并通过了以下议案：</w:t>
      </w:r>
    </w:p>
    <w:p>
      <w:pPr>
        <w:pStyle w:val="BodyText"/>
        <w:spacing w:line="240" w:lineRule="auto" w:before="55"/>
        <w:ind w:left="623" w:right="87"/>
        <w:jc w:val="left"/>
      </w:pPr>
      <w:r>
        <w:rPr/>
        <w:t>（</w:t>
      </w:r>
      <w:r>
        <w:rPr>
          <w:rFonts w:ascii="Times New Roman" w:hAnsi="Times New Roman" w:cs="Times New Roman" w:eastAsia="Times New Roman" w:hint="default"/>
        </w:rPr>
        <w:t>1</w:t>
      </w:r>
      <w:r>
        <w:rPr>
          <w:spacing w:val="-120"/>
        </w:rPr>
        <w:t>）</w:t>
      </w:r>
      <w:r>
        <w:rPr/>
        <w:t>《</w:t>
      </w:r>
      <w:r>
        <w:rPr>
          <w:rFonts w:ascii="Times New Roman" w:hAnsi="Times New Roman" w:cs="Times New Roman" w:eastAsia="Times New Roman" w:hint="default"/>
        </w:rPr>
        <w:t>2006 </w:t>
      </w:r>
      <w:r>
        <w:rPr/>
        <w:t>年度董事会工作报告</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2</w:t>
      </w:r>
      <w:r>
        <w:rPr>
          <w:spacing w:val="-120"/>
        </w:rPr>
        <w:t>）</w:t>
      </w:r>
      <w:r>
        <w:rPr/>
        <w:t>《</w:t>
      </w:r>
      <w:r>
        <w:rPr>
          <w:rFonts w:ascii="Times New Roman" w:hAnsi="Times New Roman" w:cs="Times New Roman" w:eastAsia="Times New Roman" w:hint="default"/>
        </w:rPr>
        <w:t>2006 </w:t>
      </w:r>
      <w:r>
        <w:rPr/>
        <w:t>年度监事会工作报告</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3</w:t>
      </w:r>
      <w:r>
        <w:rPr>
          <w:spacing w:val="-120"/>
        </w:rPr>
        <w:t>）</w:t>
      </w:r>
      <w:r>
        <w:rPr/>
        <w:t>《</w:t>
      </w:r>
      <w:r>
        <w:rPr>
          <w:rFonts w:ascii="Times New Roman" w:hAnsi="Times New Roman" w:cs="Times New Roman" w:eastAsia="Times New Roman" w:hint="default"/>
        </w:rPr>
        <w:t>2006 </w:t>
      </w:r>
      <w:r>
        <w:rPr/>
        <w:t>年度财务决算报告</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4</w:t>
      </w:r>
      <w:r>
        <w:rPr>
          <w:spacing w:val="-120"/>
        </w:rPr>
        <w:t>）</w:t>
      </w:r>
      <w:r>
        <w:rPr/>
        <w:t>《</w:t>
      </w:r>
      <w:r>
        <w:rPr>
          <w:rFonts w:ascii="Times New Roman" w:hAnsi="Times New Roman" w:cs="Times New Roman" w:eastAsia="Times New Roman" w:hint="default"/>
        </w:rPr>
        <w:t>2006 </w:t>
      </w:r>
      <w:r>
        <w:rPr/>
        <w:t>年度利润分配预案</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5</w:t>
      </w:r>
      <w:r>
        <w:rPr>
          <w:spacing w:val="-120"/>
        </w:rPr>
        <w:t>）</w:t>
      </w:r>
      <w:r>
        <w:rPr/>
        <w:t>《</w:t>
      </w:r>
      <w:r>
        <w:rPr>
          <w:rFonts w:ascii="Times New Roman" w:hAnsi="Times New Roman" w:cs="Times New Roman" w:eastAsia="Times New Roman" w:hint="default"/>
        </w:rPr>
        <w:t>2006 </w:t>
      </w:r>
      <w:r>
        <w:rPr/>
        <w:t>年年度报告》及《</w:t>
      </w:r>
      <w:r>
        <w:rPr>
          <w:rFonts w:ascii="Times New Roman" w:hAnsi="Times New Roman" w:cs="Times New Roman" w:eastAsia="Times New Roman" w:hint="default"/>
        </w:rPr>
        <w:t>2006 </w:t>
      </w:r>
      <w:r>
        <w:rPr/>
        <w:t>年年度报告摘要</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6</w:t>
      </w:r>
      <w:r>
        <w:rPr>
          <w:spacing w:val="-120"/>
        </w:rPr>
        <w:t>）</w:t>
      </w:r>
      <w:r>
        <w:rPr/>
        <w:t>《关于公司</w:t>
      </w:r>
      <w:r>
        <w:rPr>
          <w:spacing w:val="-60"/>
        </w:rPr>
        <w:t> </w:t>
      </w:r>
      <w:r>
        <w:rPr>
          <w:rFonts w:ascii="Times New Roman" w:hAnsi="Times New Roman" w:cs="Times New Roman" w:eastAsia="Times New Roman" w:hint="default"/>
        </w:rPr>
        <w:t>2006 </w:t>
      </w:r>
      <w:r>
        <w:rPr/>
        <w:t>年度募集资金存放及使用情况的专项说明</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7</w:t>
      </w:r>
      <w:r>
        <w:rPr>
          <w:spacing w:val="-120"/>
        </w:rPr>
        <w:t>）</w:t>
      </w:r>
      <w:r>
        <w:rPr/>
        <w:t>《关于变更公司经营范围的议案</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8</w:t>
      </w:r>
      <w:r>
        <w:rPr>
          <w:spacing w:val="-120"/>
        </w:rPr>
        <w:t>）</w:t>
      </w:r>
      <w:r>
        <w:rPr/>
        <w:t>《关于修改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9</w:t>
      </w:r>
      <w:r>
        <w:rPr>
          <w:spacing w:val="-120"/>
        </w:rPr>
        <w:t>）</w:t>
      </w:r>
      <w:r>
        <w:rPr/>
        <w:t>《股东大会议事规则》</w:t>
      </w:r>
      <w:r>
        <w:rPr>
          <w:rFonts w:ascii="Times New Roman" w:hAnsi="Times New Roman" w:cs="Times New Roman" w:eastAsia="Times New Roman" w:hint="default"/>
        </w:rPr>
        <w:t>(2007 </w:t>
      </w:r>
      <w:r>
        <w:rPr/>
        <w:t>年修订</w:t>
      </w:r>
      <w:r>
        <w:rPr>
          <w:rFonts w:ascii="Times New Roman" w:hAnsi="Times New Roman" w:cs="Times New Roman" w:eastAsia="Times New Roman" w:hint="default"/>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10</w:t>
      </w:r>
      <w:r>
        <w:rPr>
          <w:spacing w:val="-120"/>
        </w:rPr>
        <w:t>）</w:t>
      </w:r>
      <w:r>
        <w:rPr/>
        <w:t>《董事会议事规则》</w:t>
      </w:r>
      <w:r>
        <w:rPr>
          <w:rFonts w:ascii="Times New Roman" w:hAnsi="Times New Roman" w:cs="Times New Roman" w:eastAsia="Times New Roman" w:hint="default"/>
        </w:rPr>
        <w:t>(2007 </w:t>
      </w:r>
      <w:r>
        <w:rPr/>
        <w:t>年修订</w:t>
      </w:r>
      <w:r>
        <w:rPr>
          <w:rFonts w:ascii="Times New Roman" w:hAnsi="Times New Roman" w:cs="Times New Roman" w:eastAsia="Times New Roman" w:hint="default"/>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spacing w:val="-120"/>
        </w:rPr>
        <w:t>）</w:t>
      </w:r>
      <w:r>
        <w:rPr/>
        <w:t>《监事会议事规则</w:t>
      </w:r>
      <w:r>
        <w:rPr>
          <w:spacing w:val="-120"/>
        </w:rPr>
        <w:t>》</w:t>
      </w:r>
      <w:r>
        <w:rPr/>
        <w:t>（</w:t>
      </w:r>
      <w:r>
        <w:rPr>
          <w:rFonts w:ascii="Times New Roman" w:hAnsi="Times New Roman" w:cs="Times New Roman" w:eastAsia="Times New Roman" w:hint="default"/>
        </w:rPr>
        <w:t>2007 </w:t>
      </w:r>
      <w:r>
        <w:rPr/>
        <w:t>年修订</w:t>
      </w:r>
      <w:r>
        <w:rPr>
          <w:spacing w:val="-120"/>
        </w:rPr>
        <w:t>）</w:t>
      </w:r>
      <w:r>
        <w:rPr/>
        <w:t>；</w:t>
      </w:r>
    </w:p>
    <w:p>
      <w:pPr>
        <w:spacing w:after="0" w:line="240" w:lineRule="auto"/>
        <w:jc w:val="left"/>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240" w:lineRule="auto" w:before="26"/>
        <w:ind w:left="624" w:right="87"/>
        <w:jc w:val="left"/>
      </w:pPr>
      <w:r>
        <w:rPr/>
        <w:t>（</w:t>
      </w:r>
      <w:r>
        <w:rPr>
          <w:rFonts w:ascii="Times New Roman" w:hAnsi="Times New Roman" w:cs="Times New Roman" w:eastAsia="Times New Roman" w:hint="default"/>
        </w:rPr>
        <w:t>12</w:t>
      </w:r>
      <w:r>
        <w:rPr>
          <w:spacing w:val="-120"/>
        </w:rPr>
        <w:t>）</w:t>
      </w:r>
      <w:r>
        <w:rPr/>
        <w:t>《重大投资与财务决策制度</w:t>
      </w:r>
      <w:r>
        <w:rPr>
          <w:spacing w:val="-120"/>
        </w:rPr>
        <w:t>》</w:t>
      </w:r>
      <w:r>
        <w:rPr/>
        <w:t>（</w:t>
      </w:r>
      <w:r>
        <w:rPr>
          <w:rFonts w:ascii="Times New Roman" w:hAnsi="Times New Roman" w:cs="Times New Roman" w:eastAsia="Times New Roman" w:hint="default"/>
        </w:rPr>
        <w:t>2007 </w:t>
      </w:r>
      <w:r>
        <w:rPr/>
        <w:t>年修订</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13</w:t>
      </w:r>
      <w:r>
        <w:rPr>
          <w:spacing w:val="-120"/>
        </w:rPr>
        <w:t>）</w:t>
      </w:r>
      <w:r>
        <w:rPr/>
        <w:t>《关于续聘会计师事务所的议案</w:t>
      </w:r>
      <w:r>
        <w:rPr>
          <w:spacing w:val="-120"/>
        </w:rPr>
        <w:t>》</w:t>
      </w:r>
      <w:r>
        <w:rPr/>
        <w:t>；</w:t>
      </w:r>
    </w:p>
    <w:p>
      <w:pPr>
        <w:pStyle w:val="BodyText"/>
        <w:spacing w:line="338" w:lineRule="auto" w:before="135"/>
        <w:ind w:left="623" w:right="215"/>
        <w:jc w:val="left"/>
      </w:pPr>
      <w:r>
        <w:rPr>
          <w:spacing w:val="-12"/>
        </w:rPr>
        <w:t>（</w:t>
      </w:r>
      <w:r>
        <w:rPr>
          <w:rFonts w:ascii="Times New Roman" w:hAnsi="Times New Roman" w:cs="Times New Roman" w:eastAsia="Times New Roman" w:hint="default"/>
          <w:spacing w:val="-12"/>
        </w:rPr>
        <w:t>14</w:t>
      </w:r>
      <w:r>
        <w:rPr>
          <w:spacing w:val="-12"/>
        </w:rPr>
        <w:t>）《关于调整独立董事津贴的议案》。</w:t>
      </w:r>
      <w:r>
        <w:rPr/>
        <w:t> </w:t>
      </w:r>
      <w:r>
        <w:rPr>
          <w:spacing w:val="-1"/>
        </w:rPr>
        <w:t>江苏世纪同仁律师事务所朱增进律师出席本次股东大会进行见证，并出具法律</w:t>
      </w:r>
    </w:p>
    <w:p>
      <w:pPr>
        <w:pStyle w:val="BodyText"/>
        <w:spacing w:line="240" w:lineRule="auto" w:before="55"/>
        <w:ind w:right="0"/>
        <w:jc w:val="both"/>
      </w:pPr>
      <w:r>
        <w:rPr/>
        <w:t>意见书。大会决议公告分别刊登于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日的巨潮资讯网</w:t>
      </w:r>
      <w:r>
        <w:rPr>
          <w:spacing w:val="-120"/>
        </w:rPr>
        <w:t>、</w:t>
      </w:r>
      <w:r>
        <w:rPr/>
        <w:t>《证券时报</w:t>
      </w:r>
      <w:r>
        <w:rPr>
          <w:spacing w:val="-120"/>
        </w:rPr>
        <w:t>》</w:t>
      </w:r>
      <w:r>
        <w:rPr/>
        <w:t>、</w:t>
      </w:r>
    </w:p>
    <w:p>
      <w:pPr>
        <w:pStyle w:val="BodyText"/>
        <w:spacing w:line="240" w:lineRule="auto" w:before="135"/>
        <w:ind w:right="0"/>
        <w:jc w:val="both"/>
      </w:pPr>
      <w:r>
        <w:rPr/>
        <w:t>《中国证券报</w:t>
      </w:r>
      <w:r>
        <w:rPr>
          <w:spacing w:val="-120"/>
        </w:rPr>
        <w:t>》、</w:t>
      </w:r>
      <w:r>
        <w:rPr/>
        <w:t>《上海证券报</w:t>
      </w:r>
      <w:r>
        <w:rPr>
          <w:spacing w:val="-120"/>
        </w:rPr>
        <w:t>》、</w:t>
      </w:r>
      <w:r>
        <w:rPr/>
        <w:t>《证券日报</w:t>
      </w:r>
      <w:r>
        <w:rPr>
          <w:spacing w:val="-120"/>
        </w:rPr>
        <w:t>》</w:t>
      </w:r>
      <w:r>
        <w:rPr/>
        <w:t>。</w:t>
      </w:r>
    </w:p>
    <w:p>
      <w:pPr>
        <w:pStyle w:val="BodyText"/>
        <w:spacing w:line="240" w:lineRule="auto" w:before="154"/>
        <w:ind w:left="623" w:right="87"/>
        <w:jc w:val="left"/>
      </w:pPr>
      <w:r>
        <w:rPr>
          <w:rFonts w:ascii="Times New Roman" w:hAnsi="Times New Roman" w:cs="Times New Roman" w:eastAsia="Times New Roman" w:hint="default"/>
        </w:rPr>
        <w:t>2</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日在公司会议室召开公司</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年第一次临时股东大</w:t>
      </w:r>
    </w:p>
    <w:p>
      <w:pPr>
        <w:pStyle w:val="BodyText"/>
        <w:spacing w:line="343" w:lineRule="auto" w:before="135"/>
        <w:ind w:left="144" w:right="85"/>
        <w:jc w:val="left"/>
      </w:pPr>
      <w:r>
        <w:rPr/>
        <w:t>会。</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spacing w:val="-1"/>
        </w:rPr>
        <w:t>21</w:t>
      </w:r>
      <w:r>
        <w:rPr>
          <w:rFonts w:ascii="Times New Roman" w:hAnsi="Times New Roman" w:cs="Times New Roman" w:eastAsia="Times New Roman" w:hint="default"/>
          <w:spacing w:val="4"/>
        </w:rPr>
        <w:t> </w:t>
      </w:r>
      <w:r>
        <w:rPr/>
        <w:t>日和</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5"/>
        </w:rPr>
        <w:t> </w:t>
      </w:r>
      <w:r>
        <w:rPr>
          <w:spacing w:val="-17"/>
        </w:rPr>
        <w:t>日，公司在巨潮资讯网、《证券时报》、《中国证券</w:t>
      </w:r>
      <w:r>
        <w:rPr>
          <w:spacing w:val="-116"/>
        </w:rPr>
        <w:t> </w:t>
      </w:r>
      <w:r>
        <w:rPr>
          <w:spacing w:val="-116"/>
        </w:rPr>
      </w:r>
      <w:r>
        <w:rPr>
          <w:spacing w:val="-13"/>
        </w:rPr>
        <w:t>报》、《上海证券报》、《证券日报》上以公告形式分别发出会议通知及提示性公告，</w:t>
      </w:r>
      <w:r>
        <w:rPr>
          <w:spacing w:val="-106"/>
        </w:rPr>
        <w:t> </w:t>
      </w:r>
      <w:r>
        <w:rPr>
          <w:spacing w:val="-106"/>
        </w:rPr>
      </w:r>
      <w:r>
        <w:rPr>
          <w:spacing w:val="-3"/>
        </w:rPr>
        <w:t>明确了召开股东大会的时间、地点、内容及参会方法等。股东大会于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8 </w:t>
      </w:r>
      <w:r>
        <w:rPr/>
        <w:t>日下午</w:t>
      </w:r>
      <w:r>
        <w:rPr>
          <w:spacing w:val="-57"/>
        </w:rPr>
        <w:t> </w:t>
      </w:r>
      <w:r>
        <w:rPr>
          <w:rFonts w:ascii="Times New Roman" w:hAnsi="Times New Roman" w:cs="Times New Roman" w:eastAsia="Times New Roman" w:hint="default"/>
          <w:spacing w:val="-15"/>
        </w:rPr>
        <w:t>14</w:t>
      </w:r>
      <w:r>
        <w:rPr>
          <w:spacing w:val="-15"/>
        </w:rPr>
        <w:t>：</w:t>
      </w:r>
      <w:r>
        <w:rPr>
          <w:rFonts w:ascii="Times New Roman" w:hAnsi="Times New Roman" w:cs="Times New Roman" w:eastAsia="Times New Roman" w:hint="default"/>
          <w:spacing w:val="-15"/>
        </w:rPr>
        <w:t>00</w:t>
      </w:r>
      <w:r>
        <w:rPr>
          <w:rFonts w:ascii="Times New Roman" w:hAnsi="Times New Roman" w:cs="Times New Roman" w:eastAsia="Times New Roman" w:hint="default"/>
          <w:spacing w:val="3"/>
        </w:rPr>
        <w:t> </w:t>
      </w:r>
      <w:r>
        <w:rPr/>
        <w:t>在公司</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4"/>
        </w:rPr>
        <w:t>楼会议室召开，出席会议的股东或股东代理人共计</w:t>
      </w:r>
      <w:r>
        <w:rPr>
          <w:spacing w:val="-57"/>
        </w:rPr>
        <w:t> </w:t>
      </w:r>
      <w:r>
        <w:rPr>
          <w:rFonts w:ascii="Times New Roman" w:hAnsi="Times New Roman" w:cs="Times New Roman" w:eastAsia="Times New Roman" w:hint="default"/>
        </w:rPr>
        <w:t>196</w:t>
      </w:r>
      <w:r>
        <w:rPr>
          <w:rFonts w:ascii="Times New Roman" w:hAnsi="Times New Roman" w:cs="Times New Roman" w:eastAsia="Times New Roman" w:hint="default"/>
          <w:spacing w:val="3"/>
        </w:rPr>
        <w:t> </w:t>
      </w:r>
      <w:r>
        <w:rPr/>
        <w:t>人， 代表公司股份</w:t>
      </w:r>
      <w:r>
        <w:rPr>
          <w:spacing w:val="-54"/>
        </w:rPr>
        <w:t> </w:t>
      </w:r>
      <w:r>
        <w:rPr>
          <w:rFonts w:ascii="Times New Roman" w:hAnsi="Times New Roman" w:cs="Times New Roman" w:eastAsia="Times New Roman" w:hint="default"/>
        </w:rPr>
        <w:t>901,277,590</w:t>
      </w:r>
      <w:r>
        <w:rPr>
          <w:rFonts w:ascii="Times New Roman" w:hAnsi="Times New Roman" w:cs="Times New Roman" w:eastAsia="Times New Roman" w:hint="default"/>
          <w:spacing w:val="6"/>
        </w:rPr>
        <w:t> </w:t>
      </w:r>
      <w:r>
        <w:rPr/>
        <w:t>股，占公司股本总额的</w:t>
      </w:r>
      <w:r>
        <w:rPr>
          <w:spacing w:val="-54"/>
        </w:rPr>
        <w:t> </w:t>
      </w:r>
      <w:r>
        <w:rPr>
          <w:rFonts w:ascii="Times New Roman" w:hAnsi="Times New Roman" w:cs="Times New Roman" w:eastAsia="Times New Roman" w:hint="default"/>
        </w:rPr>
        <w:t>62.52%</w:t>
      </w:r>
      <w:r>
        <w:rPr/>
        <w:t>，符合《公司法》和公司</w:t>
      </w:r>
    </w:p>
    <w:p>
      <w:pPr>
        <w:pStyle w:val="BodyText"/>
        <w:spacing w:line="240" w:lineRule="auto" w:before="21"/>
        <w:ind w:left="144" w:right="0"/>
        <w:jc w:val="both"/>
      </w:pPr>
      <w:r>
        <w:rPr/>
        <w:t>《章程》的规定。大会以记名表决方式，审议并通过了以下议案：</w:t>
      </w:r>
    </w:p>
    <w:p>
      <w:pPr>
        <w:pStyle w:val="BodyText"/>
        <w:spacing w:line="240" w:lineRule="auto" w:before="154"/>
        <w:ind w:left="624" w:right="87"/>
        <w:jc w:val="left"/>
      </w:pPr>
      <w:r>
        <w:rPr/>
        <w:t>（</w:t>
      </w:r>
      <w:r>
        <w:rPr>
          <w:rFonts w:ascii="Times New Roman" w:hAnsi="Times New Roman" w:cs="Times New Roman" w:eastAsia="Times New Roman" w:hint="default"/>
        </w:rPr>
        <w:t>1</w:t>
      </w:r>
      <w:r>
        <w:rPr>
          <w:spacing w:val="-120"/>
        </w:rPr>
        <w:t>）</w:t>
      </w:r>
      <w:r>
        <w:rPr/>
        <w:t>《关于公司符合非公开发行股票条件的议案</w:t>
      </w:r>
      <w:r>
        <w:rPr>
          <w:spacing w:val="-120"/>
        </w:rPr>
        <w:t>》</w:t>
      </w:r>
      <w:r>
        <w:rPr/>
        <w:t>；</w:t>
      </w:r>
    </w:p>
    <w:p>
      <w:pPr>
        <w:pStyle w:val="BodyText"/>
        <w:spacing w:line="240" w:lineRule="auto" w:before="135"/>
        <w:ind w:left="624" w:right="87"/>
        <w:jc w:val="left"/>
      </w:pPr>
      <w:r>
        <w:rPr/>
        <w:t>（</w:t>
      </w:r>
      <w:r>
        <w:rPr>
          <w:rFonts w:ascii="Times New Roman" w:hAnsi="Times New Roman" w:cs="Times New Roman" w:eastAsia="Times New Roman" w:hint="default"/>
        </w:rPr>
        <w:t>2</w:t>
      </w:r>
      <w:r>
        <w:rPr>
          <w:spacing w:val="-120"/>
        </w:rPr>
        <w:t>）</w:t>
      </w:r>
      <w:r>
        <w:rPr/>
        <w:t>《关于公司</w:t>
      </w:r>
      <w:r>
        <w:rPr>
          <w:spacing w:val="-60"/>
        </w:rPr>
        <w:t> </w:t>
      </w:r>
      <w:r>
        <w:rPr>
          <w:rFonts w:ascii="Times New Roman" w:hAnsi="Times New Roman" w:cs="Times New Roman" w:eastAsia="Times New Roman" w:hint="default"/>
        </w:rPr>
        <w:t>2007 </w:t>
      </w:r>
      <w:r>
        <w:rPr/>
        <w:t>年非公开发行股票方案的议案</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3</w:t>
      </w:r>
      <w:r>
        <w:rPr>
          <w:spacing w:val="-120"/>
        </w:rPr>
        <w:t>）</w:t>
      </w:r>
      <w:r>
        <w:rPr/>
        <w:t>《关于本次非公开发行股票募集资金使用的可行性报告的议案</w:t>
      </w:r>
      <w:r>
        <w:rPr>
          <w:spacing w:val="-120"/>
        </w:rPr>
        <w:t>》</w:t>
      </w:r>
      <w:r>
        <w:rPr/>
        <w:t>；</w:t>
      </w:r>
    </w:p>
    <w:p>
      <w:pPr>
        <w:pStyle w:val="BodyText"/>
        <w:spacing w:line="240" w:lineRule="auto" w:before="135"/>
        <w:ind w:left="623" w:right="87"/>
        <w:jc w:val="left"/>
      </w:pPr>
      <w:r>
        <w:rPr/>
        <w:t>（</w:t>
      </w:r>
      <w:r>
        <w:rPr>
          <w:rFonts w:ascii="Times New Roman" w:hAnsi="Times New Roman" w:cs="Times New Roman" w:eastAsia="Times New Roman" w:hint="default"/>
        </w:rPr>
        <w:t>4</w:t>
      </w:r>
      <w:r>
        <w:rPr>
          <w:spacing w:val="-120"/>
        </w:rPr>
        <w:t>）</w:t>
      </w:r>
      <w:r>
        <w:rPr/>
        <w:t>《关于前次募集资金使用情况说明的议案</w:t>
      </w:r>
      <w:r>
        <w:rPr>
          <w:spacing w:val="-120"/>
        </w:rPr>
        <w:t>》</w:t>
      </w:r>
      <w:r>
        <w:rPr/>
        <w:t>；</w:t>
      </w:r>
    </w:p>
    <w:p>
      <w:pPr>
        <w:pStyle w:val="BodyText"/>
        <w:spacing w:line="338" w:lineRule="auto" w:before="135"/>
        <w:ind w:left="144" w:right="87" w:firstLine="480"/>
        <w:jc w:val="left"/>
      </w:pPr>
      <w:r>
        <w:rPr>
          <w:spacing w:val="7"/>
        </w:rPr>
        <w:t>（</w:t>
      </w:r>
      <w:r>
        <w:rPr>
          <w:rFonts w:ascii="Times New Roman" w:hAnsi="Times New Roman" w:cs="Times New Roman" w:eastAsia="Times New Roman" w:hint="default"/>
          <w:spacing w:val="6"/>
        </w:rPr>
        <w:t>5</w:t>
      </w:r>
      <w:r>
        <w:rPr>
          <w:spacing w:val="-113"/>
        </w:rPr>
        <w:t>）</w:t>
      </w:r>
      <w:r>
        <w:rPr>
          <w:spacing w:val="6"/>
        </w:rPr>
        <w:t>《关于提请股东大会授</w:t>
      </w:r>
      <w:r>
        <w:rPr>
          <w:spacing w:val="7"/>
        </w:rPr>
        <w:t>权</w:t>
      </w:r>
      <w:r>
        <w:rPr>
          <w:spacing w:val="6"/>
        </w:rPr>
        <w:t>董事会全权办理本次非公开发行股票相关事宜</w:t>
      </w:r>
      <w:r>
        <w:rPr>
          <w:spacing w:val="6"/>
        </w:rPr>
        <w:t> </w:t>
      </w:r>
      <w:r>
        <w:rPr/>
        <w:t>的议案</w:t>
      </w:r>
      <w:r>
        <w:rPr>
          <w:spacing w:val="-120"/>
        </w:rPr>
        <w:t>》</w:t>
      </w:r>
      <w:r>
        <w:rPr/>
        <w:t>；</w:t>
      </w:r>
    </w:p>
    <w:p>
      <w:pPr>
        <w:pStyle w:val="BodyText"/>
        <w:spacing w:line="348" w:lineRule="auto" w:before="55"/>
        <w:ind w:left="144" w:right="221" w:firstLine="480"/>
        <w:jc w:val="both"/>
      </w:pPr>
      <w:r>
        <w:rPr>
          <w:spacing w:val="-1"/>
        </w:rPr>
        <w:t>江苏世纪同仁律师事务所许成宝律师出席本次股东大会进行见证，并出具法律</w:t>
      </w:r>
      <w:r>
        <w:rPr/>
        <w:t> </w:t>
      </w:r>
      <w:r>
        <w:rPr>
          <w:spacing w:val="-8"/>
        </w:rPr>
        <w:t>意见书。大会决议公告分别刊登于</w:t>
      </w:r>
      <w:r>
        <w:rPr>
          <w:spacing w:val="-8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2"/>
        </w:rPr>
        <w:t> </w:t>
      </w:r>
      <w:r>
        <w:rPr/>
        <w:t>年</w:t>
      </w:r>
      <w:r>
        <w:rPr>
          <w:spacing w:val="-82"/>
        </w:rPr>
        <w:t>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月</w:t>
      </w:r>
      <w:r>
        <w:rPr>
          <w:spacing w:val="-82"/>
        </w:rPr>
        <w:t>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spacing w:val="-22"/>
        </w:rPr>
        <w:t>日的巨潮资讯网、《证券时报》、《中</w:t>
      </w:r>
      <w:r>
        <w:rPr/>
        <w:t> </w:t>
      </w:r>
      <w:r>
        <w:rPr>
          <w:spacing w:val="-29"/>
        </w:rPr>
        <w:t>国证券报》、《上海证券报》、《证券日报》。</w:t>
      </w:r>
    </w:p>
    <w:p>
      <w:pPr>
        <w:pStyle w:val="BodyText"/>
        <w:spacing w:line="240" w:lineRule="auto" w:before="46"/>
        <w:ind w:left="624" w:right="87"/>
        <w:jc w:val="left"/>
      </w:pPr>
      <w:r>
        <w:rPr>
          <w:rFonts w:ascii="Times New Roman" w:hAnsi="Times New Roman" w:cs="Times New Roman" w:eastAsia="Times New Roman" w:hint="default"/>
          <w:spacing w:val="-5"/>
        </w:rPr>
        <w:t>3</w:t>
      </w:r>
      <w:r>
        <w:rPr>
          <w:spacing w:val="-5"/>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t>日在公司会议室召开公司</w:t>
      </w:r>
      <w:r>
        <w:rPr>
          <w:spacing w:val="-60"/>
        </w:rPr>
        <w:t> </w:t>
      </w:r>
      <w:r>
        <w:rPr>
          <w:rFonts w:ascii="Times New Roman" w:hAnsi="Times New Roman" w:cs="Times New Roman" w:eastAsia="Times New Roman" w:hint="default"/>
        </w:rPr>
        <w:t>2007 </w:t>
      </w:r>
      <w:r>
        <w:rPr/>
        <w:t>年第二次临时股东大</w:t>
      </w:r>
    </w:p>
    <w:p>
      <w:pPr>
        <w:pStyle w:val="BodyText"/>
        <w:spacing w:line="348" w:lineRule="auto" w:before="135"/>
        <w:ind w:left="144" w:right="221"/>
        <w:jc w:val="both"/>
      </w:pPr>
      <w:r>
        <w:rPr/>
        <w:t>会</w:t>
      </w:r>
      <w:r>
        <w:rPr>
          <w:spacing w:val="-41"/>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28 </w:t>
      </w:r>
      <w:r>
        <w:rPr/>
        <w:t>日</w:t>
      </w:r>
      <w:r>
        <w:rPr>
          <w:spacing w:val="-41"/>
        </w:rPr>
        <w:t>，</w:t>
      </w:r>
      <w:r>
        <w:rPr/>
        <w:t>公司在巨潮资讯网</w:t>
      </w:r>
      <w:r>
        <w:rPr>
          <w:spacing w:val="-120"/>
        </w:rPr>
        <w:t>、</w:t>
      </w:r>
      <w:r>
        <w:rPr/>
        <w:t>《证券时报</w:t>
      </w:r>
      <w:r>
        <w:rPr>
          <w:spacing w:val="-120"/>
        </w:rPr>
        <w:t>》、</w:t>
      </w:r>
      <w:r>
        <w:rPr/>
        <w:t>《中国证券报</w:t>
      </w:r>
      <w:r>
        <w:rPr>
          <w:spacing w:val="-120"/>
        </w:rPr>
        <w:t>》、</w:t>
      </w:r>
      <w:r>
        <w:rPr/>
        <w:t>《上海证</w:t>
      </w:r>
      <w:r>
        <w:rPr/>
        <w:t> 券报</w:t>
      </w:r>
      <w:r>
        <w:rPr>
          <w:spacing w:val="-120"/>
        </w:rPr>
        <w:t>》、</w:t>
      </w:r>
      <w:r>
        <w:rPr/>
        <w:t>《证券日报</w:t>
      </w:r>
      <w:r>
        <w:rPr>
          <w:spacing w:val="-8"/>
        </w:rPr>
        <w:t>》</w:t>
      </w:r>
      <w:r>
        <w:rPr/>
        <w:t>上以公告形式发出会议通知</w:t>
      </w:r>
      <w:r>
        <w:rPr>
          <w:spacing w:val="-8"/>
        </w:rPr>
        <w:t>，</w:t>
      </w:r>
      <w:r>
        <w:rPr/>
        <w:t>明确了召开股东大会的时间</w:t>
      </w:r>
      <w:r>
        <w:rPr>
          <w:spacing w:val="-8"/>
        </w:rPr>
        <w:t>、</w:t>
      </w:r>
      <w:r>
        <w:rPr/>
        <w:t>地</w:t>
      </w:r>
      <w:r>
        <w:rPr/>
        <w:t> 点、内容及参会方法等。</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日，公司在巨潮资讯网</w:t>
      </w:r>
      <w:r>
        <w:rPr>
          <w:spacing w:val="-120"/>
        </w:rPr>
        <w:t>、</w:t>
      </w:r>
      <w:r>
        <w:rPr/>
        <w:t>《证券时报</w:t>
      </w:r>
      <w:r>
        <w:rPr>
          <w:spacing w:val="-120"/>
        </w:rPr>
        <w:t>》、</w:t>
      </w:r>
      <w:r>
        <w:rPr/>
        <w:t>《中</w:t>
      </w:r>
    </w:p>
    <w:p>
      <w:pPr>
        <w:pStyle w:val="BodyText"/>
        <w:spacing w:line="348" w:lineRule="auto" w:before="16"/>
        <w:ind w:left="144" w:right="216"/>
        <w:jc w:val="both"/>
      </w:pPr>
      <w:r>
        <w:rPr>
          <w:spacing w:val="-15"/>
        </w:rPr>
        <w:t>国证券报》、《上海证券报》、《证券日报》上以公告形式发出《关于取消</w:t>
      </w:r>
      <w:r>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2"/>
        </w:rPr>
        <w:t> </w:t>
      </w:r>
      <w:r>
        <w:rPr/>
        <w:t>年第 </w:t>
      </w:r>
      <w:r>
        <w:rPr>
          <w:spacing w:val="-2"/>
        </w:rPr>
        <w:t>二次临时股东大会部分议案并增加临时提案及股东大会的补充通知》。股东大会于</w:t>
      </w:r>
      <w:r>
        <w:rPr>
          <w:spacing w:val="-96"/>
        </w:rPr>
        <w:t> </w:t>
      </w:r>
      <w:r>
        <w:rPr>
          <w:spacing w:val="-96"/>
        </w:rPr>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日上午</w:t>
      </w:r>
      <w:r>
        <w:rPr>
          <w:spacing w:val="-5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9"/>
        </w:rPr>
        <w:t> </w:t>
      </w:r>
      <w:r>
        <w:rPr/>
        <w:t>在公司十七楼会议室召开，出席本次股东大会的股东</w:t>
      </w:r>
    </w:p>
    <w:p>
      <w:pPr>
        <w:pStyle w:val="BodyText"/>
        <w:spacing w:line="240" w:lineRule="auto" w:before="16"/>
        <w:ind w:left="144" w:right="0"/>
        <w:jc w:val="both"/>
      </w:pPr>
      <w:r>
        <w:rPr/>
        <w:t>及股东代理人共计</w:t>
      </w:r>
      <w:r>
        <w:rPr>
          <w:spacing w:val="-63"/>
        </w:rPr>
        <w:t> </w:t>
      </w:r>
      <w:r>
        <w:rPr>
          <w:rFonts w:ascii="Times New Roman" w:hAnsi="Times New Roman" w:cs="Times New Roman" w:eastAsia="Times New Roman" w:hint="default"/>
        </w:rPr>
        <w:t>22</w:t>
      </w:r>
      <w:r>
        <w:rPr>
          <w:rFonts w:ascii="Times New Roman" w:hAnsi="Times New Roman" w:cs="Times New Roman" w:eastAsia="Times New Roman" w:hint="default"/>
          <w:spacing w:val="54"/>
        </w:rPr>
        <w:t> </w:t>
      </w:r>
      <w:r>
        <w:rPr>
          <w:spacing w:val="-5"/>
        </w:rPr>
        <w:t>人，代表公司</w:t>
      </w:r>
      <w:r>
        <w:rPr>
          <w:spacing w:val="-64"/>
        </w:rPr>
        <w:t> </w:t>
      </w:r>
      <w:r>
        <w:rPr>
          <w:rFonts w:ascii="Times New Roman" w:hAnsi="Times New Roman" w:cs="Times New Roman" w:eastAsia="Times New Roman" w:hint="default"/>
        </w:rPr>
        <w:t>837,518,677</w:t>
      </w:r>
      <w:r>
        <w:rPr>
          <w:rFonts w:ascii="Times New Roman" w:hAnsi="Times New Roman" w:cs="Times New Roman" w:eastAsia="Times New Roman" w:hint="default"/>
          <w:spacing w:val="-3"/>
        </w:rPr>
        <w:t> </w:t>
      </w:r>
      <w:r>
        <w:rPr/>
        <w:t>股份，占公司股本总额的</w:t>
      </w:r>
      <w:r>
        <w:rPr>
          <w:spacing w:val="-63"/>
        </w:rPr>
        <w:t> </w:t>
      </w:r>
      <w:r>
        <w:rPr>
          <w:rFonts w:ascii="Times New Roman" w:hAnsi="Times New Roman" w:cs="Times New Roman" w:eastAsia="Times New Roman" w:hint="default"/>
        </w:rPr>
        <w:t>58.10%</w:t>
      </w:r>
      <w:r>
        <w:rPr/>
        <w:t>，</w:t>
      </w:r>
    </w:p>
    <w:p>
      <w:pPr>
        <w:spacing w:after="0" w:line="240"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57" w:lineRule="auto" w:before="26"/>
        <w:ind w:left="144" w:right="156"/>
        <w:jc w:val="left"/>
      </w:pPr>
      <w:r>
        <w:rPr>
          <w:spacing w:val="-1"/>
        </w:rPr>
        <w:t>符合《公司法》和公司《章程》的有关规定。大会以记名表决方式，审议通过了以</w:t>
      </w:r>
      <w:r>
        <w:rPr>
          <w:spacing w:val="-108"/>
        </w:rPr>
        <w:t> </w:t>
      </w:r>
      <w:r>
        <w:rPr>
          <w:spacing w:val="-108"/>
        </w:rPr>
      </w:r>
      <w:r>
        <w:rPr/>
        <w:t>下议案：</w:t>
      </w:r>
    </w:p>
    <w:p>
      <w:pPr>
        <w:pStyle w:val="BodyText"/>
        <w:spacing w:line="240" w:lineRule="auto" w:before="36"/>
        <w:ind w:left="623" w:right="0"/>
        <w:jc w:val="left"/>
      </w:pPr>
      <w:r>
        <w:rPr/>
        <w:t>（</w:t>
      </w:r>
      <w:r>
        <w:rPr>
          <w:rFonts w:ascii="Times New Roman" w:hAnsi="Times New Roman" w:cs="Times New Roman" w:eastAsia="Times New Roman" w:hint="default"/>
        </w:rPr>
        <w:t>1</w:t>
      </w:r>
      <w:r>
        <w:rPr>
          <w:spacing w:val="-120"/>
        </w:rPr>
        <w:t>）</w:t>
      </w:r>
      <w:r>
        <w:rPr/>
        <w:t>《苏宁电器股份有限公司对外捐赠管理制度</w:t>
      </w:r>
      <w:r>
        <w:rPr>
          <w:spacing w:val="-120"/>
        </w:rPr>
        <w:t>》</w:t>
      </w:r>
      <w:r>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120"/>
        </w:rPr>
        <w:t>）</w:t>
      </w:r>
      <w:r>
        <w:rPr/>
        <w:t>；</w:t>
      </w:r>
    </w:p>
    <w:p>
      <w:pPr>
        <w:pStyle w:val="BodyText"/>
        <w:spacing w:line="240" w:lineRule="auto" w:before="135"/>
        <w:ind w:left="623" w:right="2428"/>
        <w:jc w:val="left"/>
      </w:pPr>
      <w:r>
        <w:rPr/>
        <w:t>（</w:t>
      </w:r>
      <w:r>
        <w:rPr>
          <w:rFonts w:ascii="Times New Roman" w:hAnsi="Times New Roman" w:cs="Times New Roman" w:eastAsia="Times New Roman" w:hint="default"/>
        </w:rPr>
        <w:t>2</w:t>
      </w:r>
      <w:r>
        <w:rPr>
          <w:spacing w:val="-120"/>
        </w:rPr>
        <w:t>）</w:t>
      </w:r>
      <w:r>
        <w:rPr/>
        <w:t>《关于增加公司经营范围的议案</w:t>
      </w:r>
      <w:r>
        <w:rPr>
          <w:spacing w:val="-120"/>
        </w:rPr>
        <w:t>》</w:t>
      </w:r>
      <w:r>
        <w:rPr/>
        <w:t>；</w:t>
      </w:r>
    </w:p>
    <w:p>
      <w:pPr>
        <w:pStyle w:val="BodyText"/>
        <w:spacing w:line="240" w:lineRule="auto" w:before="135"/>
        <w:ind w:left="623" w:right="2428"/>
        <w:jc w:val="left"/>
      </w:pPr>
      <w:r>
        <w:rPr/>
        <w:t>（</w:t>
      </w:r>
      <w:r>
        <w:rPr>
          <w:rFonts w:ascii="Times New Roman" w:hAnsi="Times New Roman" w:cs="Times New Roman" w:eastAsia="Times New Roman" w:hint="default"/>
        </w:rPr>
        <w:t>3</w:t>
      </w:r>
      <w:r>
        <w:rPr>
          <w:spacing w:val="-120"/>
        </w:rPr>
        <w:t>）</w:t>
      </w:r>
      <w:r>
        <w:rPr/>
        <w:t>《苏宁电器股份有限公司章程</w:t>
      </w:r>
      <w:r>
        <w:rPr>
          <w:spacing w:val="-120"/>
        </w:rPr>
        <w:t>》</w:t>
      </w:r>
      <w:r>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120"/>
        </w:rPr>
        <w:t>）</w:t>
      </w:r>
      <w:r>
        <w:rPr/>
        <w:t>；</w:t>
      </w:r>
    </w:p>
    <w:p>
      <w:pPr>
        <w:pStyle w:val="BodyText"/>
        <w:spacing w:line="240" w:lineRule="auto" w:before="135"/>
        <w:ind w:left="623" w:right="2428"/>
        <w:jc w:val="left"/>
      </w:pPr>
      <w:r>
        <w:rPr/>
        <w:t>（</w:t>
      </w:r>
      <w:r>
        <w:rPr>
          <w:rFonts w:ascii="Times New Roman" w:hAnsi="Times New Roman" w:cs="Times New Roman" w:eastAsia="Times New Roman" w:hint="default"/>
        </w:rPr>
        <w:t>4</w:t>
      </w:r>
      <w:r>
        <w:rPr>
          <w:spacing w:val="-120"/>
        </w:rPr>
        <w:t>）</w:t>
      </w:r>
      <w:r>
        <w:rPr/>
        <w:t>《关于公司董事会换届选举的议案</w:t>
      </w:r>
      <w:r>
        <w:rPr>
          <w:spacing w:val="-120"/>
        </w:rPr>
        <w:t>》</w:t>
      </w:r>
      <w:r>
        <w:rPr/>
        <w:t>；</w:t>
      </w:r>
    </w:p>
    <w:p>
      <w:pPr>
        <w:pStyle w:val="BodyText"/>
        <w:spacing w:line="240" w:lineRule="auto" w:before="135"/>
        <w:ind w:left="623" w:right="1818"/>
        <w:jc w:val="left"/>
      </w:pPr>
      <w:r>
        <w:rPr/>
        <w:t>（</w:t>
      </w:r>
      <w:r>
        <w:rPr>
          <w:rFonts w:ascii="Times New Roman" w:hAnsi="Times New Roman" w:cs="Times New Roman" w:eastAsia="Times New Roman" w:hint="default"/>
        </w:rPr>
        <w:t>5</w:t>
      </w:r>
      <w:r>
        <w:rPr>
          <w:spacing w:val="-120"/>
        </w:rPr>
        <w:t>）</w:t>
      </w:r>
      <w:r>
        <w:rPr/>
        <w:t>《关于设立公司第三届董事会专门委员会的议案</w:t>
      </w:r>
      <w:r>
        <w:rPr>
          <w:spacing w:val="-120"/>
        </w:rPr>
        <w:t>》</w:t>
      </w:r>
      <w:r>
        <w:rPr/>
        <w:t>；</w:t>
      </w:r>
    </w:p>
    <w:p>
      <w:pPr>
        <w:pStyle w:val="BodyText"/>
        <w:spacing w:line="240" w:lineRule="auto" w:before="135"/>
        <w:ind w:left="623" w:right="2428"/>
        <w:jc w:val="left"/>
      </w:pPr>
      <w:r>
        <w:rPr/>
        <w:t>（</w:t>
      </w:r>
      <w:r>
        <w:rPr>
          <w:rFonts w:ascii="Times New Roman" w:hAnsi="Times New Roman" w:cs="Times New Roman" w:eastAsia="Times New Roman" w:hint="default"/>
        </w:rPr>
        <w:t>6</w:t>
      </w:r>
      <w:r>
        <w:rPr>
          <w:spacing w:val="-120"/>
        </w:rPr>
        <w:t>）</w:t>
      </w:r>
      <w:r>
        <w:rPr/>
        <w:t>《关于调整公司外部董事津贴的议案</w:t>
      </w:r>
      <w:r>
        <w:rPr>
          <w:spacing w:val="-120"/>
        </w:rPr>
        <w:t>》</w:t>
      </w:r>
      <w:r>
        <w:rPr/>
        <w:t>；</w:t>
      </w:r>
    </w:p>
    <w:p>
      <w:pPr>
        <w:pStyle w:val="BodyText"/>
        <w:spacing w:line="240" w:lineRule="auto" w:before="135"/>
        <w:ind w:left="623" w:right="2428"/>
        <w:jc w:val="left"/>
      </w:pPr>
      <w:r>
        <w:rPr/>
        <w:t>（</w:t>
      </w:r>
      <w:r>
        <w:rPr>
          <w:rFonts w:ascii="Times New Roman" w:hAnsi="Times New Roman" w:cs="Times New Roman" w:eastAsia="Times New Roman" w:hint="default"/>
        </w:rPr>
        <w:t>7</w:t>
      </w:r>
      <w:r>
        <w:rPr>
          <w:spacing w:val="-120"/>
        </w:rPr>
        <w:t>）</w:t>
      </w:r>
      <w:r>
        <w:rPr/>
        <w:t>《关于公司监事会换届选举的议案</w:t>
      </w:r>
      <w:r>
        <w:rPr>
          <w:spacing w:val="-120"/>
        </w:rPr>
        <w:t>》</w:t>
      </w:r>
      <w:r>
        <w:rPr/>
        <w:t>；</w:t>
      </w:r>
    </w:p>
    <w:p>
      <w:pPr>
        <w:pStyle w:val="BodyText"/>
        <w:spacing w:line="338" w:lineRule="auto" w:before="135"/>
        <w:ind w:left="623" w:right="155"/>
        <w:jc w:val="left"/>
      </w:pPr>
      <w:r>
        <w:rPr>
          <w:spacing w:val="-15"/>
        </w:rPr>
        <w:t>（</w:t>
      </w:r>
      <w:r>
        <w:rPr>
          <w:rFonts w:ascii="Times New Roman" w:hAnsi="Times New Roman" w:cs="Times New Roman" w:eastAsia="Times New Roman" w:hint="default"/>
          <w:spacing w:val="-15"/>
        </w:rPr>
        <w:t>8</w:t>
      </w:r>
      <w:r>
        <w:rPr>
          <w:spacing w:val="-15"/>
        </w:rPr>
        <w:t>）《关于确定监事薪资的议案》。</w:t>
      </w:r>
      <w:r>
        <w:rPr>
          <w:spacing w:val="-105"/>
        </w:rPr>
        <w:t> </w:t>
      </w:r>
      <w:r>
        <w:rPr>
          <w:spacing w:val="-105"/>
        </w:rPr>
      </w:r>
      <w:r>
        <w:rPr>
          <w:spacing w:val="-1"/>
        </w:rPr>
        <w:t>江苏世纪同仁律师事务所潘岩平律师出席本次股东大会进行见证，并出具法律</w:t>
      </w:r>
    </w:p>
    <w:p>
      <w:pPr>
        <w:pStyle w:val="BodyText"/>
        <w:spacing w:line="240" w:lineRule="auto" w:before="55"/>
        <w:ind w:right="0"/>
        <w:jc w:val="left"/>
      </w:pPr>
      <w:r>
        <w:rPr/>
        <w:t>意见书。大会决议公告分别刊登于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14 </w:t>
      </w:r>
      <w:r>
        <w:rPr/>
        <w:t>日的巨潮资讯网</w:t>
      </w:r>
      <w:r>
        <w:rPr>
          <w:spacing w:val="-120"/>
        </w:rPr>
        <w:t>、</w:t>
      </w:r>
      <w:r>
        <w:rPr/>
        <w:t>《证券时报</w:t>
      </w:r>
      <w:r>
        <w:rPr>
          <w:spacing w:val="-120"/>
        </w:rPr>
        <w:t>》</w:t>
      </w:r>
      <w:r>
        <w:rPr/>
        <w:t>、</w:t>
      </w:r>
    </w:p>
    <w:p>
      <w:pPr>
        <w:pStyle w:val="BodyText"/>
        <w:spacing w:line="240" w:lineRule="auto" w:before="135"/>
        <w:ind w:right="2428"/>
        <w:jc w:val="left"/>
      </w:pPr>
      <w:r>
        <w:rPr/>
        <w:t>《中国证券报</w:t>
      </w:r>
      <w:r>
        <w:rPr>
          <w:spacing w:val="-120"/>
        </w:rPr>
        <w:t>》、</w:t>
      </w:r>
      <w:r>
        <w:rPr/>
        <w:t>《上海证券报</w:t>
      </w:r>
      <w:r>
        <w:rPr>
          <w:spacing w:val="-120"/>
        </w:rPr>
        <w:t>》、</w:t>
      </w:r>
      <w:r>
        <w:rPr/>
        <w:t>《证券日报</w:t>
      </w:r>
      <w:r>
        <w:rPr>
          <w:spacing w:val="-120"/>
        </w:rPr>
        <w:t>》</w:t>
      </w:r>
      <w:r>
        <w:rPr/>
        <w:t>。</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Heading1"/>
        <w:tabs>
          <w:tab w:pos="1900" w:val="left" w:leader="none"/>
        </w:tabs>
        <w:spacing w:line="240" w:lineRule="auto" w:before="0"/>
        <w:ind w:left="620" w:right="0"/>
        <w:jc w:val="center"/>
        <w:rPr>
          <w:b w:val="0"/>
          <w:bCs w:val="0"/>
        </w:rPr>
      </w:pPr>
      <w:bookmarkStart w:name="_TOC_250004" w:id="7"/>
      <w:r>
        <w:rPr>
          <w:w w:val="95"/>
        </w:rPr>
        <w:t>第七节</w:t>
        <w:tab/>
      </w:r>
      <w:r>
        <w:rPr/>
        <w:t>董事会报告</w:t>
      </w:r>
      <w:bookmarkEnd w:id="7"/>
      <w:r>
        <w:rPr>
          <w:b w:val="0"/>
          <w:bCs w:val="0"/>
        </w:rPr>
      </w:r>
    </w:p>
    <w:p>
      <w:pPr>
        <w:spacing w:line="240" w:lineRule="auto" w:before="0"/>
        <w:rPr>
          <w:rFonts w:ascii="宋体" w:hAnsi="宋体" w:cs="宋体" w:eastAsia="宋体" w:hint="default"/>
          <w:b/>
          <w:bCs/>
          <w:sz w:val="32"/>
          <w:szCs w:val="32"/>
        </w:rPr>
      </w:pPr>
    </w:p>
    <w:p>
      <w:pPr>
        <w:pStyle w:val="BodyText"/>
        <w:spacing w:line="348" w:lineRule="auto" w:before="242"/>
        <w:ind w:left="144" w:right="158" w:firstLine="482"/>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spacing w:val="-3"/>
        </w:rPr>
        <w:t>年，公司以稳健与快速并重、重点突出稳健为原则，积极提升单店经营质</w:t>
      </w:r>
      <w:r>
        <w:rPr/>
        <w:t> </w:t>
      </w:r>
      <w:r>
        <w:rPr>
          <w:spacing w:val="-1"/>
        </w:rPr>
        <w:t>量，按照连锁规划科学的推进新店建设，营业总收入呈现内生和外延两个方面的稳</w:t>
      </w:r>
      <w:r>
        <w:rPr>
          <w:spacing w:val="-106"/>
        </w:rPr>
        <w:t> </w:t>
      </w:r>
      <w:r>
        <w:rPr>
          <w:spacing w:val="-106"/>
        </w:rPr>
      </w:r>
      <w:r>
        <w:rPr/>
        <w:t>步增长。</w:t>
      </w:r>
    </w:p>
    <w:p>
      <w:pPr>
        <w:pStyle w:val="BodyText"/>
        <w:spacing w:line="357" w:lineRule="auto" w:before="46"/>
        <w:ind w:left="144" w:right="161" w:firstLine="482"/>
        <w:jc w:val="both"/>
      </w:pPr>
      <w:r>
        <w:rPr>
          <w:spacing w:val="-1"/>
        </w:rPr>
        <w:t>同时，公司注重后台先行的战略，前期的各项投入储备，随着各地区规模的提</w:t>
      </w:r>
      <w:r>
        <w:rPr/>
        <w:t> </w:t>
      </w:r>
      <w:r>
        <w:rPr>
          <w:spacing w:val="-1"/>
        </w:rPr>
        <w:t>升，边际效益陆续释放。自主培养人才和团队的成熟、信息物流平台的完善、细节</w:t>
      </w:r>
      <w:r>
        <w:rPr>
          <w:spacing w:val="-108"/>
        </w:rPr>
        <w:t> </w:t>
      </w:r>
      <w:r>
        <w:rPr>
          <w:spacing w:val="-108"/>
        </w:rPr>
      </w:r>
      <w:r>
        <w:rPr>
          <w:spacing w:val="-1"/>
        </w:rPr>
        <w:t>管理的推进等综合配套策略使管理效率得到了进一步提升，公司经营效益同步保持</w:t>
      </w:r>
      <w:r>
        <w:rPr>
          <w:spacing w:val="-106"/>
        </w:rPr>
        <w:t> </w:t>
      </w:r>
      <w:r>
        <w:rPr>
          <w:spacing w:val="-106"/>
        </w:rPr>
      </w:r>
      <w:r>
        <w:rPr/>
        <w:t>快速、稳健的增长势头。</w:t>
      </w:r>
    </w:p>
    <w:p>
      <w:pPr>
        <w:pStyle w:val="BodyText"/>
        <w:spacing w:line="240" w:lineRule="auto" w:before="36"/>
        <w:ind w:left="624" w:right="0"/>
        <w:jc w:val="left"/>
      </w:pPr>
      <w:r>
        <w:rPr/>
        <w:t>报告期内，公司实现营业总收入</w:t>
      </w:r>
      <w:r>
        <w:rPr>
          <w:spacing w:val="-66"/>
        </w:rPr>
        <w:t> </w:t>
      </w:r>
      <w:r>
        <w:rPr>
          <w:rFonts w:ascii="Times New Roman" w:hAnsi="Times New Roman" w:cs="Times New Roman" w:eastAsia="Times New Roman" w:hint="default"/>
        </w:rPr>
        <w:t>401.52</w:t>
      </w:r>
      <w:r>
        <w:rPr>
          <w:rFonts w:ascii="Times New Roman" w:hAnsi="Times New Roman" w:cs="Times New Roman" w:eastAsia="Times New Roman" w:hint="default"/>
          <w:spacing w:val="-6"/>
        </w:rPr>
        <w:t> </w:t>
      </w:r>
      <w:r>
        <w:rPr>
          <w:spacing w:val="-3"/>
        </w:rPr>
        <w:t>亿元，其中主营业务收入</w:t>
      </w:r>
      <w:r>
        <w:rPr>
          <w:spacing w:val="-66"/>
        </w:rPr>
        <w:t> </w:t>
      </w:r>
      <w:r>
        <w:rPr>
          <w:rFonts w:ascii="Times New Roman" w:hAnsi="Times New Roman" w:cs="Times New Roman" w:eastAsia="Times New Roman" w:hint="default"/>
        </w:rPr>
        <w:t>387</w:t>
      </w:r>
      <w:r>
        <w:rPr>
          <w:rFonts w:ascii="Times New Roman" w:hAnsi="Times New Roman" w:cs="Times New Roman" w:eastAsia="Times New Roman" w:hint="default"/>
          <w:spacing w:val="-6"/>
        </w:rPr>
        <w:t> </w:t>
      </w:r>
      <w:r>
        <w:rPr>
          <w:spacing w:val="-7"/>
        </w:rPr>
        <w:t>亿元，比</w:t>
      </w:r>
    </w:p>
    <w:p>
      <w:pPr>
        <w:pStyle w:val="BodyText"/>
        <w:spacing w:line="338" w:lineRule="auto" w:before="135"/>
        <w:ind w:right="146"/>
        <w:jc w:val="left"/>
      </w:pPr>
      <w:r>
        <w:rPr/>
        <w:t>上年同期增长</w:t>
      </w:r>
      <w:r>
        <w:rPr>
          <w:spacing w:val="-45"/>
        </w:rPr>
        <w:t> </w:t>
      </w:r>
      <w:r>
        <w:rPr>
          <w:rFonts w:ascii="Times New Roman" w:hAnsi="Times New Roman" w:cs="Times New Roman" w:eastAsia="Times New Roman" w:hint="default"/>
        </w:rPr>
        <w:t>55%</w:t>
      </w:r>
      <w:r>
        <w:rPr/>
        <w:t>；实现营业利润</w:t>
      </w:r>
      <w:r>
        <w:rPr>
          <w:spacing w:val="-45"/>
        </w:rPr>
        <w:t> </w:t>
      </w:r>
      <w:r>
        <w:rPr>
          <w:rFonts w:ascii="Times New Roman" w:hAnsi="Times New Roman" w:cs="Times New Roman" w:eastAsia="Times New Roman" w:hint="default"/>
        </w:rPr>
        <w:t>22.50</w:t>
      </w:r>
      <w:r>
        <w:rPr>
          <w:rFonts w:ascii="Times New Roman" w:hAnsi="Times New Roman" w:cs="Times New Roman" w:eastAsia="Times New Roman" w:hint="default"/>
          <w:spacing w:val="15"/>
        </w:rPr>
        <w:t> </w:t>
      </w:r>
      <w:r>
        <w:rPr/>
        <w:t>亿元，利润总额</w:t>
      </w:r>
      <w:r>
        <w:rPr>
          <w:spacing w:val="-45"/>
        </w:rPr>
        <w:t> </w:t>
      </w:r>
      <w:r>
        <w:rPr>
          <w:rFonts w:ascii="Times New Roman" w:hAnsi="Times New Roman" w:cs="Times New Roman" w:eastAsia="Times New Roman" w:hint="default"/>
        </w:rPr>
        <w:t>22.41</w:t>
      </w:r>
      <w:r>
        <w:rPr>
          <w:rFonts w:ascii="Times New Roman" w:hAnsi="Times New Roman" w:cs="Times New Roman" w:eastAsia="Times New Roman" w:hint="default"/>
          <w:spacing w:val="15"/>
        </w:rPr>
        <w:t> </w:t>
      </w:r>
      <w:r>
        <w:rPr/>
        <w:t>亿元，归属于母公 司净利润</w:t>
      </w:r>
      <w:r>
        <w:rPr>
          <w:spacing w:val="-60"/>
        </w:rPr>
        <w:t> </w:t>
      </w:r>
      <w:r>
        <w:rPr>
          <w:rFonts w:ascii="Times New Roman" w:hAnsi="Times New Roman" w:cs="Times New Roman" w:eastAsia="Times New Roman" w:hint="default"/>
        </w:rPr>
        <w:t>14.65 </w:t>
      </w:r>
      <w:r>
        <w:rPr/>
        <w:t>亿元，分别比上年同期增长</w:t>
      </w:r>
      <w:r>
        <w:rPr>
          <w:spacing w:val="-60"/>
        </w:rPr>
        <w:t> </w:t>
      </w:r>
      <w:r>
        <w:rPr>
          <w:rFonts w:ascii="Times New Roman" w:hAnsi="Times New Roman" w:cs="Times New Roman" w:eastAsia="Times New Roman" w:hint="default"/>
        </w:rPr>
        <w:t>96.14%</w:t>
      </w:r>
      <w:r>
        <w:rPr/>
        <w:t>、</w:t>
      </w:r>
      <w:r>
        <w:rPr>
          <w:rFonts w:ascii="Times New Roman" w:hAnsi="Times New Roman" w:cs="Times New Roman" w:eastAsia="Times New Roman" w:hint="default"/>
        </w:rPr>
        <w:t>95.33%</w:t>
      </w:r>
      <w:r>
        <w:rPr/>
        <w:t>和</w:t>
      </w:r>
      <w:r>
        <w:rPr>
          <w:spacing w:val="-60"/>
        </w:rPr>
        <w:t> </w:t>
      </w:r>
      <w:r>
        <w:rPr>
          <w:rFonts w:ascii="Times New Roman" w:hAnsi="Times New Roman" w:cs="Times New Roman" w:eastAsia="Times New Roman" w:hint="default"/>
        </w:rPr>
        <w:t>93.42%</w:t>
      </w:r>
      <w:r>
        <w:rPr/>
        <w:t>。</w:t>
      </w:r>
    </w:p>
    <w:p>
      <w:pPr>
        <w:spacing w:line="240" w:lineRule="auto" w:before="0"/>
        <w:rPr>
          <w:rFonts w:ascii="宋体" w:hAnsi="宋体" w:cs="宋体" w:eastAsia="宋体" w:hint="default"/>
          <w:sz w:val="24"/>
          <w:szCs w:val="24"/>
        </w:rPr>
      </w:pPr>
    </w:p>
    <w:p>
      <w:pPr>
        <w:pStyle w:val="BodyText"/>
        <w:spacing w:line="240" w:lineRule="auto" w:before="180"/>
        <w:ind w:left="623" w:right="2428"/>
        <w:jc w:val="left"/>
      </w:pPr>
      <w:r>
        <w:rPr/>
        <w:t>一、</w:t>
      </w:r>
      <w:r>
        <w:rPr>
          <w:rFonts w:ascii="Times New Roman" w:hAnsi="Times New Roman" w:cs="Times New Roman" w:eastAsia="Times New Roman" w:hint="default"/>
        </w:rPr>
        <w:t>2007 </w:t>
      </w:r>
      <w:r>
        <w:rPr/>
        <w:t>年回顾</w:t>
      </w:r>
    </w:p>
    <w:p>
      <w:pPr>
        <w:pStyle w:val="BodyText"/>
        <w:spacing w:line="240" w:lineRule="auto" w:before="135"/>
        <w:ind w:left="623" w:right="2428"/>
        <w:jc w:val="left"/>
      </w:pPr>
      <w:r>
        <w:rPr/>
        <w:t>（一）重大事件</w:t>
      </w:r>
    </w:p>
    <w:p>
      <w:pPr>
        <w:pStyle w:val="BodyText"/>
        <w:spacing w:line="240" w:lineRule="auto" w:before="154"/>
        <w:ind w:left="623" w:right="2428"/>
        <w:jc w:val="left"/>
      </w:pPr>
      <w:r>
        <w:rPr>
          <w:rFonts w:ascii="Times New Roman" w:hAnsi="Times New Roman" w:cs="Times New Roman" w:eastAsia="Times New Roman" w:hint="default"/>
        </w:rPr>
        <w:t>1</w:t>
      </w:r>
      <w:r>
        <w:rPr/>
        <w:t>、激励体系完善</w:t>
      </w:r>
    </w:p>
    <w:p>
      <w:pPr>
        <w:spacing w:after="0" w:line="240" w:lineRule="auto"/>
        <w:jc w:val="left"/>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352" w:lineRule="auto" w:before="26"/>
        <w:ind w:right="221" w:firstLine="480"/>
        <w:jc w:val="both"/>
      </w:pPr>
      <w:r>
        <w:rPr>
          <w:rFonts w:ascii="Wingdings" w:hAnsi="Wingdings" w:cs="Wingdings" w:eastAsia="Wingdings" w:hint="default"/>
        </w:rPr>
        <w:t></w:t>
      </w:r>
      <w:r>
        <w:rPr>
          <w:rFonts w:ascii="Wingdings" w:hAnsi="Wingdings" w:cs="Wingdings" w:eastAsia="Wingdings" w:hint="default"/>
          <w:spacing w:val="24"/>
        </w:rPr>
        <w:t></w:t>
      </w:r>
      <w:r>
        <w:rPr>
          <w:rFonts w:ascii="Times New Roman" w:hAnsi="Times New Roman" w:cs="Times New Roman" w:eastAsia="Times New Roman" w:hint="default"/>
          <w:spacing w:val="24"/>
        </w:rPr>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日，公司第二届董事会第三十六次会议审议通过了《苏宁电器</w:t>
      </w:r>
      <w:r>
        <w:rPr/>
        <w:t> </w:t>
      </w:r>
      <w:r>
        <w:rPr>
          <w:spacing w:val="-8"/>
        </w:rPr>
        <w:t>股份有限公司股票期权激励计划（草案）》；该《草案》的出台，表明公司高级管理</w:t>
      </w:r>
      <w:r>
        <w:rPr>
          <w:spacing w:val="-89"/>
        </w:rPr>
        <w:t> </w:t>
      </w:r>
      <w:r>
        <w:rPr>
          <w:spacing w:val="-89"/>
        </w:rPr>
      </w:r>
      <w:r>
        <w:rPr>
          <w:spacing w:val="-1"/>
        </w:rPr>
        <w:t>人员和其他骨干员工的激励和约束机制将得到进一步优化和完善，对稳定和吸引优</w:t>
      </w:r>
      <w:r>
        <w:rPr>
          <w:spacing w:val="-106"/>
        </w:rPr>
        <w:t> </w:t>
      </w:r>
      <w:r>
        <w:rPr>
          <w:spacing w:val="-106"/>
        </w:rPr>
      </w:r>
      <w:r>
        <w:rPr>
          <w:spacing w:val="-1"/>
        </w:rPr>
        <w:t>秀的管理、营销和连锁经营人才，进一步完善公司的法人治理结构，提高公司的市</w:t>
      </w:r>
      <w:r>
        <w:rPr>
          <w:spacing w:val="-108"/>
        </w:rPr>
        <w:t> </w:t>
      </w:r>
      <w:r>
        <w:rPr>
          <w:spacing w:val="-108"/>
        </w:rPr>
      </w:r>
      <w:r>
        <w:rPr/>
        <w:t>场竞争能力和可持续发展能力提供了有效保障；</w:t>
      </w:r>
    </w:p>
    <w:p>
      <w:pPr>
        <w:pStyle w:val="BodyText"/>
        <w:tabs>
          <w:tab w:pos="1043" w:val="left" w:leader="none"/>
        </w:tabs>
        <w:spacing w:line="338" w:lineRule="auto" w:before="41"/>
        <w:ind w:left="624" w:right="138"/>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月，公司股权激励计划草案已上报中国证监会履行相关审批程序。 </w:t>
      </w:r>
      <w:r>
        <w:rPr>
          <w:rFonts w:ascii="Times New Roman" w:hAnsi="Times New Roman" w:cs="Times New Roman" w:eastAsia="Times New Roman" w:hint="default"/>
        </w:rPr>
        <w:t>2</w:t>
      </w:r>
      <w:r>
        <w:rPr/>
        <w:t>、组织架构调整</w:t>
      </w:r>
    </w:p>
    <w:p>
      <w:pPr>
        <w:pStyle w:val="BodyText"/>
        <w:spacing w:line="240" w:lineRule="auto" w:before="27"/>
        <w:ind w:left="624" w:right="87"/>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增设行政管理总部，整合办公室、行政、后勤体系，提升内部管理效率；</w:t>
      </w:r>
    </w:p>
    <w:p>
      <w:pPr>
        <w:pStyle w:val="BodyText"/>
        <w:spacing w:line="338" w:lineRule="auto" w:before="137"/>
        <w:ind w:left="144" w:right="217" w:firstLine="420"/>
        <w:jc w:val="both"/>
      </w:pPr>
      <w:r>
        <w:rPr>
          <w:rFonts w:ascii="Wingdings" w:hAnsi="Wingdings" w:cs="Wingdings" w:eastAsia="Wingdings" w:hint="default"/>
        </w:rPr>
        <w:t></w:t>
      </w:r>
      <w:r>
        <w:rPr>
          <w:rFonts w:ascii="Wingdings" w:hAnsi="Wingdings" w:cs="Wingdings" w:eastAsia="Wingdings" w:hint="default"/>
          <w:spacing w:val="28"/>
        </w:rPr>
        <w:t></w:t>
      </w:r>
      <w:r>
        <w:rPr>
          <w:rFonts w:ascii="Times New Roman" w:hAnsi="Times New Roman" w:cs="Times New Roman" w:eastAsia="Times New Roman" w:hint="default"/>
          <w:spacing w:val="28"/>
        </w:rPr>
      </w:r>
      <w:r>
        <w:rPr>
          <w:spacing w:val="2"/>
        </w:rPr>
        <w:t>增设华南地区总部，整合公司在广州、深圳、广西、海南等地的资源，加</w:t>
      </w:r>
      <w:r>
        <w:rPr>
          <w:spacing w:val="3"/>
        </w:rPr>
        <w:t> </w:t>
      </w:r>
      <w:r>
        <w:rPr/>
        <w:t>强公司在上述地区的品牌影响和市场竞争力。</w:t>
      </w:r>
    </w:p>
    <w:p>
      <w:pPr>
        <w:pStyle w:val="BodyText"/>
        <w:spacing w:line="240" w:lineRule="auto" w:before="55"/>
        <w:ind w:left="624" w:right="87"/>
        <w:jc w:val="left"/>
      </w:pPr>
      <w:r>
        <w:rPr>
          <w:rFonts w:ascii="Times New Roman" w:hAnsi="Times New Roman" w:cs="Times New Roman" w:eastAsia="Times New Roman" w:hint="default"/>
        </w:rPr>
        <w:t>3</w:t>
      </w:r>
      <w:r>
        <w:rPr/>
        <w:t>、品牌营销创新</w:t>
      </w:r>
    </w:p>
    <w:p>
      <w:pPr>
        <w:pStyle w:val="BodyText"/>
        <w:spacing w:line="338" w:lineRule="auto" w:before="135"/>
        <w:ind w:left="144" w:right="221" w:firstLine="480"/>
        <w:jc w:val="both"/>
      </w:pPr>
      <w:r>
        <w:rPr>
          <w:rFonts w:ascii="Times New Roman" w:hAnsi="Times New Roman" w:cs="Times New Roman" w:eastAsia="Times New Roman" w:hint="default"/>
        </w:rPr>
        <w:t>2007 </w:t>
      </w:r>
      <w:r>
        <w:rPr>
          <w:spacing w:val="-1"/>
        </w:rPr>
        <w:t>年是公司品牌形象得到有效提升的一年。从“春暖</w:t>
      </w:r>
      <w:r>
        <w:rPr>
          <w:spacing w:val="-51"/>
        </w:rPr>
        <w:t> </w:t>
      </w:r>
      <w:r>
        <w:rPr>
          <w:rFonts w:ascii="Times New Roman" w:hAnsi="Times New Roman" w:cs="Times New Roman" w:eastAsia="Times New Roman" w:hint="default"/>
          <w:spacing w:val="-11"/>
        </w:rPr>
        <w:t>2007</w:t>
      </w:r>
      <w:r>
        <w:rPr>
          <w:spacing w:val="-11"/>
        </w:rPr>
        <w:t>”、率先启动明星</w:t>
      </w:r>
      <w:r>
        <w:rPr/>
        <w:t> 代言，到“</w:t>
      </w:r>
      <w:r>
        <w:rPr>
          <w:rFonts w:ascii="Times New Roman" w:hAnsi="Times New Roman" w:cs="Times New Roman" w:eastAsia="Times New Roman" w:hint="default"/>
        </w:rPr>
        <w:t>1+1</w:t>
      </w:r>
      <w:r>
        <w:rPr>
          <w:rFonts w:ascii="Times New Roman" w:hAnsi="Times New Roman" w:cs="Times New Roman" w:eastAsia="Times New Roman" w:hint="default"/>
          <w:spacing w:val="22"/>
        </w:rPr>
        <w:t> </w:t>
      </w:r>
      <w:r>
        <w:rPr/>
        <w:t>阳光行”公益品牌的建设，苏宁的“专业、时尚、服务、责任”的 差异化品牌形象逐步树立并得到了一定的认同。</w:t>
      </w:r>
    </w:p>
    <w:p>
      <w:pPr>
        <w:pStyle w:val="BodyText"/>
        <w:spacing w:line="357" w:lineRule="auto" w:before="55"/>
        <w:ind w:left="144" w:right="88" w:firstLine="480"/>
        <w:jc w:val="left"/>
      </w:pPr>
      <w:r>
        <w:rPr/>
        <w:t>广告内容从过去大篇幅的价格渲染，过渡到品牌宣传、促销宣传并重；媒体投 放从单一主导的平面报纸，过渡到电视、网络、户外、杂志等新型媒体并用；促销 </w:t>
      </w:r>
      <w:r>
        <w:rPr>
          <w:spacing w:val="-4"/>
        </w:rPr>
        <w:t>手段从过去占比较多的价格、礼品促销过渡到异业合作、积分促销等多种形式共用，</w:t>
      </w:r>
      <w:r>
        <w:rPr>
          <w:spacing w:val="-114"/>
        </w:rPr>
        <w:t> </w:t>
      </w:r>
      <w:r>
        <w:rPr>
          <w:spacing w:val="-114"/>
        </w:rPr>
      </w:r>
      <w:r>
        <w:rPr/>
        <w:t>品牌营销取得一定的突破。</w:t>
      </w:r>
    </w:p>
    <w:p>
      <w:pPr>
        <w:pStyle w:val="BodyText"/>
        <w:spacing w:line="240" w:lineRule="auto" w:before="36"/>
        <w:ind w:left="624" w:right="87"/>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3C</w:t>
      </w:r>
      <w:r>
        <w:rPr>
          <w:rFonts w:ascii="Times New Roman" w:hAnsi="Times New Roman" w:cs="Times New Roman" w:eastAsia="Times New Roman" w:hint="default"/>
          <w:spacing w:val="-1"/>
        </w:rPr>
        <w:t> </w:t>
      </w:r>
      <w:r>
        <w:rPr/>
        <w:t>产品整合突破</w:t>
      </w:r>
    </w:p>
    <w:p>
      <w:pPr>
        <w:pStyle w:val="BodyText"/>
        <w:spacing w:line="340" w:lineRule="auto" w:before="135"/>
        <w:ind w:right="219" w:firstLine="480"/>
        <w:jc w:val="both"/>
      </w:pPr>
      <w:r>
        <w:rPr>
          <w:rFonts w:ascii="Wingdings" w:hAnsi="Wingdings" w:cs="Wingdings" w:eastAsia="Wingdings" w:hint="default"/>
        </w:rPr>
        <w:t></w:t>
      </w:r>
      <w:r>
        <w:rPr>
          <w:rFonts w:ascii="Wingdings" w:hAnsi="Wingdings" w:cs="Wingdings" w:eastAsia="Wingdings" w:hint="default"/>
          <w:spacing w:val="-58"/>
        </w:rPr>
        <w:t></w:t>
      </w:r>
      <w:r>
        <w:rPr>
          <w:rFonts w:ascii="Times New Roman" w:hAnsi="Times New Roman" w:cs="Times New Roman" w:eastAsia="Times New Roman" w:hint="default"/>
          <w:spacing w:val="-58"/>
        </w:rPr>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12 </w:t>
      </w:r>
      <w:r>
        <w:rPr>
          <w:spacing w:val="-4"/>
        </w:rPr>
        <w:t>日，由苏宁电器主办的</w:t>
      </w:r>
      <w:r>
        <w:rPr>
          <w:rFonts w:ascii="Times New Roman" w:hAnsi="Times New Roman" w:cs="Times New Roman" w:eastAsia="Times New Roman" w:hint="default"/>
          <w:spacing w:val="-4"/>
        </w:rPr>
        <w:t>“2007</w:t>
      </w:r>
      <w:r>
        <w:rPr>
          <w:rFonts w:ascii="Times New Roman" w:hAnsi="Times New Roman" w:cs="Times New Roman" w:eastAsia="Times New Roman" w:hint="default"/>
        </w:rPr>
        <w:t> </w:t>
      </w:r>
      <w:r>
        <w:rPr/>
        <w:t>中国</w:t>
      </w:r>
      <w:r>
        <w:rPr>
          <w:spacing w:val="-60"/>
        </w:rPr>
        <w:t> </w:t>
      </w:r>
      <w:r>
        <w:rPr>
          <w:rFonts w:ascii="Times New Roman" w:hAnsi="Times New Roman" w:cs="Times New Roman" w:eastAsia="Times New Roman" w:hint="default"/>
        </w:rPr>
        <w:t>PC </w:t>
      </w:r>
      <w:r>
        <w:rPr/>
        <w:t>行业发展高峰论坛</w:t>
      </w:r>
      <w:r>
        <w:rPr>
          <w:rFonts w:ascii="Times New Roman" w:hAnsi="Times New Roman" w:cs="Times New Roman" w:eastAsia="Times New Roman" w:hint="default"/>
        </w:rPr>
        <w:t>”</w:t>
      </w:r>
      <w:r>
        <w:rPr/>
        <w:t>在 </w:t>
      </w:r>
      <w:r>
        <w:rPr>
          <w:spacing w:val="2"/>
        </w:rPr>
        <w:t>南京正式召开，这是近十年来参会人员级别最高，规模最大的一次会议，众多</w:t>
      </w:r>
      <w:r>
        <w:rPr>
          <w:spacing w:val="25"/>
        </w:rPr>
        <w:t> </w:t>
      </w:r>
      <w:r>
        <w:rPr>
          <w:rFonts w:ascii="Times New Roman" w:hAnsi="Times New Roman" w:cs="Times New Roman" w:eastAsia="Times New Roman" w:hint="default"/>
        </w:rPr>
        <w:t>IT</w:t>
      </w:r>
      <w:r>
        <w:rPr>
          <w:rFonts w:ascii="Times New Roman" w:hAnsi="Times New Roman" w:cs="Times New Roman" w:eastAsia="Times New Roman" w:hint="default"/>
          <w:spacing w:val="-56"/>
        </w:rPr>
        <w:t> </w:t>
      </w:r>
      <w:r>
        <w:rPr>
          <w:spacing w:val="-1"/>
        </w:rPr>
        <w:t>业内人士和国家主管部门领导就论坛“机遇、变革、协同、超越”主题下的相关议</w:t>
      </w:r>
      <w:r>
        <w:rPr>
          <w:spacing w:val="-108"/>
        </w:rPr>
        <w:t> </w:t>
      </w:r>
      <w:r>
        <w:rPr>
          <w:spacing w:val="-108"/>
        </w:rPr>
      </w:r>
      <w:r>
        <w:rPr/>
        <w:t>题进行了探讨，一致认为在技术进步和市场需求的双重驱动下，中国 </w:t>
      </w:r>
      <w:r>
        <w:rPr>
          <w:rFonts w:ascii="Times New Roman" w:hAnsi="Times New Roman" w:cs="Times New Roman" w:eastAsia="Times New Roman" w:hint="default"/>
        </w:rPr>
        <w:t>3C</w:t>
      </w:r>
      <w:r>
        <w:rPr>
          <w:rFonts w:ascii="Times New Roman" w:hAnsi="Times New Roman" w:cs="Times New Roman" w:eastAsia="Times New Roman" w:hint="default"/>
          <w:spacing w:val="-4"/>
        </w:rPr>
        <w:t> </w:t>
      </w:r>
      <w:r>
        <w:rPr/>
        <w:t>家电连锁 将颠覆性地取得</w:t>
      </w:r>
      <w:r>
        <w:rPr>
          <w:spacing w:val="-60"/>
        </w:rPr>
        <w:t> </w:t>
      </w:r>
      <w:r>
        <w:rPr>
          <w:rFonts w:ascii="Times New Roman" w:hAnsi="Times New Roman" w:cs="Times New Roman" w:eastAsia="Times New Roman" w:hint="default"/>
        </w:rPr>
        <w:t>PC</w:t>
      </w:r>
      <w:r>
        <w:rPr>
          <w:rFonts w:ascii="Times New Roman" w:hAnsi="Times New Roman" w:cs="Times New Roman" w:eastAsia="Times New Roman" w:hint="default"/>
          <w:spacing w:val="-1"/>
        </w:rPr>
        <w:t> </w:t>
      </w:r>
      <w:r>
        <w:rPr>
          <w:spacing w:val="-4"/>
        </w:rPr>
        <w:t>零售渠道的主导权。这将是连锁渠道在</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产品经营突破的一个 里程碑。</w:t>
      </w:r>
    </w:p>
    <w:p>
      <w:pPr>
        <w:pStyle w:val="BodyText"/>
        <w:spacing w:line="240" w:lineRule="auto" w:before="53"/>
        <w:ind w:left="623" w:right="87"/>
        <w:jc w:val="left"/>
      </w:pPr>
      <w:r>
        <w:rPr>
          <w:rFonts w:ascii="Times New Roman" w:hAnsi="Times New Roman" w:cs="Times New Roman" w:eastAsia="Times New Roman" w:hint="default"/>
        </w:rPr>
        <w:t>5</w:t>
      </w:r>
      <w:r>
        <w:rPr/>
        <w:t>、连锁店经营创新</w:t>
      </w:r>
    </w:p>
    <w:p>
      <w:pPr>
        <w:spacing w:line="240" w:lineRule="auto" w:before="9"/>
        <w:rPr>
          <w:rFonts w:ascii="宋体" w:hAnsi="宋体" w:cs="宋体" w:eastAsia="宋体" w:hint="default"/>
          <w:sz w:val="17"/>
          <w:szCs w:val="17"/>
        </w:rPr>
      </w:pPr>
    </w:p>
    <w:p>
      <w:pPr>
        <w:pStyle w:val="BodyText"/>
        <w:spacing w:line="240" w:lineRule="auto"/>
        <w:ind w:left="623" w:right="0"/>
        <w:jc w:val="left"/>
      </w:pP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1 </w:t>
      </w:r>
      <w:r>
        <w:rPr>
          <w:spacing w:val="-12"/>
        </w:rPr>
        <w:t>日，公司新一代</w:t>
      </w:r>
      <w:r>
        <w:rPr>
          <w:spacing w:val="-60"/>
        </w:rPr>
        <w:t> </w:t>
      </w:r>
      <w:r>
        <w:rPr>
          <w:rFonts w:ascii="Times New Roman" w:hAnsi="Times New Roman" w:cs="Times New Roman" w:eastAsia="Times New Roman" w:hint="default"/>
        </w:rPr>
        <w:t>3C</w:t>
      </w:r>
      <w:r>
        <w:rPr>
          <w:rFonts w:ascii="Times New Roman" w:hAnsi="Times New Roman" w:cs="Times New Roman" w:eastAsia="Times New Roman" w:hint="default"/>
          <w:position w:val="6"/>
        </w:rPr>
        <w:t>+</w:t>
      </w:r>
      <w:r>
        <w:rPr/>
        <w:t>旗舰样板店——上海浦东远东大厦店开业，</w:t>
      </w:r>
    </w:p>
    <w:p>
      <w:pPr>
        <w:spacing w:line="240" w:lineRule="auto" w:before="0"/>
        <w:rPr>
          <w:rFonts w:ascii="宋体" w:hAnsi="宋体" w:cs="宋体" w:eastAsia="宋体" w:hint="default"/>
          <w:sz w:val="22"/>
          <w:szCs w:val="22"/>
        </w:rPr>
      </w:pPr>
    </w:p>
    <w:p>
      <w:pPr>
        <w:pStyle w:val="BodyText"/>
        <w:spacing w:line="376" w:lineRule="auto"/>
        <w:ind w:right="203"/>
        <w:jc w:val="left"/>
      </w:pPr>
      <w:r>
        <w:rPr/>
        <w:t>同天开业的武汉中南店以及北京北太平庄店等旗舰店共同推动了</w:t>
      </w:r>
      <w:r>
        <w:rPr>
          <w:spacing w:val="-78"/>
        </w:rPr>
        <w:t> </w:t>
      </w:r>
      <w:r>
        <w:rPr>
          <w:rFonts w:ascii="Times New Roman" w:hAnsi="Times New Roman" w:cs="Times New Roman" w:eastAsia="Times New Roman" w:hint="default"/>
        </w:rPr>
        <w:t>3C</w:t>
      </w:r>
      <w:r>
        <w:rPr>
          <w:rFonts w:ascii="Times New Roman" w:hAnsi="Times New Roman" w:cs="Times New Roman" w:eastAsia="Times New Roman" w:hint="default"/>
          <w:position w:val="6"/>
        </w:rPr>
        <w:t>+</w:t>
      </w:r>
      <w:r>
        <w:rPr/>
        <w:t>模式的进一步 深化。这是公司一直以来注重单店经营，不断摸索完善的又一标志。</w:t>
      </w:r>
    </w:p>
    <w:p>
      <w:pPr>
        <w:spacing w:after="0" w:line="376" w:lineRule="auto"/>
        <w:jc w:val="left"/>
        <w:sectPr>
          <w:pgSz w:w="11910" w:h="16840"/>
          <w:pgMar w:header="879" w:footer="982" w:top="1100" w:bottom="1180" w:left="1500" w:right="1420"/>
        </w:sectPr>
      </w:pPr>
    </w:p>
    <w:p>
      <w:pPr>
        <w:spacing w:line="240" w:lineRule="auto" w:before="11"/>
        <w:rPr>
          <w:rFonts w:ascii="宋体" w:hAnsi="宋体" w:cs="宋体" w:eastAsia="宋体" w:hint="default"/>
          <w:sz w:val="14"/>
          <w:szCs w:val="14"/>
        </w:rPr>
      </w:pPr>
    </w:p>
    <w:p>
      <w:pPr>
        <w:pStyle w:val="BodyText"/>
        <w:spacing w:line="367" w:lineRule="auto" w:before="69"/>
        <w:ind w:right="218" w:firstLine="480"/>
        <w:jc w:val="both"/>
      </w:pPr>
      <w:r>
        <w:rPr>
          <w:rFonts w:ascii="Wingdings" w:hAnsi="Wingdings" w:cs="Wingdings" w:eastAsia="Wingdings" w:hint="default"/>
        </w:rPr>
        <w:t></w:t>
      </w:r>
      <w:r>
        <w:rPr>
          <w:rFonts w:ascii="Times New Roman" w:hAnsi="Times New Roman" w:cs="Times New Roman" w:eastAsia="Times New Roman" w:hint="default"/>
        </w:rPr>
      </w:r>
      <w:r>
        <w:rPr/>
        <w:t>以远东店为代表的</w:t>
      </w:r>
      <w:r>
        <w:rPr>
          <w:spacing w:val="-32"/>
        </w:rPr>
        <w:t> </w:t>
      </w:r>
      <w:r>
        <w:rPr>
          <w:rFonts w:ascii="Times New Roman" w:hAnsi="Times New Roman" w:cs="Times New Roman" w:eastAsia="Times New Roman" w:hint="default"/>
        </w:rPr>
        <w:t>3C</w:t>
      </w:r>
      <w:r>
        <w:rPr>
          <w:rFonts w:ascii="Times New Roman" w:hAnsi="Times New Roman" w:cs="Times New Roman" w:eastAsia="Times New Roman" w:hint="default"/>
          <w:position w:val="6"/>
        </w:rPr>
        <w:t>+</w:t>
      </w:r>
      <w:r>
        <w:rPr/>
        <w:t>旗舰店结合了体验式、顾问式和知识营销等新的方</w:t>
      </w:r>
      <w:r>
        <w:rPr>
          <w:spacing w:val="1"/>
        </w:rPr>
        <w:t> </w:t>
      </w:r>
      <w:r>
        <w:rPr>
          <w:spacing w:val="-1"/>
        </w:rPr>
        <w:t>式，以其丰富的产品品类、适宜的产品品牌、适度的产品品项，充分满足消费者多</w:t>
      </w:r>
      <w:r>
        <w:rPr>
          <w:spacing w:val="-108"/>
        </w:rPr>
        <w:t> </w:t>
      </w:r>
      <w:r>
        <w:rPr>
          <w:spacing w:val="-108"/>
        </w:rPr>
      </w:r>
      <w:r>
        <w:rPr/>
        <w:t>样化的消费需求；</w:t>
      </w:r>
    </w:p>
    <w:p>
      <w:pPr>
        <w:pStyle w:val="BodyText"/>
        <w:spacing w:line="338" w:lineRule="auto" w:before="26"/>
        <w:ind w:left="144" w:right="220" w:firstLine="480"/>
        <w:jc w:val="both"/>
      </w:pPr>
      <w:r>
        <w:rPr/>
        <w:t>同时，远东店率先引进了 </w:t>
      </w:r>
      <w:r>
        <w:rPr>
          <w:rFonts w:ascii="Times New Roman" w:hAnsi="Times New Roman" w:cs="Times New Roman" w:eastAsia="Times New Roman" w:hint="default"/>
        </w:rPr>
        <w:t>3C</w:t>
      </w:r>
      <w:r>
        <w:rPr>
          <w:rFonts w:ascii="Times New Roman" w:hAnsi="Times New Roman" w:cs="Times New Roman" w:eastAsia="Times New Roman" w:hint="default"/>
          <w:spacing w:val="-4"/>
        </w:rPr>
        <w:t> </w:t>
      </w:r>
      <w:r>
        <w:rPr/>
        <w:t>售后服务中心，并由专业工程师提供全程咨询服 务，使消费者更好的享受到售前、售中、售后一体化的优质服务。</w:t>
      </w:r>
    </w:p>
    <w:p>
      <w:pPr>
        <w:pStyle w:val="BodyText"/>
        <w:spacing w:line="391" w:lineRule="auto" w:before="55"/>
        <w:ind w:left="144" w:right="221" w:firstLine="480"/>
        <w:jc w:val="both"/>
      </w:pPr>
      <w:r>
        <w:rPr>
          <w:rFonts w:ascii="Wingdings" w:hAnsi="Wingdings" w:cs="Wingdings" w:eastAsia="Wingdings" w:hint="default"/>
        </w:rPr>
        <w:t></w:t>
      </w:r>
      <w:r>
        <w:rPr>
          <w:rFonts w:ascii="Times New Roman" w:hAnsi="Times New Roman" w:cs="Times New Roman" w:eastAsia="Times New Roman" w:hint="default"/>
        </w:rPr>
      </w:r>
      <w:r>
        <w:rPr/>
        <w:t>品类拓展取得了重大突破。</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年，公司坚持延伸品类拓展，增加产品丰 富度，在</w:t>
      </w:r>
      <w:r>
        <w:rPr>
          <w:spacing w:val="-78"/>
        </w:rPr>
        <w:t> </w:t>
      </w:r>
      <w:r>
        <w:rPr>
          <w:rFonts w:ascii="Times New Roman" w:hAnsi="Times New Roman" w:cs="Times New Roman" w:eastAsia="Times New Roman" w:hint="default"/>
        </w:rPr>
        <w:t>3C</w:t>
      </w:r>
      <w:r>
        <w:rPr>
          <w:rFonts w:ascii="Times New Roman" w:hAnsi="Times New Roman" w:cs="Times New Roman" w:eastAsia="Times New Roman" w:hint="default"/>
          <w:position w:val="6"/>
        </w:rPr>
        <w:t>+</w:t>
      </w:r>
      <w:r>
        <w:rPr/>
        <w:t>旗舰店的建设中加大拓展力度，在照明、卫浴、健身器材等品类上已 开始成形。</w:t>
      </w:r>
    </w:p>
    <w:p>
      <w:pPr>
        <w:pStyle w:val="BodyText"/>
        <w:spacing w:line="240" w:lineRule="auto" w:before="2"/>
        <w:ind w:left="624" w:right="87"/>
        <w:jc w:val="left"/>
      </w:pPr>
      <w:r>
        <w:rPr>
          <w:rFonts w:ascii="Times New Roman" w:hAnsi="Times New Roman" w:cs="Times New Roman" w:eastAsia="Times New Roman" w:hint="default"/>
        </w:rPr>
        <w:t>6</w:t>
      </w:r>
      <w:r>
        <w:rPr/>
        <w:t>、连锁发展模式突破</w:t>
      </w:r>
    </w:p>
    <w:p>
      <w:pPr>
        <w:pStyle w:val="BodyText"/>
        <w:spacing w:line="338" w:lineRule="auto" w:before="135"/>
        <w:ind w:left="624" w:right="87"/>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多样化开发手段得到应用 </w:t>
      </w:r>
      <w:r>
        <w:rPr>
          <w:spacing w:val="-2"/>
        </w:rPr>
        <w:t>围绕开发规划，“租、买、并、建”多种方式获得优质店面，以重点城市、核</w:t>
      </w:r>
      <w:r>
        <w:rPr/>
      </w:r>
    </w:p>
    <w:p>
      <w:pPr>
        <w:pStyle w:val="BodyText"/>
        <w:spacing w:line="357" w:lineRule="auto" w:before="55"/>
        <w:ind w:left="144" w:right="221"/>
        <w:jc w:val="both"/>
      </w:pPr>
      <w:r>
        <w:rPr>
          <w:spacing w:val="-1"/>
        </w:rPr>
        <w:t>心商圈、优质物业、合理规模为标准，公司以上海浦东远东大厦店、武汉中南店为</w:t>
      </w:r>
      <w:r>
        <w:rPr>
          <w:spacing w:val="-108"/>
        </w:rPr>
        <w:t> </w:t>
      </w:r>
      <w:r>
        <w:rPr>
          <w:spacing w:val="-108"/>
        </w:rPr>
      </w:r>
      <w:r>
        <w:rPr>
          <w:spacing w:val="-1"/>
        </w:rPr>
        <w:t>契机，推进店面购置策略，以上店面的开设对各地规模提升、品牌提升、布局完善</w:t>
      </w:r>
      <w:r>
        <w:rPr>
          <w:spacing w:val="-108"/>
        </w:rPr>
        <w:t> </w:t>
      </w:r>
      <w:r>
        <w:rPr>
          <w:spacing w:val="-108"/>
        </w:rPr>
      </w:r>
      <w:r>
        <w:rPr/>
        <w:t>起到了良好的带动作用。</w:t>
      </w:r>
    </w:p>
    <w:p>
      <w:pPr>
        <w:pStyle w:val="BodyText"/>
        <w:tabs>
          <w:tab w:pos="1043" w:val="left" w:leader="none"/>
        </w:tabs>
        <w:spacing w:line="240" w:lineRule="auto" w:before="36"/>
        <w:ind w:left="624" w:right="8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全面直营拓展</w:t>
      </w:r>
    </w:p>
    <w:p>
      <w:pPr>
        <w:pStyle w:val="BodyText"/>
        <w:spacing w:line="348" w:lineRule="auto" w:before="137"/>
        <w:ind w:left="144" w:right="221" w:firstLine="480"/>
        <w:jc w:val="both"/>
      </w:pPr>
      <w:r>
        <w:rPr/>
        <w:t>截至</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日，公司与全部</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家特许加盟企业签署《特许加盟终止 </w:t>
      </w:r>
      <w:r>
        <w:rPr>
          <w:spacing w:val="-8"/>
        </w:rPr>
        <w:t>协议》，自该协议生效之日起，原特许加盟企业不得再在任何场合以“苏宁”或“苏</w:t>
      </w:r>
      <w:r>
        <w:rPr>
          <w:spacing w:val="-88"/>
        </w:rPr>
        <w:t> </w:t>
      </w:r>
      <w:r>
        <w:rPr>
          <w:spacing w:val="-88"/>
        </w:rPr>
      </w:r>
      <w:r>
        <w:rPr/>
        <w:t>宁电器”名义进行任何形式的经营业务、广告宣传等；</w:t>
      </w:r>
    </w:p>
    <w:p>
      <w:pPr>
        <w:pStyle w:val="BodyText"/>
        <w:spacing w:line="357" w:lineRule="auto" w:before="46"/>
        <w:ind w:left="144" w:right="87" w:firstLine="480"/>
        <w:jc w:val="left"/>
      </w:pPr>
      <w:r>
        <w:rPr>
          <w:spacing w:val="-5"/>
        </w:rPr>
        <w:t>公司认为，随着公司管理体系的完善、供应链整合的加强、人才与后台的成熟，</w:t>
      </w:r>
      <w:r>
        <w:rPr/>
        <w:t> 以直营方式发展，将能够更好的促进以上地区的店面布局完善，为消费者提供更优 质的产品和服务，同时也有利于公司发展空间的扩大和品牌影响力的提升。</w:t>
      </w:r>
    </w:p>
    <w:p>
      <w:pPr>
        <w:pStyle w:val="BodyText"/>
        <w:spacing w:line="240" w:lineRule="auto" w:before="36"/>
        <w:ind w:left="624" w:right="87"/>
        <w:jc w:val="left"/>
      </w:pPr>
      <w:r>
        <w:rPr>
          <w:rFonts w:ascii="Times New Roman" w:hAnsi="Times New Roman" w:cs="Times New Roman" w:eastAsia="Times New Roman" w:hint="default"/>
        </w:rPr>
        <w:t>7</w:t>
      </w:r>
      <w:r>
        <w:rPr/>
        <w:t>、战略合作</w:t>
      </w:r>
    </w:p>
    <w:p>
      <w:pPr>
        <w:pStyle w:val="BodyText"/>
        <w:spacing w:line="338" w:lineRule="auto" w:before="135"/>
        <w:ind w:left="144" w:right="221" w:firstLine="480"/>
        <w:jc w:val="both"/>
      </w:pPr>
      <w:r>
        <w:rPr>
          <w:rFonts w:ascii="Wingdings" w:hAnsi="Wingdings" w:cs="Wingdings" w:eastAsia="Wingdings" w:hint="default"/>
        </w:rPr>
        <w:t></w:t>
      </w:r>
      <w:r>
        <w:rPr>
          <w:rFonts w:ascii="Times New Roman" w:hAnsi="Times New Roman" w:cs="Times New Roman" w:eastAsia="Times New Roman" w:hint="default"/>
        </w:rPr>
      </w:r>
      <w:r>
        <w:rPr>
          <w:rFonts w:ascii="Times New Roman" w:hAnsi="Times New Roman" w:cs="Times New Roman" w:eastAsia="Times New Roman" w:hint="default"/>
        </w:rPr>
        <w:t>2007</w:t>
      </w:r>
      <w:r>
        <w:rPr>
          <w:rFonts w:ascii="Times New Roman" w:hAnsi="Times New Roman" w:cs="Times New Roman" w:eastAsia="Times New Roman" w:hint="default"/>
          <w:spacing w:val="-23"/>
        </w:rPr>
        <w:t> </w:t>
      </w:r>
      <w:r>
        <w:rPr/>
        <w:t>年，公司与三星、海尔、索尼、夏普、飞利浦、松下、美的等合作伙 伴继续开展战略合作；</w:t>
      </w:r>
    </w:p>
    <w:p>
      <w:pPr>
        <w:pStyle w:val="BodyText"/>
        <w:spacing w:line="348" w:lineRule="auto" w:before="55"/>
        <w:ind w:left="1464" w:right="216" w:hanging="420"/>
        <w:jc w:val="both"/>
      </w:pPr>
      <w:r>
        <w:rPr>
          <w:rFonts w:ascii="Wingdings" w:hAnsi="Wingdings" w:cs="Wingdings" w:eastAsia="Wingdings" w:hint="default"/>
        </w:rPr>
        <w:t></w:t>
      </w:r>
      <w:r>
        <w:rPr>
          <w:rFonts w:ascii="Wingdings" w:hAnsi="Wingdings" w:cs="Wingdings" w:eastAsia="Wingdings" w:hint="default"/>
          <w:spacing w:val="-23"/>
        </w:rPr>
        <w:t></w:t>
      </w:r>
      <w:r>
        <w:rPr>
          <w:rFonts w:ascii="Times New Roman" w:hAnsi="Times New Roman" w:cs="Times New Roman" w:eastAsia="Times New Roman" w:hint="default"/>
          <w:spacing w:val="-23"/>
        </w:rPr>
      </w:r>
      <w:r>
        <w:rPr>
          <w:spacing w:val="-3"/>
        </w:rPr>
        <w:t>公司和三星、</w:t>
      </w:r>
      <w:r>
        <w:rPr>
          <w:rFonts w:ascii="Times New Roman" w:hAnsi="Times New Roman" w:cs="Times New Roman" w:eastAsia="Times New Roman" w:hint="default"/>
          <w:spacing w:val="-3"/>
        </w:rPr>
        <w:t>LG</w:t>
      </w:r>
      <w:r>
        <w:rPr>
          <w:spacing w:val="-3"/>
        </w:rPr>
        <w:t>、海信等供应商的</w:t>
      </w:r>
      <w:r>
        <w:rPr>
          <w:spacing w:val="-64"/>
        </w:rPr>
        <w:t> </w:t>
      </w:r>
      <w:r>
        <w:rPr>
          <w:rFonts w:ascii="Times New Roman" w:hAnsi="Times New Roman" w:cs="Times New Roman" w:eastAsia="Times New Roman" w:hint="default"/>
        </w:rPr>
        <w:t>B2B</w:t>
      </w:r>
      <w:r>
        <w:rPr>
          <w:rFonts w:ascii="Times New Roman" w:hAnsi="Times New Roman" w:cs="Times New Roman" w:eastAsia="Times New Roman" w:hint="default"/>
          <w:spacing w:val="-5"/>
        </w:rPr>
        <w:t> </w:t>
      </w:r>
      <w:r>
        <w:rPr/>
        <w:t>直联项目继续实施上线，上千 </w:t>
      </w:r>
      <w:r>
        <w:rPr>
          <w:spacing w:val="2"/>
        </w:rPr>
        <w:t>家中小供应商与公司实现了在线流程，双方的业务流程进行了合理优</w:t>
      </w:r>
      <w:r>
        <w:rPr>
          <w:spacing w:val="3"/>
        </w:rPr>
        <w:t> </w:t>
      </w:r>
      <w:r>
        <w:rPr/>
        <w:t>化，有效的提高了工作效率，加强了双方业务的协同。</w:t>
      </w:r>
    </w:p>
    <w:p>
      <w:pPr>
        <w:pStyle w:val="BodyText"/>
        <w:spacing w:line="338" w:lineRule="auto" w:before="46"/>
        <w:ind w:left="1464" w:right="221" w:hanging="420"/>
        <w:jc w:val="both"/>
      </w:pPr>
      <w:r>
        <w:rPr>
          <w:rFonts w:ascii="Wingdings" w:hAnsi="Wingdings" w:cs="Wingdings" w:eastAsia="Wingdings" w:hint="default"/>
        </w:rPr>
        <w:t></w:t>
      </w:r>
      <w:r>
        <w:rPr>
          <w:rFonts w:ascii="Wingdings" w:hAnsi="Wingdings" w:cs="Wingdings" w:eastAsia="Wingdings" w:hint="default"/>
          <w:spacing w:val="-50"/>
        </w:rPr>
        <w:t></w:t>
      </w:r>
      <w:r>
        <w:rPr>
          <w:rFonts w:ascii="Times New Roman" w:hAnsi="Times New Roman" w:cs="Times New Roman" w:eastAsia="Times New Roman" w:hint="default"/>
          <w:spacing w:val="-50"/>
        </w:rPr>
      </w:r>
      <w:r>
        <w:rPr>
          <w:rFonts w:ascii="Times New Roman" w:hAnsi="Times New Roman" w:cs="Times New Roman" w:eastAsia="Times New Roman" w:hint="default"/>
        </w:rPr>
        <w:t>SSMS</w:t>
      </w:r>
      <w:r>
        <w:rPr/>
        <w:t>（三星苏宁营销学院）联合培训合作上继续深化运营，全年共开 办七个班次，受训人数近 </w:t>
      </w:r>
      <w:r>
        <w:rPr>
          <w:rFonts w:ascii="Times New Roman" w:hAnsi="Times New Roman" w:cs="Times New Roman" w:eastAsia="Times New Roman" w:hint="default"/>
        </w:rPr>
        <w:t>300</w:t>
      </w:r>
      <w:r>
        <w:rPr>
          <w:rFonts w:ascii="Times New Roman" w:hAnsi="Times New Roman" w:cs="Times New Roman" w:eastAsia="Times New Roman" w:hint="default"/>
          <w:spacing w:val="38"/>
        </w:rPr>
        <w:t> </w:t>
      </w:r>
      <w:r>
        <w:rPr/>
        <w:t>人，有效拓宽了厂商在销售领域外的合 作，是双方战略合作中一个深层次的创新。</w:t>
      </w:r>
    </w:p>
    <w:p>
      <w:pPr>
        <w:spacing w:after="0" w:line="338"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ListParagraph"/>
        <w:numPr>
          <w:ilvl w:val="0"/>
          <w:numId w:val="1"/>
        </w:numPr>
        <w:tabs>
          <w:tab w:pos="1464" w:val="left" w:leader="none"/>
        </w:tabs>
        <w:spacing w:line="345" w:lineRule="auto" w:before="26" w:after="0"/>
        <w:ind w:left="1464" w:right="101" w:hanging="420"/>
        <w:jc w:val="left"/>
        <w:rPr>
          <w:rFonts w:ascii="宋体" w:hAnsi="宋体" w:cs="宋体" w:eastAsia="宋体" w:hint="default"/>
          <w:sz w:val="24"/>
          <w:szCs w:val="24"/>
        </w:rPr>
      </w:pPr>
      <w:r>
        <w:rPr>
          <w:rFonts w:ascii="宋体" w:hAnsi="宋体" w:cs="宋体" w:eastAsia="宋体" w:hint="default"/>
          <w:sz w:val="24"/>
          <w:szCs w:val="24"/>
        </w:rPr>
        <w:t>与海尔集团签署</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ECR</w:t>
      </w:r>
      <w:r>
        <w:rPr>
          <w:rFonts w:ascii="宋体" w:hAnsi="宋体" w:cs="宋体" w:eastAsia="宋体" w:hint="default"/>
          <w:sz w:val="24"/>
          <w:szCs w:val="24"/>
        </w:rPr>
        <w:t>（高效消费者响应，</w:t>
      </w:r>
      <w:r>
        <w:rPr>
          <w:rFonts w:ascii="Times New Roman" w:hAnsi="Times New Roman" w:cs="Times New Roman" w:eastAsia="Times New Roman" w:hint="default"/>
          <w:sz w:val="24"/>
          <w:szCs w:val="24"/>
        </w:rPr>
        <w:t>Effcient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Consumer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Response</w:t>
      </w:r>
      <w:r>
        <w:rPr>
          <w:rFonts w:ascii="宋体" w:hAnsi="宋体" w:cs="宋体" w:eastAsia="宋体" w:hint="default"/>
          <w:sz w:val="24"/>
          <w:szCs w:val="24"/>
        </w:rPr>
        <w:t>） 合作协议，将基于全面对接的</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B2B</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系统创新供应链管理模式，通过双 </w:t>
      </w:r>
      <w:r>
        <w:rPr>
          <w:rFonts w:ascii="宋体" w:hAnsi="宋体" w:cs="宋体" w:eastAsia="宋体" w:hint="default"/>
          <w:spacing w:val="2"/>
          <w:sz w:val="24"/>
          <w:szCs w:val="24"/>
        </w:rPr>
        <w:t>方的资金信息化流动，提高整个供应链体系的运作效率，为客户提高</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1"/>
          <w:sz w:val="24"/>
          <w:szCs w:val="24"/>
        </w:rPr>
        <w:t>更好的服务，最终建立具有高效反应能力和以客户需求为导向的体系。</w:t>
      </w:r>
    </w:p>
    <w:p>
      <w:pPr>
        <w:pStyle w:val="BodyText"/>
        <w:spacing w:line="348" w:lineRule="auto" w:before="48"/>
        <w:ind w:left="1464" w:right="216" w:hanging="420"/>
        <w:jc w:val="both"/>
      </w:pPr>
      <w:r>
        <w:rPr>
          <w:rFonts w:ascii="Wingdings" w:hAnsi="Wingdings" w:cs="Wingdings" w:eastAsia="Wingdings" w:hint="default"/>
        </w:rPr>
        <w:t></w:t>
      </w:r>
      <w:r>
        <w:rPr>
          <w:rFonts w:ascii="Wingdings" w:hAnsi="Wingdings" w:cs="Wingdings" w:eastAsia="Wingdings" w:hint="default"/>
          <w:spacing w:val="15"/>
        </w:rPr>
        <w:t></w:t>
      </w:r>
      <w:r>
        <w:rPr>
          <w:rFonts w:ascii="Times New Roman" w:hAnsi="Times New Roman" w:cs="Times New Roman" w:eastAsia="Times New Roman" w:hint="default"/>
          <w:spacing w:val="15"/>
        </w:rPr>
      </w:r>
      <w:r>
        <w:rPr>
          <w:spacing w:val="2"/>
        </w:rPr>
        <w:t>索尼、夏普、飞利浦、松下、美的等品牌的合作上，在系统对接、产</w:t>
      </w:r>
      <w:r>
        <w:rPr>
          <w:spacing w:val="-118"/>
        </w:rPr>
        <w:t> </w:t>
      </w:r>
      <w:r>
        <w:rPr>
          <w:spacing w:val="-118"/>
        </w:rPr>
      </w:r>
      <w:r>
        <w:rPr>
          <w:spacing w:val="2"/>
        </w:rPr>
        <w:t>品包销定制、店中店等项目推进上均较以往有了较大突破，继续深化</w:t>
      </w:r>
      <w:r>
        <w:rPr>
          <w:spacing w:val="3"/>
        </w:rPr>
        <w:t> </w:t>
      </w:r>
      <w:r>
        <w:rPr/>
        <w:t>了战略合作关系。</w:t>
      </w:r>
    </w:p>
    <w:p>
      <w:pPr>
        <w:pStyle w:val="BodyText"/>
        <w:spacing w:line="348" w:lineRule="auto" w:before="46"/>
        <w:ind w:left="144" w:right="122" w:firstLine="480"/>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12 </w:t>
      </w:r>
      <w:r>
        <w:rPr/>
        <w:t>日，公司与中国建设银行股份有限公司签订战略合作协议， 双方将展开企业资金管理、消费支付、渠道整合、电子商务等多方面的合作，进一 步体现了“长期合作、整合资源、共创价值、共谋发展”的原则；</w:t>
      </w:r>
    </w:p>
    <w:p>
      <w:pPr>
        <w:pStyle w:val="BodyText"/>
        <w:spacing w:line="338" w:lineRule="auto" w:before="46"/>
        <w:ind w:left="144" w:right="87" w:firstLine="480"/>
        <w:jc w:val="left"/>
      </w:pPr>
      <w:r>
        <w:rPr>
          <w:rFonts w:ascii="Wingdings" w:hAnsi="Wingdings" w:cs="Wingdings" w:eastAsia="Wingdings" w:hint="default"/>
          <w:w w:val="99"/>
        </w:rPr>
        <w:t></w:t>
      </w:r>
      <w:r>
        <w:rPr>
          <w:rFonts w:ascii="Wingdings" w:hAnsi="Wingdings" w:cs="Wingdings" w:eastAsia="Wingdings" w:hint="default"/>
          <w:spacing w:val="-59"/>
          <w:w w:val="99"/>
        </w:rPr>
        <w:t></w:t>
      </w:r>
      <w:r>
        <w:rPr>
          <w:rFonts w:ascii="Times New Roman" w:hAnsi="Times New Roman" w:cs="Times New Roman" w:eastAsia="Times New Roman" w:hint="default"/>
          <w:spacing w:val="-59"/>
          <w:w w:val="99"/>
        </w:rPr>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17 </w:t>
      </w:r>
      <w:r>
        <w:rPr>
          <w:spacing w:val="-12"/>
        </w:rPr>
        <w:t>日，公司与</w:t>
      </w:r>
      <w:r>
        <w:rPr>
          <w:spacing w:val="-60"/>
        </w:rPr>
        <w:t> </w:t>
      </w:r>
      <w:r>
        <w:rPr>
          <w:rFonts w:ascii="Times New Roman" w:hAnsi="Times New Roman" w:cs="Times New Roman" w:eastAsia="Times New Roman" w:hint="default"/>
        </w:rPr>
        <w:t>IBM </w:t>
      </w:r>
      <w:r>
        <w:rPr>
          <w:spacing w:val="-12"/>
        </w:rPr>
        <w:t>公司携手启动“蓝深计划”，在未来五年内，</w:t>
      </w:r>
      <w:r>
        <w:rPr/>
        <w:t> 双方将在企业管理、流程变革、应用系统开发与 </w:t>
      </w:r>
      <w:r>
        <w:rPr>
          <w:rFonts w:ascii="Times New Roman" w:hAnsi="Times New Roman" w:cs="Times New Roman" w:eastAsia="Times New Roman" w:hint="default"/>
        </w:rPr>
        <w:t>IT</w:t>
      </w:r>
      <w:r>
        <w:rPr>
          <w:rFonts w:ascii="Times New Roman" w:hAnsi="Times New Roman" w:cs="Times New Roman" w:eastAsia="Times New Roman" w:hint="default"/>
          <w:spacing w:val="50"/>
        </w:rPr>
        <w:t> </w:t>
      </w:r>
      <w:r>
        <w:rPr/>
        <w:t>管理等领域开展密切合作，以 协助苏宁电器全面提高企业管理和 </w:t>
      </w:r>
      <w:r>
        <w:rPr>
          <w:rFonts w:ascii="Times New Roman" w:hAnsi="Times New Roman" w:cs="Times New Roman" w:eastAsia="Times New Roman" w:hint="default"/>
        </w:rPr>
        <w:t>IT</w:t>
      </w:r>
      <w:r>
        <w:rPr>
          <w:rFonts w:ascii="Times New Roman" w:hAnsi="Times New Roman" w:cs="Times New Roman" w:eastAsia="Times New Roman" w:hint="default"/>
          <w:spacing w:val="50"/>
        </w:rPr>
        <w:t> </w:t>
      </w:r>
      <w:r>
        <w:rPr/>
        <w:t>应用水平，加速业务成长和服务价值提升， 从而实现核心竞争能力的提升与长期的可持续发展；</w:t>
      </w:r>
    </w:p>
    <w:p>
      <w:pPr>
        <w:pStyle w:val="BodyText"/>
        <w:spacing w:line="352" w:lineRule="auto" w:before="55"/>
        <w:ind w:left="144" w:right="87" w:firstLine="480"/>
        <w:jc w:val="left"/>
      </w:pPr>
      <w:r>
        <w:rPr>
          <w:rFonts w:ascii="Wingdings" w:hAnsi="Wingdings" w:cs="Wingdings" w:eastAsia="Wingdings" w:hint="default"/>
          <w:w w:val="99"/>
        </w:rPr>
        <w:t></w:t>
      </w:r>
      <w:r>
        <w:rPr>
          <w:rFonts w:ascii="Wingdings" w:hAnsi="Wingdings" w:cs="Wingdings" w:eastAsia="Wingdings" w:hint="default"/>
          <w:spacing w:val="-55"/>
          <w:w w:val="99"/>
        </w:rPr>
        <w:t></w:t>
      </w:r>
      <w:r>
        <w:rPr>
          <w:rFonts w:ascii="Times New Roman" w:hAnsi="Times New Roman" w:cs="Times New Roman" w:eastAsia="Times New Roman" w:hint="default"/>
          <w:spacing w:val="-55"/>
          <w:w w:val="99"/>
        </w:rPr>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13"/>
        </w:rPr>
        <w:t>日，苏宁电器与中国出口信用保险公司签订《合作备忘录》，</w:t>
      </w:r>
      <w:r>
        <w:rPr/>
        <w:t> </w:t>
      </w:r>
      <w:r>
        <w:rPr>
          <w:spacing w:val="6"/>
        </w:rPr>
        <w:t>苏宁电器凭借自身良好的发展态势和信用记录成为中国信保在中国流通行业的第</w:t>
      </w:r>
      <w:r>
        <w:rPr>
          <w:spacing w:val="6"/>
        </w:rPr>
        <w:t> </w:t>
      </w:r>
      <w:r>
        <w:rPr/>
        <w:t>一家内保合作单位。通过此次合作，苏宁电器将在利用信用保险工具方面进一步与</w:t>
      </w:r>
      <w:r>
        <w:rPr/>
        <w:t> 国际接轨，主动地参与到供应商的信用管理之中，建立稳定的供应链关系，进一步 升级供应链管理模式，实现苏宁电器和供应商的共同发展。</w:t>
      </w:r>
    </w:p>
    <w:p>
      <w:pPr>
        <w:spacing w:line="240" w:lineRule="auto" w:before="0"/>
        <w:rPr>
          <w:rFonts w:ascii="宋体" w:hAnsi="宋体" w:cs="宋体" w:eastAsia="宋体" w:hint="default"/>
          <w:sz w:val="24"/>
          <w:szCs w:val="24"/>
        </w:rPr>
      </w:pPr>
    </w:p>
    <w:p>
      <w:pPr>
        <w:pStyle w:val="BodyText"/>
        <w:spacing w:line="240" w:lineRule="auto" w:before="195"/>
        <w:ind w:left="624" w:right="87"/>
        <w:jc w:val="left"/>
      </w:pPr>
      <w:r>
        <w:rPr/>
        <w:t>（二）重大战略执行情况</w:t>
      </w:r>
    </w:p>
    <w:p>
      <w:pPr>
        <w:pStyle w:val="BodyText"/>
        <w:spacing w:line="240" w:lineRule="auto" w:before="154"/>
        <w:ind w:left="624" w:right="87"/>
        <w:jc w:val="left"/>
      </w:pPr>
      <w:r>
        <w:rPr>
          <w:rFonts w:ascii="Times New Roman" w:hAnsi="Times New Roman" w:cs="Times New Roman" w:eastAsia="Times New Roman" w:hint="default"/>
        </w:rPr>
        <w:t>1</w:t>
      </w:r>
      <w:r>
        <w:rPr/>
        <w:t>、现代化物流平台建设</w:t>
      </w:r>
    </w:p>
    <w:p>
      <w:pPr>
        <w:pStyle w:val="BodyText"/>
        <w:spacing w:line="240" w:lineRule="auto" w:before="135"/>
        <w:ind w:left="504" w:right="87"/>
        <w:jc w:val="left"/>
      </w:pPr>
      <w:r>
        <w:rPr/>
        <w:t>（</w:t>
      </w:r>
      <w:r>
        <w:rPr>
          <w:rFonts w:ascii="Times New Roman" w:hAnsi="Times New Roman" w:cs="Times New Roman" w:eastAsia="Times New Roman" w:hint="default"/>
        </w:rPr>
        <w:t>1</w:t>
      </w:r>
      <w:r>
        <w:rPr/>
        <w:t>）物流基地建设和物流平台整合</w:t>
      </w:r>
    </w:p>
    <w:p>
      <w:pPr>
        <w:pStyle w:val="BodyText"/>
        <w:spacing w:line="345" w:lineRule="auto" w:before="135"/>
        <w:ind w:left="144" w:right="221" w:firstLine="480"/>
        <w:jc w:val="both"/>
      </w:pPr>
      <w:r>
        <w:rPr>
          <w:rFonts w:ascii="Wingdings" w:hAnsi="Wingdings" w:cs="Wingdings" w:eastAsia="Wingdings" w:hint="default"/>
        </w:rPr>
        <w:t></w:t>
      </w:r>
      <w:r>
        <w:rPr>
          <w:rFonts w:ascii="Wingdings" w:hAnsi="Wingdings" w:cs="Wingdings" w:eastAsia="Wingdings" w:hint="default"/>
          <w:spacing w:val="-51"/>
        </w:rPr>
        <w:t></w:t>
      </w:r>
      <w:r>
        <w:rPr>
          <w:rFonts w:ascii="Times New Roman" w:hAnsi="Times New Roman" w:cs="Times New Roman" w:eastAsia="Times New Roman" w:hint="default"/>
          <w:spacing w:val="-51"/>
        </w:rPr>
      </w:r>
      <w:r>
        <w:rPr>
          <w:spacing w:val="-7"/>
        </w:rPr>
        <w:t>目前，公司已经在杭州、北京建成两个第三代物流配送中心，并分别于</w:t>
      </w:r>
      <w:r>
        <w:rPr>
          <w:spacing w:val="-57"/>
        </w:rPr>
        <w:t> </w:t>
      </w:r>
      <w:r>
        <w:rPr>
          <w:rFonts w:ascii="Times New Roman" w:hAnsi="Times New Roman" w:cs="Times New Roman" w:eastAsia="Times New Roman" w:hint="default"/>
        </w:rPr>
        <w:t>2005 </w:t>
      </w:r>
      <w:r>
        <w:rPr/>
        <w:t>年底、</w:t>
      </w:r>
      <w:r>
        <w:rPr>
          <w:rFonts w:ascii="Times New Roman" w:hAnsi="Times New Roman" w:cs="Times New Roman" w:eastAsia="Times New Roman" w:hint="default"/>
        </w:rPr>
        <w:t>2007 </w:t>
      </w:r>
      <w:r>
        <w:rPr/>
        <w:t>年初投入使用；而利用 </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年非公开发行股票募集资金建设的江苏物</w:t>
      </w:r>
      <w:r>
        <w:rPr>
          <w:spacing w:val="-1"/>
        </w:rPr>
        <w:t> 流配送中心，办公楼、培训楼部分已经建成并投入使用，仓库搬迁、上线工作正在</w:t>
      </w:r>
      <w:r>
        <w:rPr>
          <w:spacing w:val="-107"/>
        </w:rPr>
        <w:t> </w:t>
      </w:r>
      <w:r>
        <w:rPr>
          <w:spacing w:val="-107"/>
        </w:rPr>
      </w:r>
      <w:r>
        <w:rPr/>
        <w:t>进行当中，预计将于</w:t>
      </w:r>
      <w:r>
        <w:rPr>
          <w:spacing w:val="-60"/>
        </w:rPr>
        <w:t> </w:t>
      </w:r>
      <w:r>
        <w:rPr>
          <w:rFonts w:ascii="Times New Roman" w:hAnsi="Times New Roman" w:cs="Times New Roman" w:eastAsia="Times New Roman" w:hint="default"/>
        </w:rPr>
        <w:t>2008 </w:t>
      </w:r>
      <w:r>
        <w:rPr/>
        <w:t>年上半年投入使用；</w:t>
      </w:r>
    </w:p>
    <w:p>
      <w:pPr>
        <w:pStyle w:val="BodyText"/>
        <w:spacing w:line="348" w:lineRule="auto" w:before="19"/>
        <w:ind w:left="144" w:right="217" w:firstLine="480"/>
        <w:jc w:val="both"/>
      </w:pPr>
      <w:r>
        <w:rPr>
          <w:rFonts w:ascii="Wingdings" w:hAnsi="Wingdings" w:cs="Wingdings" w:eastAsia="Wingdings" w:hint="default"/>
        </w:rPr>
        <w:t></w:t>
      </w:r>
      <w:r>
        <w:rPr>
          <w:rFonts w:ascii="Wingdings" w:hAnsi="Wingdings" w:cs="Wingdings" w:eastAsia="Wingdings" w:hint="default"/>
          <w:spacing w:val="-32"/>
        </w:rPr>
        <w:t></w:t>
      </w:r>
      <w:r>
        <w:rPr>
          <w:rFonts w:ascii="Times New Roman" w:hAnsi="Times New Roman" w:cs="Times New Roman" w:eastAsia="Times New Roman" w:hint="default"/>
          <w:spacing w:val="-32"/>
        </w:rPr>
      </w:r>
      <w:r>
        <w:rPr>
          <w:spacing w:val="2"/>
        </w:rPr>
        <w:t>通过杭州、北京、江苏物流配送中心的建设和使用，为公司现代化物流建</w:t>
      </w:r>
      <w:r>
        <w:rPr>
          <w:spacing w:val="3"/>
        </w:rPr>
        <w:t> </w:t>
      </w:r>
      <w:r>
        <w:rPr>
          <w:spacing w:val="-1"/>
        </w:rPr>
        <w:t>设提供了有力的硬件平台，同时也为今后各地的物流基地建设、运作标准和流程的</w:t>
      </w:r>
      <w:r>
        <w:rPr>
          <w:spacing w:val="-106"/>
        </w:rPr>
        <w:t> </w:t>
      </w:r>
      <w:r>
        <w:rPr>
          <w:spacing w:val="-106"/>
        </w:rPr>
      </w:r>
      <w:r>
        <w:rPr>
          <w:spacing w:val="-1"/>
        </w:rPr>
        <w:t>完善提供了可复制的模板。公司将在总结前期经验的基础上进一步改进和完善，按</w:t>
      </w:r>
    </w:p>
    <w:p>
      <w:pPr>
        <w:spacing w:after="0" w:line="348"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57" w:lineRule="auto" w:before="26"/>
        <w:ind w:left="144" w:right="138"/>
        <w:jc w:val="both"/>
      </w:pPr>
      <w:r>
        <w:rPr/>
        <w:t>照规划继续推进物流基地建设。目前，沈阳物流中心正在进行前期设计规划工作， </w:t>
      </w:r>
      <w:r>
        <w:rPr>
          <w:spacing w:val="-1"/>
        </w:rPr>
        <w:t>成都、无锡、徐州等地的物流选址已经达成初步意向，预计上述地区的物流基地建</w:t>
      </w:r>
      <w:r>
        <w:rPr>
          <w:spacing w:val="-108"/>
        </w:rPr>
        <w:t> </w:t>
      </w:r>
      <w:r>
        <w:rPr>
          <w:spacing w:val="-108"/>
        </w:rPr>
      </w:r>
      <w:r>
        <w:rPr/>
        <w:t>设工作也将于</w:t>
      </w:r>
      <w:r>
        <w:rPr>
          <w:spacing w:val="-60"/>
        </w:rPr>
        <w:t> </w:t>
      </w:r>
      <w:r>
        <w:rPr>
          <w:rFonts w:ascii="Times New Roman" w:hAnsi="Times New Roman" w:cs="Times New Roman" w:eastAsia="Times New Roman" w:hint="default"/>
        </w:rPr>
        <w:t>2008 </w:t>
      </w:r>
      <w:r>
        <w:rPr/>
        <w:t>年内逐步开展。</w:t>
      </w:r>
    </w:p>
    <w:p>
      <w:pPr>
        <w:pStyle w:val="BodyText"/>
        <w:spacing w:line="348" w:lineRule="auto" w:before="5"/>
        <w:ind w:right="15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报告期内，公司继续推进核心城市周边二、三级市场物流平台整合工作，</w:t>
      </w:r>
      <w:r>
        <w:rPr>
          <w:spacing w:val="3"/>
        </w:rPr>
        <w:t> </w:t>
      </w:r>
      <w:r>
        <w:rPr>
          <w:spacing w:val="-1"/>
        </w:rPr>
        <w:t>合肥、西安、杭州、广州、深圳等地区整合效益明显，配送效率进一步提高，存货</w:t>
      </w:r>
      <w:r>
        <w:rPr>
          <w:spacing w:val="-108"/>
        </w:rPr>
        <w:t> </w:t>
      </w:r>
      <w:r>
        <w:rPr>
          <w:spacing w:val="-108"/>
        </w:rPr>
      </w:r>
      <w:r>
        <w:rPr/>
        <w:t>周转率得到有效提升，同时带动了物流半径范围内各公司的整体规模效益提升。</w:t>
      </w:r>
    </w:p>
    <w:p>
      <w:pPr>
        <w:pStyle w:val="BodyText"/>
        <w:spacing w:line="240" w:lineRule="auto" w:before="46"/>
        <w:ind w:left="623" w:right="2428"/>
        <w:jc w:val="left"/>
      </w:pPr>
      <w:r>
        <w:rPr/>
        <w:t>（</w:t>
      </w:r>
      <w:r>
        <w:rPr>
          <w:rFonts w:ascii="Times New Roman" w:hAnsi="Times New Roman" w:cs="Times New Roman" w:eastAsia="Times New Roman" w:hint="default"/>
        </w:rPr>
        <w:t>2</w:t>
      </w:r>
      <w:r>
        <w:rPr/>
        <w:t>） 信息化和专业化物流运作</w:t>
      </w:r>
    </w:p>
    <w:p>
      <w:pPr>
        <w:pStyle w:val="BodyText"/>
        <w:spacing w:line="338" w:lineRule="auto" w:before="135"/>
        <w:ind w:right="15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机械化作业、立体仓储管理、大型自备车队等专业物流的运作方式已全面</w:t>
      </w:r>
      <w:r>
        <w:rPr>
          <w:spacing w:val="3"/>
        </w:rPr>
        <w:t> </w:t>
      </w:r>
      <w:r>
        <w:rPr/>
        <w:t>实现，大大提升了现代物流的服务保障能力。</w:t>
      </w:r>
    </w:p>
    <w:p>
      <w:pPr>
        <w:pStyle w:val="BodyText"/>
        <w:spacing w:line="240" w:lineRule="auto" w:before="55"/>
        <w:ind w:left="623" w:right="0"/>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手机单件管理系统的上线，标志着公司物流精细化管理的起步；</w:t>
      </w:r>
    </w:p>
    <w:p>
      <w:pPr>
        <w:pStyle w:val="BodyText"/>
        <w:spacing w:line="338" w:lineRule="auto" w:before="137"/>
        <w:ind w:right="15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与中国移动合作的“全程在线”系统试点的推广，进一步提升了物流工作</w:t>
      </w:r>
      <w:r>
        <w:rPr>
          <w:spacing w:val="3"/>
        </w:rPr>
        <w:t> </w:t>
      </w:r>
      <w:r>
        <w:rPr/>
        <w:t>效率和客户服务质量。</w:t>
      </w:r>
    </w:p>
    <w:p>
      <w:pPr>
        <w:pStyle w:val="BodyText"/>
        <w:spacing w:line="352" w:lineRule="auto" w:before="55"/>
        <w:ind w:right="138" w:firstLine="480"/>
        <w:jc w:val="both"/>
      </w:pPr>
      <w:r>
        <w:rPr>
          <w:spacing w:val="2"/>
        </w:rPr>
        <w:t>（</w:t>
      </w:r>
      <w:r>
        <w:rPr>
          <w:rFonts w:ascii="Times New Roman" w:hAnsi="Times New Roman" w:cs="Times New Roman" w:eastAsia="Times New Roman" w:hint="default"/>
          <w:spacing w:val="2"/>
        </w:rPr>
        <w:t>3</w:t>
      </w:r>
      <w:r>
        <w:rPr>
          <w:spacing w:val="2"/>
        </w:rPr>
        <w:t>）物流基地的建设和物流平台的整合作为一项长期、持续的工作，公司还</w:t>
      </w:r>
      <w:r>
        <w:rPr>
          <w:spacing w:val="3"/>
        </w:rPr>
        <w:t> </w:t>
      </w:r>
      <w:r>
        <w:rPr>
          <w:spacing w:val="-1"/>
        </w:rPr>
        <w:t>将进行不断的实践和探索，通过沈阳物流中心和其他新的物流中心的建设，进一步</w:t>
      </w:r>
      <w:r>
        <w:rPr>
          <w:spacing w:val="-106"/>
        </w:rPr>
        <w:t> </w:t>
      </w:r>
      <w:r>
        <w:rPr>
          <w:spacing w:val="-106"/>
        </w:rPr>
      </w:r>
      <w:r>
        <w:rPr/>
        <w:t>优化和完善相关流程和标准，不断稳定和固化物流平台整合带来的管理效益提升。 </w:t>
      </w:r>
      <w:r>
        <w:rPr>
          <w:spacing w:val="-1"/>
        </w:rPr>
        <w:t>同时，物流作为一门专业技术，公司会进一步通过运作流程、信息化和自动化程度</w:t>
      </w:r>
      <w:r>
        <w:rPr>
          <w:spacing w:val="-108"/>
        </w:rPr>
        <w:t> </w:t>
      </w:r>
      <w:r>
        <w:rPr>
          <w:spacing w:val="-108"/>
        </w:rPr>
      </w:r>
      <w:r>
        <w:rPr/>
        <w:t>的提高，为供应商、消费者提供更好的服务。</w:t>
      </w:r>
    </w:p>
    <w:p>
      <w:pPr>
        <w:pStyle w:val="BodyText"/>
        <w:spacing w:line="240" w:lineRule="auto" w:before="41"/>
        <w:ind w:left="683" w:right="2428"/>
        <w:jc w:val="left"/>
      </w:pPr>
      <w:r>
        <w:rPr>
          <w:rFonts w:ascii="Times New Roman" w:hAnsi="Times New Roman" w:cs="Times New Roman" w:eastAsia="Times New Roman" w:hint="default"/>
        </w:rPr>
        <w:t>2</w:t>
      </w:r>
      <w:r>
        <w:rPr/>
        <w:t>、信息平台建设</w:t>
      </w:r>
    </w:p>
    <w:p>
      <w:pPr>
        <w:pStyle w:val="BodyText"/>
        <w:spacing w:line="348" w:lineRule="auto" w:before="135"/>
        <w:ind w:right="161" w:firstLine="480"/>
        <w:jc w:val="both"/>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年，公司以流程优化为先导，以应用开发和网络支持为基础，与</w:t>
      </w:r>
      <w:r>
        <w:rPr>
          <w:spacing w:val="-58"/>
        </w:rPr>
        <w:t> </w:t>
      </w:r>
      <w:r>
        <w:rPr>
          <w:rFonts w:ascii="Times New Roman" w:hAnsi="Times New Roman" w:cs="Times New Roman" w:eastAsia="Times New Roman" w:hint="default"/>
        </w:rPr>
        <w:t>IBM </w:t>
      </w:r>
      <w:r>
        <w:rPr>
          <w:spacing w:val="-1"/>
        </w:rPr>
        <w:t>建立战略合作关系，进一步提高了流程优化与技术开发的专业技能。公司的运用能</w:t>
      </w:r>
      <w:r>
        <w:rPr>
          <w:spacing w:val="-106"/>
        </w:rPr>
        <w:t> </w:t>
      </w:r>
      <w:r>
        <w:rPr>
          <w:spacing w:val="-106"/>
        </w:rPr>
      </w:r>
      <w:r>
        <w:rPr/>
        <w:t>力正在不断构筑，这对公司的管理水平的影响将是极其深远的。</w:t>
      </w:r>
    </w:p>
    <w:p>
      <w:pPr>
        <w:pStyle w:val="BodyText"/>
        <w:spacing w:line="338" w:lineRule="auto" w:before="46"/>
        <w:ind w:right="15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报告期内，公司实施了近百个优化项目，采销管理、客户服务、内部资源</w:t>
      </w:r>
      <w:r>
        <w:rPr>
          <w:spacing w:val="3"/>
        </w:rPr>
        <w:t> </w:t>
      </w:r>
      <w:r>
        <w:rPr/>
        <w:t>整合能力得到有效提升。</w:t>
      </w:r>
    </w:p>
    <w:p>
      <w:pPr>
        <w:pStyle w:val="BodyText"/>
        <w:tabs>
          <w:tab w:pos="1343" w:val="left" w:leader="none"/>
        </w:tabs>
        <w:spacing w:line="240" w:lineRule="auto" w:before="55"/>
        <w:ind w:left="923"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Times New Roman" w:hAnsi="Times New Roman" w:cs="Times New Roman" w:eastAsia="Times New Roman" w:hint="default"/>
        </w:rPr>
        <w:t>SAP/HR</w:t>
      </w:r>
      <w:r>
        <w:rPr>
          <w:rFonts w:ascii="Times New Roman" w:hAnsi="Times New Roman" w:cs="Times New Roman" w:eastAsia="Times New Roman" w:hint="default"/>
          <w:spacing w:val="-7"/>
        </w:rPr>
        <w:t> </w:t>
      </w:r>
      <w:r>
        <w:rPr/>
        <w:t>系统成功上线，人事基础工作全面实现信息化；</w:t>
      </w:r>
    </w:p>
    <w:p>
      <w:pPr>
        <w:pStyle w:val="BodyText"/>
        <w:tabs>
          <w:tab w:pos="1343" w:val="left" w:leader="none"/>
        </w:tabs>
        <w:spacing w:line="240" w:lineRule="auto" w:before="135"/>
        <w:ind w:left="923"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新</w:t>
      </w:r>
      <w:r>
        <w:rPr>
          <w:spacing w:val="-61"/>
        </w:rPr>
        <w:t> </w:t>
      </w:r>
      <w:r>
        <w:rPr>
          <w:rFonts w:ascii="Times New Roman" w:hAnsi="Times New Roman" w:cs="Times New Roman" w:eastAsia="Times New Roman" w:hint="default"/>
        </w:rPr>
        <w:t>OA</w:t>
      </w:r>
      <w:r>
        <w:rPr>
          <w:rFonts w:ascii="Times New Roman" w:hAnsi="Times New Roman" w:cs="Times New Roman" w:eastAsia="Times New Roman" w:hint="default"/>
          <w:spacing w:val="-2"/>
        </w:rPr>
        <w:t> </w:t>
      </w:r>
      <w:r>
        <w:rPr/>
        <w:t>系统的使用，公司办公效率进一步提高，远程管理更加方便；</w:t>
      </w:r>
    </w:p>
    <w:p>
      <w:pPr>
        <w:pStyle w:val="BodyText"/>
        <w:tabs>
          <w:tab w:pos="1343" w:val="left" w:leader="none"/>
        </w:tabs>
        <w:spacing w:line="240" w:lineRule="auto" w:before="135"/>
        <w:ind w:left="923"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网上商城、呼叫中心的运行，进一步为消费者提供更优质的服务；</w:t>
      </w:r>
    </w:p>
    <w:p>
      <w:pPr>
        <w:pStyle w:val="BodyText"/>
        <w:tabs>
          <w:tab w:pos="1343" w:val="left" w:leader="none"/>
        </w:tabs>
        <w:spacing w:line="240" w:lineRule="auto" w:before="137"/>
        <w:ind w:left="923"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Times New Roman" w:hAnsi="Times New Roman" w:cs="Times New Roman" w:eastAsia="Times New Roman" w:hint="default"/>
        </w:rPr>
        <w:t>B2B</w:t>
      </w:r>
      <w:r>
        <w:rPr>
          <w:rFonts w:ascii="Times New Roman" w:hAnsi="Times New Roman" w:cs="Times New Roman" w:eastAsia="Times New Roman" w:hint="default"/>
          <w:spacing w:val="-3"/>
        </w:rPr>
        <w:t> </w:t>
      </w:r>
      <w:r>
        <w:rPr/>
        <w:t>系统的持续推进，对公司供应链管理提升起到潜移默化的影响；</w:t>
      </w:r>
    </w:p>
    <w:p>
      <w:pPr>
        <w:pStyle w:val="BodyText"/>
        <w:spacing w:line="338" w:lineRule="auto" w:before="135"/>
        <w:ind w:right="15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通过各领域应用解决方案的不断创新，持续提升了公司经营管理水平，管</w:t>
      </w:r>
      <w:r>
        <w:rPr>
          <w:spacing w:val="3"/>
        </w:rPr>
        <w:t> </w:t>
      </w:r>
      <w:r>
        <w:rPr/>
        <w:t>理流程标准固化、执行透明，这将会有力支持公司在各地的连锁复制。</w:t>
      </w:r>
    </w:p>
    <w:p>
      <w:pPr>
        <w:pStyle w:val="BodyText"/>
        <w:spacing w:line="240" w:lineRule="auto" w:before="55"/>
        <w:ind w:left="623" w:right="0"/>
        <w:jc w:val="left"/>
      </w:pPr>
      <w:r>
        <w:rPr/>
        <w:t>信息技术作为零售行业的核心竞争力之一，对公司日常经营管理的支持正起着</w:t>
      </w:r>
    </w:p>
    <w:p>
      <w:pPr>
        <w:spacing w:after="0" w:line="240" w:lineRule="auto"/>
        <w:jc w:val="left"/>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240" w:lineRule="auto" w:before="26"/>
        <w:ind w:left="144" w:right="0"/>
        <w:jc w:val="both"/>
      </w:pPr>
      <w:r>
        <w:rPr/>
        <w:t>日益重要的作用。</w:t>
      </w:r>
    </w:p>
    <w:p>
      <w:pPr>
        <w:pStyle w:val="BodyText"/>
        <w:spacing w:line="338" w:lineRule="auto" w:before="154"/>
        <w:ind w:left="623" w:right="215" w:firstLine="1"/>
        <w:jc w:val="left"/>
      </w:pPr>
      <w:r>
        <w:rPr>
          <w:rFonts w:ascii="Times New Roman" w:hAnsi="Times New Roman" w:cs="Times New Roman" w:eastAsia="Times New Roman" w:hint="default"/>
        </w:rPr>
        <w:t>3</w:t>
      </w:r>
      <w:r>
        <w:rPr/>
        <w:t>、人力资源平台建设 </w:t>
      </w:r>
      <w:r>
        <w:rPr>
          <w:spacing w:val="-1"/>
        </w:rPr>
        <w:t>为满足公司连锁网络的持续高速扩张对人才的长远需求，公司在人力资源上采</w:t>
      </w:r>
    </w:p>
    <w:p>
      <w:pPr>
        <w:pStyle w:val="BodyText"/>
        <w:spacing w:line="348" w:lineRule="auto" w:before="55"/>
        <w:ind w:right="87"/>
        <w:jc w:val="left"/>
      </w:pPr>
      <w:r>
        <w:rPr/>
        <w:t>取了提前培养、提前储备的战略，启动了针对应届大学生的“</w:t>
      </w:r>
      <w:r>
        <w:rPr>
          <w:rFonts w:ascii="Times New Roman" w:hAnsi="Times New Roman" w:cs="Times New Roman" w:eastAsia="Times New Roman" w:hint="default"/>
        </w:rPr>
        <w:t>1200</w:t>
      </w:r>
      <w:r>
        <w:rPr>
          <w:rFonts w:ascii="Times New Roman" w:hAnsi="Times New Roman" w:cs="Times New Roman" w:eastAsia="Times New Roman" w:hint="default"/>
          <w:spacing w:val="40"/>
        </w:rPr>
        <w:t> </w:t>
      </w:r>
      <w:r>
        <w:rPr>
          <w:spacing w:val="-18"/>
        </w:rPr>
        <w:t>工程”、针对社</w:t>
      </w:r>
      <w:r>
        <w:rPr>
          <w:spacing w:val="-117"/>
        </w:rPr>
        <w:t> </w:t>
      </w:r>
      <w:r>
        <w:rPr>
          <w:spacing w:val="-117"/>
        </w:rPr>
      </w:r>
      <w:r>
        <w:rPr>
          <w:spacing w:val="-11"/>
        </w:rPr>
        <w:t>会成熟型人才的核心岗位“梯队工程”、以及基于内部能力提升的“百名店长工程”、</w:t>
      </w:r>
      <w:r>
        <w:rPr>
          <w:spacing w:val="-83"/>
        </w:rPr>
        <w:t> </w:t>
      </w:r>
      <w:r>
        <w:rPr>
          <w:spacing w:val="-83"/>
        </w:rPr>
      </w:r>
      <w:r>
        <w:rPr/>
        <w:t>“千名蓝领工程”等。</w:t>
      </w:r>
    </w:p>
    <w:p>
      <w:pPr>
        <w:pStyle w:val="BodyText"/>
        <w:spacing w:line="338" w:lineRule="auto" w:before="46"/>
        <w:ind w:right="211" w:firstLine="480"/>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rFonts w:ascii="Times New Roman" w:hAnsi="Times New Roman" w:cs="Times New Roman" w:eastAsia="Times New Roman" w:hint="default"/>
        </w:rPr>
        <w:t>SAP/HR</w:t>
      </w:r>
      <w:r>
        <w:rPr>
          <w:rFonts w:ascii="Times New Roman" w:hAnsi="Times New Roman" w:cs="Times New Roman" w:eastAsia="Times New Roman" w:hint="default"/>
          <w:spacing w:val="-2"/>
        </w:rPr>
        <w:t> </w:t>
      </w:r>
      <w:r>
        <w:rPr>
          <w:spacing w:val="-3"/>
        </w:rPr>
        <w:t>系统上线，将从人事基础管理、人员职业生涯管理与能力培养提升</w:t>
      </w:r>
      <w:r>
        <w:rPr/>
        <w:t> 上逐步产生推动。</w:t>
      </w:r>
    </w:p>
    <w:p>
      <w:pPr>
        <w:pStyle w:val="BodyText"/>
        <w:spacing w:line="240" w:lineRule="auto" w:before="55"/>
        <w:ind w:left="623" w:right="87"/>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w:t>
      </w:r>
      <w:r>
        <w:rPr>
          <w:rFonts w:ascii="Times New Roman" w:hAnsi="Times New Roman" w:cs="Times New Roman" w:eastAsia="Times New Roman" w:hint="default"/>
        </w:rPr>
        <w:t>1200</w:t>
      </w:r>
      <w:r>
        <w:rPr>
          <w:rFonts w:ascii="Times New Roman" w:hAnsi="Times New Roman" w:cs="Times New Roman" w:eastAsia="Times New Roman" w:hint="default"/>
          <w:spacing w:val="-1"/>
        </w:rPr>
        <w:t> </w:t>
      </w:r>
      <w:r>
        <w:rPr/>
        <w:t>工程”继续扩大规模，凸显成效。</w:t>
      </w:r>
    </w:p>
    <w:p>
      <w:pPr>
        <w:pStyle w:val="BodyText"/>
        <w:spacing w:line="240" w:lineRule="auto" w:before="135"/>
        <w:ind w:left="623" w:right="87"/>
        <w:jc w:val="left"/>
      </w:pPr>
      <w:r>
        <w:rPr/>
        <w:t>截至</w:t>
      </w:r>
      <w:r>
        <w:rPr>
          <w:spacing w:val="-60"/>
        </w:rPr>
        <w:t> </w:t>
      </w:r>
      <w:r>
        <w:rPr>
          <w:rFonts w:ascii="Times New Roman" w:hAnsi="Times New Roman" w:cs="Times New Roman" w:eastAsia="Times New Roman" w:hint="default"/>
        </w:rPr>
        <w:t>2007 </w:t>
      </w:r>
      <w:r>
        <w:rPr>
          <w:spacing w:val="-5"/>
        </w:rPr>
        <w:t>年，公司共引进五期</w:t>
      </w:r>
      <w:r>
        <w:rPr>
          <w:spacing w:val="-60"/>
        </w:rPr>
        <w:t> </w:t>
      </w:r>
      <w:r>
        <w:rPr>
          <w:rFonts w:ascii="Times New Roman" w:hAnsi="Times New Roman" w:cs="Times New Roman" w:eastAsia="Times New Roman" w:hint="default"/>
        </w:rPr>
        <w:t>1200 </w:t>
      </w:r>
      <w:r>
        <w:rPr/>
        <w:t>应届毕业生</w:t>
      </w:r>
      <w:r>
        <w:rPr>
          <w:spacing w:val="-60"/>
        </w:rPr>
        <w:t> </w:t>
      </w:r>
      <w:r>
        <w:rPr>
          <w:rFonts w:ascii="Times New Roman" w:hAnsi="Times New Roman" w:cs="Times New Roman" w:eastAsia="Times New Roman" w:hint="default"/>
        </w:rPr>
        <w:t>10000 </w:t>
      </w:r>
      <w:r>
        <w:rPr>
          <w:spacing w:val="-6"/>
        </w:rPr>
        <w:t>多名，</w:t>
      </w:r>
      <w:r>
        <w:rPr>
          <w:rFonts w:ascii="Times New Roman" w:hAnsi="Times New Roman" w:cs="Times New Roman" w:eastAsia="Times New Roman" w:hint="default"/>
          <w:spacing w:val="-6"/>
        </w:rPr>
        <w:t>1200</w:t>
      </w:r>
      <w:r>
        <w:rPr>
          <w:rFonts w:ascii="Times New Roman" w:hAnsi="Times New Roman" w:cs="Times New Roman" w:eastAsia="Times New Roman" w:hint="default"/>
        </w:rPr>
        <w:t> </w:t>
      </w:r>
      <w:r>
        <w:rPr/>
        <w:t>人数已经占</w:t>
      </w:r>
    </w:p>
    <w:p>
      <w:pPr>
        <w:pStyle w:val="BodyText"/>
        <w:spacing w:line="350" w:lineRule="auto" w:before="135"/>
        <w:ind w:right="218"/>
        <w:jc w:val="both"/>
      </w:pPr>
      <w:r>
        <w:rPr/>
        <w:t>到管理岗位总人数</w:t>
      </w:r>
      <w:r>
        <w:rPr>
          <w:spacing w:val="-37"/>
        </w:rPr>
        <w:t> </w:t>
      </w:r>
      <w:r>
        <w:rPr>
          <w:rFonts w:ascii="Times New Roman" w:hAnsi="Times New Roman" w:cs="Times New Roman" w:eastAsia="Times New Roman" w:hint="default"/>
        </w:rPr>
        <w:t>16%</w:t>
      </w:r>
      <w:r>
        <w:rPr/>
        <w:t>。通过</w:t>
      </w:r>
      <w:r>
        <w:rPr>
          <w:spacing w:val="-37"/>
        </w:rPr>
        <w:t> </w:t>
      </w:r>
      <w:r>
        <w:rPr>
          <w:rFonts w:ascii="Times New Roman" w:hAnsi="Times New Roman" w:cs="Times New Roman" w:eastAsia="Times New Roman" w:hint="default"/>
        </w:rPr>
        <w:t>4-5</w:t>
      </w:r>
      <w:r>
        <w:rPr>
          <w:rFonts w:ascii="Times New Roman" w:hAnsi="Times New Roman" w:cs="Times New Roman" w:eastAsia="Times New Roman" w:hint="default"/>
          <w:spacing w:val="23"/>
        </w:rPr>
        <w:t> </w:t>
      </w:r>
      <w:r>
        <w:rPr/>
        <w:t>年的培养，其中</w:t>
      </w:r>
      <w:r>
        <w:rPr>
          <w:spacing w:val="-37"/>
        </w:rPr>
        <w:t> </w:t>
      </w:r>
      <w:r>
        <w:rPr>
          <w:rFonts w:ascii="Times New Roman" w:hAnsi="Times New Roman" w:cs="Times New Roman" w:eastAsia="Times New Roman" w:hint="default"/>
        </w:rPr>
        <w:t>1200</w:t>
      </w:r>
      <w:r>
        <w:rPr>
          <w:rFonts w:ascii="Times New Roman" w:hAnsi="Times New Roman" w:cs="Times New Roman" w:eastAsia="Times New Roman" w:hint="default"/>
          <w:spacing w:val="23"/>
        </w:rPr>
        <w:t> </w:t>
      </w:r>
      <w:r>
        <w:rPr/>
        <w:t>一期、二期员工已经开始 </w:t>
      </w:r>
      <w:r>
        <w:rPr>
          <w:spacing w:val="-1"/>
        </w:rPr>
        <w:t>成为公司各重要岗位负责人，部分人员已经担任总部事业部、大区的领导岗位，从</w:t>
      </w:r>
      <w:r>
        <w:rPr>
          <w:spacing w:val="-108"/>
        </w:rPr>
        <w:t> </w:t>
      </w:r>
      <w:r>
        <w:rPr>
          <w:spacing w:val="-108"/>
        </w:rPr>
      </w:r>
      <w:r>
        <w:rPr>
          <w:spacing w:val="-1"/>
        </w:rPr>
        <w:t>现在开始，每年都有大批的人才成熟、凸显起来，这对公司持续快速发展、管理提</w:t>
      </w:r>
      <w:r>
        <w:rPr>
          <w:spacing w:val="-108"/>
        </w:rPr>
        <w:t> </w:t>
      </w:r>
      <w:r>
        <w:rPr>
          <w:spacing w:val="-108"/>
        </w:rPr>
      </w:r>
      <w:r>
        <w:rPr/>
        <w:t>升将起到持续支持作用，苏宁的人才战略实践证明是非常成功的。</w:t>
      </w:r>
    </w:p>
    <w:p>
      <w:pPr>
        <w:pStyle w:val="BodyText"/>
        <w:spacing w:line="240" w:lineRule="auto" w:before="43"/>
        <w:ind w:left="623" w:right="87"/>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培训体系内部平台建设与外部合作网络进一步提升。</w:t>
      </w:r>
    </w:p>
    <w:p>
      <w:pPr>
        <w:pStyle w:val="BodyText"/>
        <w:tabs>
          <w:tab w:pos="1463" w:val="left" w:leader="none"/>
        </w:tabs>
        <w:spacing w:line="338" w:lineRule="auto" w:before="137"/>
        <w:ind w:left="1463" w:right="221"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年，北京培训中心、南京雨花培训中心相继投入使用，完善的硬 件设备设施有效提高了培训质量；</w:t>
      </w:r>
    </w:p>
    <w:p>
      <w:pPr>
        <w:pStyle w:val="BodyText"/>
        <w:tabs>
          <w:tab w:pos="1463" w:val="left" w:leader="none"/>
        </w:tabs>
        <w:spacing w:line="240" w:lineRule="auto" w:before="55"/>
        <w:ind w:left="1043" w:right="8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巩固拓展了与三星、</w:t>
      </w:r>
      <w:r>
        <w:rPr>
          <w:rFonts w:ascii="Times New Roman" w:hAnsi="Times New Roman" w:cs="Times New Roman" w:eastAsia="Times New Roman" w:hint="default"/>
        </w:rPr>
        <w:t>AO</w:t>
      </w:r>
      <w:r>
        <w:rPr>
          <w:rFonts w:ascii="Times New Roman" w:hAnsi="Times New Roman" w:cs="Times New Roman" w:eastAsia="Times New Roman" w:hint="default"/>
          <w:spacing w:val="-3"/>
        </w:rPr>
        <w:t> </w:t>
      </w:r>
      <w:r>
        <w:rPr/>
        <w:t>史密斯、夏普、西门子等供应商的合作培训；</w:t>
      </w:r>
    </w:p>
    <w:p>
      <w:pPr>
        <w:pStyle w:val="BodyText"/>
        <w:tabs>
          <w:tab w:pos="1463" w:val="left" w:leader="none"/>
        </w:tabs>
        <w:spacing w:line="240" w:lineRule="auto" w:before="135"/>
        <w:ind w:left="1043"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与清华大学、南京大学建立了人才引进、专家培训等战略性合作关系；</w:t>
      </w:r>
    </w:p>
    <w:p>
      <w:pPr>
        <w:pStyle w:val="BodyText"/>
        <w:tabs>
          <w:tab w:pos="1463" w:val="left" w:leader="none"/>
        </w:tabs>
        <w:spacing w:line="338" w:lineRule="auto" w:before="137"/>
        <w:ind w:left="1463" w:right="221"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在全国</w:t>
      </w:r>
      <w:r>
        <w:rPr>
          <w:spacing w:val="-71"/>
        </w:rPr>
        <w:t> </w:t>
      </w:r>
      <w:r>
        <w:rPr>
          <w:rFonts w:ascii="Times New Roman" w:hAnsi="Times New Roman" w:cs="Times New Roman" w:eastAsia="Times New Roman" w:hint="default"/>
        </w:rPr>
        <w:t>44</w:t>
      </w:r>
      <w:r>
        <w:rPr>
          <w:rFonts w:ascii="Times New Roman" w:hAnsi="Times New Roman" w:cs="Times New Roman" w:eastAsia="Times New Roman" w:hint="default"/>
          <w:spacing w:val="-11"/>
        </w:rPr>
        <w:t> </w:t>
      </w:r>
      <w:r>
        <w:rPr/>
        <w:t>所大中专院校建立了订单式人才培养计划，建立了终端岗位 长期的人才补充基地。</w:t>
      </w:r>
    </w:p>
    <w:p>
      <w:pPr>
        <w:pStyle w:val="BodyText"/>
        <w:spacing w:line="357" w:lineRule="auto" w:before="55"/>
        <w:ind w:right="198" w:firstLine="480"/>
        <w:jc w:val="both"/>
      </w:pPr>
      <w:r>
        <w:rPr/>
        <w:t>未来，公司仍将继续贯彻执行此项人力资源战略，希望通过此项战略的实施， </w:t>
      </w:r>
      <w:r>
        <w:rPr>
          <w:spacing w:val="-1"/>
        </w:rPr>
        <w:t>更好的配套连锁快速发展、提升经营管理质量，为企业持续、稳健、高速的发展提</w:t>
      </w:r>
      <w:r>
        <w:rPr>
          <w:spacing w:val="-107"/>
        </w:rPr>
        <w:t> </w:t>
      </w:r>
      <w:r>
        <w:rPr>
          <w:spacing w:val="-107"/>
        </w:rPr>
      </w:r>
      <w:r>
        <w:rPr/>
        <w:t>供了忠诚、敬业、专业的管理团队。</w:t>
      </w:r>
    </w:p>
    <w:p>
      <w:pPr>
        <w:pStyle w:val="BodyText"/>
        <w:spacing w:line="367" w:lineRule="auto" w:before="132"/>
        <w:ind w:left="623" w:right="181"/>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3C</w:t>
      </w:r>
      <w:r>
        <w:rPr>
          <w:rFonts w:ascii="Times New Roman" w:hAnsi="Times New Roman" w:cs="Times New Roman" w:eastAsia="Times New Roman" w:hint="default"/>
          <w:position w:val="6"/>
        </w:rPr>
        <w:t>+</w:t>
      </w:r>
      <w:r>
        <w:rPr/>
        <w:t>旗舰店攻略 公司经营一贯强调稳健，以自主发展直营店面作为公司连锁发展的主要方式。</w:t>
      </w:r>
    </w:p>
    <w:p>
      <w:pPr>
        <w:pStyle w:val="BodyText"/>
        <w:spacing w:line="350" w:lineRule="auto" w:before="107"/>
        <w:ind w:right="219"/>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18"/>
        </w:rPr>
        <w:t> </w:t>
      </w:r>
      <w:r>
        <w:rPr/>
        <w:t>年下半年，公司首次提出“</w:t>
      </w:r>
      <w:r>
        <w:rPr>
          <w:rFonts w:ascii="Times New Roman" w:hAnsi="Times New Roman" w:cs="Times New Roman" w:eastAsia="Times New Roman" w:hint="default"/>
        </w:rPr>
        <w:t>3C</w:t>
      </w:r>
      <w:r>
        <w:rPr>
          <w:rFonts w:ascii="Times New Roman" w:hAnsi="Times New Roman" w:cs="Times New Roman" w:eastAsia="Times New Roman" w:hint="default"/>
          <w:position w:val="6"/>
        </w:rPr>
        <w:t>+</w:t>
      </w:r>
      <w:r>
        <w:rPr/>
        <w:t>”模式，首次从过往以产品线扩充调整为主的 </w:t>
      </w:r>
      <w:r>
        <w:rPr>
          <w:spacing w:val="-1"/>
        </w:rPr>
        <w:t>升级模式转变为以“消费者为中心”的理念升级，在人才自营、产品引进、环境优</w:t>
      </w:r>
      <w:r>
        <w:rPr>
          <w:spacing w:val="-109"/>
        </w:rPr>
        <w:t> </w:t>
      </w:r>
      <w:r>
        <w:rPr>
          <w:spacing w:val="-109"/>
        </w:rPr>
      </w:r>
      <w:r>
        <w:rPr/>
        <w:t>化、信息化升级、服务增值、购物便利性等方面进行了全面的调整。</w:t>
      </w:r>
    </w:p>
    <w:p>
      <w:pPr>
        <w:pStyle w:val="BodyText"/>
        <w:spacing w:line="240" w:lineRule="auto" w:before="123"/>
        <w:ind w:left="623" w:right="87"/>
        <w:jc w:val="left"/>
      </w:pPr>
      <w:r>
        <w:rPr/>
        <w:t>报告期内，公司进一步升级</w:t>
      </w:r>
      <w:r>
        <w:rPr>
          <w:spacing w:val="-79"/>
        </w:rPr>
        <w:t> </w:t>
      </w:r>
      <w:r>
        <w:rPr>
          <w:rFonts w:ascii="Times New Roman" w:hAnsi="Times New Roman" w:cs="Times New Roman" w:eastAsia="Times New Roman" w:hint="default"/>
        </w:rPr>
        <w:t>3C</w:t>
      </w:r>
      <w:r>
        <w:rPr>
          <w:rFonts w:ascii="Times New Roman" w:hAnsi="Times New Roman" w:cs="Times New Roman" w:eastAsia="Times New Roman" w:hint="default"/>
          <w:position w:val="6"/>
        </w:rPr>
        <w:t>+</w:t>
      </w:r>
      <w:r>
        <w:rPr/>
        <w:t>旗舰店模式，并在南京新街口店、南京商茂广</w:t>
      </w:r>
    </w:p>
    <w:p>
      <w:pPr>
        <w:spacing w:after="0" w:line="240" w:lineRule="auto"/>
        <w:jc w:val="left"/>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57" w:lineRule="auto" w:before="26"/>
        <w:ind w:left="144" w:right="216"/>
        <w:jc w:val="left"/>
      </w:pPr>
      <w:r>
        <w:rPr>
          <w:spacing w:val="-1"/>
        </w:rPr>
        <w:t>场店、上海浦东第一店、北京联想桥店、北京安贞店、广州天河店、深圳华强北群</w:t>
      </w:r>
      <w:r>
        <w:rPr>
          <w:spacing w:val="-109"/>
        </w:rPr>
        <w:t> </w:t>
      </w:r>
      <w:r>
        <w:rPr>
          <w:spacing w:val="-109"/>
        </w:rPr>
      </w:r>
      <w:r>
        <w:rPr/>
        <w:t>星广场店、武汉中南店、武汉中山路店等核心店面建设上取得了突破。</w:t>
      </w:r>
    </w:p>
    <w:p>
      <w:pPr>
        <w:pStyle w:val="BodyText"/>
        <w:spacing w:line="357" w:lineRule="auto" w:before="132"/>
        <w:ind w:right="92" w:firstLine="480"/>
        <w:jc w:val="left"/>
      </w:pPr>
      <w:r>
        <w:rPr/>
        <w:t>截至</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年底，公司拥有</w:t>
      </w:r>
      <w:r>
        <w:rPr>
          <w:spacing w:val="-61"/>
        </w:rPr>
        <w:t> </w:t>
      </w:r>
      <w:r>
        <w:rPr>
          <w:rFonts w:ascii="Times New Roman" w:hAnsi="Times New Roman" w:cs="Times New Roman" w:eastAsia="Times New Roman" w:hint="default"/>
        </w:rPr>
        <w:t>3C</w:t>
      </w:r>
      <w:r>
        <w:rPr>
          <w:rFonts w:ascii="Times New Roman" w:hAnsi="Times New Roman" w:cs="Times New Roman" w:eastAsia="Times New Roman" w:hint="default"/>
          <w:position w:val="6"/>
        </w:rPr>
        <w:t>+</w:t>
      </w:r>
      <w:r>
        <w:rPr/>
        <w:t>旗舰店</w:t>
      </w:r>
      <w:r>
        <w:rPr>
          <w:spacing w:val="-61"/>
        </w:rPr>
        <w:t> </w:t>
      </w:r>
      <w:r>
        <w:rPr>
          <w:rFonts w:ascii="Times New Roman" w:hAnsi="Times New Roman" w:cs="Times New Roman" w:eastAsia="Times New Roman" w:hint="default"/>
        </w:rPr>
        <w:t>82</w:t>
      </w:r>
      <w:r>
        <w:rPr>
          <w:rFonts w:ascii="Times New Roman" w:hAnsi="Times New Roman" w:cs="Times New Roman" w:eastAsia="Times New Roman" w:hint="default"/>
          <w:spacing w:val="-1"/>
        </w:rPr>
        <w:t> </w:t>
      </w:r>
      <w:r>
        <w:rPr/>
        <w:t>家，在此类店面中，</w:t>
      </w:r>
      <w:r>
        <w:rPr>
          <w:rFonts w:ascii="Times New Roman" w:hAnsi="Times New Roman" w:cs="Times New Roman" w:eastAsia="Times New Roman" w:hint="default"/>
        </w:rPr>
        <w:t>3C</w:t>
      </w:r>
      <w:r>
        <w:rPr>
          <w:rFonts w:ascii="Times New Roman" w:hAnsi="Times New Roman" w:cs="Times New Roman" w:eastAsia="Times New Roman" w:hint="default"/>
          <w:spacing w:val="-2"/>
        </w:rPr>
        <w:t> </w:t>
      </w:r>
      <w:r>
        <w:rPr/>
        <w:t>产品（数码、 通讯、电脑）销售占比达到</w:t>
      </w:r>
      <w:r>
        <w:rPr>
          <w:spacing w:val="-75"/>
        </w:rPr>
        <w:t> </w:t>
      </w:r>
      <w:r>
        <w:rPr>
          <w:rFonts w:ascii="Times New Roman" w:hAnsi="Times New Roman" w:cs="Times New Roman" w:eastAsia="Times New Roman" w:hint="default"/>
        </w:rPr>
        <w:t>32%</w:t>
      </w:r>
      <w:r>
        <w:rPr/>
        <w:t>，实现了引领消费电子产品转型的初衷，并成为苏 宁单店销售质量持续提升的重要动力。</w:t>
      </w:r>
    </w:p>
    <w:p>
      <w:pPr>
        <w:spacing w:line="240" w:lineRule="auto" w:before="0"/>
        <w:rPr>
          <w:rFonts w:ascii="宋体" w:hAnsi="宋体" w:cs="宋体" w:eastAsia="宋体" w:hint="default"/>
          <w:sz w:val="24"/>
          <w:szCs w:val="24"/>
        </w:rPr>
      </w:pPr>
    </w:p>
    <w:p>
      <w:pPr>
        <w:pStyle w:val="BodyText"/>
        <w:spacing w:line="240" w:lineRule="auto" w:before="190"/>
        <w:ind w:left="625" w:right="87"/>
        <w:jc w:val="left"/>
      </w:pPr>
      <w:r>
        <w:rPr/>
        <w:t>二、报告期内经营情况分析</w:t>
      </w:r>
    </w:p>
    <w:p>
      <w:pPr>
        <w:pStyle w:val="BodyText"/>
        <w:spacing w:line="240" w:lineRule="auto" w:before="154"/>
        <w:ind w:left="624" w:right="87"/>
        <w:jc w:val="left"/>
      </w:pPr>
      <w:r>
        <w:rPr/>
        <w:t>（一）行业状况分析</w:t>
      </w:r>
    </w:p>
    <w:p>
      <w:pPr>
        <w:pStyle w:val="BodyText"/>
        <w:tabs>
          <w:tab w:pos="1043" w:val="left" w:leader="none"/>
        </w:tabs>
        <w:spacing w:line="338" w:lineRule="auto" w:before="74"/>
        <w:ind w:left="624" w:right="2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国民经济继续保持快速发展，消费者支付能力和消费水平进一步提升。 </w:t>
      </w:r>
      <w:r>
        <w:rPr>
          <w:spacing w:val="-3"/>
        </w:rPr>
        <w:t>根据国家统计局的最新统计数据，</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26"/>
        </w:rPr>
        <w:t> </w:t>
      </w:r>
      <w:r>
        <w:rPr>
          <w:spacing w:val="-3"/>
        </w:rPr>
        <w:t>年国内市场需求旺盛，全年国内社会消</w:t>
      </w:r>
    </w:p>
    <w:p>
      <w:pPr>
        <w:pStyle w:val="BodyText"/>
        <w:spacing w:line="338" w:lineRule="auto" w:before="27"/>
        <w:ind w:left="144" w:right="214"/>
        <w:jc w:val="left"/>
      </w:pPr>
      <w:r>
        <w:rPr/>
        <w:t>费品零售总额达到</w:t>
      </w:r>
      <w:r>
        <w:rPr>
          <w:spacing w:val="-68"/>
        </w:rPr>
        <w:t> </w:t>
      </w:r>
      <w:r>
        <w:rPr>
          <w:rFonts w:ascii="Times New Roman" w:hAnsi="Times New Roman" w:cs="Times New Roman" w:eastAsia="Times New Roman" w:hint="default"/>
        </w:rPr>
        <w:t>89,210</w:t>
      </w:r>
      <w:r>
        <w:rPr>
          <w:rFonts w:ascii="Times New Roman" w:hAnsi="Times New Roman" w:cs="Times New Roman" w:eastAsia="Times New Roman" w:hint="default"/>
          <w:spacing w:val="-8"/>
        </w:rPr>
        <w:t> </w:t>
      </w:r>
      <w:r>
        <w:rPr>
          <w:spacing w:val="-3"/>
        </w:rPr>
        <w:t>亿元，比上年同期增长</w:t>
      </w:r>
      <w:r>
        <w:rPr>
          <w:spacing w:val="-68"/>
        </w:rPr>
        <w:t> </w:t>
      </w:r>
      <w:r>
        <w:rPr>
          <w:rFonts w:ascii="Times New Roman" w:hAnsi="Times New Roman" w:cs="Times New Roman" w:eastAsia="Times New Roman" w:hint="default"/>
        </w:rPr>
        <w:t>16.8%</w:t>
      </w:r>
      <w:r>
        <w:rPr/>
        <w:t>，城镇居民人均可支配收入</w:t>
      </w:r>
      <w:r>
        <w:rPr>
          <w:spacing w:val="-1"/>
        </w:rPr>
        <w:t> </w:t>
      </w:r>
      <w:r>
        <w:rPr/>
        <w:t>同比增长</w:t>
      </w:r>
      <w:r>
        <w:rPr>
          <w:spacing w:val="-60"/>
        </w:rPr>
        <w:t> </w:t>
      </w:r>
      <w:r>
        <w:rPr>
          <w:rFonts w:ascii="Times New Roman" w:hAnsi="Times New Roman" w:cs="Times New Roman" w:eastAsia="Times New Roman" w:hint="default"/>
        </w:rPr>
        <w:t>17.2%</w:t>
      </w:r>
      <w:r>
        <w:rPr/>
        <w:t>，居民消费价格同比上涨</w:t>
      </w:r>
      <w:r>
        <w:rPr>
          <w:spacing w:val="-60"/>
        </w:rPr>
        <w:t> </w:t>
      </w:r>
      <w:r>
        <w:rPr>
          <w:rFonts w:ascii="Times New Roman" w:hAnsi="Times New Roman" w:cs="Times New Roman" w:eastAsia="Times New Roman" w:hint="default"/>
        </w:rPr>
        <w:t>4.8%</w:t>
      </w:r>
      <w:r>
        <w:rPr/>
        <w:t>。</w:t>
      </w:r>
    </w:p>
    <w:p>
      <w:pPr>
        <w:pStyle w:val="BodyText"/>
        <w:tabs>
          <w:tab w:pos="1043" w:val="left" w:leader="none"/>
        </w:tabs>
        <w:spacing w:line="338" w:lineRule="auto" w:before="27"/>
        <w:ind w:left="624" w:right="2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随着中国经济的持续发展，家电市场容量继续保持相对稳定的增长。 </w:t>
      </w:r>
      <w:r>
        <w:rPr>
          <w:spacing w:val="-4"/>
        </w:rPr>
        <w:t>北京中怡康时代市场研究有限公司数据显示，</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4"/>
        </w:rPr>
        <w:t> </w:t>
      </w:r>
      <w:r>
        <w:rPr/>
        <w:t>年国内家电及消费类电子产</w:t>
      </w:r>
    </w:p>
    <w:p>
      <w:pPr>
        <w:pStyle w:val="BodyText"/>
        <w:spacing w:line="348" w:lineRule="auto" w:before="27"/>
        <w:ind w:left="144" w:right="88"/>
        <w:jc w:val="left"/>
      </w:pPr>
      <w:r>
        <w:rPr/>
        <w:t>品的市场总规模达到</w:t>
      </w:r>
      <w:r>
        <w:rPr>
          <w:spacing w:val="-59"/>
        </w:rPr>
        <w:t> </w:t>
      </w:r>
      <w:r>
        <w:rPr>
          <w:rFonts w:ascii="Times New Roman" w:hAnsi="Times New Roman" w:cs="Times New Roman" w:eastAsia="Times New Roman" w:hint="default"/>
        </w:rPr>
        <w:t>7,430</w:t>
      </w:r>
      <w:r>
        <w:rPr>
          <w:rFonts w:ascii="Times New Roman" w:hAnsi="Times New Roman" w:cs="Times New Roman" w:eastAsia="Times New Roman" w:hint="default"/>
          <w:spacing w:val="1"/>
        </w:rPr>
        <w:t> </w:t>
      </w:r>
      <w:r>
        <w:rPr>
          <w:spacing w:val="-5"/>
        </w:rPr>
        <w:t>亿元人民币，比</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年增长超过</w:t>
      </w:r>
      <w:r>
        <w:rPr>
          <w:spacing w:val="-59"/>
        </w:rPr>
        <w:t> </w:t>
      </w:r>
      <w:r>
        <w:rPr>
          <w:rFonts w:ascii="Times New Roman" w:hAnsi="Times New Roman" w:cs="Times New Roman" w:eastAsia="Times New Roman" w:hint="default"/>
          <w:spacing w:val="-7"/>
        </w:rPr>
        <w:t>14%</w:t>
      </w:r>
      <w:r>
        <w:rPr>
          <w:spacing w:val="-7"/>
        </w:rPr>
        <w:t>。其中电脑、生活</w:t>
      </w:r>
      <w:r>
        <w:rPr>
          <w:spacing w:val="-118"/>
        </w:rPr>
        <w:t> </w:t>
      </w:r>
      <w:r>
        <w:rPr>
          <w:spacing w:val="-118"/>
        </w:rPr>
      </w:r>
      <w:r>
        <w:rPr>
          <w:spacing w:val="-4"/>
        </w:rPr>
        <w:t>电器、冰洗、彩电产品继续保持较高速度的增长；而受技术革新、需求升级的影响，</w:t>
      </w:r>
      <w:r>
        <w:rPr>
          <w:spacing w:val="-116"/>
        </w:rPr>
        <w:t> </w:t>
      </w:r>
      <w:r>
        <w:rPr>
          <w:spacing w:val="-116"/>
        </w:rPr>
      </w:r>
      <w:r>
        <w:rPr/>
        <w:t>平板电视、对开门电冰箱、高档滚筒洗衣机、高端厨房电器等高端产品的市场份额</w:t>
      </w:r>
      <w:r>
        <w:rPr/>
        <w:t> 也在迅速上升。有数据表明，未来三年，国内家电市场仍将以每年超过</w:t>
      </w:r>
      <w:r>
        <w:rPr>
          <w:spacing w:val="-75"/>
        </w:rPr>
        <w:t> </w:t>
      </w:r>
      <w:r>
        <w:rPr>
          <w:rFonts w:ascii="Times New Roman" w:hAnsi="Times New Roman" w:cs="Times New Roman" w:eastAsia="Times New Roman" w:hint="default"/>
        </w:rPr>
        <w:t>10%</w:t>
      </w:r>
      <w:r>
        <w:rPr/>
        <w:t>的增幅 持续增长。</w:t>
      </w:r>
    </w:p>
    <w:p>
      <w:pPr>
        <w:pStyle w:val="BodyText"/>
        <w:tabs>
          <w:tab w:pos="1043" w:val="left" w:leader="none"/>
        </w:tabs>
        <w:spacing w:line="338" w:lineRule="auto" w:before="125"/>
        <w:ind w:left="624" w:right="2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区域布局有待完善，家电连锁发展空间很大。 </w:t>
      </w:r>
      <w:r>
        <w:rPr>
          <w:spacing w:val="-1"/>
        </w:rPr>
        <w:t>由于国内城乡差异、区域差异的存在，家电连锁仍主要分布在一线城市，市场</w:t>
      </w:r>
    </w:p>
    <w:p>
      <w:pPr>
        <w:pStyle w:val="BodyText"/>
        <w:spacing w:line="240" w:lineRule="auto" w:before="55"/>
        <w:ind w:left="144" w:right="87"/>
        <w:jc w:val="left"/>
      </w:pPr>
      <w:r>
        <w:rPr/>
        <w:t>份额仍然较小，布局空间较大；</w:t>
      </w:r>
    </w:p>
    <w:p>
      <w:pPr>
        <w:pStyle w:val="BodyText"/>
        <w:tabs>
          <w:tab w:pos="1043" w:val="left" w:leader="none"/>
        </w:tabs>
        <w:spacing w:line="338" w:lineRule="auto" w:before="154"/>
        <w:ind w:left="624" w:right="2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渠道仍然分散，家电连锁整合空间很大。 </w:t>
      </w:r>
      <w:r>
        <w:rPr>
          <w:spacing w:val="-1"/>
        </w:rPr>
        <w:t>随着家电连锁品牌影响力扩大，产品专业化程度加强、服务能力提升，对二三</w:t>
      </w:r>
    </w:p>
    <w:p>
      <w:pPr>
        <w:pStyle w:val="BodyText"/>
        <w:spacing w:line="357" w:lineRule="auto" w:before="55"/>
        <w:ind w:left="144" w:right="215"/>
        <w:jc w:val="both"/>
      </w:pPr>
      <w:r>
        <w:rPr>
          <w:spacing w:val="6"/>
        </w:rPr>
        <w:t>级空调渠道和消费类电子的原有传统渠道将会持续产生冲击。基于家电产品的特 </w:t>
      </w:r>
      <w:r>
        <w:rPr>
          <w:spacing w:val="-1"/>
        </w:rPr>
        <w:t>征，渠道的信用度和长期的服务保障，消费者对产品丰富度和一站式购物的需求使</w:t>
      </w:r>
      <w:r>
        <w:rPr>
          <w:spacing w:val="-106"/>
        </w:rPr>
        <w:t> </w:t>
      </w:r>
      <w:r>
        <w:rPr>
          <w:spacing w:val="-106"/>
        </w:rPr>
      </w:r>
      <w:r>
        <w:rPr/>
        <w:t>得家电连锁的生命力和先进性将会不断体现。</w:t>
      </w:r>
    </w:p>
    <w:p>
      <w:pPr>
        <w:pStyle w:val="BodyText"/>
        <w:tabs>
          <w:tab w:pos="1043" w:val="left" w:leader="none"/>
        </w:tabs>
        <w:spacing w:line="338" w:lineRule="auto" w:before="36"/>
        <w:ind w:left="144" w:right="221" w:firstLine="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国家对拉动内需的重视以及诸如“家电下乡”等一系列的有效措施，为家</w:t>
      </w:r>
      <w:r>
        <w:rPr>
          <w:spacing w:val="1"/>
        </w:rPr>
        <w:t> </w:t>
      </w:r>
      <w:r>
        <w:rPr/>
        <w:t>电连锁提供了良好的发展机遇。</w:t>
      </w:r>
    </w:p>
    <w:p>
      <w:pPr>
        <w:spacing w:after="0" w:line="338" w:lineRule="auto"/>
        <w:jc w:val="left"/>
        <w:sectPr>
          <w:pgSz w:w="11910" w:h="16840"/>
          <w:pgMar w:header="879" w:footer="982" w:top="1100" w:bottom="1180" w:left="1500" w:right="14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26"/>
        <w:ind w:left="485" w:right="5818"/>
        <w:jc w:val="center"/>
      </w:pPr>
      <w:r>
        <w:rPr/>
        <w:t>（二）连锁发展情况分析</w:t>
      </w:r>
    </w:p>
    <w:p>
      <w:pPr>
        <w:pStyle w:val="BodyText"/>
        <w:spacing w:line="240" w:lineRule="auto" w:before="154"/>
        <w:ind w:left="626" w:right="87"/>
        <w:jc w:val="left"/>
      </w:pPr>
      <w:r>
        <w:rPr>
          <w:rFonts w:ascii="Times New Roman" w:hAnsi="Times New Roman" w:cs="Times New Roman" w:eastAsia="Times New Roman" w:hint="default"/>
        </w:rPr>
        <w:t>1</w:t>
      </w:r>
      <w:r>
        <w:rPr/>
        <w:t>、连锁发展基本情况</w:t>
      </w:r>
    </w:p>
    <w:p>
      <w:pPr>
        <w:pStyle w:val="BodyText"/>
        <w:spacing w:line="240" w:lineRule="auto" w:before="135"/>
        <w:ind w:left="626" w:right="87"/>
        <w:jc w:val="left"/>
      </w:pPr>
      <w:r>
        <w:rPr/>
        <w:t>（</w:t>
      </w:r>
      <w:r>
        <w:rPr>
          <w:rFonts w:ascii="Times New Roman" w:hAnsi="Times New Roman" w:cs="Times New Roman" w:eastAsia="Times New Roman" w:hint="default"/>
        </w:rPr>
        <w:t>1</w:t>
      </w:r>
      <w:r>
        <w:rPr/>
        <w:t>）公司直营连锁发展情况</w:t>
      </w:r>
    </w:p>
    <w:p>
      <w:pPr>
        <w:pStyle w:val="BodyText"/>
        <w:spacing w:line="240" w:lineRule="auto" w:before="135"/>
        <w:ind w:left="623" w:right="87"/>
        <w:jc w:val="left"/>
      </w:pPr>
      <w:r>
        <w:rPr>
          <w:rFonts w:ascii="Wingdings" w:hAnsi="Wingdings" w:cs="Wingdings" w:eastAsia="Wingdings" w:hint="default"/>
        </w:rPr>
        <w:t></w:t>
      </w:r>
      <w:r>
        <w:rPr>
          <w:rFonts w:ascii="Wingdings" w:hAnsi="Wingdings" w:cs="Wingdings" w:eastAsia="Wingdings" w:hint="default"/>
          <w:spacing w:val="-56"/>
        </w:rPr>
        <w:t></w:t>
      </w:r>
      <w:r>
        <w:rPr>
          <w:rFonts w:ascii="Times New Roman" w:hAnsi="Times New Roman" w:cs="Times New Roman" w:eastAsia="Times New Roman" w:hint="default"/>
          <w:spacing w:val="-56"/>
        </w:rPr>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spacing w:val="-3"/>
        </w:rPr>
        <w:t>年，公司新进地级以上城市</w:t>
      </w:r>
      <w:r>
        <w:rPr>
          <w:spacing w:val="-59"/>
        </w:rPr>
        <w:t> </w:t>
      </w:r>
      <w:r>
        <w:rPr>
          <w:rFonts w:ascii="Times New Roman" w:hAnsi="Times New Roman" w:cs="Times New Roman" w:eastAsia="Times New Roman" w:hint="default"/>
        </w:rPr>
        <w:t>32</w:t>
      </w:r>
      <w:r>
        <w:rPr>
          <w:rFonts w:ascii="Times New Roman" w:hAnsi="Times New Roman" w:cs="Times New Roman" w:eastAsia="Times New Roman" w:hint="default"/>
          <w:spacing w:val="1"/>
        </w:rPr>
        <w:t> </w:t>
      </w:r>
      <w:r>
        <w:rPr>
          <w:spacing w:val="-4"/>
        </w:rPr>
        <w:t>个，新开连锁店</w:t>
      </w:r>
      <w:r>
        <w:rPr>
          <w:spacing w:val="-59"/>
        </w:rPr>
        <w:t> </w:t>
      </w:r>
      <w:r>
        <w:rPr>
          <w:rFonts w:ascii="Times New Roman" w:hAnsi="Times New Roman" w:cs="Times New Roman" w:eastAsia="Times New Roman" w:hint="default"/>
        </w:rPr>
        <w:t>175</w:t>
      </w:r>
      <w:r>
        <w:rPr>
          <w:rFonts w:ascii="Times New Roman" w:hAnsi="Times New Roman" w:cs="Times New Roman" w:eastAsia="Times New Roman" w:hint="default"/>
          <w:spacing w:val="1"/>
        </w:rPr>
        <w:t> </w:t>
      </w:r>
      <w:r>
        <w:rPr>
          <w:spacing w:val="-4"/>
        </w:rPr>
        <w:t>家（含购置物业新</w:t>
      </w:r>
    </w:p>
    <w:p>
      <w:pPr>
        <w:pStyle w:val="BodyText"/>
        <w:spacing w:line="240" w:lineRule="auto" w:before="135"/>
        <w:ind w:right="0"/>
        <w:jc w:val="left"/>
      </w:pPr>
      <w:r>
        <w:rPr/>
        <w:t>开店面</w:t>
      </w:r>
      <w:r>
        <w:rPr>
          <w:spacing w:val="-120"/>
        </w:rPr>
        <w:t>）</w:t>
      </w:r>
      <w:r>
        <w:rPr>
          <w:spacing w:val="-5"/>
        </w:rPr>
        <w:t>，</w:t>
      </w:r>
      <w:r>
        <w:rPr/>
        <w:t>其中新进城市开店</w:t>
      </w:r>
      <w:r>
        <w:rPr>
          <w:spacing w:val="-60"/>
        </w:rPr>
        <w:t> </w:t>
      </w:r>
      <w:r>
        <w:rPr>
          <w:rFonts w:ascii="Times New Roman" w:hAnsi="Times New Roman" w:cs="Times New Roman" w:eastAsia="Times New Roman" w:hint="default"/>
        </w:rPr>
        <w:t>58 </w:t>
      </w:r>
      <w:r>
        <w:rPr/>
        <w:t>家</w:t>
      </w:r>
      <w:r>
        <w:rPr>
          <w:spacing w:val="-5"/>
        </w:rPr>
        <w:t>，</w:t>
      </w:r>
      <w:r>
        <w:rPr/>
        <w:t>原有城市同城开店</w:t>
      </w:r>
      <w:r>
        <w:rPr>
          <w:spacing w:val="-6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17 </w:t>
      </w:r>
      <w:r>
        <w:rPr/>
        <w:t>家</w:t>
      </w:r>
      <w:r>
        <w:rPr>
          <w:spacing w:val="-5"/>
        </w:rPr>
        <w:t>；</w:t>
      </w:r>
      <w:r>
        <w:rPr/>
        <w:t>调整连锁店</w:t>
      </w:r>
      <w:r>
        <w:rPr>
          <w:spacing w:val="-60"/>
        </w:rPr>
        <w:t> </w:t>
      </w:r>
      <w:r>
        <w:rPr>
          <w:rFonts w:ascii="Times New Roman" w:hAnsi="Times New Roman" w:cs="Times New Roman" w:eastAsia="Times New Roman" w:hint="default"/>
        </w:rPr>
        <w:t>14 </w:t>
      </w:r>
      <w:r>
        <w:rPr/>
        <w:t>家。</w:t>
      </w:r>
    </w:p>
    <w:p>
      <w:pPr>
        <w:pStyle w:val="BodyText"/>
        <w:spacing w:line="240" w:lineRule="auto" w:before="135"/>
        <w:ind w:right="87"/>
        <w:jc w:val="left"/>
      </w:pPr>
      <w:r>
        <w:rPr/>
        <w:t>截至报告期末，公司直营发展连锁店面积达到</w:t>
      </w:r>
      <w:r>
        <w:rPr>
          <w:spacing w:val="-60"/>
        </w:rPr>
        <w:t> </w:t>
      </w:r>
      <w:r>
        <w:rPr>
          <w:rFonts w:ascii="Times New Roman" w:hAnsi="Times New Roman" w:cs="Times New Roman" w:eastAsia="Times New Roman" w:hint="default"/>
        </w:rPr>
        <w:t>216.43 </w:t>
      </w:r>
      <w:r>
        <w:rPr/>
        <w:t>万平方米。</w:t>
      </w:r>
    </w:p>
    <w:p>
      <w:pPr>
        <w:pStyle w:val="BodyText"/>
        <w:spacing w:line="348" w:lineRule="auto" w:before="135"/>
        <w:ind w:right="217" w:firstLine="480"/>
        <w:jc w:val="both"/>
        <w:rPr>
          <w:rFonts w:ascii="Times New Roman" w:hAnsi="Times New Roman" w:cs="Times New Roman" w:eastAsia="Times New Roman" w:hint="default"/>
        </w:rPr>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报告期内，公司“租、买、并、建”多样化的开发策略初见成效：以重点</w:t>
      </w:r>
      <w:r>
        <w:rPr>
          <w:spacing w:val="3"/>
        </w:rPr>
        <w:t> </w:t>
      </w:r>
      <w:r>
        <w:rPr>
          <w:spacing w:val="-1"/>
        </w:rPr>
        <w:t>城市、核心商圈、优质物业为标准，完成了上海远东店、武汉中南店、成都万年场</w:t>
      </w:r>
      <w:r>
        <w:rPr>
          <w:spacing w:val="-109"/>
        </w:rPr>
        <w:t> </w:t>
      </w:r>
      <w:r>
        <w:rPr>
          <w:spacing w:val="-109"/>
        </w:rPr>
      </w:r>
      <w:r>
        <w:rPr/>
        <w:t>店、南京大厂店、常州南大街店、马鞍山解放路店等店面物业的购置；截至</w:t>
      </w:r>
      <w:r>
        <w:rPr>
          <w:spacing w:val="68"/>
        </w:rPr>
        <w:t> </w:t>
      </w:r>
      <w:r>
        <w:rPr>
          <w:rFonts w:ascii="Times New Roman" w:hAnsi="Times New Roman" w:cs="Times New Roman" w:eastAsia="Times New Roman" w:hint="default"/>
        </w:rPr>
        <w:t>2007</w:t>
      </w:r>
    </w:p>
    <w:p>
      <w:pPr>
        <w:pStyle w:val="BodyText"/>
        <w:spacing w:line="240" w:lineRule="auto" w:before="16"/>
        <w:ind w:right="87"/>
        <w:jc w:val="left"/>
      </w:pP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日，公司已在全国拥有自有物业连锁店面</w:t>
      </w:r>
      <w:r>
        <w:rPr>
          <w:spacing w:val="-60"/>
        </w:rPr>
        <w:t> </w:t>
      </w:r>
      <w:r>
        <w:rPr>
          <w:rFonts w:ascii="Times New Roman" w:hAnsi="Times New Roman" w:cs="Times New Roman" w:eastAsia="Times New Roman" w:hint="default"/>
        </w:rPr>
        <w:t>8 </w:t>
      </w:r>
      <w:r>
        <w:rPr/>
        <w:t>家，面积达</w:t>
      </w:r>
      <w:r>
        <w:rPr>
          <w:spacing w:val="-60"/>
        </w:rPr>
        <w:t> </w:t>
      </w:r>
      <w:r>
        <w:rPr>
          <w:rFonts w:ascii="Times New Roman" w:hAnsi="Times New Roman" w:cs="Times New Roman" w:eastAsia="Times New Roman" w:hint="default"/>
        </w:rPr>
        <w:t>9.99 </w:t>
      </w:r>
      <w:r>
        <w:rPr/>
        <w:t>万平米。</w:t>
      </w:r>
    </w:p>
    <w:p>
      <w:pPr>
        <w:pStyle w:val="BodyText"/>
        <w:spacing w:line="240" w:lineRule="auto" w:before="135"/>
        <w:ind w:left="626" w:right="87"/>
        <w:jc w:val="left"/>
      </w:pPr>
      <w:r>
        <w:rPr/>
        <w:t>（</w:t>
      </w:r>
      <w:r>
        <w:rPr>
          <w:rFonts w:ascii="Times New Roman" w:hAnsi="Times New Roman" w:cs="Times New Roman" w:eastAsia="Times New Roman" w:hint="default"/>
        </w:rPr>
        <w:t>2</w:t>
      </w:r>
      <w:r>
        <w:rPr/>
        <w:t>）终止特许加盟合作承接经营渠道情况</w:t>
      </w:r>
    </w:p>
    <w:p>
      <w:pPr>
        <w:pStyle w:val="BodyText"/>
        <w:spacing w:line="348" w:lineRule="auto" w:before="135"/>
        <w:ind w:right="216" w:firstLine="482"/>
        <w:jc w:val="both"/>
      </w:pPr>
      <w:r>
        <w:rPr/>
        <w:t>截至</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日，公司与全部</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家特许加盟企业签署《特许加盟终止 </w:t>
      </w:r>
      <w:r>
        <w:rPr>
          <w:spacing w:val="-2"/>
        </w:rPr>
        <w:t>协议书》。按照《协议书》的约定，报告期内，公司对特许加盟企业基本情况进行</w:t>
      </w:r>
      <w:r>
        <w:rPr>
          <w:spacing w:val="-96"/>
        </w:rPr>
        <w:t> </w:t>
      </w:r>
      <w:r>
        <w:rPr>
          <w:spacing w:val="-96"/>
        </w:rPr>
      </w:r>
      <w:r>
        <w:rPr/>
        <w:t>评估，因承接其经营渠道而新进地级以上城市 </w:t>
      </w:r>
      <w:r>
        <w:rPr>
          <w:rFonts w:ascii="Times New Roman" w:hAnsi="Times New Roman" w:cs="Times New Roman" w:eastAsia="Times New Roman" w:hint="default"/>
        </w:rPr>
        <w:t>30 </w:t>
      </w:r>
      <w:r>
        <w:rPr/>
        <w:t>个，新增连锁店 </w:t>
      </w:r>
      <w:r>
        <w:rPr>
          <w:rFonts w:ascii="Times New Roman" w:hAnsi="Times New Roman" w:cs="Times New Roman" w:eastAsia="Times New Roman" w:hint="default"/>
        </w:rPr>
        <w:t>120</w:t>
      </w:r>
      <w:r>
        <w:rPr>
          <w:rFonts w:ascii="Times New Roman" w:hAnsi="Times New Roman" w:cs="Times New Roman" w:eastAsia="Times New Roman" w:hint="default"/>
          <w:spacing w:val="-25"/>
        </w:rPr>
        <w:t> </w:t>
      </w:r>
      <w:r>
        <w:rPr/>
        <w:t>家，新增连</w:t>
      </w:r>
    </w:p>
    <w:p>
      <w:pPr>
        <w:pStyle w:val="BodyText"/>
        <w:spacing w:line="240" w:lineRule="auto" w:before="16"/>
        <w:ind w:right="87"/>
        <w:jc w:val="left"/>
      </w:pPr>
      <w:r>
        <w:rPr/>
        <w:t>锁店面积</w:t>
      </w:r>
      <w:r>
        <w:rPr>
          <w:spacing w:val="-60"/>
        </w:rPr>
        <w:t> </w:t>
      </w:r>
      <w:r>
        <w:rPr>
          <w:rFonts w:ascii="Times New Roman" w:hAnsi="Times New Roman" w:cs="Times New Roman" w:eastAsia="Times New Roman" w:hint="default"/>
        </w:rPr>
        <w:t>47.78 </w:t>
      </w:r>
      <w:r>
        <w:rPr/>
        <w:t>万平方米。</w:t>
      </w:r>
    </w:p>
    <w:p>
      <w:pPr>
        <w:pStyle w:val="BodyText"/>
        <w:spacing w:line="240" w:lineRule="auto" w:before="135"/>
        <w:ind w:left="623" w:right="87"/>
        <w:jc w:val="left"/>
      </w:pPr>
      <w:r>
        <w:rPr/>
        <w:t>（</w:t>
      </w:r>
      <w:r>
        <w:rPr>
          <w:rFonts w:ascii="Times New Roman" w:hAnsi="Times New Roman" w:cs="Times New Roman" w:eastAsia="Times New Roman" w:hint="default"/>
        </w:rPr>
        <w:t>3</w:t>
      </w:r>
      <w:r>
        <w:rPr/>
        <w:t>）截至报告期末，公司已在全国 </w:t>
      </w:r>
      <w:r>
        <w:rPr>
          <w:rFonts w:ascii="Times New Roman" w:hAnsi="Times New Roman" w:cs="Times New Roman" w:eastAsia="Times New Roman" w:hint="default"/>
        </w:rPr>
        <w:t>152 </w:t>
      </w:r>
      <w:r>
        <w:rPr/>
        <w:t>个地级以上城市拥有连锁店 </w:t>
      </w:r>
      <w:r>
        <w:rPr>
          <w:rFonts w:ascii="Times New Roman" w:hAnsi="Times New Roman" w:cs="Times New Roman" w:eastAsia="Times New Roman" w:hint="default"/>
        </w:rPr>
        <w:t>632</w:t>
      </w:r>
      <w:r>
        <w:rPr>
          <w:rFonts w:ascii="Times New Roman" w:hAnsi="Times New Roman" w:cs="Times New Roman" w:eastAsia="Times New Roman" w:hint="default"/>
          <w:spacing w:val="-23"/>
        </w:rPr>
        <w:t> </w:t>
      </w:r>
      <w:r>
        <w:rPr/>
        <w:t>家，</w:t>
      </w:r>
    </w:p>
    <w:p>
      <w:pPr>
        <w:pStyle w:val="BodyText"/>
        <w:spacing w:line="240" w:lineRule="auto" w:before="135"/>
        <w:ind w:right="87"/>
        <w:jc w:val="left"/>
      </w:pPr>
      <w:r>
        <w:rPr/>
        <w:t>连锁店数量较上年同期净增加</w:t>
      </w:r>
      <w:r>
        <w:rPr>
          <w:spacing w:val="-56"/>
        </w:rPr>
        <w:t> </w:t>
      </w:r>
      <w:r>
        <w:rPr>
          <w:rFonts w:ascii="Times New Roman" w:hAnsi="Times New Roman" w:cs="Times New Roman" w:eastAsia="Times New Roman" w:hint="default"/>
        </w:rPr>
        <w:t>281</w:t>
      </w:r>
      <w:r>
        <w:rPr>
          <w:rFonts w:ascii="Times New Roman" w:hAnsi="Times New Roman" w:cs="Times New Roman" w:eastAsia="Times New Roman" w:hint="default"/>
          <w:spacing w:val="4"/>
        </w:rPr>
        <w:t> </w:t>
      </w:r>
      <w:r>
        <w:rPr>
          <w:spacing w:val="-6"/>
        </w:rPr>
        <w:t>家；连锁店面积达</w:t>
      </w:r>
      <w:r>
        <w:rPr>
          <w:spacing w:val="-56"/>
        </w:rPr>
        <w:t> </w:t>
      </w:r>
      <w:r>
        <w:rPr>
          <w:rFonts w:ascii="Times New Roman" w:hAnsi="Times New Roman" w:cs="Times New Roman" w:eastAsia="Times New Roman" w:hint="default"/>
        </w:rPr>
        <w:t>264.21</w:t>
      </w:r>
      <w:r>
        <w:rPr>
          <w:rFonts w:ascii="Times New Roman" w:hAnsi="Times New Roman" w:cs="Times New Roman" w:eastAsia="Times New Roman" w:hint="default"/>
          <w:spacing w:val="4"/>
        </w:rPr>
        <w:t> </w:t>
      </w:r>
      <w:r>
        <w:rPr>
          <w:spacing w:val="-5"/>
        </w:rPr>
        <w:t>万平米，平均单店面积</w:t>
      </w:r>
    </w:p>
    <w:p>
      <w:pPr>
        <w:pStyle w:val="BodyText"/>
        <w:spacing w:line="240" w:lineRule="auto" w:before="135"/>
        <w:ind w:right="87"/>
        <w:jc w:val="left"/>
      </w:pPr>
      <w:r>
        <w:rPr>
          <w:rFonts w:ascii="Times New Roman" w:hAnsi="Times New Roman" w:cs="Times New Roman" w:eastAsia="Times New Roman" w:hint="default"/>
        </w:rPr>
        <w:t>4,180 </w:t>
      </w:r>
      <w:r>
        <w:rPr/>
        <w:t>平米。</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pStyle w:val="BodyText"/>
        <w:spacing w:line="240" w:lineRule="auto"/>
        <w:ind w:left="625" w:right="87"/>
        <w:jc w:val="left"/>
      </w:pPr>
      <w:r>
        <w:rPr>
          <w:rFonts w:ascii="Times New Roman" w:hAnsi="Times New Roman" w:cs="Times New Roman" w:eastAsia="Times New Roman" w:hint="default"/>
        </w:rPr>
        <w:t>2</w:t>
      </w:r>
      <w:r>
        <w:rPr/>
        <w:t>、连锁店结构分析</w:t>
      </w:r>
    </w:p>
    <w:p>
      <w:pPr>
        <w:pStyle w:val="BodyText"/>
        <w:spacing w:line="240" w:lineRule="auto" w:before="104"/>
        <w:ind w:left="625" w:right="87"/>
        <w:jc w:val="left"/>
      </w:pPr>
      <w:r>
        <w:rPr/>
        <w:t>（</w:t>
      </w:r>
      <w:r>
        <w:rPr>
          <w:rFonts w:ascii="Times New Roman" w:hAnsi="Times New Roman" w:cs="Times New Roman" w:eastAsia="Times New Roman" w:hint="default"/>
        </w:rPr>
        <w:t>1</w:t>
      </w:r>
      <w:r>
        <w:rPr/>
        <w:t>）连锁店地区分布情况</w:t>
      </w:r>
    </w:p>
    <w:p>
      <w:pPr>
        <w:tabs>
          <w:tab w:pos="7585" w:val="left" w:leader="none"/>
        </w:tabs>
        <w:spacing w:before="104"/>
        <w:ind w:left="625" w:right="87" w:firstLine="0"/>
        <w:jc w:val="left"/>
        <w:rPr>
          <w:rFonts w:ascii="宋体" w:hAnsi="宋体" w:cs="宋体" w:eastAsia="宋体" w:hint="default"/>
          <w:sz w:val="21"/>
          <w:szCs w:val="21"/>
        </w:rPr>
      </w:pPr>
      <w:r>
        <w:rPr>
          <w:rFonts w:ascii="宋体" w:hAnsi="宋体" w:cs="宋体" w:eastAsia="宋体" w:hint="default"/>
          <w:sz w:val="24"/>
          <w:szCs w:val="24"/>
        </w:rPr>
        <w:t>报告期末，公司连锁店按地区分布情况如下：</w:t>
        <w:tab/>
      </w:r>
      <w:r>
        <w:rPr>
          <w:rFonts w:ascii="宋体" w:hAnsi="宋体" w:cs="宋体" w:eastAsia="宋体" w:hint="default"/>
          <w:b/>
          <w:bCs/>
          <w:sz w:val="21"/>
          <w:szCs w:val="21"/>
        </w:rPr>
        <w:t>（单位：家）</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p>
      <w:pPr>
        <w:spacing w:before="61"/>
        <w:ind w:left="2285" w:right="2602" w:firstLine="0"/>
        <w:jc w:val="center"/>
        <w:rPr>
          <w:rFonts w:ascii="宋体" w:hAnsi="宋体" w:cs="宋体" w:eastAsia="宋体" w:hint="default"/>
          <w:sz w:val="14"/>
          <w:szCs w:val="14"/>
        </w:rPr>
      </w:pPr>
      <w:r>
        <w:rPr>
          <w:rFonts w:ascii="宋体" w:hAnsi="宋体" w:cs="宋体" w:eastAsia="宋体" w:hint="default"/>
          <w:w w:val="125"/>
          <w:sz w:val="14"/>
          <w:szCs w:val="14"/>
        </w:rPr>
        <w:t>店面区域分布图</w:t>
      </w:r>
      <w:r>
        <w:rPr>
          <w:rFonts w:ascii="宋体" w:hAnsi="宋体" w:cs="宋体" w:eastAsia="宋体" w:hint="default"/>
          <w:sz w:val="14"/>
          <w:szCs w:val="14"/>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9" w:footer="982" w:top="1100" w:bottom="1180" w:left="1500" w:right="1420"/>
        </w:sectPr>
      </w:pPr>
    </w:p>
    <w:p>
      <w:pPr>
        <w:tabs>
          <w:tab w:pos="641" w:val="left" w:leader="none"/>
        </w:tabs>
        <w:spacing w:line="202" w:lineRule="exact" w:before="61"/>
        <w:ind w:left="0" w:right="0" w:firstLine="0"/>
        <w:jc w:val="right"/>
        <w:rPr>
          <w:rFonts w:ascii="宋体" w:hAnsi="宋体" w:cs="宋体" w:eastAsia="宋体" w:hint="default"/>
          <w:sz w:val="14"/>
          <w:szCs w:val="14"/>
        </w:rPr>
      </w:pPr>
      <w:r>
        <w:rPr>
          <w:rFonts w:ascii="宋体"/>
          <w:spacing w:val="2"/>
          <w:w w:val="125"/>
          <w:position w:val="-2"/>
          <w:sz w:val="14"/>
        </w:rPr>
        <w:t>40</w:t>
        <w:tab/>
      </w:r>
      <w:r>
        <w:rPr>
          <w:rFonts w:ascii="宋体"/>
          <w:spacing w:val="5"/>
          <w:w w:val="125"/>
          <w:sz w:val="14"/>
        </w:rPr>
        <w:t>29</w:t>
      </w:r>
      <w:r>
        <w:rPr>
          <w:rFonts w:ascii="宋体"/>
          <w:sz w:val="14"/>
        </w:rPr>
      </w:r>
    </w:p>
    <w:p>
      <w:pPr>
        <w:spacing w:line="172" w:lineRule="exact" w:before="0"/>
        <w:ind w:left="1702" w:right="872" w:firstLine="0"/>
        <w:jc w:val="center"/>
        <w:rPr>
          <w:rFonts w:ascii="宋体" w:hAnsi="宋体" w:cs="宋体" w:eastAsia="宋体" w:hint="default"/>
          <w:sz w:val="14"/>
          <w:szCs w:val="14"/>
        </w:rPr>
      </w:pPr>
      <w:r>
        <w:rPr/>
        <w:pict>
          <v:group style="position:absolute;margin-left:174.258331pt;margin-top:.467755pt;width:181.45pt;height:59.9pt;mso-position-horizontal-relative:page;mso-position-vertical-relative:paragraph;z-index:-578656" coordorigin="3485,9" coordsize="3629,1198">
            <v:group style="position:absolute;left:4775;top:15;width:519;height:381" coordorigin="4775,15" coordsize="519,381">
              <v:shape style="position:absolute;left:4775;top:15;width:519;height:381" coordorigin="4775,15" coordsize="519,381" path="m5293,396l4775,26,4884,26,4951,15,5293,15,5293,396xe" filled="true" fillcolor="#ccccff" stroked="false">
                <v:path arrowok="t"/>
                <v:fill type="solid"/>
              </v:shape>
            </v:group>
            <v:group style="position:absolute;left:4775;top:15;width:519;height:381" coordorigin="4775,15" coordsize="519,381">
              <v:shape style="position:absolute;left:4775;top:15;width:519;height:381" coordorigin="4775,15" coordsize="519,381" path="m4775,26l4884,26,4951,15,5020,15,5088,15,5156,15,5225,15,5293,15,5293,396,4775,26xe" filled="false" stroked="true" strokeweight=".602562pt" strokecolor="#000000">
                <v:path arrowok="t"/>
              </v:shape>
            </v:group>
            <v:group style="position:absolute;left:4160;top:26;width:1133;height:370" coordorigin="4160,26" coordsize="1133,370">
              <v:shape style="position:absolute;left:4160;top:26;width:1133;height:370" coordorigin="4160,26" coordsize="1133,370" path="m5293,396l4160,94,4214,94,4255,83,4310,72,4338,72,4392,60,4447,60,4501,49,4556,49,4625,38,4706,38,4775,26,5293,396xe" filled="true" fillcolor="#0065cc" stroked="false">
                <v:path arrowok="t"/>
                <v:fill type="solid"/>
              </v:shape>
            </v:group>
            <v:group style="position:absolute;left:4160;top:26;width:1133;height:370" coordorigin="4160,26" coordsize="1133,370">
              <v:shape style="position:absolute;left:4160;top:26;width:1133;height:370" coordorigin="4160,26" coordsize="1133,370" path="m4160,94l4214,94,4255,83,4310,72,4338,72,4392,60,4447,60,4501,49,4556,49,4625,38,4706,38,4775,26,5293,396,4160,94xe" filled="false" stroked="true" strokeweight=".571248pt" strokecolor="#000000">
                <v:path arrowok="t"/>
              </v:shape>
            </v:group>
            <v:group style="position:absolute;left:3628;top:94;width:1666;height:303" coordorigin="3628,94" coordsize="1666,303">
              <v:shape style="position:absolute;left:3628;top:94;width:1666;height:303" coordorigin="3628,94" coordsize="1666,303" path="m5293,396l3628,251,3678,230,3730,208,3781,188,3833,171,3914,150,3955,138,3996,127,4024,127,4064,116,4105,104,4160,94,5293,396xe" filled="true" fillcolor="#ff8080" stroked="false">
                <v:path arrowok="t"/>
                <v:fill type="solid"/>
              </v:shape>
            </v:group>
            <v:group style="position:absolute;left:3628;top:94;width:1666;height:303" coordorigin="3628,94" coordsize="1666,303">
              <v:shape style="position:absolute;left:3628;top:94;width:1666;height:303" coordorigin="3628,94" coordsize="1666,303" path="m3628,251l3678,230,3730,208,3781,188,3833,171,3914,150,3955,138,3996,127,4024,127,4064,116,4105,104,4160,94,5293,396,3628,251xe" filled="false" stroked="true" strokeweight=".563313pt" strokecolor="#000000">
                <v:path arrowok="t"/>
              </v:shape>
            </v:group>
            <v:group style="position:absolute;left:5293;top:15;width:1774;height:381" coordorigin="5293,15" coordsize="1774,381">
              <v:shape style="position:absolute;left:5293;top:15;width:1774;height:381" coordorigin="5293,15" coordsize="1774,381" path="m5293,396l5293,15,5606,15,5675,26,5852,26,5921,38,5975,38,6030,49,6084,49,6139,60,6208,60,6248,72,6302,83,6358,83,6412,94,6452,104,6508,116,6548,116,6604,127,6775,177,6863,205,6896,220,6964,247,6998,261,7013,284,7039,295,7054,306,7067,318,5293,396xe" filled="true" fillcolor="#9a9aff" stroked="false">
                <v:path arrowok="t"/>
                <v:fill type="solid"/>
              </v:shape>
            </v:group>
            <v:group style="position:absolute;left:5293;top:15;width:1774;height:381" coordorigin="5293,15" coordsize="1774,381">
              <v:shape style="position:absolute;left:5293;top:15;width:1774;height:381" coordorigin="5293,15" coordsize="1774,381" path="m5293,15l5606,15,5675,26,5852,26,5921,38,5975,38,6030,49,6084,49,6139,60,6208,60,6248,72,6302,83,6358,83,6412,94,6452,104,6508,116,6548,116,6604,127,6644,138,6685,150,6729,163,6775,177,6821,191,6863,205,6896,220,6930,233,6964,247,6998,261,7013,284,7039,295,7054,306,7067,318,5293,396,5293,15xe" filled="false" stroked="true" strokeweight=".564802pt" strokecolor="#000000">
                <v:path arrowok="t"/>
              </v:shape>
            </v:group>
            <v:group style="position:absolute;left:3505;top:429;width:2;height:459" coordorigin="3505,429" coordsize="2,459">
              <v:shape style="position:absolute;left:3505;top:429;width:2;height:459" coordorigin="3505,429" coordsize="0,459" path="m3505,429l3505,888e" filled="false" stroked="true" strokeweight="1.320238pt" strokecolor="#330033">
                <v:path arrowok="t"/>
              </v:shape>
            </v:group>
            <v:group style="position:absolute;left:3492;top:396;width:27;height:492" coordorigin="3492,396" coordsize="27,492">
              <v:shape style="position:absolute;left:3492;top:396;width:27;height:492" coordorigin="3492,396" coordsize="27,492" path="m3518,474l3505,463,3505,440,3492,429,3492,396,3492,842,3505,854,3505,876,3518,888,3518,474xe" filled="false" stroked="true" strokeweight=".682413pt" strokecolor="#000000">
                <v:path arrowok="t"/>
              </v:shape>
            </v:group>
            <v:group style="position:absolute;left:3492;top:251;width:1802;height:224" coordorigin="3492,251" coordsize="1802,224">
              <v:shape style="position:absolute;left:3492;top:251;width:1802;height:224" coordorigin="3492,251" coordsize="1802,224" path="m3518,474l3505,463,3505,440,3492,429,3492,362,3505,340,3518,329,3533,318,3546,306,3546,295,3574,284,3587,272,3614,261,3628,251,5293,396,3518,474xe" filled="true" fillcolor="#650065" stroked="false">
                <v:path arrowok="t"/>
                <v:fill type="solid"/>
              </v:shape>
            </v:group>
            <v:group style="position:absolute;left:3492;top:251;width:1802;height:224" coordorigin="3492,251" coordsize="1802,224">
              <v:shape style="position:absolute;left:3492;top:251;width:1802;height:224" coordorigin="3492,251" coordsize="1802,224" path="m3518,474l3505,463,3505,440,3492,429,3492,362,3505,340,3518,329,3533,318,3546,306,3546,295,3574,284,3587,272,3614,261,3628,251,5293,396,3518,474xe" filled="false" stroked="true" strokeweight=".561242pt" strokecolor="#000000">
                <v:path arrowok="t"/>
              </v:shape>
            </v:group>
            <v:group style="position:absolute;left:6330;top:407;width:778;height:728" coordorigin="6330,407" coordsize="778,728">
              <v:shape style="position:absolute;left:6330;top:407;width:778;height:728" coordorigin="6330,407" coordsize="778,728" path="m6330,1134l6330,720,6473,692,6543,677,6614,661,6685,642,6698,642,6739,630,6780,619,6808,608,6848,596,6876,586,6889,575,6935,556,6971,542,7004,525,7039,497,7054,485,7067,474,7081,463,7094,440,7094,429,7108,407,7108,821,7094,842,7094,854,7081,876,7067,888,7054,899,7039,909,7004,939,6970,956,6933,970,6889,989,6876,999,6848,1010,6808,1022,6780,1033,6739,1044,6698,1056,6685,1056,6644,1067,6565,1087,6487,1103,6410,1118,6330,1134xe" filled="true" fillcolor="#4d1a33" stroked="false">
                <v:path arrowok="t"/>
                <v:fill type="solid"/>
              </v:shape>
            </v:group>
            <v:group style="position:absolute;left:6330;top:396;width:778;height:738" coordorigin="6330,396" coordsize="778,738">
              <v:shape style="position:absolute;left:6330;top:396;width:778;height:738" coordorigin="6330,396" coordsize="778,738" path="m7108,396l7108,407,7094,429,7094,440,7081,463,7067,474,7054,485,7039,497,7004,525,6971,542,6935,556,6889,575,6876,586,6848,596,6808,608,6780,619,6739,630,6698,642,6685,642,6614,661,6543,677,6473,692,6402,706,6330,720,6330,1134,6410,1118,6487,1103,6565,1087,6644,1067,6685,1056,6698,1056,6739,1044,6780,1033,6808,1022,6848,1010,6876,999,6889,989,6933,970,6970,956,7004,939,7039,909,7054,899,7067,888,7081,876,7094,854,7094,842,7108,821,7108,396xe" filled="false" stroked="true" strokeweight=".617851pt" strokecolor="#000000">
                <v:path arrowok="t"/>
              </v:shape>
            </v:group>
            <v:group style="position:absolute;left:5293;top:318;width:1815;height:402" coordorigin="5293,318" coordsize="1815,402">
              <v:shape style="position:absolute;left:5293;top:318;width:1815;height:402" coordorigin="5293,318" coordsize="1815,402" path="m6330,720l5293,396,7067,318,7081,329,7081,340,7094,362,7108,373,7108,417,7094,429,7094,440,7081,451,7081,463,7067,474,7054,497,7039,507,7013,518,6998,530,6972,541,6958,552,6930,564,6904,575,6848,596,6808,608,6780,619,6754,630,6726,630,6685,642,6604,663,6548,675,6508,686,6480,686,6439,697,6385,709,6330,720xe" filled="true" fillcolor="#9a3365" stroked="false">
                <v:path arrowok="t"/>
                <v:fill type="solid"/>
              </v:shape>
            </v:group>
            <v:group style="position:absolute;left:5293;top:318;width:1815;height:402" coordorigin="5293,318" coordsize="1815,402">
              <v:shape style="position:absolute;left:5293;top:318;width:1815;height:402" coordorigin="5293,318" coordsize="1815,402" path="m7067,318l7081,329,7081,340,7094,362,7108,373,7108,417,7094,429,7094,440,7081,451,7081,463,7067,474,7054,497,7039,507,7013,518,6998,530,6972,541,6958,552,6930,564,6904,575,6848,596,6808,608,6780,619,6754,630,6726,630,6685,642,6604,663,6548,675,6508,686,6480,686,6439,697,6385,709,6330,720,5293,396,7067,318xe" filled="false" stroked="true" strokeweight=".565150pt" strokecolor="#000000">
                <v:path arrowok="t"/>
              </v:shape>
            </v:group>
            <v:group style="position:absolute;left:3518;top:474;width:1038;height:694" coordorigin="3518,474" coordsize="1038,694">
              <v:shape style="position:absolute;left:3518;top:474;width:1038;height:694" coordorigin="3518,474" coordsize="1038,694" path="m4556,1167l4501,1156,4447,1156,4392,1145,4364,1145,4310,1134,4255,1134,4214,1122,4160,1111,4085,1098,4015,1083,3946,1065,3874,1044,3846,1044,3820,1033,3778,1022,3751,1010,3710,999,3683,989,3668,977,3642,966,3614,955,3601,943,3574,932,3559,921,3546,909,3533,899,3518,888,3518,474,3552,501,3588,525,3627,546,3668,564,3683,575,3710,586,3751,596,3778,608,3820,619,3846,630,3874,630,3957,654,4042,674,4128,692,4214,709,4255,720,4310,720,4364,731,4392,731,4447,743,4501,743,4556,753,4556,1167xe" filled="true" fillcolor="#658080" stroked="false">
                <v:path arrowok="t"/>
                <v:fill type="solid"/>
              </v:shape>
            </v:group>
            <v:group style="position:absolute;left:3518;top:474;width:1038;height:694" coordorigin="3518,474" coordsize="1038,694">
              <v:shape style="position:absolute;left:3518;top:474;width:1038;height:694" coordorigin="3518,474" coordsize="1038,694" path="m4556,753l4501,743,4447,743,4392,731,4364,731,4310,720,4255,720,4214,709,4128,692,4042,674,3957,654,3874,630,3846,630,3820,619,3778,608,3751,596,3710,586,3683,575,3668,564,3627,546,3588,525,3552,501,3518,474,3518,888,3533,899,3546,909,3559,921,3574,932,3601,943,3614,955,3642,966,3668,977,3683,989,3710,999,3751,1010,3778,1022,3820,1033,3846,1044,3874,1044,3946,1065,4015,1083,4085,1098,4160,1111,4214,1122,4255,1134,4310,1134,4364,1145,4392,1145,4447,1156,4501,1156,4556,1167,4556,753xe" filled="false" stroked="true" strokeweight=".597463pt" strokecolor="#000000">
                <v:path arrowok="t"/>
              </v:shape>
            </v:group>
            <v:group style="position:absolute;left:3518;top:396;width:1775;height:358" coordorigin="3518,396" coordsize="1775,358">
              <v:shape style="position:absolute;left:3518;top:396;width:1775;height:358" coordorigin="3518,396" coordsize="1775,358" path="m4556,753l4501,743,4447,743,4392,731,4364,731,4310,720,4255,720,4214,709,4128,692,4042,674,3957,654,3874,630,3846,630,3820,619,3778,608,3751,596,3710,586,3683,575,3668,564,3627,546,3588,525,3552,501,3518,474,5293,396,4556,753xe" filled="true" fillcolor="#ccffff" stroked="false">
                <v:path arrowok="t"/>
                <v:fill type="solid"/>
              </v:shape>
            </v:group>
            <v:group style="position:absolute;left:3518;top:396;width:1775;height:358" coordorigin="3518,396" coordsize="1775,358">
              <v:shape style="position:absolute;left:3518;top:396;width:1775;height:358" coordorigin="3518,396" coordsize="1775,358" path="m4556,753l4501,743,4447,743,4392,731,4364,731,4310,720,4255,720,4214,709,4128,692,4042,674,3957,654,3874,630,3846,630,3820,619,3778,608,3751,596,3710,586,3683,575,3668,564,3627,546,3588,525,3552,501,3518,474,5293,396,4556,753xe" filled="false" stroked="true" strokeweight=".56419pt" strokecolor="#000000">
                <v:path arrowok="t"/>
              </v:shape>
            </v:group>
            <v:group style="position:absolute;left:4556;top:720;width:1774;height:482" coordorigin="4556,720" coordsize="1774,482">
              <v:shape style="position:absolute;left:4556;top:720;width:1774;height:482" coordorigin="4556,720" coordsize="1774,482" path="m6330,787l5456,787,5512,776,5771,776,5825,764,5880,764,5948,753,6058,753,6112,743,6167,731,6221,731,6276,720,6330,720,6330,787xe" filled="true" fillcolor="#808065" stroked="false">
                <v:path arrowok="t"/>
                <v:fill type="solid"/>
              </v:shape>
              <v:shape style="position:absolute;left:4556;top:720;width:1774;height:482" coordorigin="4556,720" coordsize="1774,482" path="m6058,1167l4556,1167,4556,753,4625,753,4679,764,4801,764,4856,776,5047,776,5102,787,6330,787,6330,1134,6276,1134,6221,1145,6167,1145,6112,1156,6058,1167xe" filled="true" fillcolor="#808065" stroked="false">
                <v:path arrowok="t"/>
                <v:fill type="solid"/>
              </v:shape>
              <v:shape style="position:absolute;left:4556;top:720;width:1774;height:482" coordorigin="4556,720" coordsize="1774,482" path="m5880,1178l4679,1178,4625,1167,5948,1167,5880,1178xe" filled="true" fillcolor="#808065" stroked="false">
                <v:path arrowok="t"/>
                <v:fill type="solid"/>
              </v:shape>
              <v:shape style="position:absolute;left:4556;top:720;width:1774;height:482" coordorigin="4556,720" coordsize="1774,482" path="m5771,1189l4856,1189,4801,1178,5825,1178,5771,1189xe" filled="true" fillcolor="#808065" stroked="false">
                <v:path arrowok="t"/>
                <v:fill type="solid"/>
              </v:shape>
              <v:shape style="position:absolute;left:4556;top:720;width:1774;height:482" coordorigin="4556,720" coordsize="1774,482" path="m5456,1201l5102,1201,5047,1189,5512,1189,5456,1201xe" filled="true" fillcolor="#808065" stroked="false">
                <v:path arrowok="t"/>
                <v:fill type="solid"/>
              </v:shape>
            </v:group>
            <v:group style="position:absolute;left:4556;top:720;width:1774;height:482" coordorigin="4556,720" coordsize="1774,482">
              <v:shape style="position:absolute;left:4556;top:720;width:1774;height:482" coordorigin="4556,720" coordsize="1774,482" path="m6330,720l6276,720,6221,731,6167,731,6112,743,6058,753,5948,753,5880,764,5825,764,5771,776,5512,776,5456,787,5102,787,5047,776,4856,776,4801,764,4679,764,4625,753,4556,753,4556,1167,4625,1167,4679,1178,4801,1178,4856,1189,5047,1189,5102,1201,5456,1201,5512,1189,5771,1189,5825,1178,5880,1178,5948,1167,6058,1167,6112,1156,6167,1145,6221,1145,6276,1134,6330,1134,6330,720xe" filled="false" stroked="true" strokeweight=".567836pt" strokecolor="#000000">
                <v:path arrowok="t"/>
              </v:shape>
            </v:group>
            <v:group style="position:absolute;left:4556;top:396;width:1774;height:392" coordorigin="4556,396" coordsize="1774,392">
              <v:shape style="position:absolute;left:4556;top:396;width:1774;height:392" coordorigin="4556,396" coordsize="1774,392" path="m6058,753l4556,753,5293,396,6330,720,6276,720,6221,731,6167,731,6112,743,6058,753xe" filled="true" fillcolor="#ffffcc" stroked="false">
                <v:path arrowok="t"/>
                <v:fill type="solid"/>
              </v:shape>
              <v:shape style="position:absolute;left:4556;top:396;width:1774;height:392" coordorigin="4556,396" coordsize="1774,392" path="m5880,764l4679,764,4625,753,5948,753,5880,764xe" filled="true" fillcolor="#ffffcc" stroked="false">
                <v:path arrowok="t"/>
                <v:fill type="solid"/>
              </v:shape>
              <v:shape style="position:absolute;left:4556;top:396;width:1774;height:392" coordorigin="4556,396" coordsize="1774,392" path="m5771,776l4856,776,4801,764,5825,764,5771,776xe" filled="true" fillcolor="#ffffcc" stroked="false">
                <v:path arrowok="t"/>
                <v:fill type="solid"/>
              </v:shape>
              <v:shape style="position:absolute;left:4556;top:396;width:1774;height:392" coordorigin="4556,396" coordsize="1774,392" path="m5456,787l5102,787,5047,776,5512,776,5456,787xe" filled="true" fillcolor="#ffffcc" stroked="false">
                <v:path arrowok="t"/>
                <v:fill type="solid"/>
              </v:shape>
            </v:group>
            <v:group style="position:absolute;left:4556;top:396;width:1774;height:392" coordorigin="4556,396" coordsize="1774,392">
              <v:shape style="position:absolute;left:4556;top:396;width:1774;height:392" coordorigin="4556,396" coordsize="1774,392" path="m6330,720l6276,720,6221,731,6167,731,6112,743,6058,753,5948,753,5880,764,5825,764,5771,776,5512,776,5456,787,5102,787,5047,776,4856,776,4801,764,4679,764,4625,753,4556,753,5293,396,6330,720xe" filled="false" stroked="true" strokeweight=".565100pt" strokecolor="#000000">
                <v:path arrowok="t"/>
              </v:shape>
            </v:group>
            <w10:wrap type="none"/>
          </v:group>
        </w:pict>
      </w:r>
      <w:r>
        <w:rPr>
          <w:rFonts w:ascii="宋体"/>
          <w:spacing w:val="4"/>
          <w:w w:val="125"/>
          <w:sz w:val="14"/>
        </w:rPr>
        <w:t>48</w:t>
      </w:r>
      <w:r>
        <w:rPr>
          <w:rFonts w:ascii="宋体"/>
          <w:sz w:val="14"/>
        </w:rPr>
      </w:r>
    </w:p>
    <w:p>
      <w:pPr>
        <w:spacing w:before="62"/>
        <w:ind w:left="1334" w:right="1241" w:firstLine="0"/>
        <w:jc w:val="center"/>
        <w:rPr>
          <w:rFonts w:ascii="宋体" w:hAnsi="宋体" w:cs="宋体" w:eastAsia="宋体" w:hint="default"/>
          <w:sz w:val="14"/>
          <w:szCs w:val="14"/>
        </w:rPr>
      </w:pPr>
      <w:r>
        <w:rPr/>
        <w:pict>
          <v:group style="position:absolute;margin-left:402.569946pt;margin-top:45.525066pt;width:8.7pt;height:4.55pt;mso-position-horizontal-relative:page;mso-position-vertical-relative:paragraph;z-index:-578536" coordorigin="8051,911" coordsize="174,91">
            <v:group style="position:absolute;left:8090;top:956;width:96;height:2" coordorigin="8090,956" coordsize="96,2">
              <v:shape style="position:absolute;left:8090;top:956;width:96;height:2" coordorigin="8090,956" coordsize="96,0" path="m8090,956l8186,956e" filled="false" stroked="true" strokeweight="3.899973pt" strokecolor="#0065cc">
                <v:path arrowok="t"/>
              </v:shape>
            </v:group>
            <v:group style="position:absolute;left:8090;top:917;width:96;height:78" coordorigin="8090,917" coordsize="96,78">
              <v:shape style="position:absolute;left:8090;top:917;width:96;height:78" coordorigin="8090,917" coordsize="96,78" path="m8090,917l8186,917,8186,995,8090,995,8090,917xe" filled="false" stroked="true" strokeweight=".608441pt" strokecolor="#000000">
                <v:path arrowok="t"/>
              </v:shape>
            </v:group>
            <w10:wrap type="none"/>
          </v:group>
        </w:pict>
      </w:r>
      <w:r>
        <w:rPr/>
        <w:pict>
          <v:group style="position:absolute;margin-left:402.569946pt;margin-top:55.544956pt;width:8.7pt;height:4.55pt;mso-position-horizontal-relative:page;mso-position-vertical-relative:paragraph;z-index:-578512" coordorigin="8051,1111" coordsize="174,91">
            <v:group style="position:absolute;left:8090;top:1156;width:96;height:2" coordorigin="8090,1156" coordsize="96,2">
              <v:shape style="position:absolute;left:8090;top:1156;width:96;height:2" coordorigin="8090,1156" coordsize="96,0" path="m8090,1156l8186,1156e" filled="false" stroked="true" strokeweight="3.899973pt" strokecolor="#ccccff">
                <v:path arrowok="t"/>
              </v:shape>
            </v:group>
            <v:group style="position:absolute;left:8090;top:1117;width:96;height:78" coordorigin="8090,1117" coordsize="96,78">
              <v:shape style="position:absolute;left:8090;top:1117;width:96;height:78" coordorigin="8090,1117" coordsize="96,78" path="m8090,1117l8186,1117,8186,1195,8090,1195,8090,1117xe" filled="false" stroked="true" strokeweight=".608441pt" strokecolor="#000000">
                <v:path arrowok="t"/>
              </v:shape>
            </v:group>
            <w10:wrap type="none"/>
          </v:group>
        </w:pict>
      </w:r>
      <w:r>
        <w:rPr>
          <w:rFonts w:ascii="宋体"/>
          <w:spacing w:val="4"/>
          <w:w w:val="125"/>
          <w:sz w:val="14"/>
        </w:rPr>
        <w:t>60</w:t>
      </w:r>
      <w:r>
        <w:rPr>
          <w:rFonts w:ascii="宋体"/>
          <w:sz w:val="14"/>
        </w:rPr>
      </w:r>
    </w:p>
    <w:p>
      <w:pPr>
        <w:spacing w:line="240" w:lineRule="auto" w:before="7"/>
        <w:rPr>
          <w:rFonts w:ascii="宋体" w:hAnsi="宋体" w:cs="宋体" w:eastAsia="宋体" w:hint="default"/>
          <w:sz w:val="11"/>
          <w:szCs w:val="11"/>
        </w:rPr>
      </w:pPr>
      <w:r>
        <w:rPr/>
        <w:br w:type="column"/>
      </w:r>
      <w:r>
        <w:rPr>
          <w:rFonts w:ascii="宋体"/>
          <w:sz w:val="11"/>
        </w:rPr>
      </w:r>
    </w:p>
    <w:p>
      <w:pPr>
        <w:spacing w:before="0"/>
        <w:ind w:left="1432" w:right="0" w:firstLine="0"/>
        <w:jc w:val="left"/>
        <w:rPr>
          <w:rFonts w:ascii="宋体" w:hAnsi="宋体" w:cs="宋体" w:eastAsia="宋体" w:hint="default"/>
          <w:sz w:val="14"/>
          <w:szCs w:val="14"/>
        </w:rPr>
      </w:pPr>
      <w:r>
        <w:rPr/>
        <w:pict>
          <v:group style="position:absolute;margin-left:402.569946pt;margin-top:-.654304pt;width:8.7pt;height:4.55pt;mso-position-horizontal-relative:page;mso-position-vertical-relative:paragraph;z-index:-578632" coordorigin="8051,-13" coordsize="174,91">
            <v:group style="position:absolute;left:8090;top:32;width:96;height:2" coordorigin="8090,32" coordsize="96,2">
              <v:shape style="position:absolute;left:8090;top:32;width:96;height:2" coordorigin="8090,32" coordsize="96,0" path="m8090,32l8186,32e" filled="false" stroked="true" strokeweight="3.899973pt" strokecolor="#9a9aff">
                <v:path arrowok="t"/>
              </v:shape>
            </v:group>
            <v:group style="position:absolute;left:8090;top:-7;width:96;height:78" coordorigin="8090,-7" coordsize="96,78">
              <v:shape style="position:absolute;left:8090;top:-7;width:96;height:78" coordorigin="8090,-7" coordsize="96,78" path="m8090,-7l8186,-7,8186,71,8090,71,8090,-7xe" filled="false" stroked="true" strokeweight=".608441pt" strokecolor="#000000">
                <v:path arrowok="t"/>
              </v:shape>
            </v:group>
            <w10:wrap type="none"/>
          </v:group>
        </w:pict>
      </w:r>
      <w:r>
        <w:rPr/>
        <w:pict>
          <v:group style="position:absolute;margin-left:402.569946pt;margin-top:9.425324pt;width:8.7pt;height:4.55pt;mso-position-horizontal-relative:page;mso-position-vertical-relative:paragraph;z-index:-578608" coordorigin="8051,189" coordsize="174,91">
            <v:group style="position:absolute;left:8090;top:234;width:96;height:2" coordorigin="8090,234" coordsize="96,2">
              <v:shape style="position:absolute;left:8090;top:234;width:96;height:2" coordorigin="8090,234" coordsize="96,0" path="m8090,234l8186,234e" filled="false" stroked="true" strokeweight="3.899973pt" strokecolor="#9a3365">
                <v:path arrowok="t"/>
              </v:shape>
            </v:group>
            <v:group style="position:absolute;left:8090;top:195;width:96;height:78" coordorigin="8090,195" coordsize="96,78">
              <v:shape style="position:absolute;left:8090;top:195;width:96;height:78" coordorigin="8090,195" coordsize="96,78" path="m8090,195l8186,195,8186,273,8090,273,8090,195xe" filled="false" stroked="true" strokeweight=".608441pt" strokecolor="#000000">
                <v:path arrowok="t"/>
              </v:shape>
            </v:group>
            <w10:wrap type="none"/>
          </v:group>
        </w:pict>
      </w:r>
      <w:r>
        <w:rPr/>
        <w:pict>
          <v:group style="position:absolute;margin-left:402.569946pt;margin-top:19.504951pt;width:8.7pt;height:4.55pt;mso-position-horizontal-relative:page;mso-position-vertical-relative:paragraph;z-index:-578584" coordorigin="8051,390" coordsize="174,91">
            <v:group style="position:absolute;left:8090;top:435;width:96;height:2" coordorigin="8090,435" coordsize="96,2">
              <v:shape style="position:absolute;left:8090;top:435;width:96;height:2" coordorigin="8090,435" coordsize="96,0" path="m8090,435l8186,435e" filled="false" stroked="true" strokeweight="3.899973pt" strokecolor="#ffffcc">
                <v:path arrowok="t"/>
              </v:shape>
            </v:group>
            <v:group style="position:absolute;left:8090;top:396;width:96;height:78" coordorigin="8090,396" coordsize="96,78">
              <v:shape style="position:absolute;left:8090;top:396;width:96;height:78" coordorigin="8090,396" coordsize="96,78" path="m8090,396l8186,396,8186,474,8090,474,8090,396xe" filled="false" stroked="true" strokeweight=".608441pt" strokecolor="#000000">
                <v:path arrowok="t"/>
              </v:shape>
            </v:group>
            <w10:wrap type="none"/>
          </v:group>
        </w:pict>
      </w:r>
      <w:r>
        <w:rPr/>
        <w:pict>
          <v:shape style="position:absolute;margin-left:401.100006pt;margin-top:-4.244133pt;width:48.5pt;height:80.55pt;mso-position-horizontal-relative:page;mso-position-vertical-relative:paragraph;z-index:-578488" type="#_x0000_t202" filled="false" stroked="true" strokeweight=".06pt" strokecolor="#000000">
            <v:textbox inset="0,0,0,0">
              <w:txbxContent>
                <w:p>
                  <w:pPr>
                    <w:spacing w:line="264" w:lineRule="auto" w:before="6"/>
                    <w:ind w:left="218" w:right="38" w:firstLine="0"/>
                    <w:jc w:val="both"/>
                    <w:rPr>
                      <w:rFonts w:ascii="宋体" w:hAnsi="宋体" w:cs="宋体" w:eastAsia="宋体" w:hint="default"/>
                      <w:sz w:val="14"/>
                      <w:szCs w:val="14"/>
                    </w:rPr>
                  </w:pPr>
                  <w:r>
                    <w:rPr>
                      <w:rFonts w:ascii="宋体" w:hAnsi="宋体" w:cs="宋体" w:eastAsia="宋体" w:hint="default"/>
                      <w:w w:val="125"/>
                      <w:sz w:val="14"/>
                      <w:szCs w:val="14"/>
                    </w:rPr>
                    <w:t>华东一区</w:t>
                  </w:r>
                  <w:r>
                    <w:rPr>
                      <w:rFonts w:ascii="宋体" w:hAnsi="宋体" w:cs="宋体" w:eastAsia="宋体" w:hint="default"/>
                      <w:spacing w:val="-79"/>
                      <w:w w:val="125"/>
                      <w:sz w:val="14"/>
                      <w:szCs w:val="14"/>
                    </w:rPr>
                    <w:t> </w:t>
                  </w:r>
                  <w:r>
                    <w:rPr>
                      <w:rFonts w:ascii="宋体" w:hAnsi="宋体" w:cs="宋体" w:eastAsia="宋体" w:hint="default"/>
                      <w:spacing w:val="-79"/>
                      <w:w w:val="125"/>
                      <w:sz w:val="14"/>
                      <w:szCs w:val="14"/>
                    </w:rPr>
                  </w:r>
                  <w:r>
                    <w:rPr>
                      <w:rFonts w:ascii="宋体" w:hAnsi="宋体" w:cs="宋体" w:eastAsia="宋体" w:hint="default"/>
                      <w:w w:val="125"/>
                      <w:sz w:val="14"/>
                      <w:szCs w:val="14"/>
                    </w:rPr>
                    <w:t>华东二区</w:t>
                  </w:r>
                  <w:r>
                    <w:rPr>
                      <w:rFonts w:ascii="宋体" w:hAnsi="宋体" w:cs="宋体" w:eastAsia="宋体" w:hint="default"/>
                      <w:spacing w:val="-79"/>
                      <w:w w:val="125"/>
                      <w:sz w:val="14"/>
                      <w:szCs w:val="14"/>
                    </w:rPr>
                    <w:t> </w:t>
                  </w:r>
                  <w:r>
                    <w:rPr>
                      <w:rFonts w:ascii="宋体" w:hAnsi="宋体" w:cs="宋体" w:eastAsia="宋体" w:hint="default"/>
                      <w:spacing w:val="-79"/>
                      <w:w w:val="125"/>
                      <w:sz w:val="14"/>
                      <w:szCs w:val="14"/>
                    </w:rPr>
                  </w:r>
                  <w:r>
                    <w:rPr>
                      <w:rFonts w:ascii="宋体" w:hAnsi="宋体" w:cs="宋体" w:eastAsia="宋体" w:hint="default"/>
                      <w:w w:val="125"/>
                      <w:sz w:val="14"/>
                      <w:szCs w:val="14"/>
                    </w:rPr>
                    <w:t>华南地区</w:t>
                  </w:r>
                  <w:r>
                    <w:rPr>
                      <w:rFonts w:ascii="宋体" w:hAnsi="宋体" w:cs="宋体" w:eastAsia="宋体" w:hint="default"/>
                      <w:spacing w:val="-79"/>
                      <w:w w:val="125"/>
                      <w:sz w:val="14"/>
                      <w:szCs w:val="14"/>
                    </w:rPr>
                    <w:t> </w:t>
                  </w:r>
                  <w:r>
                    <w:rPr>
                      <w:rFonts w:ascii="宋体" w:hAnsi="宋体" w:cs="宋体" w:eastAsia="宋体" w:hint="default"/>
                      <w:spacing w:val="-79"/>
                      <w:w w:val="125"/>
                      <w:sz w:val="14"/>
                      <w:szCs w:val="14"/>
                    </w:rPr>
                  </w:r>
                  <w:r>
                    <w:rPr>
                      <w:rFonts w:ascii="宋体" w:hAnsi="宋体" w:cs="宋体" w:eastAsia="宋体" w:hint="default"/>
                      <w:w w:val="125"/>
                      <w:sz w:val="14"/>
                      <w:szCs w:val="14"/>
                    </w:rPr>
                    <w:t>华北地区</w:t>
                  </w:r>
                  <w:r>
                    <w:rPr>
                      <w:rFonts w:ascii="宋体" w:hAnsi="宋体" w:cs="宋体" w:eastAsia="宋体" w:hint="default"/>
                      <w:spacing w:val="-79"/>
                      <w:w w:val="125"/>
                      <w:sz w:val="14"/>
                      <w:szCs w:val="14"/>
                    </w:rPr>
                    <w:t> </w:t>
                  </w:r>
                  <w:r>
                    <w:rPr>
                      <w:rFonts w:ascii="宋体" w:hAnsi="宋体" w:cs="宋体" w:eastAsia="宋体" w:hint="default"/>
                      <w:spacing w:val="-79"/>
                      <w:w w:val="125"/>
                      <w:sz w:val="14"/>
                      <w:szCs w:val="14"/>
                    </w:rPr>
                  </w:r>
                  <w:r>
                    <w:rPr>
                      <w:rFonts w:ascii="宋体" w:hAnsi="宋体" w:cs="宋体" w:eastAsia="宋体" w:hint="default"/>
                      <w:w w:val="125"/>
                      <w:sz w:val="14"/>
                      <w:szCs w:val="14"/>
                    </w:rPr>
                    <w:t>西南地区</w:t>
                  </w:r>
                  <w:r>
                    <w:rPr>
                      <w:rFonts w:ascii="宋体" w:hAnsi="宋体" w:cs="宋体" w:eastAsia="宋体" w:hint="default"/>
                      <w:spacing w:val="-79"/>
                      <w:w w:val="125"/>
                      <w:sz w:val="14"/>
                      <w:szCs w:val="14"/>
                    </w:rPr>
                    <w:t> </w:t>
                  </w:r>
                  <w:r>
                    <w:rPr>
                      <w:rFonts w:ascii="宋体" w:hAnsi="宋体" w:cs="宋体" w:eastAsia="宋体" w:hint="default"/>
                      <w:spacing w:val="-79"/>
                      <w:w w:val="125"/>
                      <w:sz w:val="14"/>
                      <w:szCs w:val="14"/>
                    </w:rPr>
                  </w:r>
                  <w:r>
                    <w:rPr>
                      <w:rFonts w:ascii="宋体" w:hAnsi="宋体" w:cs="宋体" w:eastAsia="宋体" w:hint="default"/>
                      <w:w w:val="125"/>
                      <w:sz w:val="14"/>
                      <w:szCs w:val="14"/>
                    </w:rPr>
                    <w:t>东北地区</w:t>
                  </w:r>
                  <w:r>
                    <w:rPr>
                      <w:rFonts w:ascii="宋体" w:hAnsi="宋体" w:cs="宋体" w:eastAsia="宋体" w:hint="default"/>
                      <w:spacing w:val="-79"/>
                      <w:w w:val="125"/>
                      <w:sz w:val="14"/>
                      <w:szCs w:val="14"/>
                    </w:rPr>
                    <w:t> </w:t>
                  </w:r>
                  <w:r>
                    <w:rPr>
                      <w:rFonts w:ascii="宋体" w:hAnsi="宋体" w:cs="宋体" w:eastAsia="宋体" w:hint="default"/>
                      <w:spacing w:val="-79"/>
                      <w:w w:val="125"/>
                      <w:sz w:val="14"/>
                      <w:szCs w:val="14"/>
                    </w:rPr>
                  </w:r>
                  <w:r>
                    <w:rPr>
                      <w:rFonts w:ascii="宋体" w:hAnsi="宋体" w:cs="宋体" w:eastAsia="宋体" w:hint="default"/>
                      <w:w w:val="125"/>
                      <w:sz w:val="14"/>
                      <w:szCs w:val="14"/>
                    </w:rPr>
                    <w:t>华中地区</w:t>
                  </w:r>
                  <w:r>
                    <w:rPr>
                      <w:rFonts w:ascii="宋体" w:hAnsi="宋体" w:cs="宋体" w:eastAsia="宋体" w:hint="default"/>
                      <w:spacing w:val="-79"/>
                      <w:w w:val="125"/>
                      <w:sz w:val="14"/>
                      <w:szCs w:val="14"/>
                    </w:rPr>
                    <w:t> </w:t>
                  </w:r>
                  <w:r>
                    <w:rPr>
                      <w:rFonts w:ascii="宋体" w:hAnsi="宋体" w:cs="宋体" w:eastAsia="宋体" w:hint="default"/>
                      <w:spacing w:val="-79"/>
                      <w:w w:val="125"/>
                      <w:sz w:val="14"/>
                      <w:szCs w:val="14"/>
                    </w:rPr>
                  </w:r>
                  <w:r>
                    <w:rPr>
                      <w:rFonts w:ascii="宋体" w:hAnsi="宋体" w:cs="宋体" w:eastAsia="宋体" w:hint="default"/>
                      <w:w w:val="125"/>
                      <w:sz w:val="14"/>
                      <w:szCs w:val="14"/>
                    </w:rPr>
                    <w:t>西北地区</w:t>
                  </w:r>
                  <w:r>
                    <w:rPr>
                      <w:rFonts w:ascii="宋体" w:hAnsi="宋体" w:cs="宋体" w:eastAsia="宋体" w:hint="default"/>
                      <w:sz w:val="14"/>
                      <w:szCs w:val="14"/>
                    </w:rPr>
                  </w:r>
                </w:p>
              </w:txbxContent>
            </v:textbox>
            <w10:wrap type="none"/>
          </v:shape>
        </w:pict>
      </w:r>
      <w:r>
        <w:rPr>
          <w:rFonts w:ascii="宋体"/>
          <w:spacing w:val="5"/>
          <w:w w:val="125"/>
          <w:sz w:val="14"/>
        </w:rPr>
        <w:t>137</w:t>
      </w:r>
      <w:r>
        <w:rPr>
          <w:rFonts w:ascii="宋体"/>
          <w:sz w:val="14"/>
        </w:rPr>
      </w:r>
    </w:p>
    <w:p>
      <w:pPr>
        <w:spacing w:after="0"/>
        <w:jc w:val="left"/>
        <w:rPr>
          <w:rFonts w:ascii="宋体" w:hAnsi="宋体" w:cs="宋体" w:eastAsia="宋体" w:hint="default"/>
          <w:sz w:val="14"/>
          <w:szCs w:val="14"/>
        </w:rPr>
        <w:sectPr>
          <w:type w:val="continuous"/>
          <w:pgSz w:w="11910" w:h="16840"/>
          <w:pgMar w:top="1600" w:bottom="280" w:left="1500" w:right="1420"/>
          <w:cols w:num="2" w:equalWidth="0">
            <w:col w:w="3536" w:space="40"/>
            <w:col w:w="5414"/>
          </w:cols>
        </w:sectPr>
      </w:pPr>
    </w:p>
    <w:p>
      <w:pPr>
        <w:spacing w:line="240" w:lineRule="auto" w:before="8"/>
        <w:rPr>
          <w:rFonts w:ascii="宋体" w:hAnsi="宋体" w:cs="宋体" w:eastAsia="宋体" w:hint="default"/>
          <w:sz w:val="4"/>
          <w:szCs w:val="4"/>
        </w:rPr>
      </w:pPr>
    </w:p>
    <w:p>
      <w:pPr>
        <w:spacing w:line="91" w:lineRule="exact"/>
        <w:ind w:left="6550" w:right="0" w:firstLine="0"/>
        <w:rPr>
          <w:rFonts w:ascii="宋体" w:hAnsi="宋体" w:cs="宋体" w:eastAsia="宋体" w:hint="default"/>
          <w:sz w:val="9"/>
          <w:szCs w:val="9"/>
        </w:rPr>
      </w:pPr>
      <w:r>
        <w:rPr>
          <w:rFonts w:ascii="宋体" w:hAnsi="宋体" w:cs="宋体" w:eastAsia="宋体" w:hint="default"/>
          <w:position w:val="-1"/>
          <w:sz w:val="9"/>
          <w:szCs w:val="9"/>
        </w:rPr>
        <w:pict>
          <v:group style="width:8.8pt;height:4.6pt;mso-position-horizontal-relative:char;mso-position-vertical-relative:line" coordorigin="0,0" coordsize="176,92">
            <v:group style="position:absolute;left:40;top:46;width:96;height:2" coordorigin="40,46" coordsize="96,2">
              <v:shape style="position:absolute;left:40;top:46;width:96;height:2" coordorigin="40,46" coordsize="96,0" path="m40,46l136,46e" filled="false" stroked="true" strokeweight="3.959983pt" strokecolor="#ccffff">
                <v:path arrowok="t"/>
              </v:shape>
            </v:group>
            <v:group style="position:absolute;left:40;top:6;width:96;height:80" coordorigin="40,6" coordsize="96,80">
              <v:shape style="position:absolute;left:40;top:6;width:96;height:80" coordorigin="40,6" coordsize="96,80" path="m40,6l136,6,136,85,40,85,40,6xe" filled="false" stroked="true" strokeweight=".609347pt" strokecolor="#000000">
                <v:path arrowok="t"/>
              </v:shape>
            </v:group>
          </v:group>
        </w:pict>
      </w:r>
      <w:r>
        <w:rPr>
          <w:rFonts w:ascii="宋体" w:hAnsi="宋体" w:cs="宋体" w:eastAsia="宋体" w:hint="default"/>
          <w:position w:val="-1"/>
          <w:sz w:val="9"/>
          <w:szCs w:val="9"/>
        </w:rPr>
      </w:r>
    </w:p>
    <w:p>
      <w:pPr>
        <w:spacing w:line="240" w:lineRule="auto" w:before="6"/>
        <w:rPr>
          <w:rFonts w:ascii="宋体" w:hAnsi="宋体" w:cs="宋体" w:eastAsia="宋体" w:hint="default"/>
          <w:sz w:val="8"/>
          <w:szCs w:val="8"/>
        </w:rPr>
      </w:pPr>
    </w:p>
    <w:p>
      <w:pPr>
        <w:spacing w:line="90" w:lineRule="exact"/>
        <w:ind w:left="6551" w:right="0" w:firstLine="0"/>
        <w:rPr>
          <w:rFonts w:ascii="宋体" w:hAnsi="宋体" w:cs="宋体" w:eastAsia="宋体" w:hint="default"/>
          <w:sz w:val="9"/>
          <w:szCs w:val="9"/>
        </w:rPr>
      </w:pPr>
      <w:r>
        <w:rPr>
          <w:rFonts w:ascii="宋体" w:hAnsi="宋体" w:cs="宋体" w:eastAsia="宋体" w:hint="default"/>
          <w:position w:val="-1"/>
          <w:sz w:val="9"/>
          <w:szCs w:val="9"/>
        </w:rPr>
        <w:pict>
          <v:group style="width:8.7pt;height:4.55pt;mso-position-horizontal-relative:char;mso-position-vertical-relative:line" coordorigin="0,0" coordsize="174,91">
            <v:group style="position:absolute;left:39;top:45;width:96;height:2" coordorigin="39,45" coordsize="96,2">
              <v:shape style="position:absolute;left:39;top:45;width:96;height:2" coordorigin="39,45" coordsize="96,0" path="m39,45l135,45e" filled="false" stroked="true" strokeweight="3.899973pt" strokecolor="#650065">
                <v:path arrowok="t"/>
              </v:shape>
            </v:group>
            <v:group style="position:absolute;left:39;top:6;width:96;height:78" coordorigin="39,6" coordsize="96,78">
              <v:shape style="position:absolute;left:39;top:6;width:96;height:78" coordorigin="39,6" coordsize="96,78" path="m39,6l135,6,135,84,39,84,39,6xe" filled="false" stroked="true" strokeweight=".608441pt" strokecolor="#000000">
                <v:path arrowok="t"/>
              </v:shape>
            </v:group>
          </v:group>
        </w:pict>
      </w:r>
      <w:r>
        <w:rPr>
          <w:rFonts w:ascii="宋体" w:hAnsi="宋体" w:cs="宋体" w:eastAsia="宋体" w:hint="default"/>
          <w:position w:val="-1"/>
          <w:sz w:val="9"/>
          <w:szCs w:val="9"/>
        </w:rPr>
      </w:r>
    </w:p>
    <w:p>
      <w:pPr>
        <w:spacing w:after="0" w:line="90" w:lineRule="exact"/>
        <w:rPr>
          <w:rFonts w:ascii="宋体" w:hAnsi="宋体" w:cs="宋体" w:eastAsia="宋体" w:hint="default"/>
          <w:sz w:val="9"/>
          <w:szCs w:val="9"/>
        </w:rPr>
        <w:sectPr>
          <w:type w:val="continuous"/>
          <w:pgSz w:w="11910" w:h="16840"/>
          <w:pgMar w:top="1600" w:bottom="280" w:left="1500" w:right="1420"/>
        </w:sectPr>
      </w:pPr>
    </w:p>
    <w:p>
      <w:pPr>
        <w:spacing w:line="240" w:lineRule="auto" w:before="9"/>
        <w:rPr>
          <w:rFonts w:ascii="宋体" w:hAnsi="宋体" w:cs="宋体" w:eastAsia="宋体" w:hint="default"/>
          <w:sz w:val="19"/>
          <w:szCs w:val="19"/>
        </w:rPr>
      </w:pPr>
    </w:p>
    <w:p>
      <w:pPr>
        <w:spacing w:line="176" w:lineRule="exact" w:before="0"/>
        <w:ind w:left="2125" w:right="1831" w:firstLine="0"/>
        <w:jc w:val="center"/>
        <w:rPr>
          <w:rFonts w:ascii="宋体" w:hAnsi="宋体" w:cs="宋体" w:eastAsia="宋体" w:hint="default"/>
          <w:sz w:val="14"/>
          <w:szCs w:val="14"/>
        </w:rPr>
      </w:pPr>
      <w:r>
        <w:rPr/>
        <w:pict>
          <v:group style="position:absolute;margin-left:402.569946pt;margin-top:-7.315135pt;width:8.7pt;height:4.55pt;mso-position-horizontal-relative:page;mso-position-vertical-relative:paragraph;z-index:-578560" coordorigin="8051,-146" coordsize="174,91">
            <v:group style="position:absolute;left:8090;top:-101;width:96;height:2" coordorigin="8090,-101" coordsize="96,2">
              <v:shape style="position:absolute;left:8090;top:-101;width:96;height:2" coordorigin="8090,-101" coordsize="96,0" path="m8090,-101l8186,-101e" filled="false" stroked="true" strokeweight="3.899973pt" strokecolor="#ff8080">
                <v:path arrowok="t"/>
              </v:shape>
            </v:group>
            <v:group style="position:absolute;left:8090;top:-140;width:96;height:78" coordorigin="8090,-140" coordsize="96,78">
              <v:shape style="position:absolute;left:8090;top:-140;width:96;height:78" coordorigin="8090,-140" coordsize="96,78" path="m8090,-140l8186,-140,8186,-62,8090,-62,8090,-140xe" filled="false" stroked="true" strokeweight=".608441pt" strokecolor="#000000">
                <v:path arrowok="t"/>
              </v:shape>
            </v:group>
            <w10:wrap type="none"/>
          </v:group>
        </w:pict>
      </w:r>
      <w:r>
        <w:rPr>
          <w:rFonts w:ascii="宋体"/>
          <w:spacing w:val="5"/>
          <w:w w:val="125"/>
          <w:sz w:val="14"/>
        </w:rPr>
        <w:t>96</w:t>
      </w:r>
      <w:r>
        <w:rPr>
          <w:rFonts w:ascii="宋体"/>
          <w:sz w:val="14"/>
        </w:rPr>
      </w:r>
    </w:p>
    <w:p>
      <w:pPr>
        <w:spacing w:line="176" w:lineRule="exact" w:before="0"/>
        <w:ind w:left="0" w:right="0" w:firstLine="0"/>
        <w:jc w:val="right"/>
        <w:rPr>
          <w:rFonts w:ascii="宋体" w:hAnsi="宋体" w:cs="宋体" w:eastAsia="宋体" w:hint="default"/>
          <w:sz w:val="14"/>
          <w:szCs w:val="14"/>
        </w:rPr>
      </w:pPr>
      <w:r>
        <w:rPr>
          <w:rFonts w:ascii="宋体"/>
          <w:spacing w:val="3"/>
          <w:w w:val="125"/>
          <w:sz w:val="14"/>
        </w:rPr>
        <w:t>104</w:t>
      </w:r>
      <w:r>
        <w:rPr>
          <w:rFonts w:ascii="宋体"/>
          <w:spacing w:val="3"/>
          <w:sz w:val="14"/>
        </w:rPr>
      </w:r>
    </w:p>
    <w:p>
      <w:pPr>
        <w:spacing w:before="112"/>
        <w:ind w:left="1346" w:right="0" w:firstLine="0"/>
        <w:jc w:val="left"/>
        <w:rPr>
          <w:rFonts w:ascii="宋体" w:hAnsi="宋体" w:cs="宋体" w:eastAsia="宋体" w:hint="default"/>
          <w:sz w:val="14"/>
          <w:szCs w:val="14"/>
        </w:rPr>
      </w:pPr>
      <w:r>
        <w:rPr>
          <w:spacing w:val="3"/>
          <w:w w:val="125"/>
        </w:rPr>
        <w:br w:type="column"/>
      </w:r>
      <w:r>
        <w:rPr>
          <w:rFonts w:ascii="宋体"/>
          <w:spacing w:val="3"/>
          <w:w w:val="125"/>
          <w:sz w:val="14"/>
        </w:rPr>
        <w:t>118</w:t>
      </w:r>
      <w:r>
        <w:rPr>
          <w:rFonts w:ascii="宋体"/>
          <w:spacing w:val="3"/>
          <w:sz w:val="14"/>
        </w:rPr>
      </w:r>
    </w:p>
    <w:p>
      <w:pPr>
        <w:spacing w:after="0"/>
        <w:jc w:val="left"/>
        <w:rPr>
          <w:rFonts w:ascii="宋体" w:hAnsi="宋体" w:cs="宋体" w:eastAsia="宋体" w:hint="default"/>
          <w:sz w:val="14"/>
          <w:szCs w:val="14"/>
        </w:rPr>
        <w:sectPr>
          <w:type w:val="continuous"/>
          <w:pgSz w:w="11910" w:h="16840"/>
          <w:pgMar w:top="1600" w:bottom="280" w:left="1500" w:right="1420"/>
          <w:cols w:num="2" w:equalWidth="0">
            <w:col w:w="4182" w:space="40"/>
            <w:col w:w="4768"/>
          </w:cols>
        </w:sectPr>
      </w:pPr>
    </w:p>
    <w:p>
      <w:pPr>
        <w:tabs>
          <w:tab w:pos="4577" w:val="left" w:leader="none"/>
        </w:tabs>
        <w:spacing w:line="273" w:lineRule="auto" w:before="112"/>
        <w:ind w:left="807" w:right="115" w:hanging="422"/>
        <w:jc w:val="left"/>
        <w:rPr>
          <w:rFonts w:ascii="宋体" w:hAnsi="宋体" w:cs="宋体" w:eastAsia="宋体" w:hint="default"/>
          <w:sz w:val="21"/>
          <w:szCs w:val="21"/>
        </w:rPr>
      </w:pPr>
      <w:r>
        <w:rPr>
          <w:rFonts w:ascii="宋体" w:hAnsi="宋体" w:cs="宋体" w:eastAsia="宋体" w:hint="default"/>
          <w:sz w:val="21"/>
          <w:szCs w:val="21"/>
        </w:rPr>
        <w:t>注：华东一区包括江苏、安徽、山东；</w:t>
        <w:tab/>
        <w:t>华东二区包括上海、福建、浙江、江西； </w:t>
      </w:r>
      <w:r>
        <w:rPr>
          <w:rFonts w:ascii="宋体" w:hAnsi="宋体" w:cs="宋体" w:eastAsia="宋体" w:hint="default"/>
          <w:spacing w:val="-5"/>
          <w:sz w:val="21"/>
          <w:szCs w:val="21"/>
        </w:rPr>
        <w:t>华南地区包括广东、广西、海南；</w:t>
        <w:tab/>
      </w:r>
      <w:r>
        <w:rPr>
          <w:rFonts w:ascii="宋体" w:hAnsi="宋体" w:cs="宋体" w:eastAsia="宋体" w:hint="default"/>
          <w:spacing w:val="-6"/>
          <w:sz w:val="21"/>
          <w:szCs w:val="21"/>
        </w:rPr>
        <w:t>华北地区包括北京、天津、河北、山西、内蒙；</w:t>
      </w:r>
      <w:r>
        <w:rPr>
          <w:rFonts w:ascii="宋体" w:hAnsi="宋体" w:cs="宋体" w:eastAsia="宋体" w:hint="default"/>
          <w:sz w:val="21"/>
          <w:szCs w:val="21"/>
        </w:rPr>
        <w:t> 西南地区包括四川、重庆、云南、贵州；东北地区包括辽宁、黑龙江、吉林； </w:t>
      </w:r>
      <w:r>
        <w:rPr>
          <w:rFonts w:ascii="宋体" w:hAnsi="宋体" w:cs="宋体" w:eastAsia="宋体" w:hint="default"/>
          <w:spacing w:val="-1"/>
          <w:sz w:val="21"/>
          <w:szCs w:val="21"/>
        </w:rPr>
        <w:t>华中地区包括湖北、湖南、河南；</w:t>
        <w:tab/>
      </w:r>
      <w:r>
        <w:rPr>
          <w:rFonts w:ascii="宋体" w:hAnsi="宋体" w:cs="宋体" w:eastAsia="宋体" w:hint="default"/>
          <w:sz w:val="21"/>
          <w:szCs w:val="21"/>
        </w:rPr>
        <w:t>西北地区包括陕西、甘肃、青海、新疆；</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624" w:right="87"/>
        <w:jc w:val="left"/>
      </w:pPr>
      <w:r>
        <w:rPr/>
        <w:t>（</w:t>
      </w:r>
      <w:r>
        <w:rPr>
          <w:rFonts w:ascii="Times New Roman" w:hAnsi="Times New Roman" w:cs="Times New Roman" w:eastAsia="Times New Roman" w:hint="default"/>
        </w:rPr>
        <w:t>2</w:t>
      </w:r>
      <w:r>
        <w:rPr/>
        <w:t>）连锁店类型分布情况</w:t>
      </w:r>
    </w:p>
    <w:p>
      <w:pPr>
        <w:pStyle w:val="BodyText"/>
        <w:tabs>
          <w:tab w:pos="1043" w:val="left" w:leader="none"/>
        </w:tabs>
        <w:spacing w:line="316" w:lineRule="auto" w:before="120"/>
        <w:ind w:left="623" w:right="2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整体分布情况 </w:t>
      </w:r>
      <w:r>
        <w:rPr>
          <w:spacing w:val="-8"/>
        </w:rPr>
        <w:t>在稳步推进连锁网络规模的同时，公司继续贯彻执行“地区攻略”、“旗舰店攻</w:t>
      </w:r>
    </w:p>
    <w:p>
      <w:pPr>
        <w:pStyle w:val="BodyText"/>
        <w:spacing w:line="324" w:lineRule="auto" w:before="46"/>
        <w:ind w:right="220"/>
        <w:jc w:val="both"/>
      </w:pPr>
      <w:r>
        <w:rPr>
          <w:spacing w:val="-40"/>
        </w:rPr>
        <w:t>略”，</w:t>
      </w:r>
      <w:r>
        <w:rPr>
          <w:spacing w:val="7"/>
        </w:rPr>
        <w:t> </w:t>
      </w:r>
      <w:r>
        <w:rPr>
          <w:spacing w:val="-1"/>
        </w:rPr>
        <w:t>加强对重点地区、重点店面的培养；截至本报告期末，公司旗舰店数量占比</w:t>
      </w:r>
      <w:r>
        <w:rPr/>
        <w:t> 达到</w:t>
      </w:r>
      <w:r>
        <w:rPr>
          <w:spacing w:val="-66"/>
        </w:rPr>
        <w:t> </w:t>
      </w:r>
      <w:r>
        <w:rPr>
          <w:rFonts w:ascii="Times New Roman" w:hAnsi="Times New Roman" w:cs="Times New Roman" w:eastAsia="Times New Roman" w:hint="default"/>
        </w:rPr>
        <w:t>12.97%</w:t>
      </w:r>
      <w:r>
        <w:rPr/>
        <w:t>，较上年同期增长</w:t>
      </w:r>
      <w:r>
        <w:rPr>
          <w:spacing w:val="-66"/>
        </w:rPr>
        <w:t> </w:t>
      </w:r>
      <w:r>
        <w:rPr>
          <w:rFonts w:ascii="Times New Roman" w:hAnsi="Times New Roman" w:cs="Times New Roman" w:eastAsia="Times New Roman" w:hint="default"/>
        </w:rPr>
        <w:t>2.15</w:t>
      </w:r>
      <w:r>
        <w:rPr>
          <w:rFonts w:ascii="Times New Roman" w:hAnsi="Times New Roman" w:cs="Times New Roman" w:eastAsia="Times New Roman" w:hint="default"/>
          <w:spacing w:val="-6"/>
        </w:rPr>
        <w:t> </w:t>
      </w:r>
      <w:r>
        <w:rPr/>
        <w:t>个百分点；中心店数量占比达到</w:t>
      </w:r>
      <w:r>
        <w:rPr>
          <w:spacing w:val="-66"/>
        </w:rPr>
        <w:t> </w:t>
      </w:r>
      <w:r>
        <w:rPr>
          <w:rFonts w:ascii="Times New Roman" w:hAnsi="Times New Roman" w:cs="Times New Roman" w:eastAsia="Times New Roman" w:hint="default"/>
        </w:rPr>
        <w:t>28.96%</w:t>
      </w:r>
      <w:r>
        <w:rPr/>
        <w:t>，较上</w:t>
      </w:r>
      <w:r>
        <w:rPr>
          <w:spacing w:val="-1"/>
        </w:rPr>
        <w:t> </w:t>
      </w:r>
      <w:r>
        <w:rPr/>
        <w:t>年同期增长</w:t>
      </w:r>
      <w:r>
        <w:rPr>
          <w:spacing w:val="-60"/>
        </w:rPr>
        <w:t> </w:t>
      </w:r>
      <w:r>
        <w:rPr>
          <w:rFonts w:ascii="Times New Roman" w:hAnsi="Times New Roman" w:cs="Times New Roman" w:eastAsia="Times New Roman" w:hint="default"/>
        </w:rPr>
        <w:t>1.04 </w:t>
      </w:r>
      <w:r>
        <w:rPr/>
        <w:t>个百分点。</w:t>
      </w:r>
    </w:p>
    <w:p>
      <w:pPr>
        <w:tabs>
          <w:tab w:pos="7673" w:val="left" w:leader="none"/>
        </w:tabs>
        <w:spacing w:before="27"/>
        <w:ind w:left="623" w:right="87" w:firstLine="0"/>
        <w:jc w:val="left"/>
        <w:rPr>
          <w:rFonts w:ascii="宋体" w:hAnsi="宋体" w:cs="宋体" w:eastAsia="宋体" w:hint="default"/>
          <w:sz w:val="21"/>
          <w:szCs w:val="21"/>
        </w:rPr>
      </w:pPr>
      <w:r>
        <w:rPr>
          <w:rFonts w:ascii="宋体" w:hAnsi="宋体" w:cs="宋体" w:eastAsia="宋体" w:hint="default"/>
          <w:sz w:val="24"/>
          <w:szCs w:val="24"/>
        </w:rPr>
        <w:t>报告期末，公司连锁店按店面类型分布情况如下：</w:t>
        <w:tab/>
      </w:r>
      <w:r>
        <w:rPr>
          <w:rFonts w:ascii="宋体" w:hAnsi="宋体" w:cs="宋体" w:eastAsia="宋体" w:hint="default"/>
          <w:b/>
          <w:bCs/>
          <w:sz w:val="21"/>
          <w:szCs w:val="21"/>
        </w:rPr>
        <w:t>（单位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家）</w:t>
      </w:r>
      <w:r>
        <w:rPr>
          <w:rFonts w:ascii="宋体" w:hAnsi="宋体" w:cs="宋体" w:eastAsia="宋体" w:hint="default"/>
          <w:sz w:val="21"/>
          <w:szCs w:val="21"/>
        </w:rPr>
      </w:r>
    </w:p>
    <w:p>
      <w:pPr>
        <w:spacing w:line="240" w:lineRule="auto" w:before="12"/>
        <w:rPr>
          <w:rFonts w:ascii="宋体" w:hAnsi="宋体" w:cs="宋体" w:eastAsia="宋体" w:hint="default"/>
          <w:b/>
          <w:bCs/>
          <w:sz w:val="24"/>
          <w:szCs w:val="24"/>
        </w:rPr>
      </w:pPr>
    </w:p>
    <w:p>
      <w:pPr>
        <w:spacing w:before="53"/>
        <w:ind w:left="2285" w:right="2109" w:firstLine="0"/>
        <w:jc w:val="center"/>
        <w:rPr>
          <w:rFonts w:ascii="宋体" w:hAnsi="宋体" w:cs="宋体" w:eastAsia="宋体" w:hint="default"/>
          <w:sz w:val="15"/>
          <w:szCs w:val="15"/>
        </w:rPr>
      </w:pPr>
      <w:r>
        <w:rPr>
          <w:rFonts w:ascii="宋体" w:hAnsi="宋体" w:cs="宋体" w:eastAsia="宋体" w:hint="default"/>
          <w:sz w:val="15"/>
          <w:szCs w:val="15"/>
        </w:rPr>
        <w:t>店面类型分布表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53"/>
        <w:ind w:left="2053" w:right="87" w:firstLine="0"/>
        <w:jc w:val="left"/>
        <w:rPr>
          <w:rFonts w:ascii="宋体" w:hAnsi="宋体" w:cs="宋体" w:eastAsia="宋体" w:hint="default"/>
          <w:sz w:val="15"/>
          <w:szCs w:val="15"/>
        </w:rPr>
      </w:pPr>
      <w:r>
        <w:rPr/>
        <w:pict>
          <v:group style="position:absolute;margin-left:195.019501pt;margin-top:-8.310785pt;width:206pt;height:172.25pt;mso-position-horizontal-relative:page;mso-position-vertical-relative:paragraph;z-index:1432" coordorigin="3900,-166" coordsize="4120,3445">
            <v:group style="position:absolute;left:3907;top:2945;width:4113;height:327" coordorigin="3907,2945" coordsize="4113,327">
              <v:shape style="position:absolute;left:3907;top:2945;width:4113;height:327" coordorigin="3907,2945" coordsize="4113,327" path="m8020,2945l4330,2945,3907,3271,7597,3271,8020,2945xe" filled="true" fillcolor="#7f7f7f" stroked="false">
                <v:path arrowok="t"/>
                <v:fill type="solid"/>
              </v:shape>
            </v:group>
            <v:group style="position:absolute;left:3907;top:-159;width:423;height:3431" coordorigin="3907,-159" coordsize="423,3431">
              <v:shape style="position:absolute;left:3907;top:-159;width:423;height:3431" coordorigin="3907,-159" coordsize="423,3431" path="m4330,-159l3907,167,3907,3271,4330,2945,4330,-159xe" filled="true" fillcolor="#c0c0c0" stroked="false">
                <v:path arrowok="t"/>
                <v:fill type="solid"/>
              </v:shape>
            </v:group>
            <v:group style="position:absolute;left:3907;top:2945;width:423;height:327" coordorigin="3907,2945" coordsize="423,327">
              <v:shape style="position:absolute;left:3907;top:2945;width:423;height:327" coordorigin="3907,2945" coordsize="423,327" path="m3907,3271l4330,2945e" filled="false" stroked="true" strokeweight=".06pt" strokecolor="#000000">
                <v:path arrowok="t"/>
              </v:shape>
            </v:group>
            <v:group style="position:absolute;left:3907;top:2632;width:423;height:327" coordorigin="3907,2632" coordsize="423,327">
              <v:shape style="position:absolute;left:3907;top:2632;width:423;height:327" coordorigin="3907,2632" coordsize="423,327" path="m3907,2958l4330,2632e" filled="false" stroked="true" strokeweight=".06pt" strokecolor="#000000">
                <v:path arrowok="t"/>
              </v:shape>
            </v:group>
            <v:group style="position:absolute;left:3907;top:2332;width:423;height:314" coordorigin="3907,2332" coordsize="423,314">
              <v:shape style="position:absolute;left:3907;top:2332;width:423;height:314" coordorigin="3907,2332" coordsize="423,314" path="m3907,2645l4330,2332e" filled="false" stroked="true" strokeweight=".06pt" strokecolor="#000000">
                <v:path arrowok="t"/>
              </v:shape>
            </v:group>
            <v:group style="position:absolute;left:3907;top:2019;width:423;height:314" coordorigin="3907,2019" coordsize="423,314">
              <v:shape style="position:absolute;left:3907;top:2019;width:423;height:314" coordorigin="3907,2019" coordsize="423,314" path="m3907,2332l4330,2019e" filled="false" stroked="true" strokeweight=".06pt" strokecolor="#000000">
                <v:path arrowok="t"/>
              </v:shape>
            </v:group>
            <v:group style="position:absolute;left:3907;top:1705;width:423;height:314" coordorigin="3907,1705" coordsize="423,314">
              <v:shape style="position:absolute;left:3907;top:1705;width:423;height:314" coordorigin="3907,1705" coordsize="423,314" path="m3907,2019l4330,1705e" filled="false" stroked="true" strokeweight=".06pt" strokecolor="#000000">
                <v:path arrowok="t"/>
              </v:shape>
            </v:group>
            <v:group style="position:absolute;left:3907;top:1392;width:423;height:328" coordorigin="3907,1392" coordsize="423,328">
              <v:shape style="position:absolute;left:3907;top:1392;width:423;height:328" coordorigin="3907,1392" coordsize="423,328" path="m3907,1720l4330,1392e" filled="false" stroked="true" strokeweight=".06pt" strokecolor="#000000">
                <v:path arrowok="t"/>
              </v:shape>
            </v:group>
            <v:group style="position:absolute;left:3907;top:1093;width:423;height:314" coordorigin="3907,1093" coordsize="423,314">
              <v:shape style="position:absolute;left:3907;top:1093;width:423;height:314" coordorigin="3907,1093" coordsize="423,314" path="m3907,1407l4330,1093e" filled="false" stroked="true" strokeweight=".06pt" strokecolor="#000000">
                <v:path arrowok="t"/>
              </v:shape>
            </v:group>
            <v:group style="position:absolute;left:3907;top:780;width:423;height:314" coordorigin="3907,780" coordsize="423,314">
              <v:shape style="position:absolute;left:3907;top:780;width:423;height:314" coordorigin="3907,780" coordsize="423,314" path="m3907,1093l4330,780e" filled="false" stroked="true" strokeweight=".06pt" strokecolor="#000000">
                <v:path arrowok="t"/>
              </v:shape>
            </v:group>
            <v:group style="position:absolute;left:3907;top:467;width:423;height:314" coordorigin="3907,467" coordsize="423,314">
              <v:shape style="position:absolute;left:3907;top:467;width:423;height:314" coordorigin="3907,467" coordsize="423,314" path="m3907,780l4330,467e" filled="false" stroked="true" strokeweight=".06pt" strokecolor="#000000">
                <v:path arrowok="t"/>
              </v:shape>
            </v:group>
            <v:group style="position:absolute;left:3907;top:154;width:423;height:327" coordorigin="3907,154" coordsize="423,327">
              <v:shape style="position:absolute;left:3907;top:154;width:423;height:327" coordorigin="3907,154" coordsize="423,327" path="m3907,480l4330,154e" filled="false" stroked="true" strokeweight=".06pt" strokecolor="#000000">
                <v:path arrowok="t"/>
              </v:shape>
            </v:group>
            <v:group style="position:absolute;left:3907;top:-159;width:423;height:327" coordorigin="3907,-159" coordsize="423,327">
              <v:shape style="position:absolute;left:3907;top:-159;width:423;height:327" coordorigin="3907,-159" coordsize="423,327" path="m3907,167l4330,-159e" filled="false" stroked="true" strokeweight=".06pt" strokecolor="#000000">
                <v:path arrowok="t"/>
              </v:shape>
            </v:group>
            <v:group style="position:absolute;left:3907;top:2945;width:4113;height:327" coordorigin="3907,2945" coordsize="4113,327">
              <v:shape style="position:absolute;left:3907;top:2945;width:4113;height:327" coordorigin="3907,2945" coordsize="4113,327" path="m8020,2945l7597,3271,3907,3271,4330,2945,8020,2945xe" filled="false" stroked="true" strokeweight=".06pt" strokecolor="#000000">
                <v:path arrowok="t"/>
              </v:shape>
            </v:group>
            <v:group style="position:absolute;left:3907;top:-159;width:423;height:3431" coordorigin="3907,-159" coordsize="423,3431">
              <v:shape style="position:absolute;left:3907;top:-159;width:423;height:3431" coordorigin="3907,-159" coordsize="423,3431" path="m3907,3271l3907,167,4330,-159,4330,2945,3907,3271xe" filled="false" stroked="true" strokeweight=".681pt" strokecolor="#7f7f7f">
                <v:path arrowok="t"/>
              </v:shape>
            </v:group>
            <v:group style="position:absolute;left:4901;top:2700;width:165;height:477" coordorigin="4901,2700" coordsize="165,477">
              <v:shape style="position:absolute;left:4901;top:2700;width:165;height:477" coordorigin="4901,2700" coordsize="165,477" path="m5065,2700l4901,2823,4901,3177,5065,3040,5065,2700xe" filled="true" fillcolor="#4d4d80" stroked="false">
                <v:path arrowok="t"/>
                <v:fill type="solid"/>
              </v:shape>
            </v:group>
            <v:group style="position:absolute;left:4901;top:2700;width:165;height:477" coordorigin="4901,2700" coordsize="165,477">
              <v:shape style="position:absolute;left:4901;top:2700;width:165;height:477" coordorigin="4901,2700" coordsize="165,477" path="m4901,3177l4901,2823,5065,2700,5065,3040,4901,3177xe" filled="false" stroked="true" strokeweight=".681pt" strokecolor="#000000">
                <v:path arrowok="t"/>
              </v:shape>
            </v:group>
            <v:group style="position:absolute;left:4901;top:1896;width:165;height:927" coordorigin="4901,1896" coordsize="165,927">
              <v:shape style="position:absolute;left:4901;top:1896;width:165;height:927" coordorigin="4901,1896" coordsize="165,927" path="m5065,1896l4901,2019,4901,2823,5065,2700,5065,1896xe" filled="true" fillcolor="#4d1a33" stroked="false">
                <v:path arrowok="t"/>
                <v:fill type="solid"/>
              </v:shape>
            </v:group>
            <v:group style="position:absolute;left:4901;top:1896;width:165;height:927" coordorigin="4901,1896" coordsize="165,927">
              <v:shape style="position:absolute;left:4901;top:1896;width:165;height:927" coordorigin="4901,1896" coordsize="165,927" path="m4901,2823l4901,2019,5065,1896,5065,2700,4901,2823xe" filled="false" stroked="true" strokeweight=".681pt" strokecolor="#000000">
                <v:path arrowok="t"/>
              </v:shape>
            </v:group>
            <v:group style="position:absolute;left:4901;top:-65;width:165;height:2084" coordorigin="4901,-65" coordsize="165,2084">
              <v:shape style="position:absolute;left:4901;top:-65;width:165;height:2084" coordorigin="4901,-65" coordsize="165,2084" path="m5065,-65l4901,72,4901,2019,5065,1896,5065,-65xe" filled="true" fillcolor="#808065" stroked="false">
                <v:path arrowok="t"/>
                <v:fill type="solid"/>
              </v:shape>
            </v:group>
            <v:group style="position:absolute;left:4901;top:-65;width:165;height:2084" coordorigin="4901,-65" coordsize="165,2084">
              <v:shape style="position:absolute;left:4901;top:-65;width:165;height:2084" coordorigin="4901,-65" coordsize="165,2084" path="m4901,2019l4901,72,5065,-65,5065,1896,4901,2019xe" filled="false" stroked="true" strokeweight=".681pt" strokecolor="#000000">
                <v:path arrowok="t"/>
              </v:shape>
            </v:group>
            <v:group style="position:absolute;left:4398;top:-65;width:668;height:137" coordorigin="4398,-65" coordsize="668,137">
              <v:shape style="position:absolute;left:4398;top:-65;width:668;height:137" coordorigin="4398,-65" coordsize="668,137" path="m5065,-65l4574,-65,4398,72,4901,72,5065,-65xe" filled="true" fillcolor="#bfbf9a" stroked="false">
                <v:path arrowok="t"/>
                <v:fill type="solid"/>
              </v:shape>
            </v:group>
            <v:group style="position:absolute;left:4398;top:-65;width:668;height:137" coordorigin="4398,-65" coordsize="668,137">
              <v:shape style="position:absolute;left:4398;top:-65;width:668;height:137" coordorigin="4398,-65" coordsize="668,137" path="m4901,72l5065,-65,4574,-65,4398,72,4901,72xe" filled="false" stroked="true" strokeweight=".681pt" strokecolor="#000000">
                <v:path arrowok="t"/>
              </v:shape>
            </v:group>
            <v:group style="position:absolute;left:6127;top:2713;width:164;height:464" coordorigin="6127,2713" coordsize="164,464">
              <v:shape style="position:absolute;left:6127;top:2713;width:164;height:464" coordorigin="6127,2713" coordsize="164,464" path="m6290,2713l6127,2836,6127,3177,6290,3040,6290,2713xe" filled="true" fillcolor="#4d4d80" stroked="false">
                <v:path arrowok="t"/>
                <v:fill type="solid"/>
              </v:shape>
            </v:group>
            <v:group style="position:absolute;left:6127;top:2713;width:164;height:464" coordorigin="6127,2713" coordsize="164,464">
              <v:shape style="position:absolute;left:6127;top:2713;width:164;height:464" coordorigin="6127,2713" coordsize="164,464" path="m6127,3177l6127,2836,6290,2713,6290,3040,6127,3177xe" filled="false" stroked="true" strokeweight=".681pt" strokecolor="#000000">
                <v:path arrowok="t"/>
              </v:shape>
            </v:group>
            <v:group style="position:absolute;left:6127;top:1842;width:164;height:994" coordorigin="6127,1842" coordsize="164,994">
              <v:shape style="position:absolute;left:6127;top:1842;width:164;height:994" coordorigin="6127,1842" coordsize="164,994" path="m6290,1842l6127,1965,6127,2836,6290,2713,6290,1842xe" filled="true" fillcolor="#4d1a33" stroked="false">
                <v:path arrowok="t"/>
                <v:fill type="solid"/>
              </v:shape>
            </v:group>
            <v:group style="position:absolute;left:6127;top:1842;width:164;height:994" coordorigin="6127,1842" coordsize="164,994">
              <v:shape style="position:absolute;left:6127;top:1842;width:164;height:994" coordorigin="6127,1842" coordsize="164,994" path="m6127,2836l6127,1965,6290,1842,6290,2713,6127,2836xe" filled="false" stroked="true" strokeweight=".681pt" strokecolor="#000000">
                <v:path arrowok="t"/>
              </v:shape>
            </v:group>
            <v:group style="position:absolute;left:6127;top:-65;width:164;height:2030" coordorigin="6127,-65" coordsize="164,2030">
              <v:shape style="position:absolute;left:6127;top:-65;width:164;height:2030" coordorigin="6127,-65" coordsize="164,2030" path="m6290,-65l6127,72,6127,1965,6290,1842,6290,-65xe" filled="true" fillcolor="#808065" stroked="false">
                <v:path arrowok="t"/>
                <v:fill type="solid"/>
              </v:shape>
            </v:group>
            <v:group style="position:absolute;left:6127;top:-65;width:164;height:2030" coordorigin="6127,-65" coordsize="164,2030">
              <v:shape style="position:absolute;left:6127;top:-65;width:164;height:2030" coordorigin="6127,-65" coordsize="164,2030" path="m6127,1965l6127,72,6290,-65,6290,1842,6127,1965xe" filled="false" stroked="true" strokeweight=".681pt" strokecolor="#000000">
                <v:path arrowok="t"/>
              </v:shape>
            </v:group>
            <v:group style="position:absolute;left:5636;top:-65;width:654;height:137" coordorigin="5636,-65" coordsize="654,137">
              <v:shape style="position:absolute;left:5636;top:-65;width:654;height:137" coordorigin="5636,-65" coordsize="654,137" path="m6290,-65l5800,-65,5636,72,6127,72,6290,-65xe" filled="true" fillcolor="#bfbf9a" stroked="false">
                <v:path arrowok="t"/>
                <v:fill type="solid"/>
              </v:shape>
            </v:group>
            <v:group style="position:absolute;left:5636;top:-65;width:654;height:137" coordorigin="5636,-65" coordsize="654,137">
              <v:shape style="position:absolute;left:5636;top:-65;width:654;height:137" coordorigin="5636,-65" coordsize="654,137" path="m6127,72l6290,-65,5800,-65,5636,72,6127,72xe" filled="false" stroked="true" strokeweight=".681pt" strokecolor="#000000">
                <v:path arrowok="t"/>
              </v:shape>
            </v:group>
            <v:group style="position:absolute;left:7352;top:2645;width:178;height:532" coordorigin="7352,2645" coordsize="178,532">
              <v:shape style="position:absolute;left:7352;top:2645;width:178;height:532" coordorigin="7352,2645" coordsize="178,532" path="m7530,2645l7352,2767,7352,3177,7530,3040,7530,2645xe" filled="true" fillcolor="#4d4d80" stroked="false">
                <v:path arrowok="t"/>
                <v:fill type="solid"/>
              </v:shape>
            </v:group>
            <v:group style="position:absolute;left:7352;top:2645;width:178;height:532" coordorigin="7352,2645" coordsize="178,532">
              <v:shape style="position:absolute;left:7352;top:2645;width:178;height:532" coordorigin="7352,2645" coordsize="178,532" path="m7352,3177l7352,2767,7530,2645,7530,3040,7352,3177xe" filled="false" stroked="true" strokeweight=".681pt" strokecolor="#000000">
                <v:path arrowok="t"/>
              </v:shape>
            </v:group>
            <v:group style="position:absolute;left:7352;top:1746;width:178;height:1022" coordorigin="7352,1746" coordsize="178,1022">
              <v:shape style="position:absolute;left:7352;top:1746;width:178;height:1022" coordorigin="7352,1746" coordsize="178,1022" path="m7530,1746l7352,1869,7352,2767,7530,2645,7530,1746xe" filled="true" fillcolor="#4d1a33" stroked="false">
                <v:path arrowok="t"/>
                <v:fill type="solid"/>
              </v:shape>
            </v:group>
            <v:group style="position:absolute;left:7352;top:1746;width:178;height:1022" coordorigin="7352,1746" coordsize="178,1022">
              <v:shape style="position:absolute;left:7352;top:1746;width:178;height:1022" coordorigin="7352,1746" coordsize="178,1022" path="m7352,2767l7352,1869,7530,1746,7530,2645,7352,2767xe" filled="false" stroked="true" strokeweight=".681pt" strokecolor="#000000">
                <v:path arrowok="t"/>
              </v:shape>
            </v:group>
            <v:group style="position:absolute;left:7352;top:-65;width:178;height:1934" coordorigin="7352,-65" coordsize="178,1934">
              <v:shape style="position:absolute;left:7352;top:-65;width:178;height:1934" coordorigin="7352,-65" coordsize="178,1934" path="m7530,-65l7352,72,7352,1869,7530,1746,7530,-65xe" filled="true" fillcolor="#808065" stroked="false">
                <v:path arrowok="t"/>
                <v:fill type="solid"/>
              </v:shape>
            </v:group>
            <v:group style="position:absolute;left:7352;top:-65;width:178;height:1934" coordorigin="7352,-65" coordsize="178,1934">
              <v:shape style="position:absolute;left:7352;top:-65;width:178;height:1934" coordorigin="7352,-65" coordsize="178,1934" path="m7352,1869l7352,72,7530,-65,7530,1746,7352,1869xe" filled="false" stroked="true" strokeweight=".681pt" strokecolor="#000000">
                <v:path arrowok="t"/>
              </v:shape>
            </v:group>
            <v:group style="position:absolute;left:6863;top:-65;width:668;height:137" coordorigin="6863,-65" coordsize="668,137">
              <v:shape style="position:absolute;left:6863;top:-65;width:668;height:137" coordorigin="6863,-65" coordsize="668,137" path="m7530,-65l7026,-65,6863,72,7352,72,7530,-65xe" filled="true" fillcolor="#bfbf9a" stroked="false">
                <v:path arrowok="t"/>
                <v:fill type="solid"/>
              </v:shape>
            </v:group>
            <v:group style="position:absolute;left:6863;top:-65;width:668;height:137" coordorigin="6863,-65" coordsize="668,137">
              <v:shape style="position:absolute;left:6863;top:-65;width:668;height:137" coordorigin="6863,-65" coordsize="668,137" path="m7352,72l7530,-65,7026,-65,6863,72,7352,72xe" filled="false" stroked="true" strokeweight=".681pt" strokecolor="#000000">
                <v:path arrowok="t"/>
              </v:shape>
            </v:group>
            <v:group style="position:absolute;left:3907;top:167;width:2;height:3105" coordorigin="3907,167" coordsize="2,3105">
              <v:shape style="position:absolute;left:3907;top:167;width:2;height:3105" coordorigin="3907,167" coordsize="0,3105" path="m3907,3271l3907,167e" filled="false" stroked="true" strokeweight=".06pt" strokecolor="#000000">
                <v:path arrowok="t"/>
              </v:shape>
            </v:group>
            <v:group style="position:absolute;left:3907;top:3271;width:54;height:2" coordorigin="3907,3271" coordsize="54,2">
              <v:shape style="position:absolute;left:3907;top:3271;width:54;height:2" coordorigin="3907,3271" coordsize="54,0" path="m3961,3271l3907,3271e" filled="false" stroked="true" strokeweight=".06pt" strokecolor="#000000">
                <v:path arrowok="t"/>
              </v:shape>
            </v:group>
            <v:group style="position:absolute;left:3907;top:2958;width:54;height:2" coordorigin="3907,2958" coordsize="54,2">
              <v:shape style="position:absolute;left:3907;top:2958;width:54;height:2" coordorigin="3907,2958" coordsize="54,0" path="m3961,2958l3907,2958e" filled="false" stroked="true" strokeweight=".06pt" strokecolor="#000000">
                <v:path arrowok="t"/>
              </v:shape>
            </v:group>
            <v:group style="position:absolute;left:3907;top:2645;width:54;height:2" coordorigin="3907,2645" coordsize="54,2">
              <v:shape style="position:absolute;left:3907;top:2645;width:54;height:2" coordorigin="3907,2645" coordsize="54,0" path="m3961,2645l3907,2645e" filled="false" stroked="true" strokeweight=".06pt" strokecolor="#000000">
                <v:path arrowok="t"/>
              </v:shape>
            </v:group>
            <v:group style="position:absolute;left:3907;top:2332;width:54;height:2" coordorigin="3907,2332" coordsize="54,2">
              <v:shape style="position:absolute;left:3907;top:2332;width:54;height:2" coordorigin="3907,2332" coordsize="54,0" path="m3961,2332l3907,2332e" filled="false" stroked="true" strokeweight=".06pt" strokecolor="#000000">
                <v:path arrowok="t"/>
              </v:shape>
            </v:group>
            <v:group style="position:absolute;left:3907;top:2019;width:54;height:2" coordorigin="3907,2019" coordsize="54,2">
              <v:shape style="position:absolute;left:3907;top:2019;width:54;height:2" coordorigin="3907,2019" coordsize="54,0" path="m3961,2019l3907,2019e" filled="false" stroked="true" strokeweight=".06pt" strokecolor="#000000">
                <v:path arrowok="t"/>
              </v:shape>
            </v:group>
            <v:group style="position:absolute;left:3907;top:1720;width:54;height:2" coordorigin="3907,1720" coordsize="54,2">
              <v:shape style="position:absolute;left:3907;top:1720;width:54;height:2" coordorigin="3907,1720" coordsize="54,0" path="m3961,1720l3907,1720e" filled="false" stroked="true" strokeweight=".06pt" strokecolor="#000000">
                <v:path arrowok="t"/>
              </v:shape>
            </v:group>
            <v:group style="position:absolute;left:3907;top:1407;width:54;height:2" coordorigin="3907,1407" coordsize="54,2">
              <v:shape style="position:absolute;left:3907;top:1407;width:54;height:2" coordorigin="3907,1407" coordsize="54,0" path="m3961,1407l3907,1407e" filled="false" stroked="true" strokeweight=".06pt" strokecolor="#000000">
                <v:path arrowok="t"/>
              </v:shape>
            </v:group>
            <v:group style="position:absolute;left:3907;top:1093;width:54;height:2" coordorigin="3907,1093" coordsize="54,2">
              <v:shape style="position:absolute;left:3907;top:1093;width:54;height:2" coordorigin="3907,1093" coordsize="54,0" path="m3961,1093l3907,1093e" filled="false" stroked="true" strokeweight=".06pt" strokecolor="#000000">
                <v:path arrowok="t"/>
              </v:shape>
            </v:group>
            <v:group style="position:absolute;left:3907;top:780;width:54;height:2" coordorigin="3907,780" coordsize="54,2">
              <v:shape style="position:absolute;left:3907;top:780;width:54;height:2" coordorigin="3907,780" coordsize="54,0" path="m3961,780l3907,780e" filled="false" stroked="true" strokeweight=".06pt" strokecolor="#000000">
                <v:path arrowok="t"/>
              </v:shape>
            </v:group>
            <v:group style="position:absolute;left:3907;top:480;width:54;height:2" coordorigin="3907,480" coordsize="54,2">
              <v:shape style="position:absolute;left:3907;top:480;width:54;height:2" coordorigin="3907,480" coordsize="54,0" path="m3961,480l3907,480e" filled="false" stroked="true" strokeweight=".06pt" strokecolor="#000000">
                <v:path arrowok="t"/>
              </v:shape>
            </v:group>
            <v:group style="position:absolute;left:3907;top:167;width:54;height:2" coordorigin="3907,167" coordsize="54,2">
              <v:shape style="position:absolute;left:3907;top:167;width:54;height:2" coordorigin="3907,167" coordsize="54,0" path="m3961,167l3907,167e" filled="false" stroked="true" strokeweight=".06pt" strokecolor="#000000">
                <v:path arrowok="t"/>
              </v:shape>
            </v:group>
            <v:group style="position:absolute;left:3907;top:3271;width:3690;height:2" coordorigin="3907,3271" coordsize="3690,2">
              <v:shape style="position:absolute;left:3907;top:3271;width:3690;height:2" coordorigin="3907,3271" coordsize="3690,0" path="m3907,3271l7597,3271e" filled="false" stroked="true" strokeweight=".06pt" strokecolor="#000000">
                <v:path arrowok="t"/>
              </v:shape>
            </v:group>
            <v:group style="position:absolute;left:3907;top:3217;width:2;height:54" coordorigin="3907,3217" coordsize="2,54">
              <v:shape style="position:absolute;left:3907;top:3217;width:2;height:54" coordorigin="3907,3217" coordsize="0,54" path="m3907,3217l3907,3271e" filled="false" stroked="true" strokeweight=".06pt" strokecolor="#000000">
                <v:path arrowok="t"/>
              </v:shape>
            </v:group>
            <v:group style="position:absolute;left:5132;top:3217;width:2;height:54" coordorigin="5132,3217" coordsize="2,54">
              <v:shape style="position:absolute;left:5132;top:3217;width:2;height:54" coordorigin="5132,3217" coordsize="0,54" path="m5132,3217l5132,3271e" filled="false" stroked="true" strokeweight=".06pt" strokecolor="#000000">
                <v:path arrowok="t"/>
              </v:shape>
            </v:group>
            <v:group style="position:absolute;left:6372;top:3217;width:2;height:54" coordorigin="6372,3217" coordsize="2,54">
              <v:shape style="position:absolute;left:6372;top:3217;width:2;height:54" coordorigin="6372,3217" coordsize="0,54" path="m6372,3217l6372,3271e" filled="false" stroked="true" strokeweight=".06pt" strokecolor="#000000">
                <v:path arrowok="t"/>
              </v:shape>
            </v:group>
            <v:group style="position:absolute;left:7597;top:3217;width:2;height:54" coordorigin="7597,3217" coordsize="2,54">
              <v:shape style="position:absolute;left:7597;top:3217;width:2;height:54" coordorigin="7597,3217" coordsize="0,54" path="m7597,3217l7597,3271e" filled="false" stroked="true" strokeweight=".06pt" strokecolor="#000000">
                <v:path arrowok="t"/>
              </v:shape>
            </v:group>
            <w10:wrap type="none"/>
          </v:group>
        </w:pict>
      </w:r>
      <w:r>
        <w:rPr/>
        <w:pict>
          <v:group style="position:absolute;margin-left:409.859985pt;margin-top:72.029213pt;width:8.2pt;height:4.8pt;mso-position-horizontal-relative:page;mso-position-vertical-relative:paragraph;z-index:-578416" coordorigin="8197,1441" coordsize="164,96">
            <v:group style="position:absolute;left:8238;top:1488;width:82;height:2" coordorigin="8238,1488" coordsize="82,2">
              <v:shape style="position:absolute;left:8238;top:1488;width:82;height:2" coordorigin="8238,1488" coordsize="82,0" path="m8238,1488l8320,1488e" filled="false" stroked="true" strokeweight="4.08pt" strokecolor="#ffffcc">
                <v:path arrowok="t"/>
              </v:shape>
            </v:group>
            <v:group style="position:absolute;left:8238;top:1447;width:82;height:82" coordorigin="8238,1447" coordsize="82,82">
              <v:shape style="position:absolute;left:8238;top:1447;width:82;height:82" coordorigin="8238,1447" coordsize="82,82" path="m8238,1447l8320,1447,8320,1529,8238,1529,8238,1447xe" filled="false" stroked="true" strokeweight=".681pt" strokecolor="#000000">
                <v:path arrowok="t"/>
              </v:shape>
            </v:group>
            <w10:wrap type="none"/>
          </v:group>
        </w:pict>
      </w:r>
      <w:r>
        <w:rPr/>
        <w:pict>
          <v:group style="position:absolute;margin-left:409.859985pt;margin-top:82.889214pt;width:8.2pt;height:4.8pt;mso-position-horizontal-relative:page;mso-position-vertical-relative:paragraph;z-index:-578392" coordorigin="8197,1658" coordsize="164,96">
            <v:group style="position:absolute;left:8238;top:1705;width:82;height:2" coordorigin="8238,1705" coordsize="82,2">
              <v:shape style="position:absolute;left:8238;top:1705;width:82;height:2" coordorigin="8238,1705" coordsize="82,0" path="m8238,1705l8320,1705e" filled="false" stroked="true" strokeweight="4.08pt" strokecolor="#9a3365">
                <v:path arrowok="t"/>
              </v:shape>
            </v:group>
            <v:group style="position:absolute;left:8238;top:1665;width:82;height:82" coordorigin="8238,1665" coordsize="82,82">
              <v:shape style="position:absolute;left:8238;top:1665;width:82;height:82" coordorigin="8238,1665" coordsize="82,82" path="m8238,1665l8320,1665,8320,1746,8238,1746,8238,1665xe" filled="false" stroked="true" strokeweight=".681pt" strokecolor="#000000">
                <v:path arrowok="t"/>
              </v:shape>
            </v:group>
            <w10:wrap type="none"/>
          </v:group>
        </w:pict>
      </w:r>
      <w:r>
        <w:rPr/>
        <w:pict>
          <v:shape style="position:absolute;margin-left:216.139496pt;margin-top:-8.310785pt;width:185.55pt;height:167.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7"/>
                    <w:gridCol w:w="736"/>
                    <w:gridCol w:w="491"/>
                    <w:gridCol w:w="736"/>
                    <w:gridCol w:w="490"/>
                    <w:gridCol w:w="667"/>
                  </w:tblGrid>
                  <w:tr>
                    <w:trPr>
                      <w:trHeight w:val="252" w:hRule="exact"/>
                    </w:trPr>
                    <w:tc>
                      <w:tcPr>
                        <w:tcW w:w="3656" w:type="dxa"/>
                        <w:gridSpan w:val="6"/>
                        <w:tcBorders>
                          <w:top w:val="single" w:sz="5" w:space="0" w:color="7F7F7F"/>
                          <w:left w:val="single" w:sz="5" w:space="0" w:color="7F7F7F"/>
                          <w:bottom w:val="single" w:sz="36" w:space="0" w:color="000000"/>
                          <w:right w:val="single" w:sz="5" w:space="0" w:color="7F7F7F"/>
                        </w:tcBorders>
                        <w:shd w:val="clear" w:color="auto" w:fill="C0C0C0"/>
                      </w:tcPr>
                      <w:p>
                        <w:pPr/>
                      </w:p>
                    </w:tc>
                  </w:tr>
                  <w:tr>
                    <w:trPr>
                      <w:trHeight w:val="374" w:hRule="exact"/>
                    </w:trPr>
                    <w:tc>
                      <w:tcPr>
                        <w:tcW w:w="537" w:type="dxa"/>
                        <w:vMerge w:val="restart"/>
                        <w:tcBorders>
                          <w:top w:val="single" w:sz="5" w:space="0" w:color="000000"/>
                          <w:left w:val="single" w:sz="33" w:space="0" w:color="000000"/>
                          <w:right w:val="single" w:sz="5" w:space="0" w:color="000000"/>
                        </w:tcBorders>
                        <w:shd w:val="clear" w:color="auto" w:fill="FFFFC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left="115" w:right="0"/>
                          <w:jc w:val="left"/>
                          <w:rPr>
                            <w:rFonts w:ascii="宋体" w:hAnsi="宋体" w:cs="宋体" w:eastAsia="宋体" w:hint="default"/>
                            <w:sz w:val="15"/>
                            <w:szCs w:val="15"/>
                          </w:rPr>
                        </w:pPr>
                        <w:r>
                          <w:rPr>
                            <w:rFonts w:ascii="宋体"/>
                            <w:spacing w:val="6"/>
                            <w:sz w:val="15"/>
                          </w:rPr>
                          <w:t>141</w:t>
                        </w:r>
                        <w:r>
                          <w:rPr>
                            <w:rFonts w:ascii="宋体"/>
                            <w:sz w:val="15"/>
                          </w:rPr>
                        </w: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1" w:type="dxa"/>
                        <w:vMerge w:val="restart"/>
                        <w:tcBorders>
                          <w:top w:val="single" w:sz="5" w:space="0" w:color="000000"/>
                          <w:left w:val="single" w:sz="5" w:space="0" w:color="000000"/>
                          <w:right w:val="single" w:sz="5" w:space="0" w:color="000000"/>
                        </w:tcBorders>
                        <w:shd w:val="clear" w:color="auto" w:fill="FFFFC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spacing w:val="6"/>
                            <w:sz w:val="15"/>
                          </w:rPr>
                          <w:t>215</w:t>
                        </w:r>
                        <w:r>
                          <w:rPr>
                            <w:rFonts w:ascii="宋体"/>
                            <w:sz w:val="15"/>
                          </w:rPr>
                        </w: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0" w:type="dxa"/>
                        <w:vMerge w:val="restart"/>
                        <w:tcBorders>
                          <w:top w:val="single" w:sz="5" w:space="0" w:color="000000"/>
                          <w:left w:val="single" w:sz="5" w:space="0" w:color="000000"/>
                          <w:right w:val="single" w:sz="5" w:space="0" w:color="000000"/>
                        </w:tcBorders>
                        <w:shd w:val="clear" w:color="auto" w:fill="FFFFC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spacing w:val="6"/>
                            <w:sz w:val="15"/>
                          </w:rPr>
                          <w:t>367</w:t>
                        </w:r>
                        <w:r>
                          <w:rPr>
                            <w:rFonts w:ascii="宋体"/>
                            <w:sz w:val="15"/>
                          </w:rPr>
                        </w:r>
                      </w:p>
                    </w:tc>
                    <w:tc>
                      <w:tcPr>
                        <w:tcW w:w="667" w:type="dxa"/>
                        <w:tcBorders>
                          <w:top w:val="single" w:sz="0" w:space="0" w:color="000000"/>
                          <w:left w:val="single" w:sz="5" w:space="0" w:color="000000"/>
                          <w:bottom w:val="single" w:sz="0" w:space="0" w:color="000000"/>
                          <w:right w:val="single" w:sz="5" w:space="0" w:color="7F7F7F"/>
                        </w:tcBorders>
                        <w:shd w:val="clear" w:color="auto" w:fill="C0C0C0"/>
                      </w:tcPr>
                      <w:p>
                        <w:pPr/>
                      </w:p>
                    </w:tc>
                  </w:tr>
                  <w:tr>
                    <w:trPr>
                      <w:trHeight w:val="313" w:hRule="exact"/>
                    </w:trPr>
                    <w:tc>
                      <w:tcPr>
                        <w:tcW w:w="537" w:type="dxa"/>
                        <w:vMerge/>
                        <w:tcBorders>
                          <w:left w:val="single" w:sz="33" w:space="0" w:color="000000"/>
                          <w:right w:val="single" w:sz="5" w:space="0" w:color="000000"/>
                        </w:tcBorders>
                        <w:shd w:val="clear" w:color="auto" w:fill="FFFFCC"/>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1" w:type="dxa"/>
                        <w:vMerge/>
                        <w:tcBorders>
                          <w:left w:val="single" w:sz="5" w:space="0" w:color="000000"/>
                          <w:right w:val="single" w:sz="5" w:space="0" w:color="000000"/>
                        </w:tcBorders>
                        <w:shd w:val="clear" w:color="auto" w:fill="FFFFCC"/>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0" w:type="dxa"/>
                        <w:vMerge/>
                        <w:tcBorders>
                          <w:left w:val="single" w:sz="5" w:space="0" w:color="000000"/>
                          <w:right w:val="single" w:sz="5" w:space="0" w:color="000000"/>
                        </w:tcBorders>
                        <w:shd w:val="clear" w:color="auto" w:fill="FFFFCC"/>
                      </w:tcPr>
                      <w:p>
                        <w:pPr/>
                      </w:p>
                    </w:tc>
                    <w:tc>
                      <w:tcPr>
                        <w:tcW w:w="667" w:type="dxa"/>
                        <w:tcBorders>
                          <w:top w:val="single" w:sz="0" w:space="0" w:color="000000"/>
                          <w:left w:val="single" w:sz="5" w:space="0" w:color="000000"/>
                          <w:bottom w:val="single" w:sz="0" w:space="0" w:color="000000"/>
                          <w:right w:val="single" w:sz="5" w:space="0" w:color="7F7F7F"/>
                        </w:tcBorders>
                        <w:shd w:val="clear" w:color="auto" w:fill="C0C0C0"/>
                      </w:tcPr>
                      <w:p>
                        <w:pPr/>
                      </w:p>
                    </w:tc>
                  </w:tr>
                  <w:tr>
                    <w:trPr>
                      <w:trHeight w:val="313" w:hRule="exact"/>
                    </w:trPr>
                    <w:tc>
                      <w:tcPr>
                        <w:tcW w:w="537" w:type="dxa"/>
                        <w:vMerge/>
                        <w:tcBorders>
                          <w:left w:val="single" w:sz="33" w:space="0" w:color="000000"/>
                          <w:right w:val="single" w:sz="5" w:space="0" w:color="000000"/>
                        </w:tcBorders>
                        <w:shd w:val="clear" w:color="auto" w:fill="FFFFCC"/>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1" w:type="dxa"/>
                        <w:vMerge/>
                        <w:tcBorders>
                          <w:left w:val="single" w:sz="5" w:space="0" w:color="000000"/>
                          <w:right w:val="single" w:sz="5" w:space="0" w:color="000000"/>
                        </w:tcBorders>
                        <w:shd w:val="clear" w:color="auto" w:fill="FFFFCC"/>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0" w:type="dxa"/>
                        <w:vMerge/>
                        <w:tcBorders>
                          <w:left w:val="single" w:sz="5" w:space="0" w:color="000000"/>
                          <w:right w:val="single" w:sz="5" w:space="0" w:color="000000"/>
                        </w:tcBorders>
                        <w:shd w:val="clear" w:color="auto" w:fill="FFFFCC"/>
                      </w:tcPr>
                      <w:p>
                        <w:pPr/>
                      </w:p>
                    </w:tc>
                    <w:tc>
                      <w:tcPr>
                        <w:tcW w:w="667" w:type="dxa"/>
                        <w:tcBorders>
                          <w:top w:val="single" w:sz="0" w:space="0" w:color="000000"/>
                          <w:left w:val="single" w:sz="5" w:space="0" w:color="000000"/>
                          <w:bottom w:val="single" w:sz="0" w:space="0" w:color="000000"/>
                          <w:right w:val="single" w:sz="5" w:space="0" w:color="7F7F7F"/>
                        </w:tcBorders>
                        <w:shd w:val="clear" w:color="auto" w:fill="C0C0C0"/>
                      </w:tcPr>
                      <w:p>
                        <w:pPr/>
                      </w:p>
                    </w:tc>
                  </w:tr>
                  <w:tr>
                    <w:trPr>
                      <w:trHeight w:val="299" w:hRule="exact"/>
                    </w:trPr>
                    <w:tc>
                      <w:tcPr>
                        <w:tcW w:w="537" w:type="dxa"/>
                        <w:vMerge/>
                        <w:tcBorders>
                          <w:left w:val="single" w:sz="33" w:space="0" w:color="000000"/>
                          <w:right w:val="single" w:sz="5" w:space="0" w:color="000000"/>
                        </w:tcBorders>
                        <w:shd w:val="clear" w:color="auto" w:fill="FFFFCC"/>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1" w:type="dxa"/>
                        <w:vMerge/>
                        <w:tcBorders>
                          <w:left w:val="single" w:sz="5" w:space="0" w:color="000000"/>
                          <w:right w:val="single" w:sz="5" w:space="0" w:color="000000"/>
                        </w:tcBorders>
                        <w:shd w:val="clear" w:color="auto" w:fill="FFFFCC"/>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0" w:type="dxa"/>
                        <w:vMerge/>
                        <w:tcBorders>
                          <w:left w:val="single" w:sz="5" w:space="0" w:color="000000"/>
                          <w:right w:val="single" w:sz="5" w:space="0" w:color="000000"/>
                        </w:tcBorders>
                        <w:shd w:val="clear" w:color="auto" w:fill="FFFFCC"/>
                      </w:tcPr>
                      <w:p>
                        <w:pPr/>
                      </w:p>
                    </w:tc>
                    <w:tc>
                      <w:tcPr>
                        <w:tcW w:w="667" w:type="dxa"/>
                        <w:tcBorders>
                          <w:top w:val="single" w:sz="0" w:space="0" w:color="000000"/>
                          <w:left w:val="single" w:sz="5" w:space="0" w:color="000000"/>
                          <w:bottom w:val="single" w:sz="0" w:space="0" w:color="000000"/>
                          <w:right w:val="single" w:sz="5" w:space="0" w:color="7F7F7F"/>
                        </w:tcBorders>
                        <w:shd w:val="clear" w:color="auto" w:fill="C0C0C0"/>
                      </w:tcPr>
                      <w:p>
                        <w:pPr/>
                      </w:p>
                    </w:tc>
                  </w:tr>
                  <w:tr>
                    <w:trPr>
                      <w:trHeight w:val="313" w:hRule="exact"/>
                    </w:trPr>
                    <w:tc>
                      <w:tcPr>
                        <w:tcW w:w="537" w:type="dxa"/>
                        <w:vMerge/>
                        <w:tcBorders>
                          <w:left w:val="single" w:sz="33" w:space="0" w:color="000000"/>
                          <w:right w:val="single" w:sz="5" w:space="0" w:color="000000"/>
                        </w:tcBorders>
                        <w:shd w:val="clear" w:color="auto" w:fill="FFFFCC"/>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1" w:type="dxa"/>
                        <w:vMerge/>
                        <w:tcBorders>
                          <w:left w:val="single" w:sz="5" w:space="0" w:color="000000"/>
                          <w:right w:val="single" w:sz="5" w:space="0" w:color="000000"/>
                        </w:tcBorders>
                        <w:shd w:val="clear" w:color="auto" w:fill="FFFFCC"/>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0" w:type="dxa"/>
                        <w:vMerge/>
                        <w:tcBorders>
                          <w:left w:val="single" w:sz="5" w:space="0" w:color="000000"/>
                          <w:right w:val="single" w:sz="5" w:space="0" w:color="000000"/>
                        </w:tcBorders>
                        <w:shd w:val="clear" w:color="auto" w:fill="FFFFCC"/>
                      </w:tcPr>
                      <w:p>
                        <w:pPr/>
                      </w:p>
                    </w:tc>
                    <w:tc>
                      <w:tcPr>
                        <w:tcW w:w="667" w:type="dxa"/>
                        <w:tcBorders>
                          <w:top w:val="single" w:sz="0" w:space="0" w:color="000000"/>
                          <w:left w:val="single" w:sz="5" w:space="0" w:color="000000"/>
                          <w:bottom w:val="single" w:sz="0" w:space="0" w:color="000000"/>
                          <w:right w:val="single" w:sz="5" w:space="0" w:color="7F7F7F"/>
                        </w:tcBorders>
                        <w:shd w:val="clear" w:color="auto" w:fill="C0C0C0"/>
                      </w:tcPr>
                      <w:p>
                        <w:pPr/>
                      </w:p>
                    </w:tc>
                  </w:tr>
                  <w:tr>
                    <w:trPr>
                      <w:trHeight w:val="163" w:hRule="exact"/>
                    </w:trPr>
                    <w:tc>
                      <w:tcPr>
                        <w:tcW w:w="537" w:type="dxa"/>
                        <w:vMerge/>
                        <w:tcBorders>
                          <w:left w:val="single" w:sz="33" w:space="0" w:color="000000"/>
                          <w:right w:val="single" w:sz="5" w:space="0" w:color="000000"/>
                        </w:tcBorders>
                        <w:shd w:val="clear" w:color="auto" w:fill="FFFFCC"/>
                      </w:tcPr>
                      <w:p>
                        <w:pPr/>
                      </w:p>
                    </w:tc>
                    <w:tc>
                      <w:tcPr>
                        <w:tcW w:w="736" w:type="dxa"/>
                        <w:vMerge w:val="restart"/>
                        <w:tcBorders>
                          <w:top w:val="single" w:sz="0" w:space="0" w:color="000000"/>
                          <w:left w:val="single" w:sz="5" w:space="0" w:color="000000"/>
                          <w:right w:val="single" w:sz="5" w:space="0" w:color="000000"/>
                        </w:tcBorders>
                        <w:shd w:val="clear" w:color="auto" w:fill="C0C0C0"/>
                      </w:tcPr>
                      <w:p>
                        <w:pPr/>
                      </w:p>
                    </w:tc>
                    <w:tc>
                      <w:tcPr>
                        <w:tcW w:w="491" w:type="dxa"/>
                        <w:vMerge/>
                        <w:tcBorders>
                          <w:left w:val="single" w:sz="5" w:space="0" w:color="000000"/>
                          <w:right w:val="single" w:sz="5" w:space="0" w:color="000000"/>
                        </w:tcBorders>
                        <w:shd w:val="clear" w:color="auto" w:fill="FFFFCC"/>
                      </w:tcPr>
                      <w:p>
                        <w:pPr/>
                      </w:p>
                    </w:tc>
                    <w:tc>
                      <w:tcPr>
                        <w:tcW w:w="736" w:type="dxa"/>
                        <w:vMerge w:val="restart"/>
                        <w:tcBorders>
                          <w:top w:val="single" w:sz="0" w:space="0" w:color="000000"/>
                          <w:left w:val="single" w:sz="5" w:space="0" w:color="000000"/>
                          <w:right w:val="nil" w:sz="6" w:space="0" w:color="auto"/>
                        </w:tcBorders>
                        <w:shd w:val="clear" w:color="auto" w:fill="C0C0C0"/>
                      </w:tcPr>
                      <w:p>
                        <w:pPr/>
                      </w:p>
                    </w:tc>
                    <w:tc>
                      <w:tcPr>
                        <w:tcW w:w="490" w:type="dxa"/>
                        <w:vMerge/>
                        <w:tcBorders>
                          <w:left w:val="single" w:sz="5" w:space="0" w:color="000000"/>
                          <w:bottom w:val="single" w:sz="5" w:space="0" w:color="000000"/>
                          <w:right w:val="single" w:sz="5" w:space="0" w:color="000000"/>
                        </w:tcBorders>
                        <w:shd w:val="clear" w:color="auto" w:fill="FFFFCC"/>
                      </w:tcPr>
                      <w:p>
                        <w:pPr/>
                      </w:p>
                    </w:tc>
                    <w:tc>
                      <w:tcPr>
                        <w:tcW w:w="667" w:type="dxa"/>
                        <w:vMerge w:val="restart"/>
                        <w:tcBorders>
                          <w:top w:val="single" w:sz="0" w:space="0" w:color="000000"/>
                          <w:left w:val="nil" w:sz="6" w:space="0" w:color="auto"/>
                          <w:right w:val="single" w:sz="5" w:space="0" w:color="7F7F7F"/>
                        </w:tcBorders>
                        <w:shd w:val="clear" w:color="auto" w:fill="C0C0C0"/>
                      </w:tcPr>
                      <w:p>
                        <w:pPr/>
                      </w:p>
                    </w:tc>
                  </w:tr>
                  <w:tr>
                    <w:trPr>
                      <w:trHeight w:val="150" w:hRule="exact"/>
                    </w:trPr>
                    <w:tc>
                      <w:tcPr>
                        <w:tcW w:w="537" w:type="dxa"/>
                        <w:vMerge/>
                        <w:tcBorders>
                          <w:left w:val="single" w:sz="33" w:space="0" w:color="000000"/>
                          <w:bottom w:val="single" w:sz="5" w:space="0" w:color="000000"/>
                          <w:right w:val="single" w:sz="5" w:space="0" w:color="000000"/>
                        </w:tcBorders>
                        <w:shd w:val="clear" w:color="auto" w:fill="FFFFCC"/>
                      </w:tcPr>
                      <w:p>
                        <w:pPr/>
                      </w:p>
                    </w:tc>
                    <w:tc>
                      <w:tcPr>
                        <w:tcW w:w="736" w:type="dxa"/>
                        <w:vMerge/>
                        <w:tcBorders>
                          <w:left w:val="single" w:sz="5" w:space="0" w:color="000000"/>
                          <w:bottom w:val="single" w:sz="0" w:space="0" w:color="000000"/>
                          <w:right w:val="single" w:sz="5" w:space="0" w:color="000000"/>
                        </w:tcBorders>
                        <w:shd w:val="clear" w:color="auto" w:fill="C0C0C0"/>
                      </w:tcPr>
                      <w:p>
                        <w:pPr/>
                      </w:p>
                    </w:tc>
                    <w:tc>
                      <w:tcPr>
                        <w:tcW w:w="491" w:type="dxa"/>
                        <w:vMerge/>
                        <w:tcBorders>
                          <w:left w:val="single" w:sz="5" w:space="0" w:color="000000"/>
                          <w:bottom w:val="single" w:sz="5" w:space="0" w:color="000000"/>
                          <w:right w:val="single" w:sz="5" w:space="0" w:color="000000"/>
                        </w:tcBorders>
                        <w:shd w:val="clear" w:color="auto" w:fill="FFFFCC"/>
                      </w:tcPr>
                      <w:p>
                        <w:pPr/>
                      </w:p>
                    </w:tc>
                    <w:tc>
                      <w:tcPr>
                        <w:tcW w:w="736" w:type="dxa"/>
                        <w:vMerge/>
                        <w:tcBorders>
                          <w:left w:val="single" w:sz="5" w:space="0" w:color="000000"/>
                          <w:bottom w:val="single" w:sz="0" w:space="0" w:color="000000"/>
                          <w:right w:val="nil" w:sz="6" w:space="0" w:color="auto"/>
                        </w:tcBorders>
                        <w:shd w:val="clear" w:color="auto" w:fill="C0C0C0"/>
                      </w:tcPr>
                      <w:p>
                        <w:pPr/>
                      </w:p>
                    </w:tc>
                    <w:tc>
                      <w:tcPr>
                        <w:tcW w:w="490" w:type="dxa"/>
                        <w:vMerge w:val="restart"/>
                        <w:tcBorders>
                          <w:top w:val="single" w:sz="5" w:space="0" w:color="000000"/>
                          <w:left w:val="single" w:sz="5" w:space="0" w:color="000000"/>
                          <w:right w:val="single" w:sz="5" w:space="0" w:color="000000"/>
                        </w:tcBorders>
                        <w:shd w:val="clear" w:color="auto" w:fill="9A3365"/>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2" w:right="0"/>
                          <w:jc w:val="left"/>
                          <w:rPr>
                            <w:rFonts w:ascii="宋体" w:hAnsi="宋体" w:cs="宋体" w:eastAsia="宋体" w:hint="default"/>
                            <w:sz w:val="15"/>
                            <w:szCs w:val="15"/>
                          </w:rPr>
                        </w:pPr>
                        <w:r>
                          <w:rPr>
                            <w:rFonts w:ascii="宋体"/>
                            <w:spacing w:val="6"/>
                            <w:sz w:val="15"/>
                          </w:rPr>
                          <w:t>183</w:t>
                        </w:r>
                        <w:r>
                          <w:rPr>
                            <w:rFonts w:ascii="宋体"/>
                            <w:sz w:val="15"/>
                          </w:rPr>
                        </w:r>
                      </w:p>
                    </w:tc>
                    <w:tc>
                      <w:tcPr>
                        <w:tcW w:w="667" w:type="dxa"/>
                        <w:vMerge/>
                        <w:tcBorders>
                          <w:left w:val="nil" w:sz="6" w:space="0" w:color="auto"/>
                          <w:bottom w:val="single" w:sz="0" w:space="0" w:color="000000"/>
                          <w:right w:val="single" w:sz="5" w:space="0" w:color="7F7F7F"/>
                        </w:tcBorders>
                        <w:shd w:val="clear" w:color="auto" w:fill="C0C0C0"/>
                      </w:tcPr>
                      <w:p>
                        <w:pPr/>
                      </w:p>
                    </w:tc>
                  </w:tr>
                  <w:tr>
                    <w:trPr>
                      <w:trHeight w:val="313" w:hRule="exact"/>
                    </w:trPr>
                    <w:tc>
                      <w:tcPr>
                        <w:tcW w:w="537" w:type="dxa"/>
                        <w:vMerge w:val="restart"/>
                        <w:tcBorders>
                          <w:top w:val="single" w:sz="5" w:space="0" w:color="000000"/>
                          <w:left w:val="single" w:sz="33" w:space="0" w:color="000000"/>
                          <w:right w:val="single" w:sz="5" w:space="0" w:color="000000"/>
                        </w:tcBorders>
                        <w:shd w:val="clear" w:color="auto" w:fill="9A3365"/>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6" w:right="0"/>
                          <w:jc w:val="left"/>
                          <w:rPr>
                            <w:rFonts w:ascii="宋体" w:hAnsi="宋体" w:cs="宋体" w:eastAsia="宋体" w:hint="default"/>
                            <w:sz w:val="15"/>
                            <w:szCs w:val="15"/>
                          </w:rPr>
                        </w:pPr>
                        <w:r>
                          <w:rPr>
                            <w:rFonts w:ascii="宋体"/>
                            <w:spacing w:val="6"/>
                            <w:sz w:val="15"/>
                          </w:rPr>
                          <w:t>58</w:t>
                        </w:r>
                        <w:r>
                          <w:rPr>
                            <w:rFonts w:ascii="宋体"/>
                            <w:sz w:val="15"/>
                          </w:rPr>
                        </w: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1" w:type="dxa"/>
                        <w:vMerge w:val="restart"/>
                        <w:tcBorders>
                          <w:top w:val="single" w:sz="5" w:space="0" w:color="000000"/>
                          <w:left w:val="single" w:sz="5" w:space="0" w:color="000000"/>
                          <w:right w:val="single" w:sz="5" w:space="0" w:color="000000"/>
                        </w:tcBorders>
                        <w:shd w:val="clear" w:color="auto" w:fill="9A3365"/>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15"/>
                            <w:szCs w:val="15"/>
                          </w:rPr>
                        </w:pPr>
                        <w:r>
                          <w:rPr>
                            <w:rFonts w:ascii="宋体"/>
                            <w:spacing w:val="6"/>
                            <w:sz w:val="15"/>
                          </w:rPr>
                          <w:t>98</w:t>
                        </w:r>
                        <w:r>
                          <w:rPr>
                            <w:rFonts w:ascii="宋体"/>
                            <w:sz w:val="15"/>
                          </w:rPr>
                        </w: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0" w:type="dxa"/>
                        <w:vMerge/>
                        <w:tcBorders>
                          <w:left w:val="single" w:sz="5" w:space="0" w:color="000000"/>
                          <w:right w:val="single" w:sz="5" w:space="0" w:color="000000"/>
                        </w:tcBorders>
                        <w:shd w:val="clear" w:color="auto" w:fill="9A3365"/>
                      </w:tcPr>
                      <w:p>
                        <w:pPr/>
                      </w:p>
                    </w:tc>
                    <w:tc>
                      <w:tcPr>
                        <w:tcW w:w="667" w:type="dxa"/>
                        <w:tcBorders>
                          <w:top w:val="single" w:sz="0" w:space="0" w:color="000000"/>
                          <w:left w:val="single" w:sz="5" w:space="0" w:color="000000"/>
                          <w:bottom w:val="single" w:sz="0" w:space="0" w:color="000000"/>
                          <w:right w:val="single" w:sz="5" w:space="0" w:color="7F7F7F"/>
                        </w:tcBorders>
                        <w:shd w:val="clear" w:color="auto" w:fill="C0C0C0"/>
                      </w:tcPr>
                      <w:p>
                        <w:pPr/>
                      </w:p>
                    </w:tc>
                  </w:tr>
                  <w:tr>
                    <w:trPr>
                      <w:trHeight w:val="300" w:hRule="exact"/>
                    </w:trPr>
                    <w:tc>
                      <w:tcPr>
                        <w:tcW w:w="537" w:type="dxa"/>
                        <w:vMerge/>
                        <w:tcBorders>
                          <w:left w:val="single" w:sz="33" w:space="0" w:color="000000"/>
                          <w:right w:val="single" w:sz="5" w:space="0" w:color="000000"/>
                        </w:tcBorders>
                        <w:shd w:val="clear" w:color="auto" w:fill="9A3365"/>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1" w:type="dxa"/>
                        <w:vMerge/>
                        <w:tcBorders>
                          <w:left w:val="single" w:sz="5" w:space="0" w:color="000000"/>
                          <w:right w:val="single" w:sz="5" w:space="0" w:color="000000"/>
                        </w:tcBorders>
                        <w:shd w:val="clear" w:color="auto" w:fill="9A3365"/>
                      </w:tcPr>
                      <w:p>
                        <w:pPr/>
                      </w:p>
                    </w:tc>
                    <w:tc>
                      <w:tcPr>
                        <w:tcW w:w="736" w:type="dxa"/>
                        <w:tcBorders>
                          <w:top w:val="single" w:sz="0" w:space="0" w:color="000000"/>
                          <w:left w:val="single" w:sz="5" w:space="0" w:color="000000"/>
                          <w:bottom w:val="single" w:sz="0" w:space="0" w:color="000000"/>
                          <w:right w:val="single" w:sz="5" w:space="0" w:color="000000"/>
                        </w:tcBorders>
                        <w:shd w:val="clear" w:color="auto" w:fill="C0C0C0"/>
                      </w:tcPr>
                      <w:p>
                        <w:pPr/>
                      </w:p>
                    </w:tc>
                    <w:tc>
                      <w:tcPr>
                        <w:tcW w:w="490" w:type="dxa"/>
                        <w:vMerge/>
                        <w:tcBorders>
                          <w:left w:val="single" w:sz="5" w:space="0" w:color="000000"/>
                          <w:right w:val="single" w:sz="5" w:space="0" w:color="000000"/>
                        </w:tcBorders>
                        <w:shd w:val="clear" w:color="auto" w:fill="9A3365"/>
                      </w:tcPr>
                      <w:p>
                        <w:pPr/>
                      </w:p>
                    </w:tc>
                    <w:tc>
                      <w:tcPr>
                        <w:tcW w:w="667" w:type="dxa"/>
                        <w:tcBorders>
                          <w:top w:val="single" w:sz="0" w:space="0" w:color="000000"/>
                          <w:left w:val="single" w:sz="5" w:space="0" w:color="000000"/>
                          <w:bottom w:val="single" w:sz="0" w:space="0" w:color="000000"/>
                          <w:right w:val="single" w:sz="5" w:space="0" w:color="7F7F7F"/>
                        </w:tcBorders>
                        <w:shd w:val="clear" w:color="auto" w:fill="C0C0C0"/>
                      </w:tcPr>
                      <w:p>
                        <w:pPr/>
                      </w:p>
                    </w:tc>
                  </w:tr>
                  <w:tr>
                    <w:trPr>
                      <w:trHeight w:val="163" w:hRule="exact"/>
                    </w:trPr>
                    <w:tc>
                      <w:tcPr>
                        <w:tcW w:w="537" w:type="dxa"/>
                        <w:vMerge/>
                        <w:tcBorders>
                          <w:left w:val="single" w:sz="33" w:space="0" w:color="000000"/>
                          <w:bottom w:val="single" w:sz="5" w:space="0" w:color="000000"/>
                          <w:right w:val="single" w:sz="5" w:space="0" w:color="000000"/>
                        </w:tcBorders>
                        <w:shd w:val="clear" w:color="auto" w:fill="9A3365"/>
                      </w:tcPr>
                      <w:p>
                        <w:pPr/>
                      </w:p>
                    </w:tc>
                    <w:tc>
                      <w:tcPr>
                        <w:tcW w:w="736" w:type="dxa"/>
                        <w:vMerge w:val="restart"/>
                        <w:tcBorders>
                          <w:top w:val="single" w:sz="0" w:space="0" w:color="000000"/>
                          <w:left w:val="single" w:sz="5" w:space="0" w:color="000000"/>
                          <w:right w:val="single" w:sz="5" w:space="0" w:color="000000"/>
                        </w:tcBorders>
                        <w:shd w:val="clear" w:color="auto" w:fill="C0C0C0"/>
                      </w:tcPr>
                      <w:p>
                        <w:pPr/>
                      </w:p>
                    </w:tc>
                    <w:tc>
                      <w:tcPr>
                        <w:tcW w:w="491" w:type="dxa"/>
                        <w:vMerge/>
                        <w:tcBorders>
                          <w:left w:val="single" w:sz="5" w:space="0" w:color="000000"/>
                          <w:bottom w:val="single" w:sz="5" w:space="0" w:color="000000"/>
                          <w:right w:val="single" w:sz="5" w:space="0" w:color="000000"/>
                        </w:tcBorders>
                        <w:shd w:val="clear" w:color="auto" w:fill="9A3365"/>
                      </w:tcPr>
                      <w:p>
                        <w:pPr/>
                      </w:p>
                    </w:tc>
                    <w:tc>
                      <w:tcPr>
                        <w:tcW w:w="736" w:type="dxa"/>
                        <w:vMerge w:val="restart"/>
                        <w:tcBorders>
                          <w:top w:val="single" w:sz="0" w:space="0" w:color="000000"/>
                          <w:left w:val="single" w:sz="5" w:space="0" w:color="000000"/>
                          <w:right w:val="single" w:sz="5" w:space="0" w:color="000000"/>
                        </w:tcBorders>
                        <w:shd w:val="clear" w:color="auto" w:fill="C0C0C0"/>
                      </w:tcPr>
                      <w:p>
                        <w:pPr/>
                      </w:p>
                    </w:tc>
                    <w:tc>
                      <w:tcPr>
                        <w:tcW w:w="490" w:type="dxa"/>
                        <w:vMerge/>
                        <w:tcBorders>
                          <w:left w:val="single" w:sz="5" w:space="0" w:color="000000"/>
                          <w:bottom w:val="single" w:sz="5" w:space="0" w:color="000000"/>
                          <w:right w:val="single" w:sz="5" w:space="0" w:color="000000"/>
                        </w:tcBorders>
                        <w:shd w:val="clear" w:color="auto" w:fill="9A3365"/>
                      </w:tcPr>
                      <w:p>
                        <w:pPr/>
                      </w:p>
                    </w:tc>
                    <w:tc>
                      <w:tcPr>
                        <w:tcW w:w="667" w:type="dxa"/>
                        <w:vMerge w:val="restart"/>
                        <w:tcBorders>
                          <w:top w:val="single" w:sz="0" w:space="0" w:color="000000"/>
                          <w:left w:val="single" w:sz="5" w:space="0" w:color="000000"/>
                          <w:right w:val="single" w:sz="5" w:space="0" w:color="7F7F7F"/>
                        </w:tcBorders>
                        <w:shd w:val="clear" w:color="auto" w:fill="C0C0C0"/>
                      </w:tcPr>
                      <w:p>
                        <w:pPr/>
                      </w:p>
                    </w:tc>
                  </w:tr>
                  <w:tr>
                    <w:trPr>
                      <w:trHeight w:val="130" w:hRule="exact"/>
                    </w:trPr>
                    <w:tc>
                      <w:tcPr>
                        <w:tcW w:w="537" w:type="dxa"/>
                        <w:tcBorders>
                          <w:top w:val="single" w:sz="5" w:space="0" w:color="000000"/>
                          <w:left w:val="single" w:sz="33" w:space="0" w:color="000000"/>
                          <w:bottom w:val="single" w:sz="5" w:space="0" w:color="7F7F7F"/>
                          <w:right w:val="single" w:sz="5" w:space="0" w:color="000000"/>
                        </w:tcBorders>
                        <w:shd w:val="clear" w:color="auto" w:fill="9A9AFF"/>
                      </w:tcPr>
                      <w:p>
                        <w:pPr/>
                      </w:p>
                    </w:tc>
                    <w:tc>
                      <w:tcPr>
                        <w:tcW w:w="736" w:type="dxa"/>
                        <w:vMerge/>
                        <w:tcBorders>
                          <w:left w:val="single" w:sz="5" w:space="0" w:color="000000"/>
                          <w:bottom w:val="single" w:sz="5" w:space="0" w:color="7F7F7F"/>
                          <w:right w:val="single" w:sz="5" w:space="0" w:color="000000"/>
                        </w:tcBorders>
                        <w:shd w:val="clear" w:color="auto" w:fill="C0C0C0"/>
                      </w:tcPr>
                      <w:p>
                        <w:pPr/>
                      </w:p>
                    </w:tc>
                    <w:tc>
                      <w:tcPr>
                        <w:tcW w:w="491" w:type="dxa"/>
                        <w:tcBorders>
                          <w:top w:val="single" w:sz="5" w:space="0" w:color="000000"/>
                          <w:left w:val="single" w:sz="5" w:space="0" w:color="000000"/>
                          <w:bottom w:val="single" w:sz="5" w:space="0" w:color="7F7F7F"/>
                          <w:right w:val="single" w:sz="5" w:space="0" w:color="000000"/>
                        </w:tcBorders>
                        <w:shd w:val="clear" w:color="auto" w:fill="9A3365"/>
                      </w:tcPr>
                      <w:p>
                        <w:pPr/>
                      </w:p>
                    </w:tc>
                    <w:tc>
                      <w:tcPr>
                        <w:tcW w:w="736" w:type="dxa"/>
                        <w:vMerge/>
                        <w:tcBorders>
                          <w:left w:val="single" w:sz="5" w:space="0" w:color="000000"/>
                          <w:bottom w:val="single" w:sz="5" w:space="0" w:color="7F7F7F"/>
                          <w:right w:val="single" w:sz="5" w:space="0" w:color="000000"/>
                        </w:tcBorders>
                        <w:shd w:val="clear" w:color="auto" w:fill="C0C0C0"/>
                      </w:tcPr>
                      <w:p>
                        <w:pPr/>
                      </w:p>
                    </w:tc>
                    <w:tc>
                      <w:tcPr>
                        <w:tcW w:w="490" w:type="dxa"/>
                        <w:tcBorders>
                          <w:top w:val="single" w:sz="5" w:space="0" w:color="000000"/>
                          <w:left w:val="single" w:sz="5" w:space="0" w:color="000000"/>
                          <w:bottom w:val="single" w:sz="5" w:space="0" w:color="7F7F7F"/>
                          <w:right w:val="single" w:sz="5" w:space="0" w:color="000000"/>
                        </w:tcBorders>
                        <w:shd w:val="clear" w:color="auto" w:fill="9A9AFF"/>
                      </w:tcPr>
                      <w:p>
                        <w:pPr/>
                      </w:p>
                    </w:tc>
                    <w:tc>
                      <w:tcPr>
                        <w:tcW w:w="667" w:type="dxa"/>
                        <w:vMerge/>
                        <w:tcBorders>
                          <w:left w:val="single" w:sz="5" w:space="0" w:color="000000"/>
                          <w:bottom w:val="single" w:sz="5" w:space="0" w:color="7F7F7F"/>
                          <w:right w:val="single" w:sz="5" w:space="0" w:color="7F7F7F"/>
                        </w:tcBorders>
                        <w:shd w:val="clear" w:color="auto" w:fill="C0C0C0"/>
                      </w:tcPr>
                      <w:p>
                        <w:pPr/>
                      </w:p>
                    </w:tc>
                  </w:tr>
                  <w:tr>
                    <w:trPr>
                      <w:trHeight w:val="232" w:hRule="exact"/>
                    </w:trPr>
                    <w:tc>
                      <w:tcPr>
                        <w:tcW w:w="537" w:type="dxa"/>
                        <w:tcBorders>
                          <w:top w:val="single" w:sz="5" w:space="0" w:color="7F7F7F"/>
                          <w:left w:val="single" w:sz="5" w:space="0" w:color="000000"/>
                          <w:bottom w:val="single" w:sz="5" w:space="0" w:color="000000"/>
                          <w:right w:val="single" w:sz="5" w:space="0" w:color="000000"/>
                        </w:tcBorders>
                        <w:shd w:val="clear" w:color="auto" w:fill="9A9AFF"/>
                      </w:tcPr>
                      <w:p>
                        <w:pPr>
                          <w:pStyle w:val="TableParagraph"/>
                          <w:spacing w:line="129" w:lineRule="exact"/>
                          <w:ind w:left="190" w:right="0"/>
                          <w:jc w:val="left"/>
                          <w:rPr>
                            <w:rFonts w:ascii="宋体" w:hAnsi="宋体" w:cs="宋体" w:eastAsia="宋体" w:hint="default"/>
                            <w:sz w:val="15"/>
                            <w:szCs w:val="15"/>
                          </w:rPr>
                        </w:pPr>
                        <w:r>
                          <w:rPr>
                            <w:rFonts w:ascii="宋体"/>
                            <w:spacing w:val="6"/>
                            <w:sz w:val="15"/>
                          </w:rPr>
                          <w:t>25</w:t>
                        </w:r>
                        <w:r>
                          <w:rPr>
                            <w:rFonts w:ascii="宋体"/>
                            <w:sz w:val="15"/>
                          </w:rPr>
                        </w:r>
                      </w:p>
                    </w:tc>
                    <w:tc>
                      <w:tcPr>
                        <w:tcW w:w="736" w:type="dxa"/>
                        <w:tcBorders>
                          <w:top w:val="single" w:sz="0" w:space="0" w:color="000000"/>
                          <w:left w:val="single" w:sz="5" w:space="0" w:color="000000"/>
                          <w:bottom w:val="nil" w:sz="6" w:space="0" w:color="auto"/>
                          <w:right w:val="single" w:sz="5" w:space="0" w:color="000000"/>
                        </w:tcBorders>
                        <w:shd w:val="clear" w:color="auto" w:fill="7F7F7F"/>
                      </w:tcPr>
                      <w:p>
                        <w:pPr/>
                      </w:p>
                    </w:tc>
                    <w:tc>
                      <w:tcPr>
                        <w:tcW w:w="491" w:type="dxa"/>
                        <w:tcBorders>
                          <w:top w:val="single" w:sz="5" w:space="0" w:color="7F7F7F"/>
                          <w:left w:val="single" w:sz="5" w:space="0" w:color="000000"/>
                          <w:bottom w:val="single" w:sz="5" w:space="0" w:color="000000"/>
                          <w:right w:val="single" w:sz="5" w:space="0" w:color="000000"/>
                        </w:tcBorders>
                        <w:shd w:val="clear" w:color="auto" w:fill="9A9AFF"/>
                      </w:tcPr>
                      <w:p>
                        <w:pPr>
                          <w:pStyle w:val="TableParagraph"/>
                          <w:spacing w:line="129" w:lineRule="exact"/>
                          <w:ind w:left="144" w:right="0"/>
                          <w:jc w:val="left"/>
                          <w:rPr>
                            <w:rFonts w:ascii="宋体" w:hAnsi="宋体" w:cs="宋体" w:eastAsia="宋体" w:hint="default"/>
                            <w:sz w:val="15"/>
                            <w:szCs w:val="15"/>
                          </w:rPr>
                        </w:pPr>
                        <w:r>
                          <w:rPr>
                            <w:rFonts w:ascii="宋体"/>
                            <w:spacing w:val="6"/>
                            <w:sz w:val="15"/>
                          </w:rPr>
                          <w:t>38</w:t>
                        </w:r>
                        <w:r>
                          <w:rPr>
                            <w:rFonts w:ascii="宋体"/>
                            <w:sz w:val="15"/>
                          </w:rPr>
                        </w:r>
                      </w:p>
                    </w:tc>
                    <w:tc>
                      <w:tcPr>
                        <w:tcW w:w="736" w:type="dxa"/>
                        <w:tcBorders>
                          <w:top w:val="single" w:sz="0" w:space="0" w:color="000000"/>
                          <w:left w:val="single" w:sz="5" w:space="0" w:color="000000"/>
                          <w:bottom w:val="nil" w:sz="6" w:space="0" w:color="auto"/>
                          <w:right w:val="single" w:sz="5" w:space="0" w:color="000000"/>
                        </w:tcBorders>
                        <w:shd w:val="clear" w:color="auto" w:fill="7F7F7F"/>
                      </w:tcPr>
                      <w:p>
                        <w:pPr/>
                      </w:p>
                    </w:tc>
                    <w:tc>
                      <w:tcPr>
                        <w:tcW w:w="490" w:type="dxa"/>
                        <w:tcBorders>
                          <w:top w:val="single" w:sz="5" w:space="0" w:color="7F7F7F"/>
                          <w:left w:val="single" w:sz="5" w:space="0" w:color="000000"/>
                          <w:bottom w:val="single" w:sz="5" w:space="0" w:color="000000"/>
                          <w:right w:val="single" w:sz="5" w:space="0" w:color="000000"/>
                        </w:tcBorders>
                        <w:shd w:val="clear" w:color="auto" w:fill="9A9AFF"/>
                      </w:tcPr>
                      <w:p>
                        <w:pPr>
                          <w:pStyle w:val="TableParagraph"/>
                          <w:spacing w:line="102" w:lineRule="exact"/>
                          <w:ind w:left="143" w:right="0"/>
                          <w:jc w:val="left"/>
                          <w:rPr>
                            <w:rFonts w:ascii="宋体" w:hAnsi="宋体" w:cs="宋体" w:eastAsia="宋体" w:hint="default"/>
                            <w:sz w:val="15"/>
                            <w:szCs w:val="15"/>
                          </w:rPr>
                        </w:pPr>
                        <w:r>
                          <w:rPr>
                            <w:rFonts w:ascii="宋体"/>
                            <w:spacing w:val="6"/>
                            <w:sz w:val="15"/>
                          </w:rPr>
                          <w:t>82</w:t>
                        </w:r>
                        <w:r>
                          <w:rPr>
                            <w:rFonts w:ascii="宋体"/>
                            <w:sz w:val="15"/>
                          </w:rPr>
                        </w:r>
                      </w:p>
                    </w:tc>
                    <w:tc>
                      <w:tcPr>
                        <w:tcW w:w="667" w:type="dxa"/>
                        <w:tcBorders>
                          <w:top w:val="single" w:sz="0" w:space="0" w:color="000000"/>
                          <w:left w:val="single" w:sz="5" w:space="0" w:color="000000"/>
                          <w:bottom w:val="nil" w:sz="6" w:space="0" w:color="auto"/>
                          <w:right w:val="nil" w:sz="6" w:space="0" w:color="auto"/>
                        </w:tcBorders>
                        <w:shd w:val="clear" w:color="auto" w:fill="7F7F7F"/>
                      </w:tcPr>
                      <w:p>
                        <w:pPr/>
                      </w:p>
                    </w:tc>
                  </w:tr>
                </w:tbl>
                <w:p>
                  <w:pPr/>
                </w:p>
              </w:txbxContent>
            </v:textbox>
            <w10:wrap type="none"/>
          </v:shape>
        </w:pict>
      </w:r>
      <w:r>
        <w:rPr>
          <w:rFonts w:ascii="宋体"/>
          <w:spacing w:val="6"/>
          <w:sz w:val="15"/>
        </w:rPr>
        <w:t>100%</w:t>
      </w:r>
      <w:r>
        <w:rPr>
          <w:rFonts w:ascii="宋体"/>
          <w:sz w:val="15"/>
        </w:rPr>
      </w:r>
    </w:p>
    <w:p>
      <w:pPr>
        <w:spacing w:after="0"/>
        <w:jc w:val="left"/>
        <w:rPr>
          <w:rFonts w:ascii="宋体" w:hAnsi="宋体" w:cs="宋体" w:eastAsia="宋体" w:hint="default"/>
          <w:sz w:val="15"/>
          <w:szCs w:val="15"/>
        </w:rPr>
        <w:sectPr>
          <w:pgSz w:w="11910" w:h="16840"/>
          <w:pgMar w:header="879" w:footer="982" w:top="1100" w:bottom="1180" w:left="1500" w:right="1420"/>
        </w:sectPr>
      </w:pPr>
    </w:p>
    <w:p>
      <w:pPr>
        <w:spacing w:before="117"/>
        <w:ind w:left="0" w:right="0" w:firstLine="0"/>
        <w:jc w:val="right"/>
        <w:rPr>
          <w:rFonts w:ascii="宋体" w:hAnsi="宋体" w:cs="宋体" w:eastAsia="宋体" w:hint="default"/>
          <w:sz w:val="15"/>
          <w:szCs w:val="15"/>
        </w:rPr>
      </w:pPr>
      <w:r>
        <w:rPr>
          <w:rFonts w:ascii="宋体"/>
          <w:spacing w:val="6"/>
          <w:w w:val="95"/>
          <w:sz w:val="15"/>
        </w:rPr>
        <w:t>90%</w:t>
      </w:r>
      <w:r>
        <w:rPr>
          <w:rFonts w:ascii="宋体"/>
          <w:sz w:val="15"/>
        </w:rPr>
      </w:r>
    </w:p>
    <w:p>
      <w:pPr>
        <w:spacing w:before="102"/>
        <w:ind w:left="0" w:right="0" w:firstLine="0"/>
        <w:jc w:val="right"/>
        <w:rPr>
          <w:rFonts w:ascii="宋体" w:hAnsi="宋体" w:cs="宋体" w:eastAsia="宋体" w:hint="default"/>
          <w:sz w:val="15"/>
          <w:szCs w:val="15"/>
        </w:rPr>
      </w:pPr>
      <w:r>
        <w:rPr>
          <w:rFonts w:ascii="宋体"/>
          <w:spacing w:val="6"/>
          <w:w w:val="95"/>
          <w:sz w:val="15"/>
        </w:rPr>
        <w:t>80%</w:t>
      </w:r>
      <w:r>
        <w:rPr>
          <w:rFonts w:ascii="宋体"/>
          <w:sz w:val="15"/>
        </w:rPr>
      </w:r>
    </w:p>
    <w:p>
      <w:pPr>
        <w:spacing w:before="117"/>
        <w:ind w:left="0" w:right="0" w:firstLine="0"/>
        <w:jc w:val="right"/>
        <w:rPr>
          <w:rFonts w:ascii="宋体" w:hAnsi="宋体" w:cs="宋体" w:eastAsia="宋体" w:hint="default"/>
          <w:sz w:val="15"/>
          <w:szCs w:val="15"/>
        </w:rPr>
      </w:pPr>
      <w:r>
        <w:rPr>
          <w:rFonts w:ascii="宋体"/>
          <w:spacing w:val="6"/>
          <w:w w:val="95"/>
          <w:sz w:val="15"/>
        </w:rPr>
        <w:t>70%</w:t>
      </w:r>
      <w:r>
        <w:rPr>
          <w:rFonts w:ascii="宋体"/>
          <w:sz w:val="15"/>
        </w:rPr>
      </w:r>
    </w:p>
    <w:p>
      <w:pPr>
        <w:spacing w:before="117"/>
        <w:ind w:left="0" w:right="0" w:firstLine="0"/>
        <w:jc w:val="right"/>
        <w:rPr>
          <w:rFonts w:ascii="宋体" w:hAnsi="宋体" w:cs="宋体" w:eastAsia="宋体" w:hint="default"/>
          <w:sz w:val="15"/>
          <w:szCs w:val="15"/>
        </w:rPr>
      </w:pPr>
      <w:r>
        <w:rPr>
          <w:rFonts w:ascii="宋体"/>
          <w:spacing w:val="6"/>
          <w:w w:val="95"/>
          <w:sz w:val="15"/>
        </w:rPr>
        <w:t>60%</w:t>
      </w:r>
      <w:r>
        <w:rPr>
          <w:rFonts w:ascii="宋体"/>
          <w:sz w:val="15"/>
        </w:rPr>
      </w:r>
    </w:p>
    <w:p>
      <w:pPr>
        <w:spacing w:before="117"/>
        <w:ind w:left="0" w:right="0" w:firstLine="0"/>
        <w:jc w:val="right"/>
        <w:rPr>
          <w:rFonts w:ascii="宋体" w:hAnsi="宋体" w:cs="宋体" w:eastAsia="宋体" w:hint="default"/>
          <w:sz w:val="15"/>
          <w:szCs w:val="15"/>
        </w:rPr>
      </w:pPr>
      <w:r>
        <w:rPr>
          <w:rFonts w:ascii="宋体"/>
          <w:spacing w:val="6"/>
          <w:w w:val="95"/>
          <w:sz w:val="15"/>
        </w:rPr>
        <w:t>50%</w:t>
      </w:r>
      <w:r>
        <w:rPr>
          <w:rFonts w:ascii="宋体"/>
          <w:sz w:val="15"/>
        </w:rPr>
      </w:r>
    </w:p>
    <w:p>
      <w:pPr>
        <w:spacing w:before="103"/>
        <w:ind w:left="0" w:right="0" w:firstLine="0"/>
        <w:jc w:val="right"/>
        <w:rPr>
          <w:rFonts w:ascii="宋体" w:hAnsi="宋体" w:cs="宋体" w:eastAsia="宋体" w:hint="default"/>
          <w:sz w:val="15"/>
          <w:szCs w:val="15"/>
        </w:rPr>
      </w:pPr>
      <w:r>
        <w:rPr>
          <w:rFonts w:ascii="宋体"/>
          <w:spacing w:val="6"/>
          <w:w w:val="95"/>
          <w:sz w:val="15"/>
        </w:rPr>
        <w:t>40%</w:t>
      </w:r>
      <w:r>
        <w:rPr>
          <w:rFonts w:ascii="宋体"/>
          <w:sz w:val="15"/>
        </w:rPr>
      </w:r>
    </w:p>
    <w:p>
      <w:pPr>
        <w:spacing w:before="117"/>
        <w:ind w:left="0" w:right="0" w:firstLine="0"/>
        <w:jc w:val="right"/>
        <w:rPr>
          <w:rFonts w:ascii="宋体" w:hAnsi="宋体" w:cs="宋体" w:eastAsia="宋体" w:hint="default"/>
          <w:sz w:val="15"/>
          <w:szCs w:val="15"/>
        </w:rPr>
      </w:pPr>
      <w:r>
        <w:rPr>
          <w:rFonts w:ascii="宋体"/>
          <w:spacing w:val="6"/>
          <w:w w:val="95"/>
          <w:sz w:val="15"/>
        </w:rPr>
        <w:t>30%</w:t>
      </w:r>
      <w:r>
        <w:rPr>
          <w:rFonts w:ascii="宋体"/>
          <w:sz w:val="15"/>
        </w:rPr>
      </w:r>
    </w:p>
    <w:p>
      <w:pPr>
        <w:spacing w:before="117"/>
        <w:ind w:left="0" w:right="0" w:firstLine="0"/>
        <w:jc w:val="right"/>
        <w:rPr>
          <w:rFonts w:ascii="宋体" w:hAnsi="宋体" w:cs="宋体" w:eastAsia="宋体" w:hint="default"/>
          <w:sz w:val="15"/>
          <w:szCs w:val="15"/>
        </w:rPr>
      </w:pPr>
      <w:r>
        <w:rPr>
          <w:rFonts w:ascii="宋体"/>
          <w:spacing w:val="6"/>
          <w:w w:val="95"/>
          <w:sz w:val="15"/>
        </w:rPr>
        <w:t>20%</w:t>
      </w:r>
      <w:r>
        <w:rPr>
          <w:rFonts w:ascii="宋体"/>
          <w:sz w:val="15"/>
        </w:rPr>
      </w:r>
    </w:p>
    <w:p>
      <w:pPr>
        <w:spacing w:before="117"/>
        <w:ind w:left="0" w:right="0" w:firstLine="0"/>
        <w:jc w:val="right"/>
        <w:rPr>
          <w:rFonts w:ascii="宋体" w:hAnsi="宋体" w:cs="宋体" w:eastAsia="宋体" w:hint="default"/>
          <w:sz w:val="15"/>
          <w:szCs w:val="15"/>
        </w:rPr>
      </w:pPr>
      <w:r>
        <w:rPr>
          <w:rFonts w:ascii="宋体"/>
          <w:spacing w:val="6"/>
          <w:w w:val="95"/>
          <w:sz w:val="15"/>
        </w:rPr>
        <w:t>10%</w:t>
      </w:r>
      <w:r>
        <w:rPr>
          <w:rFonts w:ascii="宋体"/>
          <w:sz w:val="15"/>
        </w:rPr>
      </w:r>
    </w:p>
    <w:p>
      <w:pPr>
        <w:spacing w:before="117"/>
        <w:ind w:left="0" w:right="0" w:firstLine="0"/>
        <w:jc w:val="right"/>
        <w:rPr>
          <w:rFonts w:ascii="宋体" w:hAnsi="宋体" w:cs="宋体" w:eastAsia="宋体" w:hint="default"/>
          <w:sz w:val="15"/>
          <w:szCs w:val="15"/>
        </w:rPr>
      </w:pPr>
      <w:r>
        <w:rPr>
          <w:rFonts w:ascii="宋体"/>
          <w:spacing w:val="6"/>
          <w:w w:val="95"/>
          <w:sz w:val="15"/>
        </w:rPr>
        <w:t>0%</w:t>
      </w:r>
      <w:r>
        <w:rPr>
          <w:rFonts w:ascii="宋体"/>
          <w:sz w:val="15"/>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652" w:lineRule="exact"/>
        <w:ind w:left="426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34.1pt;height:32.65pt;mso-position-horizontal-relative:char;mso-position-vertical-relative:line" type="#_x0000_t202" filled="false" stroked="true" strokeweight=".06pt" strokecolor="#000000">
            <w10:anchorlock/>
            <v:textbox inset="0,0,0,0">
              <w:txbxContent>
                <w:p>
                  <w:pPr>
                    <w:spacing w:line="266" w:lineRule="auto" w:before="6"/>
                    <w:ind w:left="191" w:right="37" w:firstLine="0"/>
                    <w:jc w:val="both"/>
                    <w:rPr>
                      <w:rFonts w:ascii="宋体" w:hAnsi="宋体" w:cs="宋体" w:eastAsia="宋体" w:hint="default"/>
                      <w:sz w:val="15"/>
                      <w:szCs w:val="15"/>
                    </w:rPr>
                  </w:pPr>
                  <w:r>
                    <w:rPr>
                      <w:rFonts w:ascii="宋体" w:hAnsi="宋体" w:cs="宋体" w:eastAsia="宋体" w:hint="default"/>
                      <w:sz w:val="15"/>
                      <w:szCs w:val="15"/>
                    </w:rPr>
                    <w:t>社区店</w:t>
                  </w:r>
                  <w:r>
                    <w:rPr>
                      <w:rFonts w:ascii="宋体" w:hAnsi="宋体" w:cs="宋体" w:eastAsia="宋体" w:hint="default"/>
                      <w:w w:val="99"/>
                      <w:sz w:val="15"/>
                      <w:szCs w:val="15"/>
                    </w:rPr>
                    <w:t> </w:t>
                  </w:r>
                  <w:r>
                    <w:rPr>
                      <w:rFonts w:ascii="宋体" w:hAnsi="宋体" w:cs="宋体" w:eastAsia="宋体" w:hint="default"/>
                      <w:sz w:val="15"/>
                      <w:szCs w:val="15"/>
                    </w:rPr>
                    <w:t>中心店</w:t>
                  </w:r>
                  <w:r>
                    <w:rPr>
                      <w:rFonts w:ascii="宋体" w:hAnsi="宋体" w:cs="宋体" w:eastAsia="宋体" w:hint="default"/>
                      <w:w w:val="99"/>
                      <w:sz w:val="15"/>
                      <w:szCs w:val="15"/>
                    </w:rPr>
                    <w:t> </w:t>
                  </w:r>
                  <w:r>
                    <w:rPr>
                      <w:rFonts w:ascii="宋体" w:hAnsi="宋体" w:cs="宋体" w:eastAsia="宋体" w:hint="default"/>
                      <w:sz w:val="15"/>
                      <w:szCs w:val="15"/>
                    </w:rPr>
                    <w:t>旗舰店</w:t>
                  </w:r>
                </w:p>
              </w:txbxContent>
            </v:textbox>
          </v:shape>
        </w:pict>
      </w:r>
      <w:r>
        <w:rPr>
          <w:rFonts w:ascii="宋体" w:hAnsi="宋体" w:cs="宋体" w:eastAsia="宋体" w:hint="default"/>
          <w:position w:val="-12"/>
          <w:sz w:val="20"/>
          <w:szCs w:val="20"/>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6"/>
        <w:rPr>
          <w:rFonts w:ascii="宋体" w:hAnsi="宋体" w:cs="宋体" w:eastAsia="宋体" w:hint="default"/>
          <w:sz w:val="12"/>
          <w:szCs w:val="12"/>
        </w:rPr>
      </w:pPr>
    </w:p>
    <w:p>
      <w:pPr>
        <w:tabs>
          <w:tab w:pos="1607" w:val="left" w:leader="none"/>
          <w:tab w:pos="2832" w:val="left" w:leader="none"/>
        </w:tabs>
        <w:spacing w:before="0"/>
        <w:ind w:left="368" w:right="0" w:firstLine="0"/>
        <w:jc w:val="left"/>
        <w:rPr>
          <w:rFonts w:ascii="宋体" w:hAnsi="宋体" w:cs="宋体" w:eastAsia="宋体" w:hint="default"/>
          <w:sz w:val="15"/>
          <w:szCs w:val="15"/>
        </w:rPr>
      </w:pPr>
      <w:r>
        <w:rPr/>
        <w:pict>
          <v:group style="position:absolute;margin-left:409.859985pt;margin-top:-70.180443pt;width:8.2pt;height:4.8pt;mso-position-horizontal-relative:page;mso-position-vertical-relative:paragraph;z-index:-578368" coordorigin="8197,-1404" coordsize="164,96">
            <v:group style="position:absolute;left:8238;top:-1356;width:82;height:2" coordorigin="8238,-1356" coordsize="82,2">
              <v:shape style="position:absolute;left:8238;top:-1356;width:82;height:2" coordorigin="8238,-1356" coordsize="82,0" path="m8238,-1356l8320,-1356e" filled="false" stroked="true" strokeweight="4.08pt" strokecolor="#9a9aff">
                <v:path arrowok="t"/>
              </v:shape>
            </v:group>
            <v:group style="position:absolute;left:8238;top:-1397;width:82;height:82" coordorigin="8238,-1397" coordsize="82,82">
              <v:shape style="position:absolute;left:8238;top:-1397;width:82;height:82" coordorigin="8238,-1397" coordsize="82,82" path="m8238,-1397l8320,-1397,8320,-1315,8238,-1315,8238,-1397xe" filled="false" stroked="true" strokeweight=".681pt" strokecolor="#000000">
                <v:path arrowok="t"/>
              </v:shape>
            </v:group>
            <w10:wrap type="none"/>
          </v:group>
        </w:pict>
      </w:r>
      <w:r>
        <w:rPr>
          <w:rFonts w:ascii="宋体" w:hAnsi="宋体" w:cs="宋体" w:eastAsia="宋体" w:hint="default"/>
          <w:spacing w:val="5"/>
          <w:w w:val="95"/>
          <w:sz w:val="15"/>
          <w:szCs w:val="15"/>
        </w:rPr>
        <w:t>2005年</w:t>
        <w:tab/>
      </w:r>
      <w:r>
        <w:rPr>
          <w:rFonts w:ascii="宋体" w:hAnsi="宋体" w:cs="宋体" w:eastAsia="宋体" w:hint="default"/>
          <w:spacing w:val="4"/>
          <w:sz w:val="15"/>
          <w:szCs w:val="15"/>
        </w:rPr>
        <w:t>2006年</w:t>
        <w:tab/>
      </w:r>
      <w:r>
        <w:rPr>
          <w:rFonts w:ascii="宋体" w:hAnsi="宋体" w:cs="宋体" w:eastAsia="宋体" w:hint="default"/>
          <w:spacing w:val="6"/>
          <w:sz w:val="15"/>
          <w:szCs w:val="15"/>
        </w:rPr>
        <w:t>2007年</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600" w:bottom="280" w:left="1500" w:right="1420"/>
          <w:cols w:num="2" w:equalWidth="0">
            <w:col w:w="2381" w:space="40"/>
            <w:col w:w="65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tabs>
          <w:tab w:pos="1043" w:val="left" w:leader="none"/>
        </w:tabs>
        <w:spacing w:line="240" w:lineRule="auto" w:before="26"/>
        <w:ind w:left="623" w:right="8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重点城市分布</w:t>
      </w:r>
    </w:p>
    <w:p>
      <w:pPr>
        <w:spacing w:after="0" w:line="240" w:lineRule="auto"/>
        <w:jc w:val="left"/>
        <w:sectPr>
          <w:type w:val="continuous"/>
          <w:pgSz w:w="11910" w:h="16840"/>
          <w:pgMar w:top="1600" w:bottom="280" w:left="1500" w:right="14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461" w:right="0" w:firstLine="0"/>
        <w:jc w:val="center"/>
        <w:rPr>
          <w:rFonts w:ascii="宋体" w:hAnsi="宋体" w:cs="宋体" w:eastAsia="宋体" w:hint="default"/>
          <w:sz w:val="16"/>
          <w:szCs w:val="16"/>
        </w:rPr>
      </w:pPr>
      <w:r>
        <w:rPr>
          <w:rFonts w:ascii="宋体" w:hAnsi="宋体" w:cs="宋体" w:eastAsia="宋体" w:hint="default"/>
          <w:w w:val="105"/>
          <w:sz w:val="16"/>
          <w:szCs w:val="16"/>
        </w:rPr>
        <w:t>重点城市店面数量及类型分布</w:t>
      </w:r>
      <w:r>
        <w:rPr>
          <w:rFonts w:ascii="宋体" w:hAnsi="宋体" w:cs="宋体" w:eastAsia="宋体" w:hint="default"/>
          <w:sz w:val="16"/>
          <w:szCs w:val="16"/>
        </w:rPr>
      </w:r>
    </w:p>
    <w:p>
      <w:pPr>
        <w:spacing w:line="240" w:lineRule="auto" w:before="9"/>
        <w:rPr>
          <w:rFonts w:ascii="宋体" w:hAnsi="宋体" w:cs="宋体" w:eastAsia="宋体" w:hint="default"/>
          <w:sz w:val="18"/>
          <w:szCs w:val="18"/>
        </w:rPr>
      </w:pPr>
    </w:p>
    <w:p>
      <w:pPr>
        <w:spacing w:before="55"/>
        <w:ind w:left="1534" w:right="2428" w:firstLine="0"/>
        <w:jc w:val="left"/>
        <w:rPr>
          <w:rFonts w:ascii="宋体" w:hAnsi="宋体" w:cs="宋体" w:eastAsia="宋体" w:hint="default"/>
          <w:sz w:val="16"/>
          <w:szCs w:val="16"/>
        </w:rPr>
      </w:pPr>
      <w:r>
        <w:rPr/>
        <w:pict>
          <v:group style="position:absolute;margin-left:161.865005pt;margin-top:2.356887pt;width:266.25pt;height:158.25pt;mso-position-horizontal-relative:page;mso-position-vertical-relative:paragraph;z-index:-577936" coordorigin="3237,47" coordsize="5325,3165">
            <v:group style="position:absolute;left:3245;top:3085;width:5310;height:120" coordorigin="3245,3085" coordsize="5310,120">
              <v:shape style="position:absolute;left:3245;top:3085;width:5310;height:120" coordorigin="3245,3085" coordsize="5310,120" path="m8555,3085l3425,3085,3245,3205,8375,3205,8555,3085xe" filled="true" fillcolor="#7f7f7f" stroked="false">
                <v:path arrowok="t"/>
                <v:fill type="solid"/>
              </v:shape>
            </v:group>
            <v:group style="position:absolute;left:3245;top:55;width:180;height:3150" coordorigin="3245,55" coordsize="180,3150">
              <v:shape style="position:absolute;left:3245;top:55;width:180;height:3150" coordorigin="3245,55" coordsize="180,3150" path="m3425,55l3245,175,3245,3205,3425,3085,3425,55xe" filled="true" fillcolor="#c0c0c0" stroked="false">
                <v:path arrowok="t"/>
                <v:fill type="solid"/>
              </v:shape>
            </v:group>
            <v:group style="position:absolute;left:3425;top:55;width:5130;height:3030" coordorigin="3425,55" coordsize="5130,3030">
              <v:shape style="position:absolute;left:3425;top:55;width:5130;height:3030" coordorigin="3425,55" coordsize="5130,3030" path="m3425,3085l8555,3085,8555,55,3425,55,3425,3085xe" filled="true" fillcolor="#c0c0c0" stroked="false">
                <v:path arrowok="t"/>
                <v:fill type="solid"/>
              </v:shape>
            </v:group>
            <v:group style="position:absolute;left:3245;top:3085;width:180;height:120" coordorigin="3245,3085" coordsize="180,120">
              <v:shape style="position:absolute;left:3245;top:3085;width:180;height:120" coordorigin="3245,3085" coordsize="180,120" path="m3245,3205l3425,3085e" filled="false" stroked="true" strokeweight=".06pt" strokecolor="#000000">
                <v:path arrowok="t"/>
              </v:shape>
            </v:group>
            <v:group style="position:absolute;left:8285;top:3085;width:270;height:2" coordorigin="8285,3085" coordsize="270,2">
              <v:shape style="position:absolute;left:8285;top:3085;width:270;height:2" coordorigin="8285,3085" coordsize="270,0" path="m8285,3085l8555,3085e" filled="false" stroked="true" strokeweight=".06pt" strokecolor="#000000">
                <v:path arrowok="t"/>
              </v:shape>
            </v:group>
            <v:group style="position:absolute;left:5195;top:3085;width:315;height:2" coordorigin="5195,3085" coordsize="315,2">
              <v:shape style="position:absolute;left:5195;top:3085;width:315;height:2" coordorigin="5195,3085" coordsize="315,0" path="m5195,3085l5509,3085e" filled="false" stroked="true" strokeweight=".06pt" strokecolor="#000000">
                <v:path arrowok="t"/>
              </v:shape>
            </v:group>
            <v:group style="position:absolute;left:4685;top:3085;width:300;height:2" coordorigin="4685,3085" coordsize="300,2">
              <v:shape style="position:absolute;left:4685;top:3085;width:300;height:2" coordorigin="4685,3085" coordsize="300,0" path="m4685,3085l4985,3085e" filled="false" stroked="true" strokeweight=".06pt" strokecolor="#000000">
                <v:path arrowok="t"/>
              </v:shape>
            </v:group>
            <v:group style="position:absolute;left:4175;top:3085;width:300;height:2" coordorigin="4175,3085" coordsize="300,2">
              <v:shape style="position:absolute;left:4175;top:3085;width:300;height:2" coordorigin="4175,3085" coordsize="300,0" path="m4175,3085l4475,3085e" filled="false" stroked="true" strokeweight=".06pt" strokecolor="#000000">
                <v:path arrowok="t"/>
              </v:shape>
            </v:group>
            <v:group style="position:absolute;left:3649;top:3085;width:316;height:2" coordorigin="3649,3085" coordsize="316,2">
              <v:shape style="position:absolute;left:3649;top:3085;width:316;height:2" coordorigin="3649,3085" coordsize="316,0" path="m3649,3085l3965,3085e" filled="false" stroked="true" strokeweight=".06pt" strokecolor="#000000">
                <v:path arrowok="t"/>
              </v:shape>
            </v:group>
            <v:group style="position:absolute;left:3425;top:3085;width:30;height:2" coordorigin="3425,3085" coordsize="30,2">
              <v:shape style="position:absolute;left:3425;top:3085;width:30;height:2" coordorigin="3425,3085" coordsize="30,0" path="m3425,3085l3455,3085e" filled="false" stroked="true" strokeweight=".06pt" strokecolor="#000000">
                <v:path arrowok="t"/>
              </v:shape>
            </v:group>
            <v:group style="position:absolute;left:3245;top:2740;width:180;height:135" coordorigin="3245,2740" coordsize="180,135">
              <v:shape style="position:absolute;left:3245;top:2740;width:180;height:135" coordorigin="3245,2740" coordsize="180,135" path="m3245,2875l3425,2740e" filled="false" stroked="true" strokeweight=".06pt" strokecolor="#000000">
                <v:path arrowok="t"/>
              </v:shape>
            </v:group>
            <v:group style="position:absolute;left:8285;top:2740;width:270;height:2" coordorigin="8285,2740" coordsize="270,2">
              <v:shape style="position:absolute;left:8285;top:2740;width:270;height:2" coordorigin="8285,2740" coordsize="270,0" path="m8285,2740l8555,2740e" filled="false" stroked="true" strokeweight=".06pt" strokecolor="#000000">
                <v:path arrowok="t"/>
              </v:shape>
            </v:group>
            <v:group style="position:absolute;left:7759;top:2740;width:316;height:2" coordorigin="7759,2740" coordsize="316,2">
              <v:shape style="position:absolute;left:7759;top:2740;width:316;height:2" coordorigin="7759,2740" coordsize="316,0" path="m7759,2740l8075,2740e" filled="false" stroked="true" strokeweight=".06pt" strokecolor="#000000">
                <v:path arrowok="t"/>
              </v:shape>
            </v:group>
            <v:group style="position:absolute;left:7249;top:2740;width:316;height:2" coordorigin="7249,2740" coordsize="316,2">
              <v:shape style="position:absolute;left:7249;top:2740;width:316;height:2" coordorigin="7249,2740" coordsize="316,0" path="m7249,2740l7565,2740e" filled="false" stroked="true" strokeweight=".06pt" strokecolor="#000000">
                <v:path arrowok="t"/>
              </v:shape>
            </v:group>
            <v:group style="position:absolute;left:6739;top:2740;width:300;height:2" coordorigin="6739,2740" coordsize="300,2">
              <v:shape style="position:absolute;left:6739;top:2740;width:300;height:2" coordorigin="6739,2740" coordsize="300,0" path="m6739,2740l7039,2740e" filled="false" stroked="true" strokeweight=".06pt" strokecolor="#000000">
                <v:path arrowok="t"/>
              </v:shape>
            </v:group>
            <v:group style="position:absolute;left:6229;top:2740;width:300;height:2" coordorigin="6229,2740" coordsize="300,2">
              <v:shape style="position:absolute;left:6229;top:2740;width:300;height:2" coordorigin="6229,2740" coordsize="300,0" path="m6229,2740l6529,2740e" filled="false" stroked="true" strokeweight=".06pt" strokecolor="#000000">
                <v:path arrowok="t"/>
              </v:shape>
            </v:group>
            <v:group style="position:absolute;left:5705;top:2740;width:315;height:2" coordorigin="5705,2740" coordsize="315,2">
              <v:shape style="position:absolute;left:5705;top:2740;width:315;height:2" coordorigin="5705,2740" coordsize="315,0" path="m5705,2740l6019,2740e" filled="false" stroked="true" strokeweight=".06pt" strokecolor="#000000">
                <v:path arrowok="t"/>
              </v:shape>
            </v:group>
            <v:group style="position:absolute;left:5195;top:2740;width:315;height:2" coordorigin="5195,2740" coordsize="315,2">
              <v:shape style="position:absolute;left:5195;top:2740;width:315;height:2" coordorigin="5195,2740" coordsize="315,0" path="m5195,2740l5509,2740e" filled="false" stroked="true" strokeweight=".06pt" strokecolor="#000000">
                <v:path arrowok="t"/>
              </v:shape>
            </v:group>
            <v:group style="position:absolute;left:4685;top:2740;width:300;height:2" coordorigin="4685,2740" coordsize="300,2">
              <v:shape style="position:absolute;left:4685;top:2740;width:300;height:2" coordorigin="4685,2740" coordsize="300,0" path="m4685,2740l4985,2740e" filled="false" stroked="true" strokeweight=".06pt" strokecolor="#000000">
                <v:path arrowok="t"/>
              </v:shape>
            </v:group>
            <v:group style="position:absolute;left:4175;top:2740;width:300;height:2" coordorigin="4175,2740" coordsize="300,2">
              <v:shape style="position:absolute;left:4175;top:2740;width:300;height:2" coordorigin="4175,2740" coordsize="300,0" path="m4175,2740l4475,2740e" filled="false" stroked="true" strokeweight=".06pt" strokecolor="#000000">
                <v:path arrowok="t"/>
              </v:shape>
            </v:group>
            <v:group style="position:absolute;left:3649;top:2740;width:316;height:2" coordorigin="3649,2740" coordsize="316,2">
              <v:shape style="position:absolute;left:3649;top:2740;width:316;height:2" coordorigin="3649,2740" coordsize="316,0" path="m3649,2740l3965,2740e" filled="false" stroked="true" strokeweight=".06pt" strokecolor="#000000">
                <v:path arrowok="t"/>
              </v:shape>
            </v:group>
            <v:group style="position:absolute;left:3425;top:2740;width:30;height:2" coordorigin="3425,2740" coordsize="30,2">
              <v:shape style="position:absolute;left:3425;top:2740;width:30;height:2" coordorigin="3425,2740" coordsize="30,0" path="m3425,2740l3455,2740e" filled="false" stroked="true" strokeweight=".06pt" strokecolor="#000000">
                <v:path arrowok="t"/>
              </v:shape>
            </v:group>
            <v:group style="position:absolute;left:3245;top:2410;width:180;height:135" coordorigin="3245,2410" coordsize="180,135">
              <v:shape style="position:absolute;left:3245;top:2410;width:180;height:135" coordorigin="3245,2410" coordsize="180,135" path="m3245,2545l3425,2410e" filled="false" stroked="true" strokeweight=".06pt" strokecolor="#000000">
                <v:path arrowok="t"/>
              </v:shape>
            </v:group>
            <v:group style="position:absolute;left:7249;top:2410;width:1306;height:2" coordorigin="7249,2410" coordsize="1306,2">
              <v:shape style="position:absolute;left:7249;top:2410;width:1306;height:2" coordorigin="7249,2410" coordsize="1306,0" path="m7249,2410l8555,2410e" filled="false" stroked="true" strokeweight=".06pt" strokecolor="#000000">
                <v:path arrowok="t"/>
              </v:shape>
            </v:group>
            <v:group style="position:absolute;left:6739;top:2410;width:300;height:2" coordorigin="6739,2410" coordsize="300,2">
              <v:shape style="position:absolute;left:6739;top:2410;width:300;height:2" coordorigin="6739,2410" coordsize="300,0" path="m6739,2410l7039,2410e" filled="false" stroked="true" strokeweight=".06pt" strokecolor="#000000">
                <v:path arrowok="t"/>
              </v:shape>
            </v:group>
            <v:group style="position:absolute;left:6229;top:2410;width:300;height:2" coordorigin="6229,2410" coordsize="300,2">
              <v:shape style="position:absolute;left:6229;top:2410;width:300;height:2" coordorigin="6229,2410" coordsize="300,0" path="m6229,2410l6529,2410e" filled="false" stroked="true" strokeweight=".06pt" strokecolor="#000000">
                <v:path arrowok="t"/>
              </v:shape>
            </v:group>
            <v:group style="position:absolute;left:5705;top:2410;width:315;height:2" coordorigin="5705,2410" coordsize="315,2">
              <v:shape style="position:absolute;left:5705;top:2410;width:315;height:2" coordorigin="5705,2410" coordsize="315,0" path="m5705,2410l6019,2410e" filled="false" stroked="true" strokeweight=".06pt" strokecolor="#000000">
                <v:path arrowok="t"/>
              </v:shape>
            </v:group>
            <v:group style="position:absolute;left:5195;top:2410;width:315;height:2" coordorigin="5195,2410" coordsize="315,2">
              <v:shape style="position:absolute;left:5195;top:2410;width:315;height:2" coordorigin="5195,2410" coordsize="315,0" path="m5195,2410l5509,2410e" filled="false" stroked="true" strokeweight=".06pt" strokecolor="#000000">
                <v:path arrowok="t"/>
              </v:shape>
            </v:group>
            <v:group style="position:absolute;left:4685;top:2410;width:300;height:2" coordorigin="4685,2410" coordsize="300,2">
              <v:shape style="position:absolute;left:4685;top:2410;width:300;height:2" coordorigin="4685,2410" coordsize="300,0" path="m4685,2410l4985,2410e" filled="false" stroked="true" strokeweight=".06pt" strokecolor="#000000">
                <v:path arrowok="t"/>
              </v:shape>
            </v:group>
            <v:group style="position:absolute;left:4175;top:2410;width:300;height:2" coordorigin="4175,2410" coordsize="300,2">
              <v:shape style="position:absolute;left:4175;top:2410;width:300;height:2" coordorigin="4175,2410" coordsize="300,0" path="m4175,2410l4475,2410e" filled="false" stroked="true" strokeweight=".06pt" strokecolor="#000000">
                <v:path arrowok="t"/>
              </v:shape>
            </v:group>
            <v:group style="position:absolute;left:3425;top:2410;width:540;height:2" coordorigin="3425,2410" coordsize="540,2">
              <v:shape style="position:absolute;left:3425;top:2410;width:540;height:2" coordorigin="3425,2410" coordsize="540,0" path="m3425,2410l3965,2410e" filled="false" stroked="true" strokeweight=".06pt" strokecolor="#000000">
                <v:path arrowok="t"/>
              </v:shape>
            </v:group>
            <v:group style="position:absolute;left:3245;top:2065;width:180;height:136" coordorigin="3245,2065" coordsize="180,136">
              <v:shape style="position:absolute;left:3245;top:2065;width:180;height:136" coordorigin="3245,2065" coordsize="180,136" path="m3245,2200l3425,2065e" filled="false" stroked="true" strokeweight=".06pt" strokecolor="#000000">
                <v:path arrowok="t"/>
              </v:shape>
            </v:group>
            <v:group style="position:absolute;left:6229;top:2065;width:2326;height:2" coordorigin="6229,2065" coordsize="2326,2">
              <v:shape style="position:absolute;left:6229;top:2065;width:2326;height:2" coordorigin="6229,2065" coordsize="2326,0" path="m6229,2065l8555,2065e" filled="false" stroked="true" strokeweight=".06pt" strokecolor="#000000">
                <v:path arrowok="t"/>
              </v:shape>
            </v:group>
            <v:group style="position:absolute;left:5705;top:2065;width:315;height:2" coordorigin="5705,2065" coordsize="315,2">
              <v:shape style="position:absolute;left:5705;top:2065;width:315;height:2" coordorigin="5705,2065" coordsize="315,0" path="m5705,2065l6019,2065e" filled="false" stroked="true" strokeweight=".06pt" strokecolor="#000000">
                <v:path arrowok="t"/>
              </v:shape>
            </v:group>
            <v:group style="position:absolute;left:5195;top:2065;width:315;height:2" coordorigin="5195,2065" coordsize="315,2">
              <v:shape style="position:absolute;left:5195;top:2065;width:315;height:2" coordorigin="5195,2065" coordsize="315,0" path="m5195,2065l5509,2065e" filled="false" stroked="true" strokeweight=".06pt" strokecolor="#000000">
                <v:path arrowok="t"/>
              </v:shape>
            </v:group>
            <v:group style="position:absolute;left:4685;top:2065;width:300;height:2" coordorigin="4685,2065" coordsize="300,2">
              <v:shape style="position:absolute;left:4685;top:2065;width:300;height:2" coordorigin="4685,2065" coordsize="300,0" path="m4685,2065l4985,2065e" filled="false" stroked="true" strokeweight=".06pt" strokecolor="#000000">
                <v:path arrowok="t"/>
              </v:shape>
            </v:group>
            <v:group style="position:absolute;left:4175;top:2065;width:300;height:2" coordorigin="4175,2065" coordsize="300,2">
              <v:shape style="position:absolute;left:4175;top:2065;width:300;height:2" coordorigin="4175,2065" coordsize="300,0" path="m4175,2065l4475,2065e" filled="false" stroked="true" strokeweight=".06pt" strokecolor="#000000">
                <v:path arrowok="t"/>
              </v:shape>
            </v:group>
            <v:group style="position:absolute;left:3649;top:2065;width:316;height:2" coordorigin="3649,2065" coordsize="316,2">
              <v:shape style="position:absolute;left:3649;top:2065;width:316;height:2" coordorigin="3649,2065" coordsize="316,0" path="m3649,2065l3965,2065e" filled="false" stroked="true" strokeweight=".06pt" strokecolor="#000000">
                <v:path arrowok="t"/>
              </v:shape>
            </v:group>
            <v:group style="position:absolute;left:3425;top:2065;width:30;height:2" coordorigin="3425,2065" coordsize="30,2">
              <v:shape style="position:absolute;left:3425;top:2065;width:30;height:2" coordorigin="3425,2065" coordsize="30,0" path="m3425,2065l3455,2065e" filled="false" stroked="true" strokeweight=".06pt" strokecolor="#000000">
                <v:path arrowok="t"/>
              </v:shape>
            </v:group>
            <v:group style="position:absolute;left:3245;top:1735;width:180;height:136" coordorigin="3245,1735" coordsize="180,136">
              <v:shape style="position:absolute;left:3245;top:1735;width:180;height:136" coordorigin="3245,1735" coordsize="180,136" path="m3245,1870l3425,1735e" filled="false" stroked="true" strokeweight=".06pt" strokecolor="#000000">
                <v:path arrowok="t"/>
              </v:shape>
            </v:group>
            <v:group style="position:absolute;left:5195;top:1735;width:3360;height:2" coordorigin="5195,1735" coordsize="3360,2">
              <v:shape style="position:absolute;left:5195;top:1735;width:3360;height:2" coordorigin="5195,1735" coordsize="3360,0" path="m5195,1735l8555,1735e" filled="false" stroked="true" strokeweight=".06pt" strokecolor="#000000">
                <v:path arrowok="t"/>
              </v:shape>
            </v:group>
            <v:group style="position:absolute;left:4685;top:1735;width:300;height:2" coordorigin="4685,1735" coordsize="300,2">
              <v:shape style="position:absolute;left:4685;top:1735;width:300;height:2" coordorigin="4685,1735" coordsize="300,0" path="m4685,1735l4985,1735e" filled="false" stroked="true" strokeweight=".06pt" strokecolor="#000000">
                <v:path arrowok="t"/>
              </v:shape>
            </v:group>
            <v:group style="position:absolute;left:4175;top:1735;width:300;height:2" coordorigin="4175,1735" coordsize="300,2">
              <v:shape style="position:absolute;left:4175;top:1735;width:300;height:2" coordorigin="4175,1735" coordsize="300,0" path="m4175,1735l4475,1735e" filled="false" stroked="true" strokeweight=".06pt" strokecolor="#000000">
                <v:path arrowok="t"/>
              </v:shape>
            </v:group>
            <v:group style="position:absolute;left:3649;top:1735;width:316;height:2" coordorigin="3649,1735" coordsize="316,2">
              <v:shape style="position:absolute;left:3649;top:1735;width:316;height:2" coordorigin="3649,1735" coordsize="316,0" path="m3649,1735l3965,1735e" filled="false" stroked="true" strokeweight=".06pt" strokecolor="#000000">
                <v:path arrowok="t"/>
              </v:shape>
            </v:group>
            <v:group style="position:absolute;left:3425;top:1735;width:30;height:2" coordorigin="3425,1735" coordsize="30,2">
              <v:shape style="position:absolute;left:3425;top:1735;width:30;height:2" coordorigin="3425,1735" coordsize="30,0" path="m3425,1735l3455,1735e" filled="false" stroked="true" strokeweight=".06pt" strokecolor="#000000">
                <v:path arrowok="t"/>
              </v:shape>
            </v:group>
            <v:group style="position:absolute;left:3245;top:1390;width:180;height:135" coordorigin="3245,1390" coordsize="180,135">
              <v:shape style="position:absolute;left:3245;top:1390;width:180;height:135" coordorigin="3245,1390" coordsize="180,135" path="m3245,1525l3425,1390e" filled="false" stroked="true" strokeweight=".06pt" strokecolor="#000000">
                <v:path arrowok="t"/>
              </v:shape>
            </v:group>
            <v:group style="position:absolute;left:4175;top:1390;width:4380;height:2" coordorigin="4175,1390" coordsize="4380,2">
              <v:shape style="position:absolute;left:4175;top:1390;width:4380;height:2" coordorigin="4175,1390" coordsize="4380,0" path="m4175,1390l8555,1390e" filled="false" stroked="true" strokeweight=".06pt" strokecolor="#000000">
                <v:path arrowok="t"/>
              </v:shape>
            </v:group>
            <v:group style="position:absolute;left:3649;top:1390;width:316;height:2" coordorigin="3649,1390" coordsize="316,2">
              <v:shape style="position:absolute;left:3649;top:1390;width:316;height:2" coordorigin="3649,1390" coordsize="316,0" path="m3649,1390l3965,1390e" filled="false" stroked="true" strokeweight=".06pt" strokecolor="#000000">
                <v:path arrowok="t"/>
              </v:shape>
            </v:group>
            <v:group style="position:absolute;left:3425;top:1390;width:30;height:2" coordorigin="3425,1390" coordsize="30,2">
              <v:shape style="position:absolute;left:3425;top:1390;width:30;height:2" coordorigin="3425,1390" coordsize="30,0" path="m3425,1390l3455,1390e" filled="false" stroked="true" strokeweight=".06pt" strokecolor="#000000">
                <v:path arrowok="t"/>
              </v:shape>
            </v:group>
            <v:group style="position:absolute;left:3245;top:1060;width:180;height:135" coordorigin="3245,1060" coordsize="180,135">
              <v:shape style="position:absolute;left:3245;top:1060;width:180;height:135" coordorigin="3245,1060" coordsize="180,135" path="m3245,1195l3425,1060e" filled="false" stroked="true" strokeweight=".06pt" strokecolor="#000000">
                <v:path arrowok="t"/>
              </v:shape>
            </v:group>
            <v:group style="position:absolute;left:4175;top:1060;width:4380;height:2" coordorigin="4175,1060" coordsize="4380,2">
              <v:shape style="position:absolute;left:4175;top:1060;width:4380;height:2" coordorigin="4175,1060" coordsize="4380,0" path="m4175,1060l8555,1060e" filled="false" stroked="true" strokeweight=".06pt" strokecolor="#000000">
                <v:path arrowok="t"/>
              </v:shape>
            </v:group>
            <v:group style="position:absolute;left:3649;top:1060;width:316;height:2" coordorigin="3649,1060" coordsize="316,2">
              <v:shape style="position:absolute;left:3649;top:1060;width:316;height:2" coordorigin="3649,1060" coordsize="316,0" path="m3649,1060l3965,1060e" filled="false" stroked="true" strokeweight=".06pt" strokecolor="#000000">
                <v:path arrowok="t"/>
              </v:shape>
            </v:group>
            <v:group style="position:absolute;left:3425;top:1060;width:30;height:2" coordorigin="3425,1060" coordsize="30,2">
              <v:shape style="position:absolute;left:3425;top:1060;width:30;height:2" coordorigin="3425,1060" coordsize="30,0" path="m3425,1060l3455,1060e" filled="false" stroked="true" strokeweight=".06pt" strokecolor="#000000">
                <v:path arrowok="t"/>
              </v:shape>
            </v:group>
            <v:group style="position:absolute;left:3245;top:715;width:180;height:136" coordorigin="3245,715" coordsize="180,136">
              <v:shape style="position:absolute;left:3245;top:715;width:180;height:136" coordorigin="3245,715" coordsize="180,136" path="m3245,850l3425,715e" filled="false" stroked="true" strokeweight=".06pt" strokecolor="#000000">
                <v:path arrowok="t"/>
              </v:shape>
            </v:group>
            <v:group style="position:absolute;left:4175;top:715;width:4380;height:2" coordorigin="4175,715" coordsize="4380,2">
              <v:shape style="position:absolute;left:4175;top:715;width:4380;height:2" coordorigin="4175,715" coordsize="4380,0" path="m4175,715l8555,715e" filled="false" stroked="true" strokeweight=".06pt" strokecolor="#000000">
                <v:path arrowok="t"/>
              </v:shape>
            </v:group>
            <v:group style="position:absolute;left:3649;top:715;width:316;height:2" coordorigin="3649,715" coordsize="316,2">
              <v:shape style="position:absolute;left:3649;top:715;width:316;height:2" coordorigin="3649,715" coordsize="316,0" path="m3649,715l3965,715e" filled="false" stroked="true" strokeweight=".06pt" strokecolor="#000000">
                <v:path arrowok="t"/>
              </v:shape>
            </v:group>
            <v:group style="position:absolute;left:3425;top:715;width:30;height:2" coordorigin="3425,715" coordsize="30,2">
              <v:shape style="position:absolute;left:3425;top:715;width:30;height:2" coordorigin="3425,715" coordsize="30,0" path="m3425,715l3455,715e" filled="false" stroked="true" strokeweight=".06pt" strokecolor="#000000">
                <v:path arrowok="t"/>
              </v:shape>
            </v:group>
            <v:group style="position:absolute;left:3245;top:385;width:180;height:136" coordorigin="3245,385" coordsize="180,136">
              <v:shape style="position:absolute;left:3245;top:385;width:180;height:136" coordorigin="3245,385" coordsize="180,136" path="m3245,520l3425,385e" filled="false" stroked="true" strokeweight=".06pt" strokecolor="#000000">
                <v:path arrowok="t"/>
              </v:shape>
            </v:group>
            <v:group style="position:absolute;left:3649;top:385;width:4906;height:2" coordorigin="3649,385" coordsize="4906,2">
              <v:shape style="position:absolute;left:3649;top:385;width:4906;height:2" coordorigin="3649,385" coordsize="4906,0" path="m3649,385l8555,385e" filled="false" stroked="true" strokeweight=".06pt" strokecolor="#000000">
                <v:path arrowok="t"/>
              </v:shape>
            </v:group>
            <v:group style="position:absolute;left:3425;top:385;width:30;height:2" coordorigin="3425,385" coordsize="30,2">
              <v:shape style="position:absolute;left:3425;top:385;width:30;height:2" coordorigin="3425,385" coordsize="30,0" path="m3425,385l3455,385e" filled="false" stroked="true" strokeweight=".06pt" strokecolor="#000000">
                <v:path arrowok="t"/>
              </v:shape>
            </v:group>
            <v:group style="position:absolute;left:3245;top:55;width:180;height:120" coordorigin="3245,55" coordsize="180,120">
              <v:shape style="position:absolute;left:3245;top:55;width:180;height:120" coordorigin="3245,55" coordsize="180,120" path="m3245,175l3425,55e" filled="false" stroked="true" strokeweight=".06pt" strokecolor="#000000">
                <v:path arrowok="t"/>
              </v:shape>
            </v:group>
            <v:group style="position:absolute;left:3425;top:55;width:5130;height:2" coordorigin="3425,55" coordsize="5130,2">
              <v:shape style="position:absolute;left:3425;top:55;width:5130;height:2" coordorigin="3425,55" coordsize="5130,0" path="m3425,55l8555,55e" filled="false" stroked="true" strokeweight=".06pt" strokecolor="#000000">
                <v:path arrowok="t"/>
              </v:shape>
            </v:group>
            <v:group style="position:absolute;left:3245;top:3085;width:5310;height:120" coordorigin="3245,3085" coordsize="5310,120">
              <v:shape style="position:absolute;left:3245;top:3085;width:5310;height:120" coordorigin="3245,3085" coordsize="5310,120" path="m8555,3085l8375,3205,3245,3205,3425,3085,8555,3085xe" filled="false" stroked="true" strokeweight=".06pt" strokecolor="#000000">
                <v:path arrowok="t"/>
              </v:shape>
            </v:group>
            <v:group style="position:absolute;left:3245;top:55;width:180;height:3150" coordorigin="3245,55" coordsize="180,3150">
              <v:shape style="position:absolute;left:3245;top:55;width:180;height:3150" coordorigin="3245,55" coordsize="180,3150" path="m3245,3205l3245,175,3425,55,3425,3085,3245,3205xe" filled="false" stroked="true" strokeweight=".75pt" strokecolor="#7f7f7f">
                <v:path arrowok="t"/>
              </v:shape>
            </v:group>
            <v:group style="position:absolute;left:3425;top:55;width:5130;height:3030" coordorigin="3425,55" coordsize="5130,3030">
              <v:shape style="position:absolute;left:3425;top:55;width:5130;height:3030" coordorigin="3425,55" coordsize="5130,3030" path="m8555,3085l3425,3085,3425,55,8555,55,8555,3085xe" filled="false" stroked="true" strokeweight=".75pt" strokecolor="#7f7f7f">
                <v:path arrowok="t"/>
              </v:shape>
            </v:group>
            <v:group style="position:absolute;left:3649;top:2380;width:76;height:795" coordorigin="3649,2380" coordsize="76,795">
              <v:shape style="position:absolute;left:3649;top:2380;width:76;height:795" coordorigin="3649,2380" coordsize="76,795" path="m3725,2380l3649,2425,3649,3175,3725,3115,3725,2380xe" filled="true" fillcolor="#4d4d80" stroked="false">
                <v:path arrowok="t"/>
                <v:fill type="solid"/>
              </v:shape>
            </v:group>
            <v:group style="position:absolute;left:3649;top:2380;width:76;height:795" coordorigin="3649,2380" coordsize="76,795">
              <v:shape style="position:absolute;left:3649;top:2380;width:76;height:795" coordorigin="3649,2380" coordsize="76,795" path="m3649,3175l3649,2425,3725,2380,3725,3115,3649,3175xe" filled="false" stroked="true" strokeweight=".75pt" strokecolor="#000000">
                <v:path arrowok="t"/>
              </v:shape>
            </v:group>
            <v:group style="position:absolute;left:3455;top:2425;width:195;height:750" coordorigin="3455,2425" coordsize="195,750">
              <v:shape style="position:absolute;left:3455;top:2425;width:195;height:750" coordorigin="3455,2425" coordsize="195,750" path="m3649,3175l3455,3175,3455,2425,3649,2425,3649,3175xe" filled="true" fillcolor="#9a9aff" stroked="false">
                <v:path arrowok="t"/>
                <v:fill type="solid"/>
              </v:shape>
            </v:group>
            <v:group style="position:absolute;left:3455;top:2425;width:195;height:750" coordorigin="3455,2425" coordsize="195,750">
              <v:shape style="position:absolute;left:3455;top:2425;width:195;height:750" coordorigin="3455,2425" coordsize="195,750" path="m3649,3175l3455,3175,3455,2425,3649,2425,3649,3175xe" filled="false" stroked="true" strokeweight=".75pt" strokecolor="#000000">
                <v:path arrowok="t"/>
              </v:shape>
            </v:group>
            <v:group style="position:absolute;left:3649;top:1975;width:76;height:450" coordorigin="3649,1975" coordsize="76,450">
              <v:shape style="position:absolute;left:3649;top:1975;width:76;height:450" coordorigin="3649,1975" coordsize="76,450" path="m3725,1975l3649,2020,3649,2425,3725,2380,3725,1975xe" filled="true" fillcolor="#4d1a33" stroked="false">
                <v:path arrowok="t"/>
                <v:fill type="solid"/>
              </v:shape>
            </v:group>
            <v:group style="position:absolute;left:3649;top:1975;width:76;height:450" coordorigin="3649,1975" coordsize="76,450">
              <v:shape style="position:absolute;left:3649;top:1975;width:76;height:450" coordorigin="3649,1975" coordsize="76,450" path="m3649,2425l3649,2020,3725,1975,3725,2380,3649,2425xe" filled="false" stroked="true" strokeweight=".75pt" strokecolor="#000000">
                <v:path arrowok="t"/>
              </v:shape>
            </v:group>
            <v:group style="position:absolute;left:3455;top:2020;width:195;height:405" coordorigin="3455,2020" coordsize="195,405">
              <v:shape style="position:absolute;left:3455;top:2020;width:195;height:405" coordorigin="3455,2020" coordsize="195,405" path="m3649,2425l3455,2425,3455,2020,3649,2020,3649,2425xe" filled="true" fillcolor="#9a3365" stroked="false">
                <v:path arrowok="t"/>
                <v:fill type="solid"/>
              </v:shape>
            </v:group>
            <v:group style="position:absolute;left:3455;top:2020;width:195;height:405" coordorigin="3455,2020" coordsize="195,405">
              <v:shape style="position:absolute;left:3455;top:2020;width:195;height:405" coordorigin="3455,2020" coordsize="195,405" path="m3649,2425l3455,2425,3455,2020,3649,2020,3649,2425xe" filled="false" stroked="true" strokeweight=".75pt" strokecolor="#000000">
                <v:path arrowok="t"/>
              </v:shape>
            </v:group>
            <v:group style="position:absolute;left:3649;top:220;width:76;height:1800" coordorigin="3649,220" coordsize="76,1800">
              <v:shape style="position:absolute;left:3649;top:220;width:76;height:1800" coordorigin="3649,220" coordsize="76,1800" path="m3725,220l3649,280,3649,2020,3725,1975,3725,220xe" filled="true" fillcolor="#808065" stroked="false">
                <v:path arrowok="t"/>
                <v:fill type="solid"/>
              </v:shape>
            </v:group>
            <v:group style="position:absolute;left:3649;top:220;width:76;height:1800" coordorigin="3649,220" coordsize="76,1800">
              <v:shape style="position:absolute;left:3649;top:220;width:76;height:1800" coordorigin="3649,220" coordsize="76,1800" path="m3649,2020l3649,280,3725,220,3725,1975,3649,2020xe" filled="false" stroked="true" strokeweight=".75pt" strokecolor="#000000">
                <v:path arrowok="t"/>
              </v:shape>
            </v:group>
            <v:group style="position:absolute;left:3455;top:280;width:195;height:1740" coordorigin="3455,280" coordsize="195,1740">
              <v:shape style="position:absolute;left:3455;top:280;width:195;height:1740" coordorigin="3455,280" coordsize="195,1740" path="m3649,2020l3455,2020,3455,280,3649,280,3649,2020xe" filled="true" fillcolor="#ffffcc" stroked="false">
                <v:path arrowok="t"/>
                <v:fill type="solid"/>
              </v:shape>
            </v:group>
            <v:group style="position:absolute;left:3455;top:280;width:195;height:1740" coordorigin="3455,280" coordsize="195,1740">
              <v:shape style="position:absolute;left:3455;top:280;width:195;height:1740" coordorigin="3455,280" coordsize="195,1740" path="m3649,2020l3455,2020,3455,280,3649,280,3649,2020xe" filled="false" stroked="true" strokeweight=".75pt" strokecolor="#000000">
                <v:path arrowok="t"/>
              </v:shape>
            </v:group>
            <v:group style="position:absolute;left:3455;top:220;width:270;height:60" coordorigin="3455,220" coordsize="270,60">
              <v:shape style="position:absolute;left:3455;top:220;width:270;height:60" coordorigin="3455,220" coordsize="270,60" path="m3725,220l3515,220,3455,280,3649,280,3725,220xe" filled="true" fillcolor="#bfbf9a" stroked="false">
                <v:path arrowok="t"/>
                <v:fill type="solid"/>
              </v:shape>
            </v:group>
            <v:group style="position:absolute;left:3455;top:220;width:270;height:60" coordorigin="3455,220" coordsize="270,60">
              <v:shape style="position:absolute;left:3455;top:220;width:270;height:60" coordorigin="3455,220" coordsize="270,60" path="m3649,280l3725,220,3515,220,3455,280,3649,280xe" filled="false" stroked="true" strokeweight=".75pt" strokecolor="#000000">
                <v:path arrowok="t"/>
              </v:shape>
            </v:group>
            <v:group style="position:absolute;left:4175;top:2575;width:60;height:600" coordorigin="4175,2575" coordsize="60,600">
              <v:shape style="position:absolute;left:4175;top:2575;width:60;height:600" coordorigin="4175,2575" coordsize="60,600" path="m4235,2575l4175,2635,4175,3175,4235,3115,4235,2575xe" filled="true" fillcolor="#4d4d80" stroked="false">
                <v:path arrowok="t"/>
                <v:fill type="solid"/>
              </v:shape>
            </v:group>
            <v:group style="position:absolute;left:4175;top:2575;width:60;height:600" coordorigin="4175,2575" coordsize="60,600">
              <v:shape style="position:absolute;left:4175;top:2575;width:60;height:600" coordorigin="4175,2575" coordsize="60,600" path="m4175,3175l4175,2635,4235,2575,4235,3115,4175,3175xe" filled="false" stroked="true" strokeweight=".75pt" strokecolor="#000000">
                <v:path arrowok="t"/>
              </v:shape>
            </v:group>
            <v:group style="position:absolute;left:3965;top:2635;width:210;height:540" coordorigin="3965,2635" coordsize="210,540">
              <v:shape style="position:absolute;left:3965;top:2635;width:210;height:540" coordorigin="3965,2635" coordsize="210,540" path="m4175,3175l3965,3175,3965,2635,4175,2635,4175,3175xe" filled="true" fillcolor="#9a9aff" stroked="false">
                <v:path arrowok="t"/>
                <v:fill type="solid"/>
              </v:shape>
            </v:group>
            <v:group style="position:absolute;left:3965;top:2635;width:210;height:540" coordorigin="3965,2635" coordsize="210,540">
              <v:shape style="position:absolute;left:3965;top:2635;width:210;height:540" coordorigin="3965,2635" coordsize="210,540" path="m4175,3175l3965,3175,3965,2635,4175,2635,4175,3175xe" filled="false" stroked="true" strokeweight=".75pt" strokecolor="#000000">
                <v:path arrowok="t"/>
              </v:shape>
            </v:group>
            <v:group style="position:absolute;left:4175;top:1630;width:60;height:1005" coordorigin="4175,1630" coordsize="60,1005">
              <v:shape style="position:absolute;left:4175;top:1630;width:60;height:1005" coordorigin="4175,1630" coordsize="60,1005" path="m4235,1630l4175,1690,4175,2635,4235,2575,4235,1630xe" filled="true" fillcolor="#4d1a33" stroked="false">
                <v:path arrowok="t"/>
                <v:fill type="solid"/>
              </v:shape>
            </v:group>
            <v:group style="position:absolute;left:4175;top:1630;width:60;height:1005" coordorigin="4175,1630" coordsize="60,1005">
              <v:shape style="position:absolute;left:4175;top:1630;width:60;height:1005" coordorigin="4175,1630" coordsize="60,1005" path="m4175,2635l4175,1690,4235,1630,4235,2575,4175,2635xe" filled="false" stroked="true" strokeweight=".75pt" strokecolor="#000000">
                <v:path arrowok="t"/>
              </v:shape>
            </v:group>
            <v:group style="position:absolute;left:3965;top:1690;width:210;height:945" coordorigin="3965,1690" coordsize="210,945">
              <v:shape style="position:absolute;left:3965;top:1690;width:210;height:945" coordorigin="3965,1690" coordsize="210,945" path="m4175,2635l3965,2635,3965,1690,4175,1690,4175,2635xe" filled="true" fillcolor="#9a3365" stroked="false">
                <v:path arrowok="t"/>
                <v:fill type="solid"/>
              </v:shape>
            </v:group>
            <v:group style="position:absolute;left:3965;top:1690;width:210;height:945" coordorigin="3965,1690" coordsize="210,945">
              <v:shape style="position:absolute;left:3965;top:1690;width:210;height:945" coordorigin="3965,1690" coordsize="210,945" path="m4175,2635l3965,2635,3965,1690,4175,1690,4175,2635xe" filled="false" stroked="true" strokeweight=".75pt" strokecolor="#000000">
                <v:path arrowok="t"/>
              </v:shape>
            </v:group>
            <v:group style="position:absolute;left:4175;top:490;width:60;height:1200" coordorigin="4175,490" coordsize="60,1200">
              <v:shape style="position:absolute;left:4175;top:490;width:60;height:1200" coordorigin="4175,490" coordsize="60,1200" path="m4235,490l4175,550,4175,1690,4235,1630,4235,490xe" filled="true" fillcolor="#808065" stroked="false">
                <v:path arrowok="t"/>
                <v:fill type="solid"/>
              </v:shape>
            </v:group>
            <v:group style="position:absolute;left:4175;top:490;width:60;height:1200" coordorigin="4175,490" coordsize="60,1200">
              <v:shape style="position:absolute;left:4175;top:490;width:60;height:1200" coordorigin="4175,490" coordsize="60,1200" path="m4175,1690l4175,550,4235,490,4235,1630,4175,1690xe" filled="false" stroked="true" strokeweight=".75pt" strokecolor="#000000">
                <v:path arrowok="t"/>
              </v:shape>
            </v:group>
            <v:group style="position:absolute;left:3965;top:550;width:210;height:1140" coordorigin="3965,550" coordsize="210,1140">
              <v:shape style="position:absolute;left:3965;top:550;width:210;height:1140" coordorigin="3965,550" coordsize="210,1140" path="m4175,1690l3965,1690,3965,550,4175,550,4175,1690xe" filled="true" fillcolor="#ffffcc" stroked="false">
                <v:path arrowok="t"/>
                <v:fill type="solid"/>
              </v:shape>
            </v:group>
            <v:group style="position:absolute;left:3965;top:550;width:210;height:1140" coordorigin="3965,550" coordsize="210,1140">
              <v:shape style="position:absolute;left:3965;top:550;width:210;height:1140" coordorigin="3965,550" coordsize="210,1140" path="m4175,1690l3965,1690,3965,550,4175,550,4175,1690xe" filled="false" stroked="true" strokeweight=".75pt" strokecolor="#000000">
                <v:path arrowok="t"/>
              </v:shape>
            </v:group>
            <v:group style="position:absolute;left:3965;top:490;width:270;height:60" coordorigin="3965,490" coordsize="270,60">
              <v:shape style="position:absolute;left:3965;top:490;width:270;height:60" coordorigin="3965,490" coordsize="270,60" path="m4235,490l4039,490,3965,550,4175,550,4235,490xe" filled="true" fillcolor="#bfbf9a" stroked="false">
                <v:path arrowok="t"/>
                <v:fill type="solid"/>
              </v:shape>
            </v:group>
            <v:group style="position:absolute;left:3965;top:490;width:270;height:60" coordorigin="3965,490" coordsize="270,60">
              <v:shape style="position:absolute;left:3965;top:490;width:270;height:60" coordorigin="3965,490" coordsize="270,60" path="m4175,550l4235,490,4039,490,3965,550,4175,550xe" filled="false" stroked="true" strokeweight=".75pt" strokecolor="#000000">
                <v:path arrowok="t"/>
              </v:shape>
              <v:shape style="position:absolute;left:4467;top:2703;width:299;height:479" type="#_x0000_t75" stroked="false">
                <v:imagedata r:id="rId13" o:title=""/>
              </v:shape>
            </v:group>
            <v:group style="position:absolute;left:4685;top:1375;width:75;height:1396" coordorigin="4685,1375" coordsize="75,1396">
              <v:shape style="position:absolute;left:4685;top:1375;width:75;height:1396" coordorigin="4685,1375" coordsize="75,1396" path="m4759,1375l4685,1420,4685,2770,4759,2710,4759,1375xe" filled="true" fillcolor="#808065" stroked="false">
                <v:path arrowok="t"/>
                <v:fill type="solid"/>
              </v:shape>
            </v:group>
            <v:group style="position:absolute;left:4685;top:1375;width:75;height:1396" coordorigin="4685,1375" coordsize="75,1396">
              <v:shape style="position:absolute;left:4685;top:1375;width:75;height:1396" coordorigin="4685,1375" coordsize="75,1396" path="m4685,2770l4685,1420,4759,1375,4759,2710,4685,2770xe" filled="false" stroked="true" strokeweight=".75pt" strokecolor="#000000">
                <v:path arrowok="t"/>
              </v:shape>
            </v:group>
            <v:group style="position:absolute;left:4475;top:1420;width:210;height:1350" coordorigin="4475,1420" coordsize="210,1350">
              <v:shape style="position:absolute;left:4475;top:1420;width:210;height:1350" coordorigin="4475,1420" coordsize="210,1350" path="m4685,2770l4475,2770,4475,1420,4685,1420,4685,2770xe" filled="true" fillcolor="#ffffcc" stroked="false">
                <v:path arrowok="t"/>
                <v:fill type="solid"/>
              </v:shape>
            </v:group>
            <v:group style="position:absolute;left:4475;top:1420;width:210;height:1350" coordorigin="4475,1420" coordsize="210,1350">
              <v:shape style="position:absolute;left:4475;top:1420;width:210;height:1350" coordorigin="4475,1420" coordsize="210,1350" path="m4685,2770l4475,2770,4475,1420,4685,1420,4685,2770xe" filled="false" stroked="true" strokeweight=".75pt" strokecolor="#000000">
                <v:path arrowok="t"/>
              </v:shape>
            </v:group>
            <v:group style="position:absolute;left:4475;top:1375;width:285;height:46" coordorigin="4475,1375" coordsize="285,46">
              <v:shape style="position:absolute;left:4475;top:1375;width:285;height:46" coordorigin="4475,1375" coordsize="285,46" path="m4759,1375l4549,1375,4475,1420,4685,1420,4759,1375xe" filled="true" fillcolor="#bfbf9a" stroked="false">
                <v:path arrowok="t"/>
                <v:fill type="solid"/>
              </v:shape>
            </v:group>
            <v:group style="position:absolute;left:4475;top:1375;width:285;height:46" coordorigin="4475,1375" coordsize="285,46">
              <v:shape style="position:absolute;left:4475;top:1375;width:285;height:46" coordorigin="4475,1375" coordsize="285,46" path="m4685,1420l4759,1375,4549,1375,4475,1420,4685,1420xe" filled="false" stroked="true" strokeweight=".75pt" strokecolor="#000000">
                <v:path arrowok="t"/>
              </v:shape>
              <v:shape style="position:absolute;left:4977;top:2703;width:299;height:479" type="#_x0000_t75" stroked="false">
                <v:imagedata r:id="rId13" o:title=""/>
              </v:shape>
            </v:group>
            <v:group style="position:absolute;left:5195;top:1495;width:75;height:1276" coordorigin="5195,1495" coordsize="75,1276">
              <v:shape style="position:absolute;left:5195;top:1495;width:75;height:1276" coordorigin="5195,1495" coordsize="75,1276" path="m5269,1495l5195,1555,5195,2770,5269,2710,5269,1495xe" filled="true" fillcolor="#808065" stroked="false">
                <v:path arrowok="t"/>
                <v:fill type="solid"/>
              </v:shape>
            </v:group>
            <v:group style="position:absolute;left:5195;top:1495;width:75;height:1276" coordorigin="5195,1495" coordsize="75,1276">
              <v:shape style="position:absolute;left:5195;top:1495;width:75;height:1276" coordorigin="5195,1495" coordsize="75,1276" path="m5195,2770l5195,1555,5269,1495,5269,2710,5195,2770xe" filled="false" stroked="true" strokeweight=".75pt" strokecolor="#000000">
                <v:path arrowok="t"/>
              </v:shape>
            </v:group>
            <v:group style="position:absolute;left:4985;top:1555;width:210;height:1216" coordorigin="4985,1555" coordsize="210,1216">
              <v:shape style="position:absolute;left:4985;top:1555;width:210;height:1216" coordorigin="4985,1555" coordsize="210,1216" path="m5195,2770l4985,2770,4985,1555,5195,1555,5195,2770xe" filled="true" fillcolor="#ffffcc" stroked="false">
                <v:path arrowok="t"/>
                <v:fill type="solid"/>
              </v:shape>
            </v:group>
            <v:group style="position:absolute;left:4985;top:1555;width:210;height:1216" coordorigin="4985,1555" coordsize="210,1216">
              <v:shape style="position:absolute;left:4985;top:1555;width:210;height:1216" coordorigin="4985,1555" coordsize="210,1216" path="m5195,2770l4985,2770,4985,1555,5195,1555,5195,2770xe" filled="false" stroked="true" strokeweight=".75pt" strokecolor="#000000">
                <v:path arrowok="t"/>
              </v:shape>
            </v:group>
            <v:group style="position:absolute;left:4985;top:1495;width:285;height:60" coordorigin="4985,1495" coordsize="285,60">
              <v:shape style="position:absolute;left:4985;top:1495;width:285;height:60" coordorigin="4985,1495" coordsize="285,60" path="m5269,1495l5059,1495,4985,1555,5195,1555,5269,1495xe" filled="true" fillcolor="#bfbf9a" stroked="false">
                <v:path arrowok="t"/>
                <v:fill type="solid"/>
              </v:shape>
            </v:group>
            <v:group style="position:absolute;left:4985;top:1495;width:285;height:60" coordorigin="4985,1495" coordsize="285,60">
              <v:shape style="position:absolute;left:4985;top:1495;width:285;height:60" coordorigin="4985,1495" coordsize="285,60" path="m5195,1555l5269,1495,5059,1495,4985,1555,5195,1555xe" filled="false" stroked="true" strokeweight=".75pt" strokecolor="#000000">
                <v:path arrowok="t"/>
              </v:shape>
              <v:shape style="position:absolute;left:5502;top:2777;width:285;height:405" type="#_x0000_t75" stroked="false">
                <v:imagedata r:id="rId14" o:title=""/>
              </v:shape>
            </v:group>
            <v:group style="position:absolute;left:5705;top:1705;width:75;height:1126" coordorigin="5705,1705" coordsize="75,1126">
              <v:shape style="position:absolute;left:5705;top:1705;width:75;height:1126" coordorigin="5705,1705" coordsize="75,1126" path="m5779,1705l5705,1765,5705,2830,5779,2785,5779,1705xe" filled="true" fillcolor="#808065" stroked="false">
                <v:path arrowok="t"/>
                <v:fill type="solid"/>
              </v:shape>
            </v:group>
            <v:group style="position:absolute;left:5705;top:1705;width:75;height:1126" coordorigin="5705,1705" coordsize="75,1126">
              <v:shape style="position:absolute;left:5705;top:1705;width:75;height:1126" coordorigin="5705,1705" coordsize="75,1126" path="m5705,2830l5705,1765,5779,1705,5779,2785,5705,2830xe" filled="false" stroked="true" strokeweight=".75pt" strokecolor="#000000">
                <v:path arrowok="t"/>
              </v:shape>
            </v:group>
            <v:group style="position:absolute;left:5509;top:1765;width:196;height:1066" coordorigin="5509,1765" coordsize="196,1066">
              <v:shape style="position:absolute;left:5509;top:1765;width:196;height:1066" coordorigin="5509,1765" coordsize="196,1066" path="m5705,2830l5509,2830,5509,1765,5705,1765,5705,2830xe" filled="true" fillcolor="#ffffcc" stroked="false">
                <v:path arrowok="t"/>
                <v:fill type="solid"/>
              </v:shape>
            </v:group>
            <v:group style="position:absolute;left:5509;top:1765;width:196;height:1066" coordorigin="5509,1765" coordsize="196,1066">
              <v:shape style="position:absolute;left:5509;top:1765;width:196;height:1066" coordorigin="5509,1765" coordsize="196,1066" path="m5705,2830l5509,2830,5509,1765,5705,1765,5705,2830xe" filled="false" stroked="true" strokeweight=".75pt" strokecolor="#000000">
                <v:path arrowok="t"/>
              </v:shape>
            </v:group>
            <v:group style="position:absolute;left:5509;top:1705;width:270;height:60" coordorigin="5509,1705" coordsize="270,60">
              <v:shape style="position:absolute;left:5509;top:1705;width:270;height:60" coordorigin="5509,1705" coordsize="270,60" path="m5779,1705l5569,1705,5509,1765,5705,1765,5779,1705xe" filled="true" fillcolor="#bfbf9a" stroked="false">
                <v:path arrowok="t"/>
                <v:fill type="solid"/>
              </v:shape>
            </v:group>
            <v:group style="position:absolute;left:5509;top:1705;width:270;height:60" coordorigin="5509,1705" coordsize="270,60">
              <v:shape style="position:absolute;left:5509;top:1705;width:270;height:60" coordorigin="5509,1705" coordsize="270,60" path="m5705,1765l5779,1705,5569,1705,5509,1765,5705,1765xe" filled="false" stroked="true" strokeweight=".75pt" strokecolor="#000000">
                <v:path arrowok="t"/>
              </v:shape>
              <v:shape style="position:absolute;left:6012;top:2703;width:285;height:479" type="#_x0000_t75" stroked="false">
                <v:imagedata r:id="rId15" o:title=""/>
              </v:shape>
            </v:group>
            <v:group style="position:absolute;left:6229;top:1840;width:60;height:930" coordorigin="6229,1840" coordsize="60,930">
              <v:shape style="position:absolute;left:6229;top:1840;width:60;height:930" coordorigin="6229,1840" coordsize="60,930" path="m6289,1840l6229,1885,6229,2770,6289,2710,6289,1840xe" filled="true" fillcolor="#808065" stroked="false">
                <v:path arrowok="t"/>
                <v:fill type="solid"/>
              </v:shape>
            </v:group>
            <v:group style="position:absolute;left:6229;top:1840;width:60;height:930" coordorigin="6229,1840" coordsize="60,930">
              <v:shape style="position:absolute;left:6229;top:1840;width:60;height:930" coordorigin="6229,1840" coordsize="60,930" path="m6229,2770l6229,1885,6289,1840,6289,2710,6229,2770xe" filled="false" stroked="true" strokeweight=".75pt" strokecolor="#000000">
                <v:path arrowok="t"/>
              </v:shape>
            </v:group>
            <v:group style="position:absolute;left:6019;top:1885;width:210;height:886" coordorigin="6019,1885" coordsize="210,886">
              <v:shape style="position:absolute;left:6019;top:1885;width:210;height:886" coordorigin="6019,1885" coordsize="210,886" path="m6229,2770l6019,2770,6019,1885,6229,1885,6229,2770xe" filled="true" fillcolor="#ffffcc" stroked="false">
                <v:path arrowok="t"/>
                <v:fill type="solid"/>
              </v:shape>
            </v:group>
            <v:group style="position:absolute;left:6019;top:1885;width:210;height:886" coordorigin="6019,1885" coordsize="210,886">
              <v:shape style="position:absolute;left:6019;top:1885;width:210;height:886" coordorigin="6019,1885" coordsize="210,886" path="m6229,2770l6019,2770,6019,1885,6229,1885,6229,2770xe" filled="false" stroked="true" strokeweight=".75pt" strokecolor="#000000">
                <v:path arrowok="t"/>
              </v:shape>
            </v:group>
            <v:group style="position:absolute;left:6019;top:1840;width:270;height:45" coordorigin="6019,1840" coordsize="270,45">
              <v:shape style="position:absolute;left:6019;top:1840;width:270;height:45" coordorigin="6019,1840" coordsize="270,45" path="m6289,1840l6095,1840,6019,1885,6229,1885,6289,1840xe" filled="true" fillcolor="#bfbf9a" stroked="false">
                <v:path arrowok="t"/>
                <v:fill type="solid"/>
              </v:shape>
            </v:group>
            <v:group style="position:absolute;left:6019;top:1840;width:270;height:45" coordorigin="6019,1840" coordsize="270,45">
              <v:shape style="position:absolute;left:6019;top:1840;width:270;height:45" coordorigin="6019,1840" coordsize="270,45" path="m6229,1885l6289,1840,6095,1840,6019,1885,6229,1885xe" filled="false" stroked="true" strokeweight=".75pt" strokecolor="#000000">
                <v:path arrowok="t"/>
              </v:shape>
              <v:shape style="position:absolute;left:6522;top:2973;width:301;height:209" type="#_x0000_t75" stroked="false">
                <v:imagedata r:id="rId16" o:title=""/>
              </v:shape>
            </v:group>
            <v:group style="position:absolute;left:6739;top:2575;width:76;height:466" coordorigin="6739,2575" coordsize="76,466">
              <v:shape style="position:absolute;left:6739;top:2575;width:76;height:466" coordorigin="6739,2575" coordsize="76,466" path="m6815,2575l6739,2635,6739,3040,6815,2980,6815,2575xe" filled="true" fillcolor="#4d1a33" stroked="false">
                <v:path arrowok="t"/>
                <v:fill type="solid"/>
              </v:shape>
            </v:group>
            <v:group style="position:absolute;left:6739;top:2575;width:76;height:466" coordorigin="6739,2575" coordsize="76,466">
              <v:shape style="position:absolute;left:6739;top:2575;width:76;height:466" coordorigin="6739,2575" coordsize="76,466" path="m6739,3040l6739,2635,6815,2575,6815,2980,6739,3040xe" filled="false" stroked="true" strokeweight=".75pt" strokecolor="#000000">
                <v:path arrowok="t"/>
              </v:shape>
            </v:group>
            <v:group style="position:absolute;left:6529;top:2635;width:210;height:406" coordorigin="6529,2635" coordsize="210,406">
              <v:shape style="position:absolute;left:6529;top:2635;width:210;height:406" coordorigin="6529,2635" coordsize="210,406" path="m6739,3040l6529,3040,6529,2635,6739,2635,6739,3040xe" filled="true" fillcolor="#9a3365" stroked="false">
                <v:path arrowok="t"/>
                <v:fill type="solid"/>
              </v:shape>
            </v:group>
            <v:group style="position:absolute;left:6529;top:2635;width:210;height:406" coordorigin="6529,2635" coordsize="210,406">
              <v:shape style="position:absolute;left:6529;top:2635;width:210;height:406" coordorigin="6529,2635" coordsize="210,406" path="m6739,3040l6529,3040,6529,2635,6739,2635,6739,3040xe" filled="false" stroked="true" strokeweight=".75pt" strokecolor="#000000">
                <v:path arrowok="t"/>
              </v:shape>
            </v:group>
            <v:group style="position:absolute;left:6739;top:2035;width:76;height:600" coordorigin="6739,2035" coordsize="76,600">
              <v:shape style="position:absolute;left:6739;top:2035;width:76;height:600" coordorigin="6739,2035" coordsize="76,600" path="m6815,2035l6739,2095,6739,2635,6815,2575,6815,2035xe" filled="true" fillcolor="#808065" stroked="false">
                <v:path arrowok="t"/>
                <v:fill type="solid"/>
              </v:shape>
            </v:group>
            <v:group style="position:absolute;left:6739;top:2035;width:76;height:600" coordorigin="6739,2035" coordsize="76,600">
              <v:shape style="position:absolute;left:6739;top:2035;width:76;height:600" coordorigin="6739,2035" coordsize="76,600" path="m6739,2635l6739,2095,6815,2035,6815,2575,6739,2635xe" filled="false" stroked="true" strokeweight=".75pt" strokecolor="#000000">
                <v:path arrowok="t"/>
              </v:shape>
            </v:group>
            <v:group style="position:absolute;left:6529;top:2095;width:210;height:540" coordorigin="6529,2095" coordsize="210,540">
              <v:shape style="position:absolute;left:6529;top:2095;width:210;height:540" coordorigin="6529,2095" coordsize="210,540" path="m6739,2635l6529,2635,6529,2095,6739,2095,6739,2635xe" filled="true" fillcolor="#ffffcc" stroked="false">
                <v:path arrowok="t"/>
                <v:fill type="solid"/>
              </v:shape>
            </v:group>
            <v:group style="position:absolute;left:6529;top:2095;width:210;height:540" coordorigin="6529,2095" coordsize="210,540">
              <v:shape style="position:absolute;left:6529;top:2095;width:210;height:540" coordorigin="6529,2095" coordsize="210,540" path="m6739,2635l6529,2635,6529,2095,6739,2095,6739,2635xe" filled="false" stroked="true" strokeweight=".75pt" strokecolor="#000000">
                <v:path arrowok="t"/>
              </v:shape>
            </v:group>
            <v:group style="position:absolute;left:6529;top:2035;width:286;height:60" coordorigin="6529,2035" coordsize="286,60">
              <v:shape style="position:absolute;left:6529;top:2035;width:286;height:60" coordorigin="6529,2035" coordsize="286,60" path="m6815,2035l6605,2035,6529,2095,6739,2095,6815,2035xe" filled="true" fillcolor="#bfbf9a" stroked="false">
                <v:path arrowok="t"/>
                <v:fill type="solid"/>
              </v:shape>
            </v:group>
            <v:group style="position:absolute;left:6529;top:2035;width:286;height:60" coordorigin="6529,2035" coordsize="286,60">
              <v:shape style="position:absolute;left:6529;top:2035;width:286;height:60" coordorigin="6529,2035" coordsize="286,60" path="m6739,2095l6815,2035,6605,2035,6529,2095,6739,2095xe" filled="false" stroked="true" strokeweight=".75pt" strokecolor="#000000">
                <v:path arrowok="t"/>
              </v:shape>
              <v:shape style="position:absolute;left:7032;top:2777;width:301;height:405" type="#_x0000_t75" stroked="false">
                <v:imagedata r:id="rId17" o:title=""/>
              </v:shape>
            </v:group>
            <v:group style="position:absolute;left:7249;top:2305;width:76;height:526" coordorigin="7249,2305" coordsize="76,526">
              <v:shape style="position:absolute;left:7249;top:2305;width:76;height:526" coordorigin="7249,2305" coordsize="76,526" path="m7325,2305l7249,2365,7249,2830,7325,2785,7325,2305xe" filled="true" fillcolor="#808065" stroked="false">
                <v:path arrowok="t"/>
                <v:fill type="solid"/>
              </v:shape>
            </v:group>
            <v:group style="position:absolute;left:7249;top:2305;width:76;height:526" coordorigin="7249,2305" coordsize="76,526">
              <v:shape style="position:absolute;left:7249;top:2305;width:76;height:526" coordorigin="7249,2305" coordsize="76,526" path="m7249,2830l7249,2365,7325,2305,7325,2785,7249,2830xe" filled="false" stroked="true" strokeweight=".75pt" strokecolor="#000000">
                <v:path arrowok="t"/>
              </v:shape>
            </v:group>
            <v:group style="position:absolute;left:7039;top:2365;width:210;height:466" coordorigin="7039,2365" coordsize="210,466">
              <v:shape style="position:absolute;left:7039;top:2365;width:210;height:466" coordorigin="7039,2365" coordsize="210,466" path="m7249,2830l7039,2830,7039,2365,7249,2365,7249,2830xe" filled="true" fillcolor="#ffffcc" stroked="false">
                <v:path arrowok="t"/>
                <v:fill type="solid"/>
              </v:shape>
            </v:group>
            <v:group style="position:absolute;left:7039;top:2365;width:210;height:466" coordorigin="7039,2365" coordsize="210,466">
              <v:shape style="position:absolute;left:7039;top:2365;width:210;height:466" coordorigin="7039,2365" coordsize="210,466" path="m7249,2830l7039,2830,7039,2365,7249,2365,7249,2830xe" filled="false" stroked="true" strokeweight=".75pt" strokecolor="#000000">
                <v:path arrowok="t"/>
              </v:shape>
            </v:group>
            <v:group style="position:absolute;left:7039;top:2305;width:286;height:60" coordorigin="7039,2305" coordsize="286,60">
              <v:shape style="position:absolute;left:7039;top:2305;width:286;height:60" coordorigin="7039,2305" coordsize="286,60" path="m7325,2305l7115,2305,7039,2365,7249,2365,7325,2305xe" filled="true" fillcolor="#bfbf9a" stroked="false">
                <v:path arrowok="t"/>
                <v:fill type="solid"/>
              </v:shape>
            </v:group>
            <v:group style="position:absolute;left:7039;top:2305;width:286;height:60" coordorigin="7039,2305" coordsize="286,60">
              <v:shape style="position:absolute;left:7039;top:2305;width:286;height:60" coordorigin="7039,2305" coordsize="286,60" path="m7249,2365l7325,2305,7115,2305,7039,2365,7249,2365xe" filled="false" stroked="true" strokeweight=".75pt" strokecolor="#000000">
                <v:path arrowok="t"/>
              </v:shape>
              <v:shape style="position:absolute;left:7528;top:2913;width:315;height:269" type="#_x0000_t75" stroked="false">
                <v:imagedata r:id="rId18" o:title=""/>
              </v:shape>
            </v:group>
            <v:group style="position:absolute;left:7759;top:2380;width:76;height:585" coordorigin="7759,2380" coordsize="76,585">
              <v:shape style="position:absolute;left:7759;top:2380;width:76;height:585" coordorigin="7759,2380" coordsize="76,585" path="m7835,2380l7759,2425,7759,2965,7835,2920,7835,2380xe" filled="true" fillcolor="#808065" stroked="false">
                <v:path arrowok="t"/>
                <v:fill type="solid"/>
              </v:shape>
            </v:group>
            <v:group style="position:absolute;left:7759;top:2380;width:76;height:585" coordorigin="7759,2380" coordsize="76,585">
              <v:shape style="position:absolute;left:7759;top:2380;width:76;height:585" coordorigin="7759,2380" coordsize="76,585" path="m7759,2965l7759,2425,7835,2380,7835,2920,7759,2965xe" filled="false" stroked="true" strokeweight=".75pt" strokecolor="#000000">
                <v:path arrowok="t"/>
              </v:shape>
            </v:group>
            <v:group style="position:absolute;left:7565;top:2425;width:195;height:540" coordorigin="7565,2425" coordsize="195,540">
              <v:shape style="position:absolute;left:7565;top:2425;width:195;height:540" coordorigin="7565,2425" coordsize="195,540" path="m7759,2965l7565,2965,7565,2425,7759,2425,7759,2965xe" filled="true" fillcolor="#ffffcc" stroked="false">
                <v:path arrowok="t"/>
                <v:fill type="solid"/>
              </v:shape>
            </v:group>
            <v:group style="position:absolute;left:7565;top:2425;width:195;height:540" coordorigin="7565,2425" coordsize="195,540">
              <v:shape style="position:absolute;left:7565;top:2425;width:195;height:540" coordorigin="7565,2425" coordsize="195,540" path="m7759,2965l7565,2965,7565,2425,7759,2425,7759,2965xe" filled="false" stroked="true" strokeweight=".75pt" strokecolor="#000000">
                <v:path arrowok="t"/>
              </v:shape>
            </v:group>
            <v:group style="position:absolute;left:7565;top:2380;width:270;height:45" coordorigin="7565,2380" coordsize="270,45">
              <v:shape style="position:absolute;left:7565;top:2380;width:270;height:45" coordorigin="7565,2380" coordsize="270,45" path="m7835,2380l7625,2380,7565,2425,7759,2425,7835,2380xe" filled="true" fillcolor="#bfbf9a" stroked="false">
                <v:path arrowok="t"/>
                <v:fill type="solid"/>
              </v:shape>
            </v:group>
            <v:group style="position:absolute;left:7565;top:2380;width:270;height:45" coordorigin="7565,2380" coordsize="270,45">
              <v:shape style="position:absolute;left:7565;top:2380;width:270;height:45" coordorigin="7565,2380" coordsize="270,45" path="m7759,2425l7835,2380,7625,2380,7565,2425,7759,2425xe" filled="false" stroked="true" strokeweight=".75pt" strokecolor="#000000">
                <v:path arrowok="t"/>
              </v:shape>
              <v:shape style="position:absolute;left:8067;top:2433;width:285;height:749" type="#_x0000_t75" stroked="false">
                <v:imagedata r:id="rId19" o:title=""/>
              </v:shape>
            </v:group>
            <v:group style="position:absolute;left:3245;top:175;width:2;height:3030" coordorigin="3245,175" coordsize="2,3030">
              <v:shape style="position:absolute;left:3245;top:175;width:2;height:3030" coordorigin="3245,175" coordsize="0,3030" path="m3245,3205l3245,175e" filled="false" stroked="true" strokeweight=".06pt" strokecolor="#000000">
                <v:path arrowok="t"/>
              </v:shape>
            </v:group>
            <v:group style="position:absolute;left:3245;top:3205;width:45;height:2" coordorigin="3245,3205" coordsize="45,2">
              <v:shape style="position:absolute;left:3245;top:3205;width:45;height:2" coordorigin="3245,3205" coordsize="45,0" path="m3289,3205l3245,3205e" filled="false" stroked="true" strokeweight=".06pt" strokecolor="#000000">
                <v:path arrowok="t"/>
              </v:shape>
            </v:group>
            <v:group style="position:absolute;left:3245;top:2875;width:45;height:2" coordorigin="3245,2875" coordsize="45,2">
              <v:shape style="position:absolute;left:3245;top:2875;width:45;height:2" coordorigin="3245,2875" coordsize="45,0" path="m3289,2875l3245,2875e" filled="false" stroked="true" strokeweight=".06pt" strokecolor="#000000">
                <v:path arrowok="t"/>
              </v:shape>
            </v:group>
            <v:group style="position:absolute;left:3245;top:2545;width:45;height:2" coordorigin="3245,2545" coordsize="45,2">
              <v:shape style="position:absolute;left:3245;top:2545;width:45;height:2" coordorigin="3245,2545" coordsize="45,0" path="m3289,2545l3245,2545e" filled="false" stroked="true" strokeweight=".06pt" strokecolor="#000000">
                <v:path arrowok="t"/>
              </v:shape>
            </v:group>
            <v:group style="position:absolute;left:3245;top:2200;width:45;height:2" coordorigin="3245,2200" coordsize="45,2">
              <v:shape style="position:absolute;left:3245;top:2200;width:45;height:2" coordorigin="3245,2200" coordsize="45,0" path="m3289,2200l3245,2200e" filled="false" stroked="true" strokeweight=".06pt" strokecolor="#000000">
                <v:path arrowok="t"/>
              </v:shape>
            </v:group>
            <v:group style="position:absolute;left:3245;top:1870;width:45;height:2" coordorigin="3245,1870" coordsize="45,2">
              <v:shape style="position:absolute;left:3245;top:1870;width:45;height:2" coordorigin="3245,1870" coordsize="45,0" path="m3289,1870l3245,1870e" filled="false" stroked="true" strokeweight=".06pt" strokecolor="#000000">
                <v:path arrowok="t"/>
              </v:shape>
            </v:group>
            <v:group style="position:absolute;left:3245;top:1525;width:45;height:2" coordorigin="3245,1525" coordsize="45,2">
              <v:shape style="position:absolute;left:3245;top:1525;width:45;height:2" coordorigin="3245,1525" coordsize="45,0" path="m3289,1525l3245,1525e" filled="false" stroked="true" strokeweight=".06pt" strokecolor="#000000">
                <v:path arrowok="t"/>
              </v:shape>
            </v:group>
            <v:group style="position:absolute;left:3245;top:1195;width:45;height:2" coordorigin="3245,1195" coordsize="45,2">
              <v:shape style="position:absolute;left:3245;top:1195;width:45;height:2" coordorigin="3245,1195" coordsize="45,0" path="m3289,1195l3245,1195e" filled="false" stroked="true" strokeweight=".06pt" strokecolor="#000000">
                <v:path arrowok="t"/>
              </v:shape>
            </v:group>
            <v:group style="position:absolute;left:3245;top:850;width:45;height:2" coordorigin="3245,850" coordsize="45,2">
              <v:shape style="position:absolute;left:3245;top:850;width:45;height:2" coordorigin="3245,850" coordsize="45,0" path="m3289,850l3245,850e" filled="false" stroked="true" strokeweight=".06pt" strokecolor="#000000">
                <v:path arrowok="t"/>
              </v:shape>
            </v:group>
            <v:group style="position:absolute;left:3245;top:520;width:45;height:2" coordorigin="3245,520" coordsize="45,2">
              <v:shape style="position:absolute;left:3245;top:520;width:45;height:2" coordorigin="3245,520" coordsize="45,0" path="m3289,520l3245,520e" filled="false" stroked="true" strokeweight=".06pt" strokecolor="#000000">
                <v:path arrowok="t"/>
              </v:shape>
            </v:group>
            <v:group style="position:absolute;left:3245;top:175;width:45;height:2" coordorigin="3245,175" coordsize="45,2">
              <v:shape style="position:absolute;left:3245;top:175;width:45;height:2" coordorigin="3245,175" coordsize="45,0" path="m3289,175l3245,175e" filled="false" stroked="true" strokeweight=".06pt" strokecolor="#000000">
                <v:path arrowok="t"/>
              </v:shape>
            </v:group>
            <v:group style="position:absolute;left:3245;top:3205;width:5130;height:2" coordorigin="3245,3205" coordsize="5130,2">
              <v:shape style="position:absolute;left:3245;top:3205;width:5130;height:2" coordorigin="3245,3205" coordsize="5130,0" path="m3245,3205l8375,3205e" filled="false" stroked="true" strokeweight=".06pt" strokecolor="#000000">
                <v:path arrowok="t"/>
              </v:shape>
            </v:group>
            <v:group style="position:absolute;left:3245;top:3160;width:2;height:45" coordorigin="3245,3160" coordsize="2,45">
              <v:shape style="position:absolute;left:3245;top:3160;width:2;height:45" coordorigin="3245,3160" coordsize="0,45" path="m3245,3160l3245,3205e" filled="false" stroked="true" strokeweight=".06pt" strokecolor="#000000">
                <v:path arrowok="t"/>
              </v:shape>
            </v:group>
            <v:group style="position:absolute;left:3755;top:3160;width:2;height:45" coordorigin="3755,3160" coordsize="2,45">
              <v:shape style="position:absolute;left:3755;top:3160;width:2;height:45" coordorigin="3755,3160" coordsize="0,45" path="m3755,3160l3755,3205e" filled="false" stroked="true" strokeweight=".06pt" strokecolor="#000000">
                <v:path arrowok="t"/>
              </v:shape>
            </v:group>
            <v:group style="position:absolute;left:4265;top:3160;width:2;height:45" coordorigin="4265,3160" coordsize="2,45">
              <v:shape style="position:absolute;left:4265;top:3160;width:2;height:45" coordorigin="4265,3160" coordsize="0,45" path="m4265,3160l4265,3205e" filled="false" stroked="true" strokeweight=".06pt" strokecolor="#000000">
                <v:path arrowok="t"/>
              </v:shape>
            </v:group>
            <v:group style="position:absolute;left:4789;top:3160;width:2;height:45" coordorigin="4789,3160" coordsize="2,45">
              <v:shape style="position:absolute;left:4789;top:3160;width:2;height:45" coordorigin="4789,3160" coordsize="0,45" path="m4789,3160l4789,3205e" filled="false" stroked="true" strokeweight=".06pt" strokecolor="#000000">
                <v:path arrowok="t"/>
              </v:shape>
            </v:group>
            <v:group style="position:absolute;left:5299;top:3160;width:2;height:45" coordorigin="5299,3160" coordsize="2,45">
              <v:shape style="position:absolute;left:5299;top:3160;width:2;height:45" coordorigin="5299,3160" coordsize="0,45" path="m5299,3160l5299,3205e" filled="false" stroked="true" strokeweight=".06pt" strokecolor="#000000">
                <v:path arrowok="t"/>
              </v:shape>
            </v:group>
            <v:group style="position:absolute;left:5809;top:3160;width:2;height:45" coordorigin="5809,3160" coordsize="2,45">
              <v:shape style="position:absolute;left:5809;top:3160;width:2;height:45" coordorigin="5809,3160" coordsize="0,45" path="m5809,3160l5809,3205e" filled="false" stroked="true" strokeweight=".06pt" strokecolor="#000000">
                <v:path arrowok="t"/>
              </v:shape>
            </v:group>
            <v:group style="position:absolute;left:6319;top:3160;width:2;height:45" coordorigin="6319,3160" coordsize="2,45">
              <v:shape style="position:absolute;left:6319;top:3160;width:2;height:45" coordorigin="6319,3160" coordsize="0,45" path="m6319,3160l6319,3205e" filled="false" stroked="true" strokeweight=".06pt" strokecolor="#000000">
                <v:path arrowok="t"/>
              </v:shape>
            </v:group>
            <v:group style="position:absolute;left:6845;top:3160;width:2;height:45" coordorigin="6845,3160" coordsize="2,45">
              <v:shape style="position:absolute;left:6845;top:3160;width:2;height:45" coordorigin="6845,3160" coordsize="0,45" path="m6845,3160l6845,3205e" filled="false" stroked="true" strokeweight=".06pt" strokecolor="#000000">
                <v:path arrowok="t"/>
              </v:shape>
            </v:group>
            <v:group style="position:absolute;left:7355;top:3160;width:2;height:45" coordorigin="7355,3160" coordsize="2,45">
              <v:shape style="position:absolute;left:7355;top:3160;width:2;height:45" coordorigin="7355,3160" coordsize="0,45" path="m7355,3160l7355,3205e" filled="false" stroked="true" strokeweight=".06pt" strokecolor="#000000">
                <v:path arrowok="t"/>
              </v:shape>
            </v:group>
            <v:group style="position:absolute;left:7865;top:3160;width:2;height:45" coordorigin="7865,3160" coordsize="2,45">
              <v:shape style="position:absolute;left:7865;top:3160;width:2;height:45" coordorigin="7865,3160" coordsize="0,45" path="m7865,3160l7865,3205e" filled="false" stroked="true" strokeweight=".06pt" strokecolor="#000000">
                <v:path arrowok="t"/>
              </v:shape>
            </v:group>
            <v:group style="position:absolute;left:8375;top:3160;width:2;height:45" coordorigin="8375,3160" coordsize="2,45">
              <v:shape style="position:absolute;left:8375;top:3160;width:2;height:45" coordorigin="8375,3160" coordsize="0,45" path="m8375,3160l8375,3205e" filled="false" stroked="true" strokeweight=".06pt" strokecolor="#000000">
                <v:path arrowok="t"/>
              </v:shape>
              <v:shape style="position:absolute;left:3440;top:280;width:210;height:1772" type="#_x0000_t202" filled="false" stroked="false">
                <v:textbox inset="0,0,0,0">
                  <w:txbxContent>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before="106"/>
                        <w:ind w:left="15" w:right="0" w:firstLine="0"/>
                        <w:jc w:val="left"/>
                        <w:rPr>
                          <w:rFonts w:ascii="宋体" w:hAnsi="宋体" w:cs="宋体" w:eastAsia="宋体" w:hint="default"/>
                          <w:sz w:val="16"/>
                          <w:szCs w:val="16"/>
                        </w:rPr>
                      </w:pPr>
                      <w:r>
                        <w:rPr>
                          <w:rFonts w:ascii="宋体"/>
                          <w:spacing w:val="6"/>
                          <w:w w:val="105"/>
                          <w:sz w:val="16"/>
                        </w:rPr>
                        <w:t>26</w:t>
                      </w:r>
                      <w:r>
                        <w:rPr>
                          <w:rFonts w:ascii="宋体"/>
                          <w:sz w:val="16"/>
                        </w:rPr>
                      </w:r>
                    </w:p>
                  </w:txbxContent>
                </v:textbox>
                <w10:wrap type="none"/>
              </v:shape>
              <v:shape style="position:absolute;left:3965;top:550;width:210;height:1172" type="#_x0000_t202" filled="false" stroked="false">
                <v:textbox inset="0,0,0,0">
                  <w:txbxContent>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17"/>
                          <w:szCs w:val="17"/>
                        </w:rPr>
                      </w:pPr>
                    </w:p>
                    <w:p>
                      <w:pPr>
                        <w:spacing w:before="0"/>
                        <w:ind w:left="-1" w:right="0" w:firstLine="0"/>
                        <w:jc w:val="left"/>
                        <w:rPr>
                          <w:rFonts w:ascii="宋体" w:hAnsi="宋体" w:cs="宋体" w:eastAsia="宋体" w:hint="default"/>
                          <w:sz w:val="16"/>
                          <w:szCs w:val="16"/>
                        </w:rPr>
                      </w:pPr>
                      <w:r>
                        <w:rPr>
                          <w:rFonts w:ascii="宋体"/>
                          <w:spacing w:val="6"/>
                          <w:w w:val="105"/>
                          <w:sz w:val="16"/>
                        </w:rPr>
                        <w:t>17</w:t>
                      </w:r>
                      <w:r>
                        <w:rPr>
                          <w:rFonts w:ascii="宋体"/>
                          <w:sz w:val="16"/>
                        </w:rPr>
                      </w:r>
                    </w:p>
                  </w:txbxContent>
                </v:textbox>
                <w10:wrap type="none"/>
              </v:shape>
              <v:shape style="position:absolute;left:4475;top:1390;width:210;height:1355" type="#_x0000_t202" filled="false" stroked="false">
                <v:textbox inset="0,0,0,0">
                  <w:txbxContent>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8"/>
                        <w:rPr>
                          <w:rFonts w:ascii="宋体" w:hAnsi="宋体" w:cs="宋体" w:eastAsia="宋体" w:hint="default"/>
                          <w:sz w:val="11"/>
                          <w:szCs w:val="11"/>
                        </w:rPr>
                      </w:pPr>
                    </w:p>
                    <w:p>
                      <w:pPr>
                        <w:spacing w:before="0"/>
                        <w:ind w:left="-1" w:right="0" w:firstLine="0"/>
                        <w:jc w:val="left"/>
                        <w:rPr>
                          <w:rFonts w:ascii="宋体" w:hAnsi="宋体" w:cs="宋体" w:eastAsia="宋体" w:hint="default"/>
                          <w:sz w:val="16"/>
                          <w:szCs w:val="16"/>
                        </w:rPr>
                      </w:pPr>
                      <w:r>
                        <w:rPr>
                          <w:rFonts w:ascii="宋体"/>
                          <w:spacing w:val="6"/>
                          <w:w w:val="105"/>
                          <w:sz w:val="16"/>
                        </w:rPr>
                        <w:t>20</w:t>
                      </w:r>
                      <w:r>
                        <w:rPr>
                          <w:rFonts w:ascii="宋体"/>
                          <w:sz w:val="16"/>
                        </w:rPr>
                      </w:r>
                    </w:p>
                  </w:txbxContent>
                </v:textbox>
                <w10:wrap type="none"/>
              </v:shape>
              <v:shape style="position:absolute;left:4985;top:1555;width:210;height:1191" type="#_x0000_t202" filled="false" stroked="false">
                <v:textbox inset="0,0,0,0">
                  <w:txbxContent>
                    <w:p>
                      <w:pPr>
                        <w:spacing w:line="240" w:lineRule="auto" w:before="0"/>
                        <w:rPr>
                          <w:rFonts w:ascii="宋体" w:hAnsi="宋体" w:cs="宋体" w:eastAsia="宋体" w:hint="default"/>
                          <w:sz w:val="16"/>
                          <w:szCs w:val="16"/>
                        </w:rPr>
                      </w:pPr>
                    </w:p>
                    <w:p>
                      <w:pPr>
                        <w:spacing w:line="240" w:lineRule="auto" w:before="9"/>
                        <w:rPr>
                          <w:rFonts w:ascii="宋体" w:hAnsi="宋体" w:cs="宋体" w:eastAsia="宋体" w:hint="default"/>
                          <w:sz w:val="20"/>
                          <w:szCs w:val="20"/>
                        </w:rPr>
                      </w:pPr>
                    </w:p>
                    <w:p>
                      <w:pPr>
                        <w:spacing w:before="0"/>
                        <w:ind w:left="-1" w:right="0" w:firstLine="0"/>
                        <w:jc w:val="left"/>
                        <w:rPr>
                          <w:rFonts w:ascii="宋体" w:hAnsi="宋体" w:cs="宋体" w:eastAsia="宋体" w:hint="default"/>
                          <w:sz w:val="16"/>
                          <w:szCs w:val="16"/>
                        </w:rPr>
                      </w:pPr>
                      <w:r>
                        <w:rPr>
                          <w:rFonts w:ascii="宋体"/>
                          <w:spacing w:val="6"/>
                          <w:w w:val="105"/>
                          <w:sz w:val="16"/>
                        </w:rPr>
                        <w:t>18</w:t>
                      </w:r>
                      <w:r>
                        <w:rPr>
                          <w:rFonts w:ascii="宋体"/>
                          <w:sz w:val="16"/>
                        </w:rPr>
                      </w:r>
                    </w:p>
                  </w:txbxContent>
                </v:textbox>
                <w10:wrap type="none"/>
              </v:shape>
              <v:shape style="position:absolute;left:3965;top:1722;width:210;height:913" type="#_x0000_t202" filled="false" stroked="false">
                <v:textbox inset="0,0,0,0">
                  <w:txbxContent>
                    <w:p>
                      <w:pPr>
                        <w:spacing w:line="240" w:lineRule="auto" w:before="12"/>
                        <w:rPr>
                          <w:rFonts w:ascii="宋体" w:hAnsi="宋体" w:cs="宋体" w:eastAsia="宋体" w:hint="default"/>
                          <w:sz w:val="23"/>
                          <w:szCs w:val="23"/>
                        </w:rPr>
                      </w:pPr>
                    </w:p>
                    <w:p>
                      <w:pPr>
                        <w:spacing w:before="0"/>
                        <w:ind w:left="-1" w:right="0" w:firstLine="0"/>
                        <w:jc w:val="left"/>
                        <w:rPr>
                          <w:rFonts w:ascii="宋体" w:hAnsi="宋体" w:cs="宋体" w:eastAsia="宋体" w:hint="default"/>
                          <w:sz w:val="16"/>
                          <w:szCs w:val="16"/>
                        </w:rPr>
                      </w:pPr>
                      <w:r>
                        <w:rPr>
                          <w:rFonts w:ascii="宋体"/>
                          <w:spacing w:val="6"/>
                          <w:w w:val="105"/>
                          <w:sz w:val="16"/>
                        </w:rPr>
                        <w:t>14</w:t>
                      </w:r>
                      <w:r>
                        <w:rPr>
                          <w:rFonts w:ascii="宋体"/>
                          <w:sz w:val="16"/>
                        </w:rPr>
                      </w:r>
                    </w:p>
                  </w:txbxContent>
                </v:textbox>
                <w10:wrap type="none"/>
              </v:shape>
              <v:shape style="position:absolute;left:5509;top:1728;width:196;height:1017" type="#_x0000_t202" filled="false" stroked="false">
                <v:textbox inset="0,0,0,0">
                  <w:txbxContent>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7"/>
                          <w:szCs w:val="17"/>
                        </w:rPr>
                      </w:pPr>
                    </w:p>
                    <w:p>
                      <w:pPr>
                        <w:spacing w:before="0"/>
                        <w:ind w:left="1" w:right="0" w:firstLine="0"/>
                        <w:jc w:val="left"/>
                        <w:rPr>
                          <w:rFonts w:ascii="宋体" w:hAnsi="宋体" w:cs="宋体" w:eastAsia="宋体" w:hint="default"/>
                          <w:sz w:val="16"/>
                          <w:szCs w:val="16"/>
                        </w:rPr>
                      </w:pPr>
                      <w:r>
                        <w:rPr>
                          <w:rFonts w:ascii="宋体"/>
                          <w:spacing w:val="6"/>
                          <w:w w:val="105"/>
                          <w:sz w:val="16"/>
                        </w:rPr>
                        <w:t>16</w:t>
                      </w:r>
                      <w:r>
                        <w:rPr>
                          <w:rFonts w:ascii="宋体"/>
                          <w:sz w:val="16"/>
                        </w:rPr>
                      </w:r>
                    </w:p>
                  </w:txbxContent>
                </v:textbox>
                <w10:wrap type="none"/>
              </v:shape>
              <v:shape style="position:absolute;left:6019;top:1885;width:210;height:861" type="#_x0000_t202" filled="false" stroked="false">
                <v:textbox inset="0,0,0,0">
                  <w:txbxContent>
                    <w:p>
                      <w:pPr>
                        <w:spacing w:line="240" w:lineRule="auto" w:before="0"/>
                        <w:rPr>
                          <w:rFonts w:ascii="宋体" w:hAnsi="宋体" w:cs="宋体" w:eastAsia="宋体" w:hint="default"/>
                          <w:sz w:val="16"/>
                          <w:szCs w:val="16"/>
                        </w:rPr>
                      </w:pPr>
                    </w:p>
                    <w:p>
                      <w:pPr>
                        <w:spacing w:before="106"/>
                        <w:ind w:left="15" w:right="0" w:firstLine="0"/>
                        <w:jc w:val="left"/>
                        <w:rPr>
                          <w:rFonts w:ascii="宋体" w:hAnsi="宋体" w:cs="宋体" w:eastAsia="宋体" w:hint="default"/>
                          <w:sz w:val="16"/>
                          <w:szCs w:val="16"/>
                        </w:rPr>
                      </w:pPr>
                      <w:r>
                        <w:rPr>
                          <w:rFonts w:ascii="宋体"/>
                          <w:spacing w:val="6"/>
                          <w:w w:val="105"/>
                          <w:sz w:val="16"/>
                        </w:rPr>
                        <w:t>13</w:t>
                      </w:r>
                      <w:r>
                        <w:rPr>
                          <w:rFonts w:ascii="宋体"/>
                          <w:sz w:val="16"/>
                        </w:rPr>
                      </w:r>
                    </w:p>
                  </w:txbxContent>
                </v:textbox>
                <w10:wrap type="none"/>
              </v:shape>
              <v:shape style="position:absolute;left:3440;top:2052;width:210;height:359" type="#_x0000_t202" filled="false" stroked="false">
                <v:textbox inset="0,0,0,0">
                  <w:txbxContent>
                    <w:p>
                      <w:pPr>
                        <w:spacing w:before="43"/>
                        <w:ind w:left="60" w:right="0" w:firstLine="0"/>
                        <w:jc w:val="left"/>
                        <w:rPr>
                          <w:rFonts w:ascii="宋体" w:hAnsi="宋体" w:cs="宋体" w:eastAsia="宋体" w:hint="default"/>
                          <w:sz w:val="16"/>
                          <w:szCs w:val="16"/>
                        </w:rPr>
                      </w:pPr>
                      <w:r>
                        <w:rPr>
                          <w:rFonts w:ascii="宋体"/>
                          <w:w w:val="103"/>
                          <w:sz w:val="16"/>
                        </w:rPr>
                        <w:t>6</w:t>
                      </w:r>
                      <w:r>
                        <w:rPr>
                          <w:rFonts w:ascii="宋体"/>
                          <w:sz w:val="16"/>
                        </w:rPr>
                      </w:r>
                    </w:p>
                  </w:txbxContent>
                </v:textbox>
                <w10:wrap type="none"/>
              </v:shape>
              <v:shape style="position:absolute;left:6529;top:2064;width:210;height:571" type="#_x0000_t202" filled="false" stroked="false">
                <v:textbox inset="0,0,0,0">
                  <w:txbxContent>
                    <w:p>
                      <w:pPr>
                        <w:spacing w:line="240" w:lineRule="auto" w:before="11"/>
                        <w:rPr>
                          <w:rFonts w:ascii="宋体" w:hAnsi="宋体" w:cs="宋体" w:eastAsia="宋体" w:hint="default"/>
                          <w:sz w:val="13"/>
                          <w:szCs w:val="13"/>
                        </w:rPr>
                      </w:pPr>
                    </w:p>
                    <w:p>
                      <w:pPr>
                        <w:spacing w:before="0"/>
                        <w:ind w:left="61" w:right="0" w:firstLine="0"/>
                        <w:jc w:val="left"/>
                        <w:rPr>
                          <w:rFonts w:ascii="宋体" w:hAnsi="宋体" w:cs="宋体" w:eastAsia="宋体" w:hint="default"/>
                          <w:sz w:val="16"/>
                          <w:szCs w:val="16"/>
                        </w:rPr>
                      </w:pPr>
                      <w:r>
                        <w:rPr>
                          <w:rFonts w:ascii="宋体"/>
                          <w:w w:val="103"/>
                          <w:sz w:val="16"/>
                        </w:rPr>
                        <w:t>8</w:t>
                      </w:r>
                      <w:r>
                        <w:rPr>
                          <w:rFonts w:ascii="宋体"/>
                          <w:sz w:val="16"/>
                        </w:rPr>
                      </w:r>
                    </w:p>
                  </w:txbxContent>
                </v:textbox>
                <w10:wrap type="none"/>
              </v:shape>
              <v:shape style="position:absolute;left:7039;top:2410;width:210;height:357" type="#_x0000_t202" filled="false" stroked="false">
                <v:textbox inset="0,0,0,0">
                  <w:txbxContent>
                    <w:p>
                      <w:pPr>
                        <w:spacing w:before="60"/>
                        <w:ind w:left="61" w:right="0" w:firstLine="0"/>
                        <w:jc w:val="left"/>
                        <w:rPr>
                          <w:rFonts w:ascii="宋体" w:hAnsi="宋体" w:cs="宋体" w:eastAsia="宋体" w:hint="default"/>
                          <w:sz w:val="16"/>
                          <w:szCs w:val="16"/>
                        </w:rPr>
                      </w:pPr>
                      <w:r>
                        <w:rPr>
                          <w:rFonts w:ascii="宋体"/>
                          <w:w w:val="103"/>
                          <w:sz w:val="16"/>
                        </w:rPr>
                        <w:t>7</w:t>
                      </w:r>
                      <w:r>
                        <w:rPr>
                          <w:rFonts w:ascii="宋体"/>
                          <w:sz w:val="16"/>
                        </w:rPr>
                      </w:r>
                    </w:p>
                  </w:txbxContent>
                </v:textbox>
                <w10:wrap type="none"/>
              </v:shape>
              <v:shape style="position:absolute;left:7565;top:2410;width:195;height:555" type="#_x0000_t202" filled="false" stroked="false">
                <v:textbox inset="0,0,0,0">
                  <w:txbxContent>
                    <w:p>
                      <w:pPr>
                        <w:spacing w:line="240" w:lineRule="auto" w:before="8"/>
                        <w:rPr>
                          <w:rFonts w:ascii="宋体" w:hAnsi="宋体" w:cs="宋体" w:eastAsia="宋体" w:hint="default"/>
                          <w:sz w:val="12"/>
                          <w:szCs w:val="12"/>
                        </w:rPr>
                      </w:pPr>
                    </w:p>
                    <w:p>
                      <w:pPr>
                        <w:spacing w:before="0"/>
                        <w:ind w:left="45" w:right="0" w:firstLine="0"/>
                        <w:jc w:val="left"/>
                        <w:rPr>
                          <w:rFonts w:ascii="宋体" w:hAnsi="宋体" w:cs="宋体" w:eastAsia="宋体" w:hint="default"/>
                          <w:sz w:val="16"/>
                          <w:szCs w:val="16"/>
                        </w:rPr>
                      </w:pPr>
                      <w:r>
                        <w:rPr>
                          <w:rFonts w:ascii="宋体"/>
                          <w:w w:val="103"/>
                          <w:sz w:val="16"/>
                        </w:rPr>
                        <w:t>8</w:t>
                      </w:r>
                      <w:r>
                        <w:rPr>
                          <w:rFonts w:ascii="宋体"/>
                          <w:sz w:val="16"/>
                        </w:rPr>
                      </w:r>
                    </w:p>
                  </w:txbxContent>
                </v:textbox>
                <w10:wrap type="none"/>
              </v:shape>
              <v:shape style="position:absolute;left:3440;top:2410;width:210;height:675" type="#_x0000_t202" filled="false" stroked="false">
                <v:textbox inset="0,0,0,0">
                  <w:txbxContent>
                    <w:p>
                      <w:pPr>
                        <w:spacing w:line="240" w:lineRule="auto" w:before="9"/>
                        <w:rPr>
                          <w:rFonts w:ascii="宋体" w:hAnsi="宋体" w:cs="宋体" w:eastAsia="宋体" w:hint="default"/>
                          <w:sz w:val="20"/>
                          <w:szCs w:val="20"/>
                        </w:rPr>
                      </w:pPr>
                    </w:p>
                    <w:p>
                      <w:pPr>
                        <w:spacing w:before="0"/>
                        <w:ind w:left="15" w:right="0" w:firstLine="0"/>
                        <w:jc w:val="left"/>
                        <w:rPr>
                          <w:rFonts w:ascii="宋体" w:hAnsi="宋体" w:cs="宋体" w:eastAsia="宋体" w:hint="default"/>
                          <w:sz w:val="16"/>
                          <w:szCs w:val="16"/>
                        </w:rPr>
                      </w:pPr>
                      <w:r>
                        <w:rPr>
                          <w:rFonts w:ascii="宋体"/>
                          <w:spacing w:val="6"/>
                          <w:w w:val="105"/>
                          <w:sz w:val="16"/>
                        </w:rPr>
                        <w:t>11</w:t>
                      </w:r>
                      <w:r>
                        <w:rPr>
                          <w:rFonts w:ascii="宋体"/>
                          <w:sz w:val="16"/>
                        </w:rPr>
                      </w:r>
                    </w:p>
                  </w:txbxContent>
                </v:textbox>
                <w10:wrap type="none"/>
              </v:shape>
              <v:shape style="position:absolute;left:3965;top:2635;width:210;height:450" type="#_x0000_t202" filled="false" stroked="false">
                <v:textbox inset="0,0,0,0">
                  <w:txbxContent>
                    <w:p>
                      <w:pPr>
                        <w:spacing w:line="240" w:lineRule="auto" w:before="6"/>
                        <w:rPr>
                          <w:rFonts w:ascii="宋体" w:hAnsi="宋体" w:cs="宋体" w:eastAsia="宋体" w:hint="default"/>
                          <w:sz w:val="11"/>
                          <w:szCs w:val="11"/>
                        </w:rPr>
                      </w:pPr>
                    </w:p>
                    <w:p>
                      <w:pPr>
                        <w:spacing w:before="0"/>
                        <w:ind w:left="45" w:right="0" w:firstLine="0"/>
                        <w:jc w:val="left"/>
                        <w:rPr>
                          <w:rFonts w:ascii="宋体" w:hAnsi="宋体" w:cs="宋体" w:eastAsia="宋体" w:hint="default"/>
                          <w:sz w:val="16"/>
                          <w:szCs w:val="16"/>
                        </w:rPr>
                      </w:pPr>
                      <w:r>
                        <w:rPr>
                          <w:rFonts w:ascii="宋体"/>
                          <w:w w:val="103"/>
                          <w:sz w:val="16"/>
                        </w:rPr>
                        <w:t>8</w:t>
                      </w:r>
                      <w:r>
                        <w:rPr>
                          <w:rFonts w:ascii="宋体"/>
                          <w:sz w:val="16"/>
                        </w:rPr>
                      </w:r>
                    </w:p>
                  </w:txbxContent>
                </v:textbox>
                <w10:wrap type="none"/>
              </v:shape>
              <v:shape style="position:absolute;left:6529;top:2635;width:210;height:450" type="#_x0000_t202" filled="false" stroked="false">
                <v:textbox inset="0,0,0,0">
                  <w:txbxContent>
                    <w:p>
                      <w:pPr>
                        <w:spacing w:before="76"/>
                        <w:ind w:left="61" w:right="0" w:firstLine="0"/>
                        <w:jc w:val="left"/>
                        <w:rPr>
                          <w:rFonts w:ascii="宋体" w:hAnsi="宋体" w:cs="宋体" w:eastAsia="宋体" w:hint="default"/>
                          <w:sz w:val="16"/>
                          <w:szCs w:val="16"/>
                        </w:rPr>
                      </w:pPr>
                      <w:r>
                        <w:rPr>
                          <w:rFonts w:ascii="宋体"/>
                          <w:w w:val="103"/>
                          <w:sz w:val="16"/>
                        </w:rPr>
                        <w:t>6</w:t>
                      </w:r>
                      <w:r>
                        <w:rPr>
                          <w:rFonts w:ascii="宋体"/>
                          <w:sz w:val="16"/>
                        </w:rPr>
                      </w:r>
                    </w:p>
                  </w:txbxContent>
                </v:textbox>
                <w10:wrap type="none"/>
              </v:shape>
            </v:group>
            <w10:wrap type="none"/>
          </v:group>
        </w:pict>
      </w:r>
      <w:r>
        <w:rPr>
          <w:rFonts w:ascii="宋体"/>
          <w:spacing w:val="6"/>
          <w:w w:val="105"/>
          <w:sz w:val="16"/>
        </w:rPr>
        <w:t>45</w:t>
      </w:r>
      <w:r>
        <w:rPr>
          <w:rFonts w:ascii="宋体"/>
          <w:sz w:val="16"/>
        </w:rPr>
      </w:r>
    </w:p>
    <w:p>
      <w:pPr>
        <w:spacing w:before="136"/>
        <w:ind w:left="1534" w:right="2428" w:firstLine="0"/>
        <w:jc w:val="left"/>
        <w:rPr>
          <w:rFonts w:ascii="宋体" w:hAnsi="宋体" w:cs="宋体" w:eastAsia="宋体" w:hint="default"/>
          <w:sz w:val="16"/>
          <w:szCs w:val="16"/>
        </w:rPr>
      </w:pPr>
      <w:r>
        <w:rPr>
          <w:rFonts w:ascii="宋体"/>
          <w:spacing w:val="6"/>
          <w:w w:val="105"/>
          <w:sz w:val="16"/>
        </w:rPr>
        <w:t>40</w:t>
      </w:r>
      <w:r>
        <w:rPr>
          <w:rFonts w:ascii="宋体"/>
          <w:sz w:val="16"/>
        </w:rPr>
      </w:r>
    </w:p>
    <w:p>
      <w:pPr>
        <w:spacing w:after="0"/>
        <w:jc w:val="left"/>
        <w:rPr>
          <w:rFonts w:ascii="宋体" w:hAnsi="宋体" w:cs="宋体" w:eastAsia="宋体" w:hint="default"/>
          <w:sz w:val="16"/>
          <w:szCs w:val="16"/>
        </w:rPr>
        <w:sectPr>
          <w:pgSz w:w="11910" w:h="16840"/>
          <w:pgMar w:header="879" w:footer="982" w:top="1100" w:bottom="1180" w:left="1500" w:right="1480"/>
        </w:sectPr>
      </w:pPr>
    </w:p>
    <w:p>
      <w:pPr>
        <w:spacing w:before="120"/>
        <w:ind w:left="1515" w:right="1876" w:firstLine="0"/>
        <w:jc w:val="center"/>
        <w:rPr>
          <w:rFonts w:ascii="宋体" w:hAnsi="宋体" w:cs="宋体" w:eastAsia="宋体" w:hint="default"/>
          <w:sz w:val="16"/>
          <w:szCs w:val="16"/>
        </w:rPr>
      </w:pPr>
      <w:r>
        <w:rPr>
          <w:rFonts w:ascii="宋体"/>
          <w:spacing w:val="6"/>
          <w:w w:val="105"/>
          <w:sz w:val="16"/>
        </w:rPr>
        <w:t>35</w:t>
      </w:r>
      <w:r>
        <w:rPr>
          <w:rFonts w:ascii="宋体"/>
          <w:sz w:val="16"/>
        </w:rPr>
      </w:r>
    </w:p>
    <w:p>
      <w:pPr>
        <w:spacing w:before="135"/>
        <w:ind w:left="1515" w:right="1876" w:firstLine="0"/>
        <w:jc w:val="center"/>
        <w:rPr>
          <w:rFonts w:ascii="宋体" w:hAnsi="宋体" w:cs="宋体" w:eastAsia="宋体" w:hint="default"/>
          <w:sz w:val="16"/>
          <w:szCs w:val="16"/>
        </w:rPr>
      </w:pPr>
      <w:r>
        <w:rPr>
          <w:rFonts w:ascii="宋体"/>
          <w:spacing w:val="6"/>
          <w:w w:val="105"/>
          <w:sz w:val="16"/>
        </w:rPr>
        <w:t>30</w:t>
      </w:r>
      <w:r>
        <w:rPr>
          <w:rFonts w:ascii="宋体"/>
          <w:sz w:val="16"/>
        </w:rPr>
      </w:r>
    </w:p>
    <w:p>
      <w:pPr>
        <w:spacing w:before="120"/>
        <w:ind w:left="1515" w:right="1876" w:firstLine="0"/>
        <w:jc w:val="center"/>
        <w:rPr>
          <w:rFonts w:ascii="宋体" w:hAnsi="宋体" w:cs="宋体" w:eastAsia="宋体" w:hint="default"/>
          <w:sz w:val="16"/>
          <w:szCs w:val="16"/>
        </w:rPr>
      </w:pPr>
      <w:r>
        <w:rPr>
          <w:rFonts w:ascii="宋体"/>
          <w:spacing w:val="6"/>
          <w:w w:val="105"/>
          <w:sz w:val="16"/>
        </w:rPr>
        <w:t>25</w:t>
      </w:r>
      <w:r>
        <w:rPr>
          <w:rFonts w:ascii="宋体"/>
          <w:sz w:val="16"/>
        </w:rPr>
      </w:r>
    </w:p>
    <w:p>
      <w:pPr>
        <w:spacing w:before="136"/>
        <w:ind w:left="1515" w:right="1876" w:firstLine="0"/>
        <w:jc w:val="center"/>
        <w:rPr>
          <w:rFonts w:ascii="宋体" w:hAnsi="宋体" w:cs="宋体" w:eastAsia="宋体" w:hint="default"/>
          <w:sz w:val="16"/>
          <w:szCs w:val="16"/>
        </w:rPr>
      </w:pPr>
      <w:r>
        <w:rPr>
          <w:rFonts w:ascii="宋体"/>
          <w:spacing w:val="6"/>
          <w:w w:val="105"/>
          <w:sz w:val="16"/>
        </w:rPr>
        <w:t>20</w:t>
      </w:r>
      <w:r>
        <w:rPr>
          <w:rFonts w:ascii="宋体"/>
          <w:sz w:val="16"/>
        </w:rPr>
      </w:r>
    </w:p>
    <w:p>
      <w:pPr>
        <w:spacing w:before="120"/>
        <w:ind w:left="1515" w:right="1876" w:firstLine="0"/>
        <w:jc w:val="center"/>
        <w:rPr>
          <w:rFonts w:ascii="宋体" w:hAnsi="宋体" w:cs="宋体" w:eastAsia="宋体" w:hint="default"/>
          <w:sz w:val="16"/>
          <w:szCs w:val="16"/>
        </w:rPr>
      </w:pPr>
      <w:r>
        <w:rPr>
          <w:rFonts w:ascii="宋体"/>
          <w:spacing w:val="6"/>
          <w:w w:val="105"/>
          <w:sz w:val="16"/>
        </w:rPr>
        <w:t>15</w:t>
      </w:r>
      <w:r>
        <w:rPr>
          <w:rFonts w:ascii="宋体"/>
          <w:sz w:val="16"/>
        </w:rPr>
      </w:r>
    </w:p>
    <w:p>
      <w:pPr>
        <w:spacing w:before="135"/>
        <w:ind w:left="1515" w:right="1876" w:firstLine="0"/>
        <w:jc w:val="center"/>
        <w:rPr>
          <w:rFonts w:ascii="宋体" w:hAnsi="宋体" w:cs="宋体" w:eastAsia="宋体" w:hint="default"/>
          <w:sz w:val="16"/>
          <w:szCs w:val="16"/>
        </w:rPr>
      </w:pPr>
      <w:r>
        <w:rPr>
          <w:rFonts w:ascii="宋体"/>
          <w:spacing w:val="6"/>
          <w:w w:val="105"/>
          <w:sz w:val="16"/>
        </w:rPr>
        <w:t>10</w:t>
      </w:r>
      <w:r>
        <w:rPr>
          <w:rFonts w:ascii="宋体"/>
          <w:sz w:val="16"/>
        </w:rPr>
      </w:r>
    </w:p>
    <w:p>
      <w:pPr>
        <w:tabs>
          <w:tab w:pos="3020" w:val="left" w:leader="none"/>
          <w:tab w:pos="3530" w:val="left" w:leader="none"/>
        </w:tabs>
        <w:spacing w:before="110"/>
        <w:ind w:left="1624" w:right="-18" w:firstLine="0"/>
        <w:jc w:val="left"/>
        <w:rPr>
          <w:rFonts w:ascii="宋体" w:hAnsi="宋体" w:cs="宋体" w:eastAsia="宋体" w:hint="default"/>
          <w:sz w:val="16"/>
          <w:szCs w:val="16"/>
        </w:rPr>
      </w:pPr>
      <w:r>
        <w:rPr>
          <w:rFonts w:ascii="宋体"/>
          <w:sz w:val="16"/>
        </w:rPr>
        <w:t>5</w:t>
        <w:tab/>
      </w:r>
      <w:r>
        <w:rPr>
          <w:rFonts w:ascii="宋体"/>
          <w:position w:val="1"/>
          <w:sz w:val="16"/>
        </w:rPr>
        <w:t>3</w:t>
        <w:tab/>
        <w:t>3</w:t>
      </w:r>
      <w:r>
        <w:rPr>
          <w:rFonts w:ascii="宋体"/>
          <w:sz w:val="16"/>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721" w:lineRule="exact"/>
        <w:ind w:left="3761"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37.5pt;height:36.1pt;mso-position-horizontal-relative:char;mso-position-vertical-relative:line" coordorigin="0,0" coordsize="750,722">
            <v:group style="position:absolute;left:1;top:1;width:749;height:720" coordorigin="1,1" coordsize="749,720">
              <v:shape style="position:absolute;left:1;top:1;width:749;height:720" coordorigin="1,1" coordsize="749,720" path="m1,1l749,1,749,721,1,721,1,1xe" filled="false" stroked="true" strokeweight=".06pt" strokecolor="#000000">
                <v:path arrowok="t"/>
              </v:shape>
            </v:group>
            <v:group style="position:absolute;left:61;top:136;width:89;height:2" coordorigin="61,136" coordsize="89,2">
              <v:shape style="position:absolute;left:61;top:136;width:89;height:2" coordorigin="61,136" coordsize="89,0" path="m61,136l149,136e" filled="false" stroked="true" strokeweight="4.5pt" strokecolor="#ffffcc">
                <v:path arrowok="t"/>
              </v:shape>
            </v:group>
            <v:group style="position:absolute;left:61;top:91;width:89;height:90" coordorigin="61,91" coordsize="89,90">
              <v:shape style="position:absolute;left:61;top:91;width:89;height:90" coordorigin="61,91" coordsize="89,90" path="m61,91l149,91,149,181,61,181,61,91xe" filled="false" stroked="true" strokeweight=".75pt" strokecolor="#000000">
                <v:path arrowok="t"/>
              </v:shape>
            </v:group>
            <v:group style="position:absolute;left:61;top:376;width:89;height:2" coordorigin="61,376" coordsize="89,2">
              <v:shape style="position:absolute;left:61;top:376;width:89;height:2" coordorigin="61,376" coordsize="89,0" path="m61,376l149,376e" filled="false" stroked="true" strokeweight="4.5pt" strokecolor="#9a3365">
                <v:path arrowok="t"/>
              </v:shape>
            </v:group>
            <v:group style="position:absolute;left:61;top:331;width:89;height:90" coordorigin="61,331" coordsize="89,90">
              <v:shape style="position:absolute;left:61;top:331;width:89;height:90" coordorigin="61,331" coordsize="89,90" path="m61,331l149,331,149,421,61,421,61,331xe" filled="false" stroked="true" strokeweight=".75pt" strokecolor="#000000">
                <v:path arrowok="t"/>
              </v:shape>
            </v:group>
            <v:group style="position:absolute;left:61;top:616;width:89;height:2" coordorigin="61,616" coordsize="89,2">
              <v:shape style="position:absolute;left:61;top:616;width:89;height:2" coordorigin="61,616" coordsize="89,0" path="m61,616l149,616e" filled="false" stroked="true" strokeweight="4.5pt" strokecolor="#9a9aff">
                <v:path arrowok="t"/>
              </v:shape>
            </v:group>
            <v:group style="position:absolute;left:61;top:571;width:89;height:90" coordorigin="61,571" coordsize="89,90">
              <v:shape style="position:absolute;left:61;top:571;width:89;height:90" coordorigin="61,571" coordsize="89,90" path="m61,571l149,571,149,661,61,661,61,571xe" filled="false" stroked="true" strokeweight=".75pt" strokecolor="#000000">
                <v:path arrowok="t"/>
              </v:shape>
              <v:shape style="position:absolute;left:1;top:1;width:749;height:720" type="#_x0000_t202" filled="false" stroked="false">
                <v:textbox inset="0,0,0,0">
                  <w:txbxContent>
                    <w:p>
                      <w:pPr>
                        <w:spacing w:line="276" w:lineRule="auto" w:before="14"/>
                        <w:ind w:left="210" w:right="41" w:firstLine="0"/>
                        <w:jc w:val="both"/>
                        <w:rPr>
                          <w:rFonts w:ascii="宋体" w:hAnsi="宋体" w:cs="宋体" w:eastAsia="宋体" w:hint="default"/>
                          <w:sz w:val="16"/>
                          <w:szCs w:val="16"/>
                        </w:rPr>
                      </w:pPr>
                      <w:r>
                        <w:rPr>
                          <w:rFonts w:ascii="宋体" w:hAnsi="宋体" w:cs="宋体" w:eastAsia="宋体" w:hint="default"/>
                          <w:sz w:val="16"/>
                          <w:szCs w:val="16"/>
                        </w:rPr>
                        <w:t>社区店</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中心店</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旗舰店</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16"/>
          <w:szCs w:val="16"/>
        </w:rPr>
      </w:pPr>
    </w:p>
    <w:p>
      <w:pPr>
        <w:spacing w:line="240" w:lineRule="auto" w:before="10"/>
        <w:rPr>
          <w:rFonts w:ascii="宋体" w:hAnsi="宋体" w:cs="宋体" w:eastAsia="宋体" w:hint="default"/>
          <w:sz w:val="13"/>
          <w:szCs w:val="13"/>
        </w:rPr>
      </w:pPr>
    </w:p>
    <w:p>
      <w:pPr>
        <w:spacing w:before="0"/>
        <w:ind w:left="2563" w:right="1817" w:firstLine="0"/>
        <w:jc w:val="center"/>
        <w:rPr>
          <w:rFonts w:ascii="宋体" w:hAnsi="宋体" w:cs="宋体" w:eastAsia="宋体" w:hint="default"/>
          <w:sz w:val="16"/>
          <w:szCs w:val="16"/>
        </w:rPr>
      </w:pPr>
      <w:r>
        <w:rPr>
          <w:rFonts w:ascii="宋体"/>
          <w:w w:val="103"/>
          <w:sz w:val="16"/>
        </w:rPr>
        <w:t>5</w:t>
      </w:r>
      <w:r>
        <w:rPr>
          <w:rFonts w:ascii="宋体"/>
          <w:sz w:val="16"/>
        </w:rPr>
      </w:r>
    </w:p>
    <w:p>
      <w:pPr>
        <w:tabs>
          <w:tab w:pos="525" w:val="left" w:leader="none"/>
          <w:tab w:pos="1545" w:val="left" w:leader="none"/>
          <w:tab w:pos="2565" w:val="left" w:leader="none"/>
        </w:tabs>
        <w:spacing w:line="217" w:lineRule="exact" w:before="0"/>
        <w:ind w:left="0" w:right="1817" w:firstLine="0"/>
        <w:jc w:val="center"/>
        <w:rPr>
          <w:rFonts w:ascii="宋体" w:hAnsi="宋体" w:cs="宋体" w:eastAsia="宋体" w:hint="default"/>
          <w:sz w:val="16"/>
          <w:szCs w:val="16"/>
        </w:rPr>
      </w:pPr>
      <w:r>
        <w:rPr>
          <w:rFonts w:ascii="宋体"/>
          <w:position w:val="3"/>
          <w:sz w:val="16"/>
        </w:rPr>
        <w:t>2</w:t>
        <w:tab/>
      </w:r>
      <w:r>
        <w:rPr>
          <w:rFonts w:ascii="宋体"/>
          <w:position w:val="6"/>
          <w:sz w:val="16"/>
        </w:rPr>
        <w:t>3</w:t>
        <w:tab/>
      </w:r>
      <w:r>
        <w:rPr>
          <w:rFonts w:ascii="宋体"/>
          <w:sz w:val="16"/>
        </w:rPr>
        <w:t>3</w:t>
        <w:tab/>
      </w:r>
      <w:r>
        <w:rPr>
          <w:rFonts w:ascii="宋体"/>
          <w:w w:val="105"/>
          <w:sz w:val="16"/>
        </w:rPr>
        <w:t>3</w:t>
      </w:r>
      <w:r>
        <w:rPr>
          <w:rFonts w:ascii="宋体"/>
          <w:sz w:val="16"/>
        </w:rPr>
      </w:r>
    </w:p>
    <w:p>
      <w:pPr>
        <w:tabs>
          <w:tab w:pos="314" w:val="left" w:leader="none"/>
          <w:tab w:pos="524" w:val="left" w:leader="none"/>
          <w:tab w:pos="824" w:val="left" w:leader="none"/>
          <w:tab w:pos="1034" w:val="left" w:leader="none"/>
          <w:tab w:pos="1334" w:val="left" w:leader="none"/>
          <w:tab w:pos="1544" w:val="left" w:leader="none"/>
          <w:tab w:pos="1905" w:val="left" w:leader="none"/>
          <w:tab w:pos="2369" w:val="left" w:leader="none"/>
        </w:tabs>
        <w:spacing w:line="38" w:lineRule="exact" w:before="0"/>
        <w:ind w:left="0" w:right="1795" w:firstLine="0"/>
        <w:jc w:val="center"/>
        <w:rPr>
          <w:rFonts w:ascii="宋体" w:hAnsi="宋体" w:cs="宋体" w:eastAsia="宋体" w:hint="default"/>
          <w:sz w:val="16"/>
          <w:szCs w:val="16"/>
        </w:rPr>
      </w:pPr>
      <w:r>
        <w:rPr>
          <w:rFonts w:ascii="Times New Roman"/>
          <w:w w:val="103"/>
          <w:sz w:val="16"/>
        </w:rPr>
      </w:r>
      <w:r>
        <w:rPr>
          <w:rFonts w:ascii="Times New Roman"/>
          <w:w w:val="103"/>
          <w:sz w:val="16"/>
          <w:u w:val="single" w:color="000000"/>
        </w:rPr>
        <w:t> </w:t>
      </w:r>
      <w:r>
        <w:rPr>
          <w:rFonts w:ascii="Times New Roman"/>
          <w:sz w:val="16"/>
          <w:u w:val="single" w:color="000000"/>
        </w:rPr>
        <w:tab/>
      </w:r>
      <w:r>
        <w:rPr>
          <w:rFonts w:ascii="Times New Roman"/>
          <w:sz w:val="16"/>
        </w:rPr>
        <w:tab/>
      </w:r>
      <w:r>
        <w:rPr>
          <w:rFonts w:ascii="Times New Roman"/>
          <w:w w:val="103"/>
          <w:sz w:val="16"/>
        </w:rPr>
      </w:r>
      <w:r>
        <w:rPr>
          <w:rFonts w:ascii="Times New Roman"/>
          <w:w w:val="103"/>
          <w:sz w:val="16"/>
          <w:u w:val="single" w:color="000000"/>
        </w:rPr>
        <w:t> </w:t>
      </w:r>
      <w:r>
        <w:rPr>
          <w:rFonts w:ascii="Times New Roman"/>
          <w:sz w:val="16"/>
          <w:u w:val="single" w:color="000000"/>
        </w:rPr>
        <w:tab/>
      </w:r>
      <w:r>
        <w:rPr>
          <w:rFonts w:ascii="Times New Roman"/>
          <w:sz w:val="16"/>
        </w:rPr>
        <w:tab/>
      </w:r>
      <w:r>
        <w:rPr>
          <w:rFonts w:ascii="Times New Roman"/>
          <w:w w:val="103"/>
          <w:sz w:val="16"/>
        </w:rPr>
      </w:r>
      <w:r>
        <w:rPr>
          <w:rFonts w:ascii="Times New Roman"/>
          <w:w w:val="103"/>
          <w:sz w:val="16"/>
          <w:u w:val="single" w:color="000000"/>
        </w:rPr>
        <w:t> </w:t>
      </w:r>
      <w:r>
        <w:rPr>
          <w:rFonts w:ascii="Times New Roman"/>
          <w:sz w:val="16"/>
          <w:u w:val="single" w:color="000000"/>
        </w:rPr>
        <w:tab/>
      </w:r>
      <w:r>
        <w:rPr>
          <w:rFonts w:ascii="Times New Roman"/>
          <w:sz w:val="16"/>
        </w:rPr>
        <w:tab/>
      </w:r>
      <w:r>
        <w:rPr>
          <w:rFonts w:ascii="Times New Roman"/>
          <w:w w:val="103"/>
          <w:sz w:val="16"/>
        </w:rPr>
      </w:r>
      <w:r>
        <w:rPr>
          <w:rFonts w:ascii="Times New Roman"/>
          <w:w w:val="103"/>
          <w:sz w:val="16"/>
          <w:u w:val="single" w:color="000000"/>
        </w:rPr>
        <w:t> </w:t>
      </w:r>
      <w:r>
        <w:rPr>
          <w:rFonts w:ascii="Times New Roman"/>
          <w:sz w:val="16"/>
          <w:u w:val="single" w:color="000000"/>
        </w:rPr>
        <w:tab/>
      </w:r>
      <w:r>
        <w:rPr>
          <w:rFonts w:ascii="宋体"/>
          <w:w w:val="105"/>
          <w:sz w:val="16"/>
          <w:u w:val="single" w:color="000000"/>
        </w:rPr>
        <w:t>2</w:t>
      </w:r>
      <w:r>
        <w:rPr>
          <w:rFonts w:ascii="宋体"/>
          <w:sz w:val="16"/>
          <w:u w:val="single" w:color="000000"/>
        </w:rPr>
        <w:tab/>
      </w:r>
      <w:r>
        <w:rPr>
          <w:rFonts w:ascii="宋体"/>
          <w:sz w:val="16"/>
        </w:rPr>
      </w:r>
    </w:p>
    <w:p>
      <w:pPr>
        <w:spacing w:after="0" w:line="38" w:lineRule="exact"/>
        <w:jc w:val="center"/>
        <w:rPr>
          <w:rFonts w:ascii="宋体" w:hAnsi="宋体" w:cs="宋体" w:eastAsia="宋体" w:hint="default"/>
          <w:sz w:val="16"/>
          <w:szCs w:val="16"/>
        </w:rPr>
        <w:sectPr>
          <w:type w:val="continuous"/>
          <w:pgSz w:w="11910" w:h="16840"/>
          <w:pgMar w:top="1600" w:bottom="280" w:left="1500" w:right="1480"/>
          <w:cols w:num="2" w:equalWidth="0">
            <w:col w:w="3613" w:space="39"/>
            <w:col w:w="5278"/>
          </w:cols>
        </w:sectPr>
      </w:pPr>
    </w:p>
    <w:p>
      <w:pPr>
        <w:tabs>
          <w:tab w:pos="509" w:val="left" w:leader="none"/>
          <w:tab w:pos="1034" w:val="left" w:leader="none"/>
        </w:tabs>
        <w:spacing w:line="127" w:lineRule="exact" w:before="0"/>
        <w:ind w:left="0" w:right="0" w:firstLine="0"/>
        <w:jc w:val="right"/>
        <w:rPr>
          <w:rFonts w:ascii="宋体" w:hAnsi="宋体" w:cs="宋体" w:eastAsia="宋体" w:hint="default"/>
          <w:sz w:val="16"/>
          <w:szCs w:val="16"/>
        </w:rPr>
      </w:pPr>
      <w:r>
        <w:rPr>
          <w:rFonts w:ascii="宋体"/>
          <w:sz w:val="16"/>
        </w:rPr>
        <w:t>3</w:t>
        <w:tab/>
        <w:t>3</w:t>
        <w:tab/>
        <w:t>3</w:t>
      </w:r>
    </w:p>
    <w:p>
      <w:pPr>
        <w:spacing w:line="143" w:lineRule="exact" w:before="0"/>
        <w:ind w:left="1605" w:right="2408" w:firstLine="0"/>
        <w:jc w:val="center"/>
        <w:rPr>
          <w:rFonts w:ascii="宋体" w:hAnsi="宋体" w:cs="宋体" w:eastAsia="宋体" w:hint="default"/>
          <w:sz w:val="16"/>
          <w:szCs w:val="16"/>
        </w:rPr>
      </w:pPr>
      <w:r>
        <w:rPr>
          <w:rFonts w:ascii="宋体"/>
          <w:w w:val="103"/>
          <w:sz w:val="16"/>
        </w:rPr>
        <w:t>0</w:t>
      </w:r>
      <w:r>
        <w:rPr>
          <w:rFonts w:ascii="宋体"/>
          <w:sz w:val="16"/>
        </w:rPr>
      </w:r>
    </w:p>
    <w:p>
      <w:pPr>
        <w:tabs>
          <w:tab w:pos="913" w:val="left" w:leader="none"/>
          <w:tab w:pos="1423" w:val="left" w:leader="none"/>
          <w:tab w:pos="1933" w:val="left" w:leader="none"/>
          <w:tab w:pos="2443" w:val="left" w:leader="none"/>
        </w:tabs>
        <w:spacing w:line="224" w:lineRule="exact" w:before="0"/>
        <w:ind w:left="403" w:right="0" w:firstLine="0"/>
        <w:jc w:val="left"/>
        <w:rPr>
          <w:rFonts w:ascii="宋体" w:hAnsi="宋体" w:cs="宋体" w:eastAsia="宋体" w:hint="default"/>
          <w:sz w:val="16"/>
          <w:szCs w:val="16"/>
        </w:rPr>
      </w:pPr>
      <w:r>
        <w:rPr/>
        <w:br w:type="column"/>
      </w:r>
      <w:r>
        <w:rPr>
          <w:rFonts w:ascii="宋体"/>
          <w:position w:val="3"/>
          <w:sz w:val="16"/>
        </w:rPr>
        <w:t>3</w:t>
        <w:tab/>
      </w:r>
      <w:r>
        <w:rPr>
          <w:rFonts w:ascii="宋体"/>
          <w:sz w:val="16"/>
        </w:rPr>
        <w:t>2</w:t>
        <w:tab/>
        <w:t>2</w:t>
        <w:tab/>
      </w:r>
      <w:r>
        <w:rPr>
          <w:rFonts w:ascii="宋体"/>
          <w:position w:val="-2"/>
          <w:sz w:val="16"/>
        </w:rPr>
        <w:t>1</w:t>
        <w:tab/>
      </w:r>
      <w:r>
        <w:rPr>
          <w:rFonts w:ascii="宋体"/>
          <w:w w:val="105"/>
          <w:sz w:val="16"/>
        </w:rPr>
        <w:t>2</w:t>
      </w:r>
      <w:r>
        <w:rPr>
          <w:rFonts w:ascii="宋体"/>
          <w:sz w:val="16"/>
        </w:rPr>
      </w:r>
    </w:p>
    <w:p>
      <w:pPr>
        <w:spacing w:after="0" w:line="224" w:lineRule="exact"/>
        <w:jc w:val="left"/>
        <w:rPr>
          <w:rFonts w:ascii="宋体" w:hAnsi="宋体" w:cs="宋体" w:eastAsia="宋体" w:hint="default"/>
          <w:sz w:val="16"/>
          <w:szCs w:val="16"/>
        </w:rPr>
        <w:sectPr>
          <w:type w:val="continuous"/>
          <w:pgSz w:w="11910" w:h="16840"/>
          <w:pgMar w:top="1600" w:bottom="280" w:left="1500" w:right="1480"/>
          <w:cols w:num="2" w:equalWidth="0">
            <w:col w:w="4138" w:space="40"/>
            <w:col w:w="4752"/>
          </w:cols>
        </w:sectPr>
      </w:pPr>
    </w:p>
    <w:p>
      <w:pPr>
        <w:spacing w:line="164" w:lineRule="exact" w:before="0"/>
        <w:ind w:left="1834" w:right="1818" w:firstLine="0"/>
        <w:jc w:val="left"/>
        <w:rPr>
          <w:rFonts w:ascii="宋体" w:hAnsi="宋体" w:cs="宋体" w:eastAsia="宋体" w:hint="default"/>
          <w:sz w:val="16"/>
          <w:szCs w:val="16"/>
        </w:rPr>
      </w:pPr>
      <w:r>
        <w:rPr>
          <w:rFonts w:ascii="宋体" w:hAnsi="宋体" w:cs="宋体" w:eastAsia="宋体" w:hint="default"/>
          <w:w w:val="105"/>
          <w:sz w:val="16"/>
          <w:szCs w:val="16"/>
        </w:rPr>
        <w:t>上海  北京  广州  天津  深圳  南京  重庆  西安  成都 </w:t>
      </w:r>
      <w:r>
        <w:rPr>
          <w:rFonts w:ascii="宋体" w:hAnsi="宋体" w:cs="宋体" w:eastAsia="宋体" w:hint="default"/>
          <w:spacing w:val="69"/>
          <w:w w:val="105"/>
          <w:sz w:val="16"/>
          <w:szCs w:val="16"/>
        </w:rPr>
        <w:t> </w:t>
      </w:r>
      <w:r>
        <w:rPr>
          <w:rFonts w:ascii="宋体" w:hAnsi="宋体" w:cs="宋体" w:eastAsia="宋体" w:hint="default"/>
          <w:w w:val="105"/>
          <w:sz w:val="16"/>
          <w:szCs w:val="16"/>
        </w:rPr>
        <w:t>武汉</w:t>
      </w:r>
      <w:r>
        <w:rPr>
          <w:rFonts w:ascii="宋体" w:hAnsi="宋体" w:cs="宋体" w:eastAsia="宋体" w:hint="default"/>
          <w:sz w:val="16"/>
          <w:szCs w:val="16"/>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tabs>
          <w:tab w:pos="7103" w:val="left" w:leader="none"/>
        </w:tabs>
        <w:spacing w:before="26"/>
        <w:ind w:left="624" w:right="0"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）连锁店市场分布情况</w:t>
        <w:tab/>
      </w:r>
      <w:r>
        <w:rPr>
          <w:rFonts w:ascii="宋体" w:hAnsi="宋体" w:cs="宋体" w:eastAsia="宋体" w:hint="default"/>
          <w:b/>
          <w:bCs/>
          <w:sz w:val="21"/>
          <w:szCs w:val="21"/>
        </w:rPr>
        <w:t>（单位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家）</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748" w:type="dxa"/>
        <w:tblLayout w:type="fixed"/>
        <w:tblCellMar>
          <w:top w:w="0" w:type="dxa"/>
          <w:left w:w="0" w:type="dxa"/>
          <w:bottom w:w="0" w:type="dxa"/>
          <w:right w:w="0" w:type="dxa"/>
        </w:tblCellMar>
        <w:tblLook w:val="01E0"/>
      </w:tblPr>
      <w:tblGrid>
        <w:gridCol w:w="1080"/>
        <w:gridCol w:w="1080"/>
        <w:gridCol w:w="1080"/>
        <w:gridCol w:w="1080"/>
        <w:gridCol w:w="1080"/>
      </w:tblGrid>
      <w:tr>
        <w:trPr>
          <w:trHeight w:val="34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67"/>
              <w:ind w:left="334"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w:t>
            </w:r>
          </w:p>
        </w:tc>
      </w:tr>
      <w:tr>
        <w:trPr>
          <w:trHeight w:val="341" w:hRule="exact"/>
        </w:trPr>
        <w:tc>
          <w:tcPr>
            <w:tcW w:w="108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32"/>
              <w:jc w:val="right"/>
              <w:rPr>
                <w:rFonts w:ascii="宋体" w:hAnsi="宋体" w:cs="宋体" w:eastAsia="宋体" w:hint="default"/>
                <w:sz w:val="20"/>
                <w:szCs w:val="20"/>
              </w:rPr>
            </w:pPr>
            <w:r>
              <w:rPr>
                <w:rFonts w:ascii="宋体" w:hAnsi="宋体" w:cs="宋体" w:eastAsia="宋体" w:hint="default"/>
                <w:sz w:val="20"/>
                <w:szCs w:val="20"/>
              </w:rPr>
              <w:t>数量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4"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4" w:right="0"/>
              <w:jc w:val="left"/>
              <w:rPr>
                <w:rFonts w:ascii="宋体" w:hAnsi="宋体" w:cs="宋体" w:eastAsia="宋体" w:hint="default"/>
                <w:sz w:val="20"/>
                <w:szCs w:val="20"/>
              </w:rPr>
            </w:pPr>
            <w:r>
              <w:rPr>
                <w:rFonts w:ascii="宋体" w:hAnsi="宋体" w:cs="宋体" w:eastAsia="宋体" w:hint="default"/>
                <w:sz w:val="20"/>
                <w:szCs w:val="20"/>
              </w:rPr>
              <w:t>占比</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一级市场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3"/>
              <w:jc w:val="right"/>
              <w:rPr>
                <w:rFonts w:ascii="Times New Roman" w:hAnsi="Times New Roman" w:cs="Times New Roman" w:eastAsia="Times New Roman" w:hint="default"/>
                <w:sz w:val="20"/>
                <w:szCs w:val="20"/>
              </w:rPr>
            </w:pPr>
            <w:r>
              <w:rPr>
                <w:rFonts w:ascii="Times New Roman"/>
                <w:spacing w:val="-1"/>
                <w:sz w:val="20"/>
              </w:rPr>
              <w:t>344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4"/>
              <w:jc w:val="right"/>
              <w:rPr>
                <w:rFonts w:ascii="Times New Roman" w:hAnsi="Times New Roman" w:cs="Times New Roman" w:eastAsia="Times New Roman" w:hint="default"/>
                <w:sz w:val="20"/>
                <w:szCs w:val="20"/>
              </w:rPr>
            </w:pPr>
            <w:r>
              <w:rPr>
                <w:rFonts w:ascii="Times New Roman"/>
                <w:spacing w:val="-1"/>
                <w:sz w:val="20"/>
              </w:rPr>
              <w:t>54.43%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20"/>
                <w:szCs w:val="20"/>
              </w:rPr>
            </w:pPr>
            <w:r>
              <w:rPr>
                <w:rFonts w:ascii="Times New Roman"/>
                <w:sz w:val="20"/>
              </w:rPr>
              <w:t>196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4"/>
              <w:jc w:val="right"/>
              <w:rPr>
                <w:rFonts w:ascii="Times New Roman" w:hAnsi="Times New Roman" w:cs="Times New Roman" w:eastAsia="Times New Roman" w:hint="default"/>
                <w:sz w:val="20"/>
                <w:szCs w:val="20"/>
              </w:rPr>
            </w:pPr>
            <w:r>
              <w:rPr>
                <w:rFonts w:ascii="Times New Roman"/>
                <w:spacing w:val="-1"/>
                <w:sz w:val="20"/>
              </w:rPr>
              <w:t>55.84%</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二级市场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3"/>
              <w:jc w:val="right"/>
              <w:rPr>
                <w:rFonts w:ascii="Times New Roman" w:hAnsi="Times New Roman" w:cs="Times New Roman" w:eastAsia="Times New Roman" w:hint="default"/>
                <w:sz w:val="20"/>
                <w:szCs w:val="20"/>
              </w:rPr>
            </w:pPr>
            <w:r>
              <w:rPr>
                <w:rFonts w:ascii="Times New Roman"/>
                <w:spacing w:val="-1"/>
                <w:sz w:val="20"/>
              </w:rPr>
              <w:t>196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4"/>
              <w:jc w:val="right"/>
              <w:rPr>
                <w:rFonts w:ascii="Times New Roman" w:hAnsi="Times New Roman" w:cs="Times New Roman" w:eastAsia="Times New Roman" w:hint="default"/>
                <w:sz w:val="20"/>
                <w:szCs w:val="20"/>
              </w:rPr>
            </w:pPr>
            <w:r>
              <w:rPr>
                <w:rFonts w:ascii="Times New Roman"/>
                <w:spacing w:val="-1"/>
                <w:sz w:val="20"/>
              </w:rPr>
              <w:t>31.01%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0"/>
                <w:szCs w:val="20"/>
              </w:rPr>
            </w:pPr>
            <w:r>
              <w:rPr>
                <w:rFonts w:ascii="Times New Roman"/>
                <w:sz w:val="20"/>
              </w:rPr>
              <w:t>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4"/>
              <w:jc w:val="right"/>
              <w:rPr>
                <w:rFonts w:ascii="Times New Roman" w:hAnsi="Times New Roman" w:cs="Times New Roman" w:eastAsia="Times New Roman" w:hint="default"/>
                <w:sz w:val="20"/>
                <w:szCs w:val="20"/>
              </w:rPr>
            </w:pPr>
            <w:r>
              <w:rPr>
                <w:rFonts w:ascii="Times New Roman"/>
                <w:spacing w:val="-1"/>
                <w:sz w:val="20"/>
              </w:rPr>
              <w:t>27.92%</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三级市场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0"/>
                <w:szCs w:val="20"/>
              </w:rPr>
            </w:pPr>
            <w:r>
              <w:rPr>
                <w:rFonts w:ascii="Times New Roman"/>
                <w:sz w:val="20"/>
              </w:rPr>
              <w:t>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4"/>
              <w:jc w:val="right"/>
              <w:rPr>
                <w:rFonts w:ascii="Times New Roman" w:hAnsi="Times New Roman" w:cs="Times New Roman" w:eastAsia="Times New Roman" w:hint="default"/>
                <w:sz w:val="20"/>
                <w:szCs w:val="20"/>
              </w:rPr>
            </w:pPr>
            <w:r>
              <w:rPr>
                <w:rFonts w:ascii="Times New Roman"/>
                <w:spacing w:val="-1"/>
                <w:sz w:val="20"/>
              </w:rPr>
              <w:t>14.56%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0"/>
                <w:szCs w:val="20"/>
              </w:rPr>
            </w:pPr>
            <w:r>
              <w:rPr>
                <w:rFonts w:ascii="Times New Roman"/>
                <w:sz w:val="20"/>
              </w:rPr>
              <w:t>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4"/>
              <w:jc w:val="right"/>
              <w:rPr>
                <w:rFonts w:ascii="Times New Roman" w:hAnsi="Times New Roman" w:cs="Times New Roman" w:eastAsia="Times New Roman" w:hint="default"/>
                <w:sz w:val="20"/>
                <w:szCs w:val="20"/>
              </w:rPr>
            </w:pPr>
            <w:r>
              <w:rPr>
                <w:rFonts w:ascii="Times New Roman"/>
                <w:spacing w:val="-1"/>
                <w:sz w:val="20"/>
              </w:rPr>
              <w:t>16.24%</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3"/>
              <w:jc w:val="right"/>
              <w:rPr>
                <w:rFonts w:ascii="Times New Roman" w:hAnsi="Times New Roman" w:cs="Times New Roman" w:eastAsia="Times New Roman" w:hint="default"/>
                <w:sz w:val="20"/>
                <w:szCs w:val="20"/>
              </w:rPr>
            </w:pPr>
            <w:r>
              <w:rPr>
                <w:rFonts w:ascii="Times New Roman"/>
                <w:spacing w:val="-1"/>
                <w:sz w:val="20"/>
              </w:rPr>
              <w:t>632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74"/>
              <w:jc w:val="right"/>
              <w:rPr>
                <w:rFonts w:ascii="Times New Roman" w:hAnsi="Times New Roman" w:cs="Times New Roman" w:eastAsia="Times New Roman" w:hint="default"/>
                <w:sz w:val="20"/>
                <w:szCs w:val="20"/>
              </w:rPr>
            </w:pPr>
            <w:r>
              <w:rPr>
                <w:rFonts w:ascii="Times New Roman"/>
                <w:spacing w:val="-1"/>
                <w:sz w:val="20"/>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0"/>
                <w:szCs w:val="20"/>
              </w:rPr>
            </w:pPr>
            <w:r>
              <w:rPr>
                <w:rFonts w:ascii="Times New Roman"/>
                <w:sz w:val="20"/>
              </w:rPr>
              <w:t>351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74"/>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240" w:lineRule="auto" w:before="26"/>
        <w:ind w:left="624" w:right="2428"/>
        <w:jc w:val="left"/>
      </w:pPr>
      <w:r>
        <w:rPr/>
        <w:t>（三</w:t>
      </w:r>
      <w:r>
        <w:rPr>
          <w:spacing w:val="-120"/>
        </w:rPr>
        <w:t>）</w:t>
      </w:r>
      <w:r>
        <w:rPr/>
        <w:t>、连锁店经营质量分析</w:t>
      </w:r>
    </w:p>
    <w:p>
      <w:pPr>
        <w:pStyle w:val="BodyText"/>
        <w:spacing w:line="240" w:lineRule="auto" w:before="154"/>
        <w:ind w:left="624" w:right="0"/>
        <w:jc w:val="left"/>
      </w:pPr>
      <w:r>
        <w:rPr>
          <w:rFonts w:ascii="Times New Roman" w:hAnsi="Times New Roman" w:cs="Times New Roman" w:eastAsia="Times New Roman" w:hint="default"/>
        </w:rPr>
        <w:t>1</w:t>
      </w:r>
      <w:r>
        <w:rPr/>
        <w:t>、报告期内，扣除对特许加盟企业销售 </w:t>
      </w:r>
      <w:r>
        <w:rPr>
          <w:rFonts w:ascii="Times New Roman" w:hAnsi="Times New Roman" w:cs="Times New Roman" w:eastAsia="Times New Roman" w:hint="default"/>
        </w:rPr>
        <w:t>49.18 </w:t>
      </w:r>
      <w:r>
        <w:rPr>
          <w:rFonts w:ascii="Times New Roman" w:hAnsi="Times New Roman" w:cs="Times New Roman" w:eastAsia="Times New Roman" w:hint="default"/>
          <w:spacing w:val="31"/>
        </w:rPr>
        <w:t> </w:t>
      </w:r>
      <w:r>
        <w:rPr/>
        <w:t>亿元，不考虑承接原加盟区域</w:t>
      </w:r>
    </w:p>
    <w:p>
      <w:pPr>
        <w:pStyle w:val="BodyText"/>
        <w:spacing w:line="338" w:lineRule="auto" w:before="135"/>
        <w:ind w:right="158"/>
        <w:jc w:val="both"/>
      </w:pPr>
      <w:r>
        <w:rPr>
          <w:rFonts w:ascii="Times New Roman" w:hAnsi="Times New Roman" w:cs="Times New Roman" w:eastAsia="Times New Roman" w:hint="default"/>
        </w:rPr>
        <w:t>120</w:t>
      </w:r>
      <w:r>
        <w:rPr>
          <w:rFonts w:ascii="Times New Roman" w:hAnsi="Times New Roman" w:cs="Times New Roman" w:eastAsia="Times New Roman" w:hint="default"/>
          <w:spacing w:val="-13"/>
        </w:rPr>
        <w:t> </w:t>
      </w:r>
      <w:r>
        <w:rPr/>
        <w:t>家店面，连锁店实现简单加权单位面积主营业务收入</w:t>
      </w:r>
      <w:r>
        <w:rPr>
          <w:spacing w:val="-73"/>
        </w:rPr>
        <w:t> </w:t>
      </w:r>
      <w:r>
        <w:rPr>
          <w:rFonts w:ascii="Times New Roman" w:hAnsi="Times New Roman" w:cs="Times New Roman" w:eastAsia="Times New Roman" w:hint="default"/>
        </w:rPr>
        <w:t>18,607.22</w:t>
      </w:r>
      <w:r>
        <w:rPr>
          <w:rFonts w:ascii="Times New Roman" w:hAnsi="Times New Roman" w:cs="Times New Roman" w:eastAsia="Times New Roman" w:hint="default"/>
          <w:spacing w:val="-13"/>
        </w:rPr>
        <w:t> </w:t>
      </w:r>
      <w:r>
        <w:rPr>
          <w:spacing w:val="-6"/>
        </w:rPr>
        <w:t>元，比去年同期</w:t>
      </w:r>
      <w:r>
        <w:rPr/>
        <w:t> 增长 </w:t>
      </w:r>
      <w:r>
        <w:rPr>
          <w:rFonts w:ascii="Times New Roman" w:hAnsi="Times New Roman" w:cs="Times New Roman" w:eastAsia="Times New Roman" w:hint="default"/>
        </w:rPr>
        <w:t>1.32%</w:t>
      </w:r>
      <w:r>
        <w:rPr/>
        <w:t>；简单平均单店主营业务收入 </w:t>
      </w:r>
      <w:r>
        <w:rPr>
          <w:rFonts w:ascii="Times New Roman" w:hAnsi="Times New Roman" w:cs="Times New Roman" w:eastAsia="Times New Roman" w:hint="default"/>
        </w:rPr>
        <w:t>6517.02 </w:t>
      </w:r>
      <w:r>
        <w:rPr/>
        <w:t>万元，比去年同期增长</w:t>
      </w:r>
      <w:r>
        <w:rPr>
          <w:spacing w:val="-61"/>
        </w:rPr>
        <w:t> </w:t>
      </w:r>
      <w:r>
        <w:rPr>
          <w:rFonts w:ascii="Times New Roman" w:hAnsi="Times New Roman" w:cs="Times New Roman" w:eastAsia="Times New Roman" w:hint="default"/>
        </w:rPr>
        <w:t>4.72%</w:t>
      </w:r>
      <w:r>
        <w:rPr/>
        <w:t>； 可比店面（指</w:t>
      </w:r>
      <w:r>
        <w:rPr>
          <w:spacing w:val="-6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日之前开设，含</w:t>
      </w:r>
      <w:r>
        <w:rPr>
          <w:spacing w:val="-6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日当天开设的店面，下 同）销售收入（指店面零售金额）同比增长</w:t>
      </w:r>
      <w:r>
        <w:rPr>
          <w:spacing w:val="-60"/>
        </w:rPr>
        <w:t> </w:t>
      </w:r>
      <w:r>
        <w:rPr>
          <w:rFonts w:ascii="Times New Roman" w:hAnsi="Times New Roman" w:cs="Times New Roman" w:eastAsia="Times New Roman" w:hint="default"/>
        </w:rPr>
        <w:t>16.5%</w:t>
      </w:r>
      <w:r>
        <w:rPr/>
        <w:t>。</w:t>
      </w:r>
    </w:p>
    <w:p>
      <w:pPr>
        <w:pStyle w:val="BodyText"/>
        <w:spacing w:line="240" w:lineRule="auto" w:before="27"/>
        <w:ind w:left="623" w:right="2428"/>
        <w:jc w:val="left"/>
      </w:pPr>
      <w:r>
        <w:rPr/>
        <w:t>这主要依赖于以下几个方面的原因：</w:t>
      </w:r>
    </w:p>
    <w:p>
      <w:pPr>
        <w:pStyle w:val="BodyText"/>
        <w:spacing w:line="348" w:lineRule="auto" w:before="154"/>
        <w:ind w:right="15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公司的店面布局规划相对合理，严格按照公司制定的人口数量、市场容量</w:t>
      </w:r>
      <w:r>
        <w:rPr>
          <w:spacing w:val="3"/>
        </w:rPr>
        <w:t> </w:t>
      </w:r>
      <w:r>
        <w:rPr>
          <w:spacing w:val="-1"/>
        </w:rPr>
        <w:t>以及店面间距开设店面，在同城店面数量增加的情况下，自有店面之间的冲突、分</w:t>
      </w:r>
      <w:r>
        <w:rPr>
          <w:spacing w:val="-108"/>
        </w:rPr>
        <w:t> </w:t>
      </w:r>
      <w:r>
        <w:rPr>
          <w:spacing w:val="-108"/>
        </w:rPr>
      </w:r>
      <w:r>
        <w:rPr/>
        <w:t>流较小；</w:t>
      </w:r>
    </w:p>
    <w:p>
      <w:pPr>
        <w:pStyle w:val="BodyText"/>
        <w:spacing w:line="240" w:lineRule="auto" w:before="46"/>
        <w:ind w:left="623" w:right="0"/>
        <w:jc w:val="left"/>
        <w:rPr>
          <w:rFonts w:ascii="Times New Roman" w:hAnsi="Times New Roman" w:cs="Times New Roman" w:eastAsia="Times New Roman" w:hint="default"/>
        </w:rPr>
      </w:pPr>
      <w:r>
        <w:rPr>
          <w:rFonts w:ascii="Wingdings" w:hAnsi="Wingdings" w:cs="Wingdings" w:eastAsia="Wingdings" w:hint="default"/>
        </w:rPr>
        <w:t></w:t>
      </w:r>
      <w:r>
        <w:rPr>
          <w:rFonts w:ascii="Times New Roman" w:hAnsi="Times New Roman" w:cs="Times New Roman" w:eastAsia="Times New Roman" w:hint="default"/>
        </w:rPr>
      </w:r>
      <w:r>
        <w:rPr/>
        <w:t>公司一贯注重单店质量，平均单店销售一直居行业前列，但在</w:t>
      </w:r>
      <w:r>
        <w:rPr>
          <w:spacing w:val="-83"/>
        </w:rPr>
        <w:t> </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2006</w:t>
      </w:r>
    </w:p>
    <w:p>
      <w:pPr>
        <w:pStyle w:val="BodyText"/>
        <w:spacing w:line="357" w:lineRule="auto" w:before="135"/>
        <w:ind w:left="623" w:right="155" w:hanging="480"/>
        <w:jc w:val="left"/>
      </w:pPr>
      <w:r>
        <w:rPr/>
        <w:t>年快速发展阶段，店面经营质量上还有很多不足； </w:t>
      </w:r>
      <w:r>
        <w:rPr>
          <w:spacing w:val="-1"/>
        </w:rPr>
        <w:t>随着新开店面占已有店面比重的逐年下降，公司有更多的精力投入到已有店面</w:t>
      </w:r>
    </w:p>
    <w:p>
      <w:pPr>
        <w:pStyle w:val="BodyText"/>
        <w:spacing w:line="240" w:lineRule="auto" w:before="36"/>
        <w:ind w:right="0"/>
        <w:jc w:val="both"/>
      </w:pPr>
      <w:r>
        <w:rPr/>
        <w:t>的经营质量提升工作中；随着公司人才战略的见效，人员能力、团队成熟对店面质</w:t>
      </w:r>
    </w:p>
    <w:p>
      <w:pPr>
        <w:spacing w:after="0" w:line="240" w:lineRule="auto"/>
        <w:jc w:val="both"/>
        <w:sectPr>
          <w:type w:val="continuous"/>
          <w:pgSz w:w="11910" w:h="16840"/>
          <w:pgMar w:top="1600" w:bottom="280" w:left="1500" w:right="1480"/>
        </w:sectPr>
      </w:pPr>
    </w:p>
    <w:p>
      <w:pPr>
        <w:spacing w:line="240" w:lineRule="auto" w:before="10"/>
        <w:rPr>
          <w:rFonts w:ascii="宋体" w:hAnsi="宋体" w:cs="宋体" w:eastAsia="宋体" w:hint="default"/>
          <w:sz w:val="10"/>
          <w:szCs w:val="10"/>
        </w:rPr>
      </w:pPr>
    </w:p>
    <w:p>
      <w:pPr>
        <w:pStyle w:val="BodyText"/>
        <w:spacing w:line="357" w:lineRule="auto" w:before="26"/>
        <w:ind w:left="144" w:right="120"/>
        <w:jc w:val="left"/>
      </w:pPr>
      <w:r>
        <w:rPr/>
        <w:t>量提升起到有效推动作用；随着公司在各地持续的品牌宣传促销推广、服务提升， 品牌的知名度、美誉度也在逐步加强；</w:t>
      </w:r>
    </w:p>
    <w:p>
      <w:pPr>
        <w:pStyle w:val="BodyText"/>
        <w:spacing w:line="355" w:lineRule="auto" w:before="111"/>
        <w:ind w:right="158" w:firstLine="480"/>
        <w:jc w:val="both"/>
      </w:pPr>
      <w:r>
        <w:rPr>
          <w:rFonts w:ascii="Wingdings" w:hAnsi="Wingdings" w:cs="Wingdings" w:eastAsia="Wingdings" w:hint="default"/>
        </w:rPr>
        <w:t></w:t>
      </w:r>
      <w:r>
        <w:rPr>
          <w:rFonts w:ascii="Times New Roman" w:hAnsi="Times New Roman" w:cs="Times New Roman" w:eastAsia="Times New Roman" w:hint="default"/>
        </w:rPr>
      </w:r>
      <w:r>
        <w:rPr/>
        <w:t>公司持续推进的旗舰店模式，尤其是</w:t>
      </w:r>
      <w:r>
        <w:rPr>
          <w:spacing w:val="-33"/>
        </w:rPr>
        <w:t> </w:t>
      </w:r>
      <w:r>
        <w:rPr>
          <w:rFonts w:ascii="Times New Roman" w:hAnsi="Times New Roman" w:cs="Times New Roman" w:eastAsia="Times New Roman" w:hint="default"/>
        </w:rPr>
        <w:t>3C</w:t>
      </w:r>
      <w:r>
        <w:rPr>
          <w:rFonts w:ascii="Times New Roman" w:hAnsi="Times New Roman" w:cs="Times New Roman" w:eastAsia="Times New Roman" w:hint="default"/>
          <w:position w:val="10"/>
        </w:rPr>
        <w:t>+</w:t>
      </w:r>
      <w:r>
        <w:rPr/>
        <w:t>模式下的店面设计合理，购物流</w:t>
      </w:r>
      <w:r>
        <w:rPr>
          <w:spacing w:val="1"/>
        </w:rPr>
        <w:t> </w:t>
      </w:r>
      <w:r>
        <w:rPr>
          <w:spacing w:val="-1"/>
        </w:rPr>
        <w:t>程优化，商品丰富程度提高，能更好的满足消费者购物需求，也进一步推动了店面</w:t>
      </w:r>
      <w:r>
        <w:rPr>
          <w:spacing w:val="-108"/>
        </w:rPr>
        <w:t> </w:t>
      </w:r>
      <w:r>
        <w:rPr>
          <w:spacing w:val="-108"/>
        </w:rPr>
      </w:r>
      <w:r>
        <w:rPr>
          <w:spacing w:val="-1"/>
        </w:rPr>
        <w:t>经营质量的提升；而旗舰店的良好示范作用也带动了区域所有店面的影响力和收入</w:t>
      </w:r>
      <w:r>
        <w:rPr>
          <w:spacing w:val="-106"/>
        </w:rPr>
        <w:t> </w:t>
      </w:r>
      <w:r>
        <w:rPr>
          <w:spacing w:val="-106"/>
        </w:rPr>
      </w:r>
      <w:r>
        <w:rPr/>
        <w:t>提升；</w:t>
      </w:r>
    </w:p>
    <w:p>
      <w:pPr>
        <w:pStyle w:val="BodyText"/>
        <w:spacing w:line="348" w:lineRule="auto" w:before="38"/>
        <w:ind w:right="15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公司在目前阶段更多以自我发展方式推进连锁，企业文化统一和谐，更得</w:t>
      </w:r>
      <w:r>
        <w:rPr>
          <w:spacing w:val="3"/>
        </w:rPr>
        <w:t> </w:t>
      </w:r>
      <w:r>
        <w:rPr>
          <w:spacing w:val="-1"/>
        </w:rPr>
        <w:t>以将精力专注投放到店面完善、人才培养、平台建设和工商合作等零售核心力建设</w:t>
      </w:r>
      <w:r>
        <w:rPr>
          <w:spacing w:val="-106"/>
        </w:rPr>
        <w:t> </w:t>
      </w:r>
      <w:r>
        <w:rPr>
          <w:spacing w:val="-106"/>
        </w:rPr>
      </w:r>
      <w:r>
        <w:rPr/>
        <w:t>之上；</w:t>
      </w:r>
    </w:p>
    <w:p>
      <w:pPr>
        <w:pStyle w:val="BodyText"/>
        <w:spacing w:line="338" w:lineRule="auto" w:before="46"/>
        <w:ind w:right="15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公司在部分区域的店面也存在经营下降的状况，公司将会从选址、经营等</w:t>
      </w:r>
      <w:r>
        <w:rPr>
          <w:spacing w:val="3"/>
        </w:rPr>
        <w:t> </w:t>
      </w:r>
      <w:r>
        <w:rPr/>
        <w:t>各方面建立评估体系，在</w:t>
      </w:r>
      <w:r>
        <w:rPr>
          <w:spacing w:val="-60"/>
        </w:rPr>
        <w:t> </w:t>
      </w:r>
      <w:r>
        <w:rPr>
          <w:rFonts w:ascii="Times New Roman" w:hAnsi="Times New Roman" w:cs="Times New Roman" w:eastAsia="Times New Roman" w:hint="default"/>
        </w:rPr>
        <w:t>08 </w:t>
      </w:r>
      <w:r>
        <w:rPr/>
        <w:t>年进行合理调整优化；</w:t>
      </w:r>
    </w:p>
    <w:p>
      <w:pPr>
        <w:pStyle w:val="BodyText"/>
        <w:spacing w:line="338" w:lineRule="auto" w:before="27"/>
        <w:ind w:right="15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企业经营是一项长期的工作，如何提升每个单店的经营能力是快速发展的</w:t>
      </w:r>
      <w:r>
        <w:rPr>
          <w:spacing w:val="3"/>
        </w:rPr>
        <w:t> </w:t>
      </w:r>
      <w:r>
        <w:rPr/>
        <w:t>基础，也是公司一以贯之的不变战略。</w:t>
      </w:r>
    </w:p>
    <w:p>
      <w:pPr>
        <w:pStyle w:val="BodyText"/>
        <w:spacing w:line="240" w:lineRule="auto" w:before="55"/>
        <w:ind w:left="623" w:right="2428"/>
        <w:jc w:val="left"/>
      </w:pPr>
      <w:r>
        <w:rPr>
          <w:rFonts w:ascii="Times New Roman" w:hAnsi="Times New Roman" w:cs="Times New Roman" w:eastAsia="Times New Roman" w:hint="default"/>
        </w:rPr>
        <w:t>2</w:t>
      </w:r>
      <w:r>
        <w:rPr/>
        <w:t>、可比店面按店面类型及市场类型分布经营质量情况</w:t>
      </w:r>
    </w:p>
    <w:p>
      <w:pPr>
        <w:spacing w:line="240" w:lineRule="auto" w:before="4"/>
        <w:rPr>
          <w:rFonts w:ascii="宋体" w:hAnsi="宋体" w:cs="宋体" w:eastAsia="宋体" w:hint="default"/>
          <w:sz w:val="7"/>
          <w:szCs w:val="7"/>
        </w:rPr>
      </w:pPr>
    </w:p>
    <w:tbl>
      <w:tblPr>
        <w:tblW w:w="0" w:type="auto"/>
        <w:jc w:val="left"/>
        <w:tblInd w:w="709" w:type="dxa"/>
        <w:tblLayout w:type="fixed"/>
        <w:tblCellMar>
          <w:top w:w="0" w:type="dxa"/>
          <w:left w:w="0" w:type="dxa"/>
          <w:bottom w:w="0" w:type="dxa"/>
          <w:right w:w="0" w:type="dxa"/>
        </w:tblCellMar>
        <w:tblLook w:val="01E0"/>
      </w:tblPr>
      <w:tblGrid>
        <w:gridCol w:w="2496"/>
        <w:gridCol w:w="1561"/>
        <w:gridCol w:w="1658"/>
        <w:gridCol w:w="1762"/>
      </w:tblGrid>
      <w:tr>
        <w:trPr>
          <w:trHeight w:val="45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店面类型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旗舰店</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中心店</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社区店</w:t>
            </w:r>
          </w:p>
        </w:tc>
      </w:tr>
      <w:tr>
        <w:trPr>
          <w:trHeight w:val="45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18.76%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14.91%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15.21%</w:t>
            </w:r>
          </w:p>
        </w:tc>
      </w:tr>
      <w:tr>
        <w:trPr>
          <w:trHeight w:val="45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市场级别</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一级市场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二级市场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三级市场</w:t>
            </w:r>
          </w:p>
        </w:tc>
      </w:tr>
      <w:tr>
        <w:trPr>
          <w:trHeight w:val="45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16.99%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13.53%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20.03%</w:t>
            </w:r>
          </w:p>
        </w:tc>
      </w:tr>
    </w:tbl>
    <w:p>
      <w:pPr>
        <w:spacing w:line="240" w:lineRule="auto" w:before="1"/>
        <w:rPr>
          <w:rFonts w:ascii="宋体" w:hAnsi="宋体" w:cs="宋体" w:eastAsia="宋体" w:hint="default"/>
          <w:sz w:val="5"/>
          <w:szCs w:val="5"/>
        </w:rPr>
      </w:pPr>
    </w:p>
    <w:p>
      <w:pPr>
        <w:pStyle w:val="BodyText"/>
        <w:spacing w:line="350" w:lineRule="auto" w:before="69"/>
        <w:ind w:right="155" w:firstLine="482"/>
        <w:jc w:val="both"/>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spacing w:val="-3"/>
        </w:rPr>
        <w:t>从店面类型分布看，报告期内，公司进一步升级“</w:t>
      </w:r>
      <w:r>
        <w:rPr>
          <w:rFonts w:ascii="Times New Roman" w:hAnsi="Times New Roman" w:cs="Times New Roman" w:eastAsia="Times New Roman" w:hint="default"/>
          <w:spacing w:val="-3"/>
        </w:rPr>
        <w:t>3C</w:t>
      </w:r>
      <w:r>
        <w:rPr>
          <w:rFonts w:ascii="Times New Roman" w:hAnsi="Times New Roman" w:cs="Times New Roman" w:eastAsia="Times New Roman" w:hint="default"/>
          <w:spacing w:val="-3"/>
          <w:position w:val="6"/>
        </w:rPr>
        <w:t>+</w:t>
      </w:r>
      <w:r>
        <w:rPr>
          <w:spacing w:val="-3"/>
        </w:rPr>
        <w:t>”旗舰店模式，更贴</w:t>
      </w:r>
      <w:r>
        <w:rPr/>
        <w:t> </w:t>
      </w:r>
      <w:r>
        <w:rPr>
          <w:spacing w:val="6"/>
        </w:rPr>
        <w:t>切的满足消费者需求，从而实现旗舰店可比店面销售同比增长保持相对较高的水</w:t>
      </w:r>
      <w:r>
        <w:rPr>
          <w:spacing w:val="6"/>
        </w:rPr>
        <w:t> </w:t>
      </w:r>
      <w:r>
        <w:rPr/>
        <w:t>平，而中心店、社区店可比店面销售同比也有合理的增长；</w:t>
      </w:r>
    </w:p>
    <w:p>
      <w:pPr>
        <w:pStyle w:val="BodyText"/>
        <w:spacing w:line="328" w:lineRule="auto" w:before="12"/>
        <w:ind w:right="138" w:firstLine="482"/>
        <w:jc w:val="both"/>
      </w:pPr>
      <w:r>
        <w:rPr>
          <w:rFonts w:ascii="Wingdings" w:hAnsi="Wingdings" w:cs="Wingdings" w:eastAsia="Wingdings" w:hint="default"/>
          <w:w w:val="99"/>
        </w:rPr>
        <w:t></w:t>
      </w:r>
      <w:r>
        <w:rPr>
          <w:rFonts w:ascii="Wingdings" w:hAnsi="Wingdings" w:cs="Wingdings" w:eastAsia="Wingdings" w:hint="default"/>
          <w:spacing w:val="-45"/>
          <w:w w:val="99"/>
        </w:rPr>
        <w:t></w:t>
      </w:r>
      <w:r>
        <w:rPr>
          <w:rFonts w:ascii="Times New Roman" w:hAnsi="Times New Roman" w:cs="Times New Roman" w:eastAsia="Times New Roman" w:hint="default"/>
          <w:spacing w:val="-45"/>
          <w:w w:val="99"/>
        </w:rPr>
      </w:r>
      <w:r>
        <w:rPr>
          <w:spacing w:val="-5"/>
        </w:rPr>
        <w:t>从市场类型分布看，报告期内，公司继续执行“地区攻略”，进一步加大对</w:t>
      </w:r>
      <w:r>
        <w:rPr/>
        <w:t> 重点地区、重点店面的培养，从而实现一级市场可比店面销售同比增长相对较快； </w:t>
      </w:r>
      <w:r>
        <w:rPr>
          <w:spacing w:val="-1"/>
        </w:rPr>
        <w:t>而通过物流、信息等后台平台的整合，公司对二、三级市场的管理进一步加强，商</w:t>
      </w:r>
      <w:r>
        <w:rPr>
          <w:spacing w:val="-107"/>
        </w:rPr>
        <w:t> </w:t>
      </w:r>
      <w:r>
        <w:rPr>
          <w:spacing w:val="-107"/>
        </w:rPr>
      </w:r>
      <w:r>
        <w:rPr>
          <w:spacing w:val="-1"/>
        </w:rPr>
        <w:t>品货源更满足消费者需求，促销活动更具针对性，品牌效应逐步形成，由此也带来</w:t>
      </w:r>
      <w:r>
        <w:rPr>
          <w:spacing w:val="-108"/>
        </w:rPr>
        <w:t> </w:t>
      </w:r>
      <w:r>
        <w:rPr>
          <w:spacing w:val="-108"/>
        </w:rPr>
      </w:r>
      <w:r>
        <w:rPr/>
        <w:t>此类市场，特别是三级市场可比店面销售的同比增长较快。</w:t>
      </w:r>
    </w:p>
    <w:p>
      <w:pPr>
        <w:pStyle w:val="BodyText"/>
        <w:spacing w:line="333" w:lineRule="auto" w:before="34"/>
        <w:ind w:right="161" w:firstLine="480"/>
        <w:jc w:val="both"/>
      </w:pPr>
      <w:r>
        <w:rPr>
          <w:spacing w:val="-1"/>
        </w:rPr>
        <w:t>公司还将进一步加大对二级市场的研究分析，尤其是本地主要同行的分析，因</w:t>
      </w:r>
      <w:r>
        <w:rPr/>
        <w:t> 地制宜的推进二级市场更好的发展。</w:t>
      </w:r>
    </w:p>
    <w:p>
      <w:pPr>
        <w:spacing w:after="0" w:line="333" w:lineRule="auto"/>
        <w:jc w:val="both"/>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240" w:lineRule="auto" w:before="26"/>
        <w:ind w:left="1604" w:right="1131"/>
        <w:jc w:val="left"/>
      </w:pPr>
      <w:r>
        <w:rPr>
          <w:rFonts w:ascii="Times New Roman" w:hAnsi="Times New Roman" w:cs="Times New Roman" w:eastAsia="Times New Roman" w:hint="default"/>
        </w:rPr>
        <w:t>3</w:t>
      </w:r>
      <w:r>
        <w:rPr/>
        <w:t>、重点地区可比店面经营质量情况</w:t>
      </w:r>
    </w:p>
    <w:p>
      <w:pPr>
        <w:spacing w:line="240" w:lineRule="auto" w:before="4"/>
        <w:rPr>
          <w:rFonts w:ascii="宋体" w:hAnsi="宋体" w:cs="宋体" w:eastAsia="宋体" w:hint="default"/>
          <w:sz w:val="7"/>
          <w:szCs w:val="7"/>
        </w:rPr>
      </w:pPr>
    </w:p>
    <w:tbl>
      <w:tblPr>
        <w:tblW w:w="0" w:type="auto"/>
        <w:jc w:val="left"/>
        <w:tblInd w:w="850" w:type="dxa"/>
        <w:tblLayout w:type="fixed"/>
        <w:tblCellMar>
          <w:top w:w="0" w:type="dxa"/>
          <w:left w:w="0" w:type="dxa"/>
          <w:bottom w:w="0" w:type="dxa"/>
          <w:right w:w="0" w:type="dxa"/>
        </w:tblCellMar>
        <w:tblLook w:val="01E0"/>
      </w:tblPr>
      <w:tblGrid>
        <w:gridCol w:w="1619"/>
        <w:gridCol w:w="1260"/>
        <w:gridCol w:w="1260"/>
        <w:gridCol w:w="1260"/>
        <w:gridCol w:w="1260"/>
        <w:gridCol w:w="1260"/>
        <w:gridCol w:w="1237"/>
      </w:tblGrid>
      <w:tr>
        <w:trPr>
          <w:trHeight w:val="520"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区域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深圳地区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上海地区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广州地区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北京地区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南京地区</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杭州地区</w:t>
            </w:r>
          </w:p>
        </w:tc>
      </w:tr>
      <w:tr>
        <w:trPr>
          <w:trHeight w:val="55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可比店面销售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同比增长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23.92%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20.81%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19.42%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19.38%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11.31%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8.10%</w:t>
            </w:r>
          </w:p>
        </w:tc>
      </w:tr>
    </w:tbl>
    <w:p>
      <w:pPr>
        <w:pStyle w:val="BodyText"/>
        <w:spacing w:line="326" w:lineRule="auto" w:before="24"/>
        <w:ind w:left="1123" w:right="1118" w:firstLine="482"/>
        <w:jc w:val="both"/>
      </w:pPr>
      <w:r>
        <w:rPr>
          <w:rFonts w:ascii="Wingdings" w:hAnsi="Wingdings" w:cs="Wingdings" w:eastAsia="Wingdings" w:hint="default"/>
        </w:rPr>
        <w:t></w:t>
      </w:r>
      <w:r>
        <w:rPr>
          <w:rFonts w:ascii="Wingdings" w:hAnsi="Wingdings" w:cs="Wingdings" w:eastAsia="Wingdings" w:hint="default"/>
          <w:spacing w:val="-37"/>
        </w:rPr>
        <w:t></w:t>
      </w:r>
      <w:r>
        <w:rPr>
          <w:rFonts w:ascii="Times New Roman" w:hAnsi="Times New Roman" w:cs="Times New Roman" w:eastAsia="Times New Roman" w:hint="default"/>
          <w:spacing w:val="-37"/>
        </w:rPr>
      </w:r>
      <w:r>
        <w:rPr>
          <w:spacing w:val="2"/>
        </w:rPr>
        <w:t>报告期内，公司重点地区可比店面均保持了一定的增长；但同时也存在个</w:t>
      </w:r>
      <w:r>
        <w:rPr>
          <w:spacing w:val="3"/>
        </w:rPr>
        <w:t> </w:t>
      </w:r>
      <w:r>
        <w:rPr/>
        <w:t>别一级市场城市和部分二三级市场城市，由于公司自身管理人员能力、店面规划、</w:t>
      </w:r>
      <w:r>
        <w:rPr/>
        <w:t> 区位等原因，导致区域内可比店面销售同比下降；</w:t>
      </w:r>
    </w:p>
    <w:p>
      <w:pPr>
        <w:pStyle w:val="BodyText"/>
        <w:spacing w:line="316" w:lineRule="auto" w:before="36"/>
        <w:ind w:left="1123" w:right="1131" w:firstLine="482"/>
        <w:jc w:val="left"/>
      </w:pPr>
      <w:r>
        <w:rPr>
          <w:rFonts w:ascii="Wingdings" w:hAnsi="Wingdings" w:cs="Wingdings" w:eastAsia="Wingdings" w:hint="default"/>
        </w:rPr>
        <w:t></w:t>
      </w:r>
      <w:r>
        <w:rPr>
          <w:rFonts w:ascii="Wingdings" w:hAnsi="Wingdings" w:cs="Wingdings" w:eastAsia="Wingdings" w:hint="default"/>
          <w:spacing w:val="-35"/>
        </w:rPr>
        <w:t></w:t>
      </w:r>
      <w:r>
        <w:rPr>
          <w:rFonts w:ascii="Times New Roman" w:hAnsi="Times New Roman" w:cs="Times New Roman" w:eastAsia="Times New Roman" w:hint="default"/>
          <w:spacing w:val="-35"/>
        </w:rPr>
      </w:r>
      <w:r>
        <w:rPr>
          <w:spacing w:val="2"/>
        </w:rPr>
        <w:t>未来，公司将针对上述存在问题的地区，进一步完善店面规划和布局，不</w:t>
      </w:r>
      <w:r>
        <w:rPr>
          <w:spacing w:val="3"/>
        </w:rPr>
        <w:t> </w:t>
      </w:r>
      <w:r>
        <w:rPr/>
        <w:t>断提升管理水平，有效提升经营质量。</w:t>
      </w:r>
    </w:p>
    <w:p>
      <w:pPr>
        <w:spacing w:line="240" w:lineRule="auto" w:before="0"/>
        <w:rPr>
          <w:rFonts w:ascii="宋体" w:hAnsi="宋体" w:cs="宋体" w:eastAsia="宋体" w:hint="default"/>
          <w:sz w:val="24"/>
          <w:szCs w:val="24"/>
        </w:rPr>
      </w:pPr>
    </w:p>
    <w:p>
      <w:pPr>
        <w:pStyle w:val="BodyText"/>
        <w:spacing w:line="240" w:lineRule="auto" w:before="215"/>
        <w:ind w:left="1603" w:right="1131"/>
        <w:jc w:val="left"/>
      </w:pPr>
      <w:r>
        <w:rPr/>
        <w:t>（四）主营业务经营情况分析：</w:t>
      </w:r>
    </w:p>
    <w:p>
      <w:pPr>
        <w:pStyle w:val="BodyText"/>
        <w:spacing w:line="240" w:lineRule="auto" w:before="154"/>
        <w:ind w:left="1603" w:right="1131"/>
        <w:jc w:val="left"/>
      </w:pPr>
      <w:r>
        <w:rPr>
          <w:rFonts w:ascii="Times New Roman" w:hAnsi="Times New Roman" w:cs="Times New Roman" w:eastAsia="Times New Roman" w:hint="default"/>
        </w:rPr>
        <w:t>1</w:t>
      </w:r>
      <w:r>
        <w:rPr/>
        <w:t>、公司主营业务范围为：综合电器的连锁销售和服务。</w:t>
      </w:r>
    </w:p>
    <w:p>
      <w:pPr>
        <w:pStyle w:val="BodyText"/>
        <w:tabs>
          <w:tab w:pos="8323" w:val="left" w:leader="none"/>
        </w:tabs>
        <w:spacing w:line="240" w:lineRule="auto" w:before="135"/>
        <w:ind w:left="1603" w:right="0"/>
        <w:jc w:val="left"/>
        <w:rPr>
          <w:sz w:val="21"/>
          <w:szCs w:val="21"/>
        </w:rPr>
      </w:pPr>
      <w:r>
        <w:rPr>
          <w:rFonts w:ascii="Times New Roman" w:hAnsi="Times New Roman" w:cs="Times New Roman" w:eastAsia="Times New Roman" w:hint="default"/>
        </w:rPr>
        <w:t>2</w:t>
      </w:r>
      <w:r>
        <w:rPr/>
        <w:t>、报告期内公司主营业务收入、主营业务利润的构成情况：</w:t>
        <w:tab/>
      </w:r>
      <w:r>
        <w:rPr>
          <w:sz w:val="21"/>
          <w:szCs w:val="21"/>
        </w:rPr>
        <w:t>（单位：千元）</w:t>
      </w:r>
    </w:p>
    <w:p>
      <w:pPr>
        <w:pStyle w:val="BodyText"/>
        <w:spacing w:line="240" w:lineRule="auto" w:before="135"/>
        <w:ind w:left="1603" w:right="1131"/>
        <w:jc w:val="left"/>
      </w:pPr>
      <w:r>
        <w:rPr/>
        <w:t>（</w:t>
      </w:r>
      <w:r>
        <w:rPr>
          <w:rFonts w:ascii="Times New Roman" w:hAnsi="Times New Roman" w:cs="Times New Roman" w:eastAsia="Times New Roman" w:hint="default"/>
        </w:rPr>
        <w:t>1</w:t>
      </w:r>
      <w:r>
        <w:rPr/>
        <w:t>）主营业务分行业、产品情况表：</w:t>
      </w:r>
    </w:p>
    <w:p>
      <w:pPr>
        <w:spacing w:line="240" w:lineRule="auto" w:before="4"/>
        <w:rPr>
          <w:rFonts w:ascii="宋体" w:hAnsi="宋体" w:cs="宋体" w:eastAsia="宋体" w:hint="default"/>
          <w:sz w:val="7"/>
          <w:szCs w:val="7"/>
        </w:rPr>
      </w:pPr>
    </w:p>
    <w:tbl>
      <w:tblPr>
        <w:tblW w:w="0" w:type="auto"/>
        <w:jc w:val="left"/>
        <w:tblInd w:w="652" w:type="dxa"/>
        <w:tblLayout w:type="fixed"/>
        <w:tblCellMar>
          <w:top w:w="0" w:type="dxa"/>
          <w:left w:w="0" w:type="dxa"/>
          <w:bottom w:w="0" w:type="dxa"/>
          <w:right w:w="0" w:type="dxa"/>
        </w:tblCellMar>
        <w:tblLook w:val="01E0"/>
      </w:tblPr>
      <w:tblGrid>
        <w:gridCol w:w="1400"/>
        <w:gridCol w:w="1440"/>
        <w:gridCol w:w="1440"/>
        <w:gridCol w:w="900"/>
        <w:gridCol w:w="1440"/>
        <w:gridCol w:w="1440"/>
        <w:gridCol w:w="1492"/>
      </w:tblGrid>
      <w:tr>
        <w:trPr>
          <w:trHeight w:val="712"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left="175"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主营业务收入比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主营业务成本比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毛利率比</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上年同期增减</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631"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零售业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19" w:right="-1"/>
              <w:jc w:val="left"/>
              <w:rPr>
                <w:rFonts w:ascii="Times New Roman" w:hAnsi="Times New Roman" w:cs="Times New Roman" w:eastAsia="Times New Roman" w:hint="default"/>
                <w:sz w:val="18"/>
                <w:szCs w:val="18"/>
              </w:rPr>
            </w:pPr>
            <w:r>
              <w:rPr>
                <w:rFonts w:ascii="Times New Roman"/>
                <w:sz w:val="18"/>
              </w:rPr>
              <w:t>38,676,524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19" w:right="-1"/>
              <w:jc w:val="left"/>
              <w:rPr>
                <w:rFonts w:ascii="Times New Roman" w:hAnsi="Times New Roman" w:cs="Times New Roman" w:eastAsia="Times New Roman" w:hint="default"/>
                <w:sz w:val="18"/>
                <w:szCs w:val="18"/>
              </w:rPr>
            </w:pPr>
            <w:r>
              <w:rPr>
                <w:rFonts w:ascii="Times New Roman"/>
                <w:sz w:val="18"/>
              </w:rPr>
              <w:t>34,324,741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54.17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r>
      <w:tr>
        <w:trPr>
          <w:trHeight w:val="468"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其中：关联交易</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835"/>
        <w:gridCol w:w="1894"/>
        <w:gridCol w:w="1746"/>
        <w:gridCol w:w="1252"/>
        <w:gridCol w:w="1048"/>
        <w:gridCol w:w="1037"/>
        <w:gridCol w:w="1842"/>
      </w:tblGrid>
      <w:tr>
        <w:trPr>
          <w:trHeight w:val="237" w:hRule="exact"/>
        </w:trPr>
        <w:tc>
          <w:tcPr>
            <w:tcW w:w="1835" w:type="dxa"/>
            <w:tcBorders>
              <w:top w:val="single" w:sz="4" w:space="0" w:color="000000"/>
              <w:left w:val="single" w:sz="4" w:space="0" w:color="000000"/>
              <w:bottom w:val="nil" w:sz="6" w:space="0" w:color="auto"/>
              <w:right w:val="single" w:sz="4" w:space="0" w:color="000000"/>
            </w:tcBorders>
          </w:tcPr>
          <w:p>
            <w:pPr/>
          </w:p>
        </w:tc>
        <w:tc>
          <w:tcPr>
            <w:tcW w:w="1894"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c>
          <w:tcPr>
            <w:tcW w:w="104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03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2" w:type="dxa"/>
            <w:tcBorders>
              <w:top w:val="single" w:sz="4" w:space="0" w:color="000000"/>
              <w:left w:val="single" w:sz="4" w:space="0" w:color="000000"/>
              <w:bottom w:val="nil" w:sz="6" w:space="0" w:color="auto"/>
              <w:right w:val="single" w:sz="4" w:space="0" w:color="000000"/>
            </w:tcBorders>
          </w:tcPr>
          <w:p>
            <w:pPr/>
          </w:p>
        </w:tc>
      </w:tr>
      <w:tr>
        <w:trPr>
          <w:trHeight w:val="468" w:hRule="exact"/>
        </w:trPr>
        <w:tc>
          <w:tcPr>
            <w:tcW w:w="183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687"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44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37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35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hAnsi="宋体" w:cs="宋体" w:eastAsia="宋体" w:hint="default"/>
                <w:sz w:val="18"/>
                <w:szCs w:val="18"/>
              </w:rPr>
              <w:t>收入比上</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年同期增</w:t>
            </w:r>
          </w:p>
        </w:tc>
        <w:tc>
          <w:tcPr>
            <w:tcW w:w="103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53" w:right="0"/>
              <w:jc w:val="left"/>
              <w:rPr>
                <w:rFonts w:ascii="宋体" w:hAnsi="宋体" w:cs="宋体" w:eastAsia="宋体" w:hint="default"/>
                <w:sz w:val="18"/>
                <w:szCs w:val="18"/>
              </w:rPr>
            </w:pPr>
            <w:r>
              <w:rPr>
                <w:rFonts w:ascii="宋体" w:hAnsi="宋体" w:cs="宋体" w:eastAsia="宋体" w:hint="default"/>
                <w:sz w:val="18"/>
                <w:szCs w:val="18"/>
              </w:rPr>
              <w:t>成本比上</w:t>
            </w:r>
          </w:p>
          <w:p>
            <w:pPr>
              <w:pStyle w:val="TableParagraph"/>
              <w:spacing w:line="235" w:lineRule="exact"/>
              <w:ind w:left="153" w:right="0"/>
              <w:jc w:val="left"/>
              <w:rPr>
                <w:rFonts w:ascii="宋体" w:hAnsi="宋体" w:cs="宋体" w:eastAsia="宋体" w:hint="default"/>
                <w:sz w:val="18"/>
                <w:szCs w:val="18"/>
              </w:rPr>
            </w:pPr>
            <w:r>
              <w:rPr>
                <w:rFonts w:ascii="宋体" w:hAnsi="宋体" w:cs="宋体" w:eastAsia="宋体" w:hint="default"/>
                <w:sz w:val="18"/>
                <w:szCs w:val="18"/>
              </w:rPr>
              <w:t>年同期增</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毛利率比上年同期增</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减</w:t>
            </w:r>
          </w:p>
        </w:tc>
      </w:tr>
      <w:tr>
        <w:trPr>
          <w:trHeight w:val="240" w:hRule="exact"/>
        </w:trPr>
        <w:tc>
          <w:tcPr>
            <w:tcW w:w="1835"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c>
          <w:tcPr>
            <w:tcW w:w="104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13" w:right="0"/>
              <w:jc w:val="left"/>
              <w:rPr>
                <w:rFonts w:ascii="宋体" w:hAnsi="宋体" w:cs="宋体" w:eastAsia="宋体" w:hint="default"/>
                <w:sz w:val="18"/>
                <w:szCs w:val="18"/>
              </w:rPr>
            </w:pPr>
            <w:r>
              <w:rPr>
                <w:rFonts w:ascii="宋体" w:hAnsi="宋体" w:cs="宋体" w:eastAsia="宋体" w:hint="default"/>
                <w:sz w:val="18"/>
                <w:szCs w:val="18"/>
              </w:rPr>
              <w:t>减 （％）</w:t>
            </w:r>
          </w:p>
        </w:tc>
        <w:tc>
          <w:tcPr>
            <w:tcW w:w="1037"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53" w:right="0"/>
              <w:jc w:val="left"/>
              <w:rPr>
                <w:rFonts w:ascii="宋体" w:hAnsi="宋体" w:cs="宋体" w:eastAsia="宋体" w:hint="default"/>
                <w:sz w:val="18"/>
                <w:szCs w:val="18"/>
              </w:rPr>
            </w:pPr>
            <w:r>
              <w:rPr>
                <w:rFonts w:ascii="宋体" w:hAnsi="宋体" w:cs="宋体" w:eastAsia="宋体" w:hint="default"/>
                <w:sz w:val="18"/>
                <w:szCs w:val="18"/>
              </w:rPr>
              <w:t>减（％）</w:t>
            </w:r>
          </w:p>
        </w:tc>
        <w:tc>
          <w:tcPr>
            <w:tcW w:w="1842" w:type="dxa"/>
            <w:tcBorders>
              <w:top w:val="nil" w:sz="6" w:space="0" w:color="auto"/>
              <w:left w:val="single" w:sz="4" w:space="0" w:color="000000"/>
              <w:bottom w:val="single" w:sz="4" w:space="0" w:color="000000"/>
              <w:right w:val="single" w:sz="4" w:space="0" w:color="000000"/>
            </w:tcBorders>
          </w:tcPr>
          <w:p>
            <w:pPr/>
          </w:p>
        </w:tc>
      </w:tr>
      <w:tr>
        <w:trPr>
          <w:trHeight w:val="295"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彩电、音像、碟机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11,379,107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9,944,594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12.61%</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64.43%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59.37%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2"/>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95"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冰箱、洗衣机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6,484,352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5,686,676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12.30%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63.32%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60.29%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2"/>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95"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空调</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5,939,429</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5,256,593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2"/>
                <w:sz w:val="18"/>
              </w:rPr>
              <w:t>11.50%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42.62%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41.28%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2"/>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95"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5,371,142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4,980,534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7.27%</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27.40%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30.26%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2"/>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95"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数码、</w:t>
            </w:r>
            <w:r>
              <w:rPr>
                <w:rFonts w:ascii="Times New Roman" w:hAnsi="Times New Roman" w:cs="Times New Roman" w:eastAsia="Times New Roman" w:hint="default"/>
                <w:sz w:val="18"/>
                <w:szCs w:val="18"/>
              </w:rPr>
              <w:t>IT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4,642,173</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4,466,975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3.77%</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89.84%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95.14%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2"/>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94"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小家电</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4,462,497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3,772,687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15.46%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51.91%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51.03%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2"/>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95"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安装维修业务（注）</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314,723</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165,491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47.42%</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29.92%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22.55%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2"/>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95"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83,101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51,191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38.40%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181.64%</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394.50%</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95"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tabs>
                <w:tab w:pos="1091" w:val="left" w:leader="none"/>
              </w:tabs>
              <w:spacing w:line="231" w:lineRule="exact"/>
              <w:ind w:left="55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38,676,524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34,324,741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2"/>
                <w:sz w:val="18"/>
              </w:rPr>
              <w:t>11.25%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55.17%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54.17%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2"/>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before="63"/>
        <w:ind w:left="1544" w:right="0" w:firstLine="0"/>
        <w:jc w:val="left"/>
        <w:rPr>
          <w:rFonts w:ascii="宋体" w:hAnsi="宋体" w:cs="宋体" w:eastAsia="宋体" w:hint="default"/>
          <w:sz w:val="21"/>
          <w:szCs w:val="21"/>
        </w:rPr>
      </w:pPr>
      <w:r>
        <w:rPr>
          <w:rFonts w:ascii="宋体" w:hAnsi="宋体" w:cs="宋体" w:eastAsia="宋体" w:hint="default"/>
          <w:spacing w:val="-3"/>
          <w:sz w:val="21"/>
          <w:szCs w:val="21"/>
        </w:rPr>
        <w:t>注：以往年度，对于售后服务业务发生的人工成本，公司在业务发生时计入当期营业费用。</w:t>
      </w:r>
    </w:p>
    <w:p>
      <w:pPr>
        <w:spacing w:line="240" w:lineRule="auto" w:before="10"/>
        <w:rPr>
          <w:rFonts w:ascii="宋体" w:hAnsi="宋体" w:cs="宋体" w:eastAsia="宋体" w:hint="default"/>
          <w:sz w:val="14"/>
          <w:szCs w:val="14"/>
        </w:rPr>
      </w:pPr>
    </w:p>
    <w:p>
      <w:pPr>
        <w:spacing w:before="0"/>
        <w:ind w:left="11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年度，公司认为售后服务人员的人工成本属于营业成本范畴，因此将其重分类至营业成本，</w:t>
      </w:r>
    </w:p>
    <w:p>
      <w:pPr>
        <w:spacing w:line="386" w:lineRule="auto" w:before="177"/>
        <w:ind w:left="1124" w:right="1023" w:firstLine="0"/>
        <w:jc w:val="left"/>
        <w:rPr>
          <w:rFonts w:ascii="宋体" w:hAnsi="宋体" w:cs="宋体" w:eastAsia="宋体" w:hint="default"/>
          <w:sz w:val="21"/>
          <w:szCs w:val="21"/>
        </w:rPr>
      </w:pPr>
      <w:r>
        <w:rPr>
          <w:rFonts w:ascii="宋体" w:hAnsi="宋体" w:cs="宋体" w:eastAsia="宋体" w:hint="default"/>
          <w:sz w:val="21"/>
          <w:szCs w:val="21"/>
        </w:rPr>
        <w:t>并相应调整</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年度的比较数据。按照此种方法，此次披露的毛利率水平较前期披露有所下降，</w:t>
      </w:r>
      <w:r>
        <w:rPr>
          <w:rFonts w:ascii="宋体" w:hAnsi="宋体" w:cs="宋体" w:eastAsia="宋体" w:hint="default"/>
          <w:sz w:val="21"/>
          <w:szCs w:val="21"/>
        </w:rPr>
        <w:t> 实际盈利能力并未发生实际变化。</w:t>
      </w:r>
    </w:p>
    <w:p>
      <w:pPr>
        <w:spacing w:after="0" w:line="386" w:lineRule="auto"/>
        <w:jc w:val="left"/>
        <w:rPr>
          <w:rFonts w:ascii="宋体" w:hAnsi="宋体" w:cs="宋体" w:eastAsia="宋体" w:hint="default"/>
          <w:sz w:val="21"/>
          <w:szCs w:val="21"/>
        </w:rPr>
        <w:sectPr>
          <w:pgSz w:w="11910" w:h="16840"/>
          <w:pgMar w:header="879" w:footer="982" w:top="1100" w:bottom="1180" w:left="520" w:right="500"/>
        </w:sectPr>
      </w:pPr>
    </w:p>
    <w:p>
      <w:pPr>
        <w:spacing w:line="240" w:lineRule="auto" w:before="10"/>
        <w:rPr>
          <w:rFonts w:ascii="宋体" w:hAnsi="宋体" w:cs="宋体" w:eastAsia="宋体" w:hint="default"/>
          <w:sz w:val="10"/>
          <w:szCs w:val="10"/>
        </w:rPr>
      </w:pPr>
    </w:p>
    <w:p>
      <w:pPr>
        <w:pStyle w:val="BodyText"/>
        <w:spacing w:line="240" w:lineRule="auto" w:before="26"/>
        <w:ind w:left="784" w:right="356"/>
        <w:jc w:val="left"/>
      </w:pPr>
      <w:r>
        <w:rPr/>
        <w:t>（</w:t>
      </w:r>
      <w:r>
        <w:rPr>
          <w:rFonts w:ascii="Times New Roman" w:hAnsi="Times New Roman" w:cs="Times New Roman" w:eastAsia="Times New Roman" w:hint="default"/>
        </w:rPr>
        <w:t>2</w:t>
      </w:r>
      <w:r>
        <w:rPr/>
        <w:t>）主营业务分地区情况表：</w:t>
      </w:r>
    </w:p>
    <w:p>
      <w:pPr>
        <w:spacing w:line="240" w:lineRule="auto" w:before="4"/>
        <w:rPr>
          <w:rFonts w:ascii="宋体" w:hAnsi="宋体" w:cs="宋体" w:eastAsia="宋体" w:hint="default"/>
          <w:sz w:val="7"/>
          <w:szCs w:val="7"/>
        </w:rPr>
      </w:pPr>
    </w:p>
    <w:tbl>
      <w:tblPr>
        <w:tblW w:w="0" w:type="auto"/>
        <w:jc w:val="left"/>
        <w:tblInd w:w="1279" w:type="dxa"/>
        <w:tblLayout w:type="fixed"/>
        <w:tblCellMar>
          <w:top w:w="0" w:type="dxa"/>
          <w:left w:w="0" w:type="dxa"/>
          <w:bottom w:w="0" w:type="dxa"/>
          <w:right w:w="0" w:type="dxa"/>
        </w:tblCellMar>
        <w:tblLook w:val="01E0"/>
      </w:tblPr>
      <w:tblGrid>
        <w:gridCol w:w="1798"/>
        <w:gridCol w:w="2520"/>
        <w:gridCol w:w="2340"/>
      </w:tblGrid>
      <w:tr>
        <w:trPr>
          <w:trHeight w:val="730"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5" w:right="263" w:firstLine="360"/>
              <w:jc w:val="left"/>
              <w:rPr>
                <w:rFonts w:ascii="宋体" w:hAnsi="宋体" w:cs="宋体" w:eastAsia="宋体" w:hint="default"/>
                <w:sz w:val="18"/>
                <w:szCs w:val="18"/>
              </w:rPr>
            </w:pPr>
            <w:r>
              <w:rPr>
                <w:rFonts w:ascii="宋体" w:hAnsi="宋体" w:cs="宋体" w:eastAsia="宋体" w:hint="default"/>
                <w:sz w:val="18"/>
                <w:szCs w:val="18"/>
              </w:rPr>
              <w:t>主营业务收入 比上年同期增减（％）</w:t>
            </w:r>
          </w:p>
        </w:tc>
      </w:tr>
      <w:tr>
        <w:trPr>
          <w:trHeight w:val="396"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华东一区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9,491,487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35.89%</w:t>
            </w:r>
          </w:p>
        </w:tc>
      </w:tr>
      <w:tr>
        <w:trPr>
          <w:trHeight w:val="39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华东二区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21"/>
                <w:szCs w:val="21"/>
              </w:rPr>
            </w:pPr>
            <w:r>
              <w:rPr>
                <w:rFonts w:ascii="Times New Roman"/>
                <w:spacing w:val="-2"/>
                <w:sz w:val="21"/>
              </w:rPr>
              <w:t>8,611,382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21"/>
                <w:szCs w:val="21"/>
              </w:rPr>
            </w:pPr>
            <w:r>
              <w:rPr>
                <w:rFonts w:ascii="Times New Roman"/>
                <w:spacing w:val="-1"/>
                <w:sz w:val="21"/>
              </w:rPr>
              <w:t>51.20%</w:t>
            </w:r>
          </w:p>
        </w:tc>
      </w:tr>
      <w:tr>
        <w:trPr>
          <w:trHeight w:val="39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5,780,134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76.29%</w:t>
            </w:r>
          </w:p>
        </w:tc>
      </w:tr>
      <w:tr>
        <w:trPr>
          <w:trHeight w:val="39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5,792,785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53.87%</w:t>
            </w:r>
          </w:p>
        </w:tc>
      </w:tr>
      <w:tr>
        <w:trPr>
          <w:trHeight w:val="39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西部地区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4,590,981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87.76%</w:t>
            </w:r>
          </w:p>
        </w:tc>
      </w:tr>
      <w:tr>
        <w:trPr>
          <w:trHeight w:val="39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2,516,260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21"/>
                <w:szCs w:val="21"/>
              </w:rPr>
            </w:pPr>
            <w:r>
              <w:rPr>
                <w:rFonts w:ascii="Times New Roman"/>
                <w:spacing w:val="-1"/>
                <w:sz w:val="21"/>
              </w:rPr>
              <w:t>46.73%</w:t>
            </w:r>
          </w:p>
        </w:tc>
      </w:tr>
      <w:tr>
        <w:trPr>
          <w:trHeight w:val="39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1,893,496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pacing w:val="-1"/>
                <w:sz w:val="21"/>
              </w:rPr>
              <w:t>81.63%</w:t>
            </w:r>
          </w:p>
        </w:tc>
      </w:tr>
      <w:tr>
        <w:trPr>
          <w:trHeight w:val="39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21"/>
                <w:szCs w:val="21"/>
              </w:rPr>
            </w:pPr>
            <w:r>
              <w:rPr>
                <w:rFonts w:ascii="Times New Roman"/>
                <w:spacing w:val="-1"/>
                <w:sz w:val="21"/>
              </w:rPr>
              <w:t>38,676,524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21"/>
                <w:szCs w:val="21"/>
              </w:rPr>
            </w:pPr>
            <w:r>
              <w:rPr>
                <w:rFonts w:ascii="Times New Roman"/>
                <w:spacing w:val="-1"/>
                <w:sz w:val="21"/>
              </w:rPr>
              <w:t>55.17%</w:t>
            </w:r>
          </w:p>
        </w:tc>
      </w:tr>
    </w:tbl>
    <w:p>
      <w:pPr>
        <w:spacing w:line="240" w:lineRule="auto" w:before="12"/>
        <w:rPr>
          <w:rFonts w:ascii="宋体" w:hAnsi="宋体" w:cs="宋体" w:eastAsia="宋体" w:hint="default"/>
          <w:sz w:val="24"/>
          <w:szCs w:val="24"/>
        </w:rPr>
      </w:pPr>
    </w:p>
    <w:p>
      <w:pPr>
        <w:pStyle w:val="BodyText"/>
        <w:spacing w:line="240" w:lineRule="auto" w:before="26"/>
        <w:ind w:left="784" w:right="356"/>
        <w:jc w:val="left"/>
      </w:pPr>
      <w:r>
        <w:rPr/>
        <w:t>（</w:t>
      </w:r>
      <w:r>
        <w:rPr>
          <w:rFonts w:ascii="Times New Roman" w:hAnsi="Times New Roman" w:cs="Times New Roman" w:eastAsia="Times New Roman" w:hint="default"/>
        </w:rPr>
        <w:t>3</w:t>
      </w:r>
      <w:r>
        <w:rPr/>
        <w:t>）占公司主营业务收入或主营业务利润</w:t>
      </w:r>
      <w:r>
        <w:rPr>
          <w:spacing w:val="-60"/>
        </w:rPr>
        <w:t> </w:t>
      </w:r>
      <w:r>
        <w:rPr>
          <w:rFonts w:ascii="Times New Roman" w:hAnsi="Times New Roman" w:cs="Times New Roman" w:eastAsia="Times New Roman" w:hint="default"/>
        </w:rPr>
        <w:t>10</w:t>
      </w:r>
      <w:r>
        <w:rPr/>
        <w:t>％以上的主要产品情况：</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624"/>
        <w:gridCol w:w="2082"/>
        <w:gridCol w:w="1843"/>
        <w:gridCol w:w="1765"/>
        <w:gridCol w:w="868"/>
        <w:gridCol w:w="928"/>
      </w:tblGrid>
      <w:tr>
        <w:trPr>
          <w:trHeight w:val="478"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hAnsi="宋体" w:cs="宋体" w:eastAsia="宋体" w:hint="default"/>
                <w:sz w:val="18"/>
                <w:szCs w:val="18"/>
              </w:rPr>
              <w:t>毛利</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8" w:right="0" w:hanging="45"/>
              <w:jc w:val="left"/>
              <w:rPr>
                <w:rFonts w:ascii="宋体" w:hAnsi="宋体" w:cs="宋体" w:eastAsia="宋体" w:hint="default"/>
                <w:sz w:val="18"/>
                <w:szCs w:val="18"/>
              </w:rPr>
            </w:pPr>
            <w:r>
              <w:rPr>
                <w:rFonts w:ascii="宋体" w:hAnsi="宋体" w:cs="宋体" w:eastAsia="宋体" w:hint="default"/>
                <w:sz w:val="18"/>
                <w:szCs w:val="18"/>
              </w:rPr>
              <w:t>占收入</w:t>
            </w:r>
          </w:p>
          <w:p>
            <w:pPr>
              <w:pStyle w:val="TableParagraph"/>
              <w:spacing w:line="235" w:lineRule="exact"/>
              <w:ind w:left="248" w:right="0"/>
              <w:jc w:val="left"/>
              <w:rPr>
                <w:rFonts w:ascii="宋体" w:hAnsi="宋体" w:cs="宋体" w:eastAsia="宋体" w:hint="default"/>
                <w:sz w:val="18"/>
                <w:szCs w:val="18"/>
              </w:rPr>
            </w:pPr>
            <w:r>
              <w:rPr>
                <w:rFonts w:ascii="宋体" w:hAnsi="宋体" w:cs="宋体" w:eastAsia="宋体" w:hint="default"/>
                <w:sz w:val="18"/>
                <w:szCs w:val="18"/>
              </w:rPr>
              <w:t>比率</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8" w:right="0" w:hanging="45"/>
              <w:jc w:val="left"/>
              <w:rPr>
                <w:rFonts w:ascii="宋体" w:hAnsi="宋体" w:cs="宋体" w:eastAsia="宋体" w:hint="default"/>
                <w:sz w:val="18"/>
                <w:szCs w:val="18"/>
              </w:rPr>
            </w:pPr>
            <w:r>
              <w:rPr>
                <w:rFonts w:ascii="宋体" w:hAnsi="宋体" w:cs="宋体" w:eastAsia="宋体" w:hint="default"/>
                <w:sz w:val="18"/>
                <w:szCs w:val="18"/>
              </w:rPr>
              <w:t>占利润</w:t>
            </w:r>
          </w:p>
          <w:p>
            <w:pPr>
              <w:pStyle w:val="TableParagraph"/>
              <w:spacing w:line="235" w:lineRule="exact"/>
              <w:ind w:left="278" w:right="0"/>
              <w:jc w:val="left"/>
              <w:rPr>
                <w:rFonts w:ascii="宋体" w:hAnsi="宋体" w:cs="宋体" w:eastAsia="宋体" w:hint="default"/>
                <w:sz w:val="18"/>
                <w:szCs w:val="18"/>
              </w:rPr>
            </w:pPr>
            <w:r>
              <w:rPr>
                <w:rFonts w:ascii="宋体" w:hAnsi="宋体" w:cs="宋体" w:eastAsia="宋体" w:hint="default"/>
                <w:sz w:val="18"/>
                <w:szCs w:val="18"/>
              </w:rPr>
              <w:t>比率</w:t>
            </w:r>
          </w:p>
        </w:tc>
      </w:tr>
      <w:tr>
        <w:trPr>
          <w:trHeight w:val="29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彩电、音像、碟机</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11,379,107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9,944,594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1,434,513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6" w:right="0"/>
              <w:jc w:val="center"/>
              <w:rPr>
                <w:rFonts w:ascii="Times New Roman" w:hAnsi="Times New Roman" w:cs="Times New Roman" w:eastAsia="Times New Roman" w:hint="default"/>
                <w:sz w:val="18"/>
                <w:szCs w:val="18"/>
              </w:rPr>
            </w:pPr>
            <w:r>
              <w:rPr>
                <w:rFonts w:ascii="Times New Roman"/>
                <w:sz w:val="18"/>
              </w:rPr>
              <w:t>29.42%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32.96%</w:t>
            </w:r>
          </w:p>
        </w:tc>
      </w:tr>
      <w:tr>
        <w:trPr>
          <w:trHeight w:val="29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冰箱、洗衣机</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6,484,352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5,686,676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797,676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5" w:right="0"/>
              <w:jc w:val="center"/>
              <w:rPr>
                <w:rFonts w:ascii="Times New Roman" w:hAnsi="Times New Roman" w:cs="Times New Roman" w:eastAsia="Times New Roman" w:hint="default"/>
                <w:sz w:val="18"/>
                <w:szCs w:val="18"/>
              </w:rPr>
            </w:pPr>
            <w:r>
              <w:rPr>
                <w:rFonts w:ascii="Times New Roman"/>
                <w:sz w:val="18"/>
              </w:rPr>
              <w:t>16.77%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18.33%</w:t>
            </w:r>
          </w:p>
        </w:tc>
      </w:tr>
      <w:tr>
        <w:trPr>
          <w:trHeight w:val="29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空调</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5,939,429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5,256,593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682,836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5" w:right="0"/>
              <w:jc w:val="center"/>
              <w:rPr>
                <w:rFonts w:ascii="Times New Roman" w:hAnsi="Times New Roman" w:cs="Times New Roman" w:eastAsia="Times New Roman" w:hint="default"/>
                <w:sz w:val="18"/>
                <w:szCs w:val="18"/>
              </w:rPr>
            </w:pPr>
            <w:r>
              <w:rPr>
                <w:rFonts w:ascii="Times New Roman"/>
                <w:sz w:val="18"/>
              </w:rPr>
              <w:t>15.36%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15.69%</w:t>
            </w:r>
          </w:p>
        </w:tc>
      </w:tr>
      <w:tr>
        <w:trPr>
          <w:trHeight w:val="29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5,371,142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4,980,534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390,608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5" w:right="0"/>
              <w:jc w:val="center"/>
              <w:rPr>
                <w:rFonts w:ascii="Times New Roman" w:hAnsi="Times New Roman" w:cs="Times New Roman" w:eastAsia="Times New Roman" w:hint="default"/>
                <w:sz w:val="18"/>
                <w:szCs w:val="18"/>
              </w:rPr>
            </w:pPr>
            <w:r>
              <w:rPr>
                <w:rFonts w:ascii="Times New Roman"/>
                <w:sz w:val="18"/>
              </w:rPr>
              <w:t>13.89%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8.98%</w:t>
            </w:r>
            <w:r>
              <w:rPr>
                <w:rFonts w:ascii="Times New Roman"/>
                <w:sz w:val="18"/>
              </w:rPr>
            </w:r>
          </w:p>
        </w:tc>
      </w:tr>
      <w:tr>
        <w:trPr>
          <w:trHeight w:val="29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数码、</w:t>
            </w:r>
            <w:r>
              <w:rPr>
                <w:rFonts w:ascii="Times New Roman" w:hAnsi="Times New Roman" w:cs="Times New Roman" w:eastAsia="Times New Roman" w:hint="default"/>
                <w:sz w:val="18"/>
                <w:szCs w:val="18"/>
              </w:rPr>
              <w:t>IT</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4,642,173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4,466,975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175,198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5" w:right="0"/>
              <w:jc w:val="center"/>
              <w:rPr>
                <w:rFonts w:ascii="Times New Roman" w:hAnsi="Times New Roman" w:cs="Times New Roman" w:eastAsia="Times New Roman" w:hint="default"/>
                <w:sz w:val="18"/>
                <w:szCs w:val="18"/>
              </w:rPr>
            </w:pPr>
            <w:r>
              <w:rPr>
                <w:rFonts w:ascii="Times New Roman"/>
                <w:sz w:val="18"/>
              </w:rPr>
              <w:t>12.00%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4.03%</w:t>
            </w:r>
            <w:r>
              <w:rPr>
                <w:rFonts w:ascii="Times New Roman"/>
                <w:sz w:val="18"/>
              </w:rPr>
            </w:r>
          </w:p>
        </w:tc>
      </w:tr>
      <w:tr>
        <w:trPr>
          <w:trHeight w:val="29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小家电</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4,462,497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3,772,687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689,810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center"/>
              <w:rPr>
                <w:rFonts w:ascii="Times New Roman" w:hAnsi="Times New Roman" w:cs="Times New Roman" w:eastAsia="Times New Roman" w:hint="default"/>
                <w:sz w:val="18"/>
                <w:szCs w:val="18"/>
              </w:rPr>
            </w:pPr>
            <w:r>
              <w:rPr>
                <w:rFonts w:ascii="Times New Roman"/>
                <w:sz w:val="18"/>
              </w:rPr>
              <w:t>11.54%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15.85%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84" w:right="356"/>
        <w:jc w:val="left"/>
      </w:pPr>
      <w:r>
        <w:rPr/>
        <w:t>（</w:t>
      </w:r>
      <w:r>
        <w:rPr>
          <w:rFonts w:ascii="Times New Roman" w:hAnsi="Times New Roman" w:cs="Times New Roman" w:eastAsia="Times New Roman" w:hint="default"/>
        </w:rPr>
        <w:t>4</w:t>
      </w:r>
      <w:r>
        <w:rPr/>
        <w:t>）报告期内主营业务或结构及盈利能力变化的说明：</w:t>
      </w:r>
    </w:p>
    <w:p>
      <w:pPr>
        <w:pStyle w:val="BodyText"/>
        <w:tabs>
          <w:tab w:pos="1203" w:val="left" w:leader="none"/>
        </w:tabs>
        <w:spacing w:line="393" w:lineRule="auto" w:before="135"/>
        <w:ind w:left="303" w:right="301" w:firstLine="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随着产品技术的革新和平板电视的普及，公司彩电产品的销售规模仍然保</w:t>
      </w:r>
      <w:r>
        <w:rPr>
          <w:spacing w:val="1"/>
        </w:rPr>
        <w:t> </w:t>
      </w:r>
      <w:r>
        <w:rPr>
          <w:spacing w:val="-6"/>
        </w:rPr>
        <w:t>持较高速度的增长；公司坚持</w:t>
      </w:r>
      <w:r>
        <w:rPr>
          <w:spacing w:val="-48"/>
        </w:rPr>
        <w:t> </w:t>
      </w:r>
      <w:r>
        <w:rPr>
          <w:rFonts w:ascii="Times New Roman" w:hAnsi="Times New Roman" w:cs="Times New Roman" w:eastAsia="Times New Roman" w:hint="default"/>
          <w:spacing w:val="-3"/>
        </w:rPr>
        <w:t>3C</w:t>
      </w:r>
      <w:r>
        <w:rPr>
          <w:rFonts w:ascii="Times New Roman" w:hAnsi="Times New Roman" w:cs="Times New Roman" w:eastAsia="Times New Roman" w:hint="default"/>
          <w:spacing w:val="-3"/>
          <w:position w:val="6"/>
        </w:rPr>
        <w:t>+</w:t>
      </w:r>
      <w:r>
        <w:rPr>
          <w:spacing w:val="-3"/>
        </w:rPr>
        <w:t>模式的大店战略，单店经营绩效和坪效提升显著，</w:t>
      </w:r>
      <w:r>
        <w:rPr/>
        <w:t> 为公司和供应商节约了大量的市场投入费用，销售保持较快增长，从而使双方的合</w:t>
      </w:r>
    </w:p>
    <w:p>
      <w:pPr>
        <w:pStyle w:val="BodyText"/>
        <w:spacing w:line="357" w:lineRule="auto"/>
        <w:ind w:left="303" w:right="417"/>
        <w:jc w:val="left"/>
      </w:pPr>
      <w:r>
        <w:rPr>
          <w:spacing w:val="-1"/>
        </w:rPr>
        <w:t>作和共同营销更加紧密；同时，伴随着对彩电产品的进一步了解，公司经营能力进</w:t>
      </w:r>
      <w:r>
        <w:rPr>
          <w:spacing w:val="-108"/>
        </w:rPr>
        <w:t> </w:t>
      </w:r>
      <w:r>
        <w:rPr>
          <w:spacing w:val="-108"/>
        </w:rPr>
      </w:r>
      <w:r>
        <w:rPr/>
        <w:t>一步加强，专供机型占比进一步扩大，产品毛利率继续提升。</w:t>
      </w:r>
    </w:p>
    <w:p>
      <w:pPr>
        <w:pStyle w:val="BodyText"/>
        <w:spacing w:line="348" w:lineRule="auto" w:before="36"/>
        <w:ind w:left="303" w:right="421" w:firstLine="480"/>
        <w:jc w:val="both"/>
      </w:pPr>
      <w:r>
        <w:rPr>
          <w:rFonts w:ascii="Wingdings" w:hAnsi="Wingdings" w:cs="Wingdings" w:eastAsia="Wingdings" w:hint="default"/>
        </w:rPr>
        <w:t></w:t>
      </w:r>
      <w:r>
        <w:rPr>
          <w:rFonts w:ascii="Wingdings" w:hAnsi="Wingdings" w:cs="Wingdings" w:eastAsia="Wingdings" w:hint="default"/>
          <w:spacing w:val="29"/>
        </w:rPr>
        <w:t></w:t>
      </w:r>
      <w:r>
        <w:rPr>
          <w:rFonts w:ascii="Times New Roman" w:hAnsi="Times New Roman" w:cs="Times New Roman" w:eastAsia="Times New Roman" w:hint="default"/>
          <w:spacing w:val="29"/>
        </w:rPr>
      </w:r>
      <w:r>
        <w:rPr/>
        <w:t>随着技术升级和产品更新换代的需要，报告期内，滚筒洗衣机、三门以及</w:t>
      </w:r>
      <w:r>
        <w:rPr>
          <w:spacing w:val="1"/>
        </w:rPr>
        <w:t> </w:t>
      </w:r>
      <w:r>
        <w:rPr>
          <w:spacing w:val="-1"/>
        </w:rPr>
        <w:t>对开门冰箱等高端产品比重加大，冰洗产品实现了销售规模和毛利率水平进一步提</w:t>
      </w:r>
      <w:r>
        <w:rPr>
          <w:spacing w:val="-106"/>
        </w:rPr>
        <w:t> </w:t>
      </w:r>
      <w:r>
        <w:rPr>
          <w:spacing w:val="-106"/>
        </w:rPr>
      </w:r>
      <w:r>
        <w:rPr/>
        <w:t>升；</w:t>
      </w:r>
    </w:p>
    <w:p>
      <w:pPr>
        <w:pStyle w:val="BodyText"/>
        <w:spacing w:line="357" w:lineRule="auto" w:before="46"/>
        <w:ind w:left="303" w:right="381" w:firstLine="480"/>
        <w:jc w:val="left"/>
      </w:pPr>
      <w:r>
        <w:rPr/>
        <w:t>而供应商合作关系的进一步深入，包销产品数量的扩大以及品类品牌的丰富， 使得小家电产品报告期内继续保持主营业务毛利率稳中有升；</w:t>
      </w:r>
    </w:p>
    <w:p>
      <w:pPr>
        <w:pStyle w:val="BodyText"/>
        <w:spacing w:line="357" w:lineRule="auto" w:before="36"/>
        <w:ind w:left="303" w:right="415" w:firstLine="480"/>
        <w:jc w:val="left"/>
      </w:pPr>
      <w:r>
        <w:rPr>
          <w:spacing w:val="-1"/>
        </w:rPr>
        <w:t>空调产品通过近年的市场整合与调整，报告期内销售规模稳定，产品毛利率水</w:t>
      </w:r>
      <w:r>
        <w:rPr/>
        <w:t> 平有所回升。</w:t>
      </w:r>
    </w:p>
    <w:p>
      <w:pPr>
        <w:spacing w:after="0" w:line="357" w:lineRule="auto"/>
        <w:jc w:val="left"/>
        <w:sectPr>
          <w:pgSz w:w="11910" w:h="16840"/>
          <w:pgMar w:header="879" w:footer="982" w:top="1100" w:bottom="1180" w:left="1340" w:right="1220"/>
        </w:sectPr>
      </w:pPr>
    </w:p>
    <w:p>
      <w:pPr>
        <w:spacing w:line="240" w:lineRule="auto" w:before="10"/>
        <w:rPr>
          <w:rFonts w:ascii="宋体" w:hAnsi="宋体" w:cs="宋体" w:eastAsia="宋体" w:hint="default"/>
          <w:sz w:val="10"/>
          <w:szCs w:val="10"/>
        </w:rPr>
      </w:pPr>
    </w:p>
    <w:p>
      <w:pPr>
        <w:pStyle w:val="BodyText"/>
        <w:spacing w:line="352" w:lineRule="auto" w:before="26"/>
        <w:ind w:left="144" w:right="101" w:firstLine="480"/>
        <w:jc w:val="both"/>
      </w:pPr>
      <w:r>
        <w:rPr>
          <w:rFonts w:ascii="Wingdings" w:hAnsi="Wingdings" w:cs="Wingdings" w:eastAsia="Wingdings" w:hint="default"/>
        </w:rPr>
        <w:t></w:t>
      </w:r>
      <w:r>
        <w:rPr>
          <w:rFonts w:ascii="Times New Roman" w:hAnsi="Times New Roman" w:cs="Times New Roman" w:eastAsia="Times New Roman" w:hint="default"/>
        </w:rPr>
      </w:r>
      <w:r>
        <w:rPr/>
        <w:t>通讯、数码、</w:t>
      </w:r>
      <w:r>
        <w:rPr>
          <w:rFonts w:ascii="Times New Roman" w:hAnsi="Times New Roman" w:cs="Times New Roman" w:eastAsia="Times New Roman" w:hint="default"/>
        </w:rPr>
        <w:t>IT </w:t>
      </w:r>
      <w:r>
        <w:rPr/>
        <w:t>等 </w:t>
      </w:r>
      <w:r>
        <w:rPr>
          <w:rFonts w:ascii="Times New Roman" w:hAnsi="Times New Roman" w:cs="Times New Roman" w:eastAsia="Times New Roman" w:hint="default"/>
        </w:rPr>
        <w:t>3C</w:t>
      </w:r>
      <w:r>
        <w:rPr>
          <w:rFonts w:ascii="Times New Roman" w:hAnsi="Times New Roman" w:cs="Times New Roman" w:eastAsia="Times New Roman" w:hint="default"/>
          <w:spacing w:val="8"/>
        </w:rPr>
        <w:t> </w:t>
      </w:r>
      <w:r>
        <w:rPr/>
        <w:t>类产品，由于主要产品品牌集中度高、竞争激烈， </w:t>
      </w:r>
      <w:r>
        <w:rPr>
          <w:spacing w:val="6"/>
        </w:rPr>
        <w:t>而流通渠道业态较多且存在较多不规范的操作等原因，市场还处于竞争整合的阶</w:t>
      </w:r>
      <w:r>
        <w:rPr>
          <w:spacing w:val="6"/>
        </w:rPr>
        <w:t> </w:t>
      </w:r>
      <w:r>
        <w:rPr/>
        <w:t>段。公司主动调整竞争策略，积极应对市场，使得报告期内产品毛利水平出现一定</w:t>
      </w:r>
      <w:r>
        <w:rPr/>
        <w:t> 的下滑。公司希望通过自身的努力，尤其是在供应链方面的进一步整合和突破，以 </w:t>
      </w:r>
      <w:r>
        <w:rPr>
          <w:spacing w:val="-4"/>
        </w:rPr>
        <w:t>及国家相关法律法规的出台，进一步提高市场规范程度，为消费者提供更多的保障。</w:t>
      </w:r>
    </w:p>
    <w:p>
      <w:pPr>
        <w:pStyle w:val="BodyText"/>
        <w:spacing w:line="348" w:lineRule="auto" w:before="41"/>
        <w:ind w:left="144" w:right="198" w:firstLine="480"/>
        <w:jc w:val="both"/>
      </w:pPr>
      <w:r>
        <w:rPr/>
        <w:t>未来，随着销售规模扩大、市场操作规范以及与上游主导供应商的战略合作， 消费者对家电连锁的认知程度将得到提升，</w:t>
      </w:r>
      <w:r>
        <w:rPr>
          <w:rFonts w:ascii="Times New Roman" w:hAnsi="Times New Roman" w:cs="Times New Roman" w:eastAsia="Times New Roman" w:hint="default"/>
        </w:rPr>
        <w:t>3C </w:t>
      </w:r>
      <w:r>
        <w:rPr/>
        <w:t>类产品市场渠道必将逐步整合，公</w:t>
      </w:r>
      <w:r>
        <w:rPr>
          <w:spacing w:val="-85"/>
        </w:rPr>
        <w:t> </w:t>
      </w:r>
      <w:r>
        <w:rPr/>
        <w:t>司相信，</w:t>
      </w:r>
      <w:r>
        <w:rPr>
          <w:rFonts w:ascii="Times New Roman" w:hAnsi="Times New Roman" w:cs="Times New Roman" w:eastAsia="Times New Roman" w:hint="default"/>
        </w:rPr>
        <w:t>3C</w:t>
      </w:r>
      <w:r>
        <w:rPr>
          <w:rFonts w:ascii="Times New Roman" w:hAnsi="Times New Roman" w:cs="Times New Roman" w:eastAsia="Times New Roman" w:hint="default"/>
          <w:spacing w:val="-1"/>
        </w:rPr>
        <w:t> </w:t>
      </w:r>
      <w:r>
        <w:rPr/>
        <w:t>类产品的销售、毛利也会逐步回升。</w:t>
      </w:r>
    </w:p>
    <w:p>
      <w:pPr>
        <w:spacing w:line="240" w:lineRule="auto" w:before="0"/>
        <w:rPr>
          <w:rFonts w:ascii="宋体" w:hAnsi="宋体" w:cs="宋体" w:eastAsia="宋体" w:hint="default"/>
          <w:sz w:val="24"/>
          <w:szCs w:val="24"/>
        </w:rPr>
      </w:pPr>
    </w:p>
    <w:p>
      <w:pPr>
        <w:pStyle w:val="BodyText"/>
        <w:spacing w:line="240" w:lineRule="auto" w:before="170"/>
        <w:ind w:left="865" w:right="87"/>
        <w:jc w:val="left"/>
      </w:pPr>
      <w:r>
        <w:rPr/>
        <w:t>（五）经营结果及原因分析：</w:t>
      </w:r>
    </w:p>
    <w:p>
      <w:pPr>
        <w:tabs>
          <w:tab w:pos="7439" w:val="left" w:leader="none"/>
        </w:tabs>
        <w:spacing w:before="154"/>
        <w:ind w:left="865" w:right="0" w:firstLine="0"/>
        <w:jc w:val="left"/>
        <w:rPr>
          <w:rFonts w:ascii="宋体" w:hAnsi="宋体" w:cs="宋体" w:eastAsia="宋体" w:hint="default"/>
          <w:sz w:val="21"/>
          <w:szCs w:val="21"/>
        </w:rPr>
      </w:pPr>
      <w:r>
        <w:rPr>
          <w:rFonts w:ascii="Times New Roman" w:hAnsi="Times New Roman" w:cs="Times New Roman" w:eastAsia="Times New Roman" w:hint="default"/>
          <w:spacing w:val="-5"/>
          <w:sz w:val="24"/>
          <w:szCs w:val="24"/>
        </w:rPr>
        <w:t>1</w:t>
      </w:r>
      <w:r>
        <w:rPr>
          <w:rFonts w:ascii="宋体" w:hAnsi="宋体" w:cs="宋体" w:eastAsia="宋体" w:hint="default"/>
          <w:spacing w:val="-5"/>
          <w:sz w:val="24"/>
          <w:szCs w:val="24"/>
        </w:rPr>
        <w:t>、经营结果指标及原因分析</w:t>
        <w:tab/>
      </w:r>
      <w:r>
        <w:rPr>
          <w:rFonts w:ascii="宋体" w:hAnsi="宋体" w:cs="宋体" w:eastAsia="宋体" w:hint="default"/>
          <w:spacing w:val="-7"/>
          <w:sz w:val="21"/>
          <w:szCs w:val="21"/>
        </w:rPr>
        <w:t>（单位：千元）</w:t>
      </w:r>
    </w:p>
    <w:p>
      <w:pPr>
        <w:spacing w:line="240" w:lineRule="auto" w:before="4"/>
        <w:rPr>
          <w:rFonts w:ascii="宋体" w:hAnsi="宋体" w:cs="宋体" w:eastAsia="宋体" w:hint="default"/>
          <w:sz w:val="7"/>
          <w:szCs w:val="7"/>
        </w:rPr>
      </w:pPr>
    </w:p>
    <w:tbl>
      <w:tblPr>
        <w:tblW w:w="0" w:type="auto"/>
        <w:jc w:val="left"/>
        <w:tblInd w:w="313" w:type="dxa"/>
        <w:tblLayout w:type="fixed"/>
        <w:tblCellMar>
          <w:top w:w="0" w:type="dxa"/>
          <w:left w:w="0" w:type="dxa"/>
          <w:bottom w:w="0" w:type="dxa"/>
          <w:right w:w="0" w:type="dxa"/>
        </w:tblCellMar>
        <w:tblLook w:val="01E0"/>
      </w:tblPr>
      <w:tblGrid>
        <w:gridCol w:w="2736"/>
        <w:gridCol w:w="2099"/>
        <w:gridCol w:w="1940"/>
        <w:gridCol w:w="1476"/>
      </w:tblGrid>
      <w:tr>
        <w:trPr>
          <w:trHeight w:val="623" w:hRule="exact"/>
        </w:trPr>
        <w:tc>
          <w:tcPr>
            <w:tcW w:w="273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5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099"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before="38"/>
              <w:ind w:right="1"/>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c>
          <w:tcPr>
            <w:tcW w:w="1940"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before="38"/>
              <w:ind w:left="1" w:right="0"/>
              <w:jc w:val="center"/>
              <w:rPr>
                <w:rFonts w:ascii="宋体" w:hAnsi="宋体" w:cs="宋体" w:eastAsia="宋体" w:hint="default"/>
                <w:sz w:val="18"/>
                <w:szCs w:val="18"/>
              </w:rPr>
            </w:pPr>
            <w:r>
              <w:rPr>
                <w:rFonts w:ascii="宋体" w:hAnsi="宋体" w:cs="宋体" w:eastAsia="宋体" w:hint="default"/>
                <w:sz w:val="18"/>
                <w:szCs w:val="18"/>
              </w:rPr>
              <w:t>去年同期</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c>
          <w:tcPr>
            <w:tcW w:w="14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54"/>
              <w:ind w:left="207" w:right="0"/>
              <w:jc w:val="left"/>
              <w:rPr>
                <w:rFonts w:ascii="宋体" w:hAnsi="宋体" w:cs="宋体" w:eastAsia="宋体" w:hint="default"/>
                <w:sz w:val="18"/>
                <w:szCs w:val="18"/>
              </w:rPr>
            </w:pPr>
            <w:r>
              <w:rPr>
                <w:rFonts w:ascii="宋体" w:hAnsi="宋体" w:cs="宋体" w:eastAsia="宋体" w:hint="default"/>
                <w:sz w:val="18"/>
                <w:szCs w:val="18"/>
              </w:rPr>
              <w:t>增减率（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0" w:hRule="exact"/>
        </w:trPr>
        <w:tc>
          <w:tcPr>
            <w:tcW w:w="27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40,152,371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26,161,252</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w w:val="95"/>
                <w:sz w:val="18"/>
              </w:rPr>
              <w:t>53.48%</w:t>
            </w:r>
            <w:r>
              <w:rPr>
                <w:rFonts w:ascii="Times New Roman"/>
                <w:sz w:val="18"/>
              </w:rPr>
            </w:r>
          </w:p>
        </w:tc>
      </w:tr>
      <w:tr>
        <w:trPr>
          <w:trHeight w:val="340" w:hRule="exact"/>
        </w:trPr>
        <w:tc>
          <w:tcPr>
            <w:tcW w:w="27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34,346,740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22,268,806</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w w:val="95"/>
                <w:sz w:val="18"/>
              </w:rPr>
              <w:t>54.24%</w:t>
            </w:r>
            <w:r>
              <w:rPr>
                <w:rFonts w:ascii="Times New Roman"/>
                <w:sz w:val="18"/>
              </w:rPr>
            </w:r>
          </w:p>
        </w:tc>
      </w:tr>
      <w:tr>
        <w:trPr>
          <w:trHeight w:val="341" w:hRule="exact"/>
        </w:trPr>
        <w:tc>
          <w:tcPr>
            <w:tcW w:w="27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2,985,538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2,207,862</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w w:val="95"/>
                <w:sz w:val="18"/>
              </w:rPr>
              <w:t>35.22%</w:t>
            </w:r>
            <w:r>
              <w:rPr>
                <w:rFonts w:ascii="Times New Roman"/>
                <w:sz w:val="18"/>
              </w:rPr>
            </w:r>
          </w:p>
        </w:tc>
      </w:tr>
      <w:tr>
        <w:trPr>
          <w:trHeight w:val="340" w:hRule="exact"/>
        </w:trPr>
        <w:tc>
          <w:tcPr>
            <w:tcW w:w="27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493,581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392,975</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w w:val="95"/>
                <w:sz w:val="18"/>
              </w:rPr>
              <w:t>25.60%</w:t>
            </w:r>
            <w:r>
              <w:rPr>
                <w:rFonts w:ascii="Times New Roman"/>
                <w:sz w:val="18"/>
              </w:rPr>
            </w:r>
          </w:p>
        </w:tc>
      </w:tr>
      <w:tr>
        <w:trPr>
          <w:trHeight w:val="340" w:hRule="exact"/>
        </w:trPr>
        <w:tc>
          <w:tcPr>
            <w:tcW w:w="27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-88,162</w:t>
            </w:r>
            <w:r>
              <w:rPr>
                <w:rFonts w:ascii="Times New Roman"/>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23,581</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w w:val="95"/>
                <w:sz w:val="18"/>
              </w:rPr>
              <w:t>-473.87%</w:t>
            </w:r>
            <w:r>
              <w:rPr>
                <w:rFonts w:ascii="Times New Roman"/>
                <w:sz w:val="18"/>
              </w:rPr>
            </w:r>
          </w:p>
        </w:tc>
      </w:tr>
      <w:tr>
        <w:trPr>
          <w:trHeight w:val="341" w:hRule="exact"/>
        </w:trPr>
        <w:tc>
          <w:tcPr>
            <w:tcW w:w="27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2,250,060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1,147,162</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w w:val="95"/>
                <w:sz w:val="18"/>
              </w:rPr>
              <w:t>96.14%</w:t>
            </w:r>
            <w:r>
              <w:rPr>
                <w:rFonts w:ascii="Times New Roman"/>
                <w:sz w:val="18"/>
              </w:rPr>
            </w:r>
          </w:p>
        </w:tc>
      </w:tr>
      <w:tr>
        <w:trPr>
          <w:trHeight w:val="340" w:hRule="exact"/>
        </w:trPr>
        <w:tc>
          <w:tcPr>
            <w:tcW w:w="27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2,241,358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1,147,478</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w w:val="95"/>
                <w:sz w:val="18"/>
              </w:rPr>
              <w:t>95.33%</w:t>
            </w:r>
            <w:r>
              <w:rPr>
                <w:rFonts w:ascii="Times New Roman"/>
                <w:sz w:val="18"/>
              </w:rPr>
            </w:r>
          </w:p>
        </w:tc>
      </w:tr>
      <w:tr>
        <w:trPr>
          <w:trHeight w:val="340" w:hRule="exact"/>
        </w:trPr>
        <w:tc>
          <w:tcPr>
            <w:tcW w:w="27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归属于母公司净利润</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1,465,426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757,636</w:t>
            </w:r>
          </w:p>
        </w:tc>
        <w:tc>
          <w:tcPr>
            <w:tcW w:w="14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w w:val="95"/>
                <w:sz w:val="18"/>
              </w:rPr>
              <w:t>93.42%</w:t>
            </w:r>
            <w:r>
              <w:rPr>
                <w:rFonts w:ascii="Times New Roman"/>
                <w:sz w:val="18"/>
              </w:rPr>
            </w:r>
          </w:p>
        </w:tc>
      </w:tr>
      <w:tr>
        <w:trPr>
          <w:trHeight w:val="352" w:hRule="exact"/>
        </w:trPr>
        <w:tc>
          <w:tcPr>
            <w:tcW w:w="273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3,496,476</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150,751</w:t>
            </w:r>
          </w:p>
        </w:tc>
        <w:tc>
          <w:tcPr>
            <w:tcW w:w="147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right="93"/>
              <w:jc w:val="right"/>
              <w:rPr>
                <w:rFonts w:ascii="Times New Roman" w:hAnsi="Times New Roman" w:cs="Times New Roman" w:eastAsia="Times New Roman" w:hint="default"/>
                <w:sz w:val="18"/>
                <w:szCs w:val="18"/>
              </w:rPr>
            </w:pPr>
            <w:r>
              <w:rPr>
                <w:rFonts w:ascii="Times New Roman"/>
                <w:w w:val="95"/>
                <w:sz w:val="18"/>
              </w:rPr>
              <w:t>2219.37%</w:t>
            </w:r>
            <w:r>
              <w:rPr>
                <w:rFonts w:ascii="Times New Roman"/>
                <w:sz w:val="18"/>
              </w:rPr>
            </w:r>
          </w:p>
        </w:tc>
      </w:tr>
    </w:tbl>
    <w:p>
      <w:pPr>
        <w:pStyle w:val="BodyText"/>
        <w:spacing w:line="338" w:lineRule="auto" w:before="40"/>
        <w:ind w:right="21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报告期内，公司连锁网络规模的不断扩大，单店经营质量稳步提升，各项</w:t>
      </w:r>
      <w:r>
        <w:rPr>
          <w:spacing w:val="3"/>
        </w:rPr>
        <w:t> </w:t>
      </w:r>
      <w:r>
        <w:rPr>
          <w:spacing w:val="-3"/>
        </w:rPr>
        <w:t>经营工作有序、创新推进，实现营业总收入比上年同期增长</w:t>
      </w:r>
      <w:r>
        <w:rPr>
          <w:spacing w:val="-48"/>
        </w:rPr>
        <w:t> </w:t>
      </w:r>
      <w:r>
        <w:rPr>
          <w:rFonts w:ascii="Times New Roman" w:hAnsi="Times New Roman" w:cs="Times New Roman" w:eastAsia="Times New Roman" w:hint="default"/>
          <w:spacing w:val="-3"/>
        </w:rPr>
        <w:t>53.48%</w:t>
      </w:r>
      <w:r>
        <w:rPr>
          <w:spacing w:val="-3"/>
        </w:rPr>
        <w:t>，其中主营业务</w:t>
      </w:r>
      <w:r>
        <w:rPr>
          <w:spacing w:val="-118"/>
        </w:rPr>
        <w:t> </w:t>
      </w:r>
      <w:r>
        <w:rPr>
          <w:spacing w:val="-118"/>
        </w:rPr>
      </w:r>
      <w:r>
        <w:rPr/>
        <w:t>收入同比增长</w:t>
      </w:r>
      <w:r>
        <w:rPr>
          <w:spacing w:val="-60"/>
        </w:rPr>
        <w:t> </w:t>
      </w:r>
      <w:r>
        <w:rPr>
          <w:rFonts w:ascii="Times New Roman" w:hAnsi="Times New Roman" w:cs="Times New Roman" w:eastAsia="Times New Roman" w:hint="default"/>
        </w:rPr>
        <w:t>55.17%</w:t>
      </w:r>
      <w:r>
        <w:rPr/>
        <w:t>。</w:t>
      </w:r>
    </w:p>
    <w:p>
      <w:pPr>
        <w:pStyle w:val="BodyText"/>
        <w:spacing w:line="345" w:lineRule="auto" w:before="27"/>
        <w:ind w:right="21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随着公司销售规模的进一步扩大，工商关系进一步融洽，供应链资源得到</w:t>
      </w:r>
      <w:r>
        <w:rPr>
          <w:spacing w:val="3"/>
        </w:rPr>
        <w:t> </w:t>
      </w:r>
      <w:r>
        <w:rPr>
          <w:spacing w:val="-8"/>
        </w:rPr>
        <w:t>有效整合，包销、买断、专供等形式开始逐步应用。报告期内，公司综合毛利率（综</w:t>
      </w:r>
      <w:r>
        <w:rPr>
          <w:spacing w:val="-1"/>
        </w:rPr>
        <w:t> </w:t>
      </w:r>
      <w:r>
        <w:rPr/>
        <w:t>合毛利率</w:t>
      </w:r>
      <w:r>
        <w:rPr>
          <w:rFonts w:ascii="Times New Roman" w:hAnsi="Times New Roman" w:cs="Times New Roman" w:eastAsia="Times New Roman" w:hint="default"/>
        </w:rPr>
        <w:t>=</w:t>
      </w:r>
      <w:r>
        <w:rPr/>
        <w:t>（营业总收入</w:t>
      </w:r>
      <w:r>
        <w:rPr>
          <w:rFonts w:ascii="Times New Roman" w:hAnsi="Times New Roman" w:cs="Times New Roman" w:eastAsia="Times New Roman" w:hint="default"/>
        </w:rPr>
        <w:t>-</w:t>
      </w:r>
      <w:r>
        <w:rPr/>
        <w:t>营业成本）</w:t>
      </w:r>
      <w:r>
        <w:rPr>
          <w:rFonts w:ascii="Times New Roman" w:hAnsi="Times New Roman" w:cs="Times New Roman" w:eastAsia="Times New Roman" w:hint="default"/>
        </w:rPr>
        <w:t>/</w:t>
      </w:r>
      <w:r>
        <w:rPr/>
        <w:t>主营业务收入）为</w:t>
      </w:r>
      <w:r>
        <w:rPr>
          <w:spacing w:val="12"/>
        </w:rPr>
        <w:t> </w:t>
      </w:r>
      <w:r>
        <w:rPr>
          <w:rFonts w:ascii="Times New Roman" w:hAnsi="Times New Roman" w:cs="Times New Roman" w:eastAsia="Times New Roman" w:hint="default"/>
        </w:rPr>
        <w:t>15.01%</w:t>
      </w:r>
      <w:r>
        <w:rPr/>
        <w:t>，总体保持相对稳</w:t>
      </w:r>
      <w:r>
        <w:rPr>
          <w:spacing w:val="-117"/>
        </w:rPr>
        <w:t> </w:t>
      </w:r>
      <w:r>
        <w:rPr/>
        <w:t>定的水平；主营业务毛利率为</w:t>
      </w:r>
      <w:r>
        <w:rPr>
          <w:spacing w:val="-63"/>
        </w:rPr>
        <w:t> </w:t>
      </w:r>
      <w:r>
        <w:rPr>
          <w:rFonts w:ascii="Times New Roman" w:hAnsi="Times New Roman" w:cs="Times New Roman" w:eastAsia="Times New Roman" w:hint="default"/>
        </w:rPr>
        <w:t>11.25%</w:t>
      </w:r>
      <w:r>
        <w:rPr/>
        <w:t>，较上年同期提升</w:t>
      </w:r>
      <w:r>
        <w:rPr>
          <w:spacing w:val="-63"/>
        </w:rPr>
        <w:t> </w:t>
      </w:r>
      <w:r>
        <w:rPr>
          <w:rFonts w:ascii="Times New Roman" w:hAnsi="Times New Roman" w:cs="Times New Roman" w:eastAsia="Times New Roman" w:hint="default"/>
        </w:rPr>
        <w:t>0.57</w:t>
      </w:r>
      <w:r>
        <w:rPr>
          <w:rFonts w:ascii="Times New Roman" w:hAnsi="Times New Roman" w:cs="Times New Roman" w:eastAsia="Times New Roman" w:hint="default"/>
          <w:spacing w:val="-3"/>
        </w:rPr>
        <w:t> </w:t>
      </w:r>
      <w:r>
        <w:rPr/>
        <w:t>个百分点。</w:t>
      </w:r>
    </w:p>
    <w:p>
      <w:pPr>
        <w:pStyle w:val="BodyText"/>
        <w:spacing w:line="345" w:lineRule="auto" w:before="19"/>
        <w:ind w:right="198" w:firstLine="480"/>
        <w:jc w:val="both"/>
      </w:pPr>
      <w:r>
        <w:rPr>
          <w:rFonts w:ascii="Wingdings" w:hAnsi="Wingdings" w:cs="Wingdings" w:eastAsia="Wingdings" w:hint="default"/>
        </w:rPr>
        <w:t></w:t>
      </w:r>
      <w:r>
        <w:rPr>
          <w:rFonts w:ascii="Wingdings" w:hAnsi="Wingdings" w:cs="Wingdings" w:eastAsia="Wingdings" w:hint="default"/>
          <w:spacing w:val="-35"/>
        </w:rPr>
        <w:t></w:t>
      </w:r>
      <w:r>
        <w:rPr>
          <w:rFonts w:ascii="Times New Roman" w:hAnsi="Times New Roman" w:cs="Times New Roman" w:eastAsia="Times New Roman" w:hint="default"/>
          <w:spacing w:val="-35"/>
        </w:rPr>
      </w:r>
      <w:r>
        <w:rPr>
          <w:spacing w:val="2"/>
        </w:rPr>
        <w:t>公司单店经营质量上升，带来与店面直接相关的费用比例相对下降；公司</w:t>
      </w:r>
      <w:r>
        <w:rPr>
          <w:spacing w:val="3"/>
        </w:rPr>
        <w:t> </w:t>
      </w:r>
      <w:r>
        <w:rPr/>
        <w:t>同城店面由</w:t>
      </w:r>
      <w:r>
        <w:rPr>
          <w:spacing w:val="-48"/>
        </w:rPr>
        <w:t> </w:t>
      </w:r>
      <w:r>
        <w:rPr>
          <w:rFonts w:ascii="Times New Roman" w:hAnsi="Times New Roman" w:cs="Times New Roman" w:eastAsia="Times New Roman" w:hint="default"/>
        </w:rPr>
        <w:t>06</w:t>
      </w:r>
      <w:r>
        <w:rPr>
          <w:rFonts w:ascii="Times New Roman" w:hAnsi="Times New Roman" w:cs="Times New Roman" w:eastAsia="Times New Roman" w:hint="default"/>
          <w:spacing w:val="12"/>
        </w:rPr>
        <w:t> </w:t>
      </w:r>
      <w:r>
        <w:rPr/>
        <w:t>年的</w:t>
      </w:r>
      <w:r>
        <w:rPr>
          <w:spacing w:val="-47"/>
        </w:rPr>
        <w:t> </w:t>
      </w:r>
      <w:r>
        <w:rPr>
          <w:rFonts w:ascii="Times New Roman" w:hAnsi="Times New Roman" w:cs="Times New Roman" w:eastAsia="Times New Roman" w:hint="default"/>
        </w:rPr>
        <w:t>3.9</w:t>
      </w:r>
      <w:r>
        <w:rPr>
          <w:rFonts w:ascii="Times New Roman" w:hAnsi="Times New Roman" w:cs="Times New Roman" w:eastAsia="Times New Roman" w:hint="default"/>
          <w:spacing w:val="12"/>
        </w:rPr>
        <w:t> </w:t>
      </w:r>
      <w:r>
        <w:rPr/>
        <w:t>家提升到</w:t>
      </w:r>
      <w:r>
        <w:rPr>
          <w:spacing w:val="-48"/>
        </w:rPr>
        <w:t> </w:t>
      </w:r>
      <w:r>
        <w:rPr>
          <w:rFonts w:ascii="Times New Roman" w:hAnsi="Times New Roman" w:cs="Times New Roman" w:eastAsia="Times New Roman" w:hint="default"/>
        </w:rPr>
        <w:t>07</w:t>
      </w:r>
      <w:r>
        <w:rPr>
          <w:rFonts w:ascii="Times New Roman" w:hAnsi="Times New Roman" w:cs="Times New Roman" w:eastAsia="Times New Roman" w:hint="default"/>
          <w:spacing w:val="12"/>
        </w:rPr>
        <w:t> </w:t>
      </w:r>
      <w:r>
        <w:rPr/>
        <w:t>年的</w:t>
      </w:r>
      <w:r>
        <w:rPr>
          <w:spacing w:val="-47"/>
        </w:rPr>
        <w:t> </w:t>
      </w:r>
      <w:r>
        <w:rPr>
          <w:rFonts w:ascii="Times New Roman" w:hAnsi="Times New Roman" w:cs="Times New Roman" w:eastAsia="Times New Roman" w:hint="default"/>
        </w:rPr>
        <w:t>4.2</w:t>
      </w:r>
      <w:r>
        <w:rPr>
          <w:rFonts w:ascii="Times New Roman" w:hAnsi="Times New Roman" w:cs="Times New Roman" w:eastAsia="Times New Roman" w:hint="default"/>
          <w:spacing w:val="12"/>
        </w:rPr>
        <w:t> </w:t>
      </w:r>
      <w:r>
        <w:rPr/>
        <w:t>家，同一城市内的相对固定费用，如 </w:t>
      </w:r>
      <w:r>
        <w:rPr>
          <w:spacing w:val="-1"/>
        </w:rPr>
        <w:t>办公、人员等管理费用，广告等销售费用更有效的得到分摊；同时，物流和信息平</w:t>
      </w:r>
      <w:r>
        <w:rPr>
          <w:spacing w:val="-107"/>
        </w:rPr>
        <w:t> </w:t>
      </w:r>
      <w:r>
        <w:rPr>
          <w:spacing w:val="-107"/>
        </w:rPr>
      </w:r>
      <w:r>
        <w:rPr/>
        <w:t>台的整合，进一步加强了物流半径辐射区域范围内各公司的资源共享，人员成本、</w:t>
      </w:r>
    </w:p>
    <w:p>
      <w:pPr>
        <w:spacing w:after="0" w:line="345"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48" w:lineRule="auto" w:before="26"/>
        <w:ind w:right="89"/>
        <w:jc w:val="left"/>
      </w:pPr>
      <w:r>
        <w:rPr>
          <w:spacing w:val="-3"/>
        </w:rPr>
        <w:t>管理成本进一步下降，由此，公司销售费用率、管理费用率同比共下降了</w:t>
      </w:r>
      <w:r>
        <w:rPr>
          <w:spacing w:val="-58"/>
        </w:rPr>
        <w:t> </w:t>
      </w:r>
      <w:r>
        <w:rPr>
          <w:rFonts w:ascii="Times New Roman" w:hAnsi="Times New Roman" w:cs="Times New Roman" w:eastAsia="Times New Roman" w:hint="default"/>
        </w:rPr>
        <w:t>1.44</w:t>
      </w:r>
      <w:r>
        <w:rPr>
          <w:rFonts w:ascii="Times New Roman" w:hAnsi="Times New Roman" w:cs="Times New Roman" w:eastAsia="Times New Roman" w:hint="default"/>
          <w:spacing w:val="2"/>
        </w:rPr>
        <w:t> </w:t>
      </w:r>
      <w:r>
        <w:rPr/>
        <w:t>个百</w:t>
      </w:r>
      <w:r>
        <w:rPr>
          <w:spacing w:val="-114"/>
        </w:rPr>
        <w:t> </w:t>
      </w:r>
      <w:r>
        <w:rPr>
          <w:spacing w:val="-4"/>
        </w:rPr>
        <w:t>分点；这是连锁模式在规模达到临界点后的合理结果，也是公司前期侧重全国布局、</w:t>
      </w:r>
      <w:r>
        <w:rPr>
          <w:spacing w:val="-114"/>
        </w:rPr>
        <w:t> </w:t>
      </w:r>
      <w:r>
        <w:rPr>
          <w:spacing w:val="-114"/>
        </w:rPr>
      </w:r>
      <w:r>
        <w:rPr/>
        <w:t>侧重后台先行的策略在近年来边际效应不断释放的结果。</w:t>
      </w:r>
    </w:p>
    <w:p>
      <w:pPr>
        <w:pStyle w:val="BodyText"/>
        <w:spacing w:line="338" w:lineRule="auto" w:before="46"/>
        <w:ind w:right="221" w:firstLine="480"/>
        <w:jc w:val="both"/>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报告期内，公司财务费用比上年下降了</w:t>
      </w:r>
      <w:r>
        <w:rPr>
          <w:spacing w:val="-42"/>
        </w:rPr>
        <w:t> </w:t>
      </w:r>
      <w:r>
        <w:rPr>
          <w:rFonts w:ascii="Times New Roman" w:hAnsi="Times New Roman" w:cs="Times New Roman" w:eastAsia="Times New Roman" w:hint="default"/>
        </w:rPr>
        <w:t>1.12</w:t>
      </w:r>
      <w:r>
        <w:rPr>
          <w:rFonts w:ascii="Times New Roman" w:hAnsi="Times New Roman" w:cs="Times New Roman" w:eastAsia="Times New Roman" w:hint="default"/>
          <w:spacing w:val="18"/>
        </w:rPr>
        <w:t> </w:t>
      </w:r>
      <w:r>
        <w:rPr/>
        <w:t>亿元，主要原因为公司较多的 使用了应付票据的结算方式，年末承兑汇票保证金利息的增加；</w:t>
      </w:r>
    </w:p>
    <w:p>
      <w:pPr>
        <w:pStyle w:val="BodyText"/>
        <w:spacing w:line="350" w:lineRule="auto" w:before="55"/>
        <w:ind w:right="218" w:firstLine="480"/>
        <w:jc w:val="both"/>
      </w:pPr>
      <w:r>
        <w:rPr>
          <w:spacing w:val="-1"/>
        </w:rPr>
        <w:t>同时，由于公司在与供应商合作时，会根据经营与市场状况，进行预投款操作</w:t>
      </w:r>
      <w:r>
        <w:rPr/>
        <w:t> </w:t>
      </w:r>
      <w:r>
        <w:rPr>
          <w:spacing w:val="-1"/>
        </w:rPr>
        <w:t>或在应付款到期前提前付款，供应商会给予一定的投款折让。以往年度，对于供应</w:t>
      </w:r>
      <w:r>
        <w:rPr>
          <w:spacing w:val="-108"/>
        </w:rPr>
        <w:t> </w:t>
      </w:r>
      <w:r>
        <w:rPr>
          <w:spacing w:val="-108"/>
        </w:rPr>
      </w:r>
      <w:r>
        <w:rPr/>
        <w:t>商给予公司预付款项的奖励</w:t>
      </w:r>
      <w:r>
        <w:rPr>
          <w:rFonts w:ascii="Times New Roman" w:hAnsi="Times New Roman" w:cs="Times New Roman" w:eastAsia="Times New Roman" w:hint="default"/>
        </w:rPr>
        <w:t>(</w:t>
      </w:r>
      <w:r>
        <w:rPr/>
        <w:t>名为投款折让</w:t>
      </w:r>
      <w:r>
        <w:rPr>
          <w:rFonts w:ascii="Times New Roman" w:hAnsi="Times New Roman" w:cs="Times New Roman" w:eastAsia="Times New Roman" w:hint="default"/>
        </w:rPr>
        <w:t>)</w:t>
      </w:r>
      <w:r>
        <w:rPr/>
        <w:t>，由于通过商业折扣的方式体现，公司</w:t>
      </w:r>
      <w:r>
        <w:rPr>
          <w:spacing w:val="-83"/>
        </w:rPr>
        <w:t> </w:t>
      </w:r>
      <w:r>
        <w:rPr/>
        <w:t>在收到时减计当期营业成本；</w:t>
      </w:r>
      <w:r>
        <w:rPr>
          <w:rFonts w:ascii="Times New Roman" w:hAnsi="Times New Roman" w:cs="Times New Roman" w:eastAsia="Times New Roman" w:hint="default"/>
        </w:rPr>
        <w:t>2007</w:t>
      </w:r>
      <w:r>
        <w:rPr>
          <w:rFonts w:ascii="Times New Roman" w:hAnsi="Times New Roman" w:cs="Times New Roman" w:eastAsia="Times New Roman" w:hint="default"/>
          <w:spacing w:val="-18"/>
        </w:rPr>
        <w:t> </w:t>
      </w:r>
      <w:r>
        <w:rPr>
          <w:spacing w:val="-3"/>
        </w:rPr>
        <w:t>年度，公司从实质重于形式的角度考虑，认为供</w:t>
      </w:r>
      <w:r>
        <w:rPr/>
        <w:t> </w:t>
      </w:r>
      <w:r>
        <w:rPr>
          <w:spacing w:val="-1"/>
        </w:rPr>
        <w:t>应商提供的投款折让实质属于现金折扣，因此将其重分类至财务收入，并相应调整</w:t>
      </w:r>
      <w:r>
        <w:rPr>
          <w:spacing w:val="-106"/>
        </w:rPr>
        <w:t> </w:t>
      </w:r>
      <w:r>
        <w:rPr>
          <w:spacing w:val="-106"/>
        </w:rPr>
      </w:r>
      <w:r>
        <w:rPr>
          <w:rFonts w:ascii="Times New Roman" w:hAnsi="Times New Roman" w:cs="Times New Roman" w:eastAsia="Times New Roman" w:hint="default"/>
        </w:rPr>
        <w:t>2006 </w:t>
      </w:r>
      <w:r>
        <w:rPr/>
        <w:t>年度的比较数据，由此带来财务费用的数据变化。</w:t>
      </w:r>
    </w:p>
    <w:p>
      <w:pPr>
        <w:pStyle w:val="BodyText"/>
        <w:spacing w:line="348" w:lineRule="auto" w:before="13"/>
        <w:ind w:right="21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鉴于以上，报告期内，由于公司综合经营质量稳中有升，带来公司营业总</w:t>
      </w:r>
      <w:r>
        <w:rPr>
          <w:spacing w:val="3"/>
        </w:rPr>
        <w:t> </w:t>
      </w:r>
      <w:r>
        <w:rPr>
          <w:spacing w:val="-1"/>
        </w:rPr>
        <w:t>收入和综合毛利的增长高于三项费用的增长幅度，实现归属于母公司的净利润同比</w:t>
      </w:r>
      <w:r>
        <w:rPr>
          <w:spacing w:val="-106"/>
        </w:rPr>
        <w:t> </w:t>
      </w:r>
      <w:r>
        <w:rPr>
          <w:spacing w:val="-106"/>
        </w:rPr>
      </w:r>
      <w:r>
        <w:rPr/>
        <w:t>增长</w:t>
      </w:r>
      <w:r>
        <w:rPr>
          <w:spacing w:val="-60"/>
        </w:rPr>
        <w:t> </w:t>
      </w:r>
      <w:r>
        <w:rPr>
          <w:rFonts w:ascii="Times New Roman" w:hAnsi="Times New Roman" w:cs="Times New Roman" w:eastAsia="Times New Roman" w:hint="default"/>
        </w:rPr>
        <w:t>93.42%</w:t>
      </w:r>
      <w:r>
        <w:rPr/>
        <w:t>。</w:t>
      </w:r>
    </w:p>
    <w:p>
      <w:pPr>
        <w:pStyle w:val="BodyText"/>
        <w:spacing w:line="350" w:lineRule="auto" w:before="16"/>
        <w:ind w:right="215"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在现金流量方面，报告期内，公司采购管理水平在信息化基础上得到一定</w:t>
      </w:r>
      <w:r>
        <w:rPr>
          <w:spacing w:val="3"/>
        </w:rPr>
        <w:t> </w:t>
      </w:r>
      <w:r>
        <w:rPr>
          <w:spacing w:val="-1"/>
        </w:rPr>
        <w:t>的提升，加之部分区域物流平台的整合，带来存货周转速度的提升；集中采购、统</w:t>
      </w:r>
      <w:r>
        <w:rPr>
          <w:spacing w:val="-107"/>
        </w:rPr>
        <w:t> </w:t>
      </w:r>
      <w:r>
        <w:rPr>
          <w:spacing w:val="-107"/>
        </w:rPr>
      </w:r>
      <w:r>
        <w:rPr>
          <w:spacing w:val="6"/>
        </w:rPr>
        <w:t>一付款模式以及较多的采用票据结算的方式，带来公司资金使用效率的提升和优</w:t>
      </w:r>
      <w:r>
        <w:rPr>
          <w:spacing w:val="6"/>
        </w:rPr>
        <w:t> </w:t>
      </w:r>
      <w:r>
        <w:rPr/>
        <w:t>化，导致经营活动产生的现金流量净额增加；</w:t>
      </w:r>
    </w:p>
    <w:p>
      <w:pPr>
        <w:pStyle w:val="BodyText"/>
        <w:spacing w:line="348" w:lineRule="auto" w:before="43"/>
        <w:ind w:right="83" w:firstLine="480"/>
        <w:jc w:val="left"/>
      </w:pPr>
      <w:r>
        <w:rPr/>
        <w:t>此外，由于 </w:t>
      </w:r>
      <w:r>
        <w:rPr>
          <w:rFonts w:ascii="Times New Roman" w:hAnsi="Times New Roman" w:cs="Times New Roman" w:eastAsia="Times New Roman" w:hint="default"/>
        </w:rPr>
        <w:t>2008 </w:t>
      </w:r>
      <w:r>
        <w:rPr/>
        <w:t>年元旦假期前置，元旦销售旺季提前启动，公司 </w:t>
      </w:r>
      <w:r>
        <w:rPr>
          <w:rFonts w:ascii="Times New Roman" w:hAnsi="Times New Roman" w:cs="Times New Roman" w:eastAsia="Times New Roman" w:hint="default"/>
        </w:rPr>
        <w:t>2007 </w:t>
      </w:r>
      <w:r>
        <w:rPr/>
        <w:t>年</w:t>
      </w:r>
      <w:r>
        <w:rPr>
          <w:spacing w:val="-24"/>
        </w:rPr>
        <w:t> </w:t>
      </w:r>
      <w:r>
        <w:rPr>
          <w:rFonts w:ascii="Times New Roman" w:hAnsi="Times New Roman" w:cs="Times New Roman" w:eastAsia="Times New Roman" w:hint="default"/>
        </w:rPr>
        <w:t>12 </w:t>
      </w:r>
      <w:r>
        <w:rPr/>
        <w:t>月</w:t>
      </w:r>
      <w:r>
        <w:rPr>
          <w:spacing w:val="-78"/>
        </w:rPr>
        <w:t> </w:t>
      </w:r>
      <w:r>
        <w:rPr>
          <w:rFonts w:ascii="Times New Roman" w:hAnsi="Times New Roman" w:cs="Times New Roman" w:eastAsia="Times New Roman" w:hint="default"/>
        </w:rPr>
        <w:t>30</w:t>
      </w:r>
      <w:r>
        <w:rPr>
          <w:rFonts w:ascii="Times New Roman" w:hAnsi="Times New Roman" w:cs="Times New Roman" w:eastAsia="Times New Roman" w:hint="default"/>
          <w:spacing w:val="-18"/>
        </w:rPr>
        <w:t> </w:t>
      </w:r>
      <w:r>
        <w:rPr>
          <w:spacing w:val="-7"/>
        </w:rPr>
        <w:t>日、</w:t>
      </w:r>
      <w:r>
        <w:rPr>
          <w:rFonts w:ascii="Times New Roman" w:hAnsi="Times New Roman" w:cs="Times New Roman" w:eastAsia="Times New Roman" w:hint="default"/>
          <w:spacing w:val="-7"/>
        </w:rPr>
        <w:t>31</w:t>
      </w:r>
      <w:r>
        <w:rPr>
          <w:rFonts w:ascii="Times New Roman" w:hAnsi="Times New Roman" w:cs="Times New Roman" w:eastAsia="Times New Roman" w:hint="default"/>
          <w:spacing w:val="-18"/>
        </w:rPr>
        <w:t> </w:t>
      </w:r>
      <w:r>
        <w:rPr/>
        <w:t>日销售收入同比增加较多，带来报告期末现金余额增加；而与此同时， </w:t>
      </w:r>
      <w:r>
        <w:rPr>
          <w:spacing w:val="-4"/>
        </w:rPr>
        <w:t>为应对元旦销售，公司进行了大量备货，供应商应付账款相应增加，但未到付款期，</w:t>
      </w:r>
      <w:r>
        <w:rPr>
          <w:spacing w:val="-113"/>
        </w:rPr>
        <w:t> </w:t>
      </w:r>
      <w:r>
        <w:rPr>
          <w:spacing w:val="-113"/>
        </w:rPr>
      </w:r>
      <w:r>
        <w:rPr/>
        <w:t>由此，对报告期内经营活动产生的现金流量净额增加也有一定的影响，但此种影响</w:t>
      </w:r>
      <w:r>
        <w:rPr/>
        <w:t> 与元旦销售旺季启动时间有关，在以后年度可能会有所调整。</w:t>
      </w:r>
    </w:p>
    <w:p>
      <w:pPr>
        <w:spacing w:line="240" w:lineRule="auto" w:before="0"/>
        <w:rPr>
          <w:rFonts w:ascii="宋体" w:hAnsi="宋体" w:cs="宋体" w:eastAsia="宋体" w:hint="default"/>
          <w:sz w:val="24"/>
          <w:szCs w:val="24"/>
        </w:rPr>
      </w:pPr>
    </w:p>
    <w:p>
      <w:pPr>
        <w:tabs>
          <w:tab w:pos="7406" w:val="left" w:leader="none"/>
        </w:tabs>
        <w:spacing w:before="200"/>
        <w:ind w:left="623" w:right="0" w:firstLine="0"/>
        <w:jc w:val="left"/>
        <w:rPr>
          <w:rFonts w:ascii="宋体" w:hAnsi="宋体" w:cs="宋体" w:eastAsia="宋体" w:hint="default"/>
          <w:sz w:val="21"/>
          <w:szCs w:val="21"/>
        </w:rPr>
      </w:pPr>
      <w:r>
        <w:rPr>
          <w:rFonts w:ascii="宋体" w:hAnsi="宋体" w:cs="宋体" w:eastAsia="宋体" w:hint="default"/>
          <w:spacing w:val="-2"/>
          <w:sz w:val="24"/>
          <w:szCs w:val="24"/>
        </w:rPr>
        <w:t>（六）财务状况及相关指标变动情况及原因分析：</w:t>
        <w:tab/>
      </w:r>
      <w:r>
        <w:rPr>
          <w:rFonts w:ascii="宋体" w:hAnsi="宋体" w:cs="宋体" w:eastAsia="宋体" w:hint="default"/>
          <w:spacing w:val="-2"/>
          <w:sz w:val="21"/>
          <w:szCs w:val="21"/>
        </w:rPr>
        <w:t>（单位：千元）</w:t>
      </w:r>
    </w:p>
    <w:p>
      <w:pPr>
        <w:spacing w:line="240" w:lineRule="auto" w:before="9"/>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972"/>
        <w:gridCol w:w="1968"/>
        <w:gridCol w:w="1945"/>
        <w:gridCol w:w="1651"/>
        <w:gridCol w:w="1067"/>
      </w:tblGrid>
      <w:tr>
        <w:trPr>
          <w:trHeight w:val="305" w:hRule="exact"/>
        </w:trPr>
        <w:tc>
          <w:tcPr>
            <w:tcW w:w="1972" w:type="dxa"/>
            <w:vMerge w:val="restart"/>
            <w:tcBorders>
              <w:top w:val="single" w:sz="12" w:space="0" w:color="000000"/>
              <w:left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91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718"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32" w:lineRule="exact"/>
              <w:ind w:left="8" w:right="0"/>
              <w:jc w:val="center"/>
              <w:rPr>
                <w:rFonts w:ascii="宋体" w:hAnsi="宋体" w:cs="宋体" w:eastAsia="宋体" w:hint="default"/>
                <w:sz w:val="18"/>
                <w:szCs w:val="18"/>
              </w:rPr>
            </w:pPr>
            <w:r>
              <w:rPr>
                <w:rFonts w:ascii="宋体" w:hAnsi="宋体" w:cs="宋体" w:eastAsia="宋体" w:hint="default"/>
                <w:sz w:val="18"/>
                <w:szCs w:val="18"/>
              </w:rPr>
              <w:t>增减情况</w:t>
            </w:r>
          </w:p>
        </w:tc>
      </w:tr>
      <w:tr>
        <w:trPr>
          <w:trHeight w:val="478" w:hRule="exact"/>
        </w:trPr>
        <w:tc>
          <w:tcPr>
            <w:tcW w:w="1972" w:type="dxa"/>
            <w:vMerge/>
            <w:tcBorders>
              <w:left w:val="single" w:sz="12"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增减额</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8" w:right="0"/>
              <w:jc w:val="center"/>
              <w:rPr>
                <w:rFonts w:ascii="宋体" w:hAnsi="宋体" w:cs="宋体" w:eastAsia="宋体" w:hint="default"/>
                <w:sz w:val="18"/>
                <w:szCs w:val="18"/>
              </w:rPr>
            </w:pPr>
            <w:r>
              <w:rPr>
                <w:rFonts w:ascii="宋体" w:hAnsi="宋体" w:cs="宋体" w:eastAsia="宋体" w:hint="default"/>
                <w:sz w:val="18"/>
                <w:szCs w:val="18"/>
              </w:rPr>
              <w:t>增减幅度</w:t>
            </w:r>
          </w:p>
          <w:p>
            <w:pPr>
              <w:pStyle w:val="TableParagraph"/>
              <w:spacing w:line="248" w:lineRule="exact"/>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94"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7,465,293.00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3,339,781.00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4,125,512.00</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w w:val="95"/>
                <w:sz w:val="18"/>
              </w:rPr>
              <w:t>123.53%</w:t>
            </w:r>
            <w:r>
              <w:rPr>
                <w:rFonts w:ascii="Times New Roman"/>
                <w:sz w:val="18"/>
              </w:rPr>
            </w:r>
          </w:p>
        </w:tc>
      </w:tr>
      <w:tr>
        <w:trPr>
          <w:trHeight w:val="294"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4,552,543.00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3,407,269.00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1,145,274.00</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sz w:val="18"/>
              </w:rPr>
              <w:t>33.61%</w:t>
            </w:r>
          </w:p>
        </w:tc>
      </w:tr>
      <w:tr>
        <w:trPr>
          <w:trHeight w:val="294"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存货周转天数（天）</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41.87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44.01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-2.15</w:t>
            </w:r>
          </w:p>
        </w:tc>
        <w:tc>
          <w:tcPr>
            <w:tcW w:w="1067" w:type="dxa"/>
            <w:tcBorders>
              <w:top w:val="single" w:sz="4" w:space="0" w:color="000000"/>
              <w:left w:val="single" w:sz="4" w:space="0" w:color="000000"/>
              <w:bottom w:val="single" w:sz="4" w:space="0" w:color="000000"/>
              <w:right w:val="single" w:sz="12" w:space="0" w:color="000000"/>
            </w:tcBorders>
          </w:tcPr>
          <w:p>
            <w:pPr/>
          </w:p>
        </w:tc>
      </w:tr>
      <w:tr>
        <w:trPr>
          <w:trHeight w:val="294"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13,598,194.00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8,076,092.00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5,522,102.00</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sz w:val="18"/>
              </w:rPr>
              <w:t>68.38%</w:t>
            </w:r>
          </w:p>
        </w:tc>
      </w:tr>
      <w:tr>
        <w:trPr>
          <w:trHeight w:val="294"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1,869,265.00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383,681.00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1,485,584.00</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Times New Roman" w:hAnsi="Times New Roman" w:cs="Times New Roman" w:eastAsia="Times New Roman" w:hint="default"/>
                <w:sz w:val="18"/>
                <w:szCs w:val="18"/>
              </w:rPr>
            </w:pPr>
            <w:r>
              <w:rPr>
                <w:rFonts w:ascii="Times New Roman"/>
                <w:w w:val="95"/>
                <w:sz w:val="18"/>
              </w:rPr>
              <w:t>387.19%</w:t>
            </w:r>
            <w:r>
              <w:rPr>
                <w:rFonts w:ascii="Times New Roman"/>
                <w:sz w:val="18"/>
              </w:rPr>
            </w:r>
          </w:p>
        </w:tc>
      </w:tr>
      <w:tr>
        <w:trPr>
          <w:trHeight w:val="305" w:hRule="exact"/>
        </w:trPr>
        <w:tc>
          <w:tcPr>
            <w:tcW w:w="1972" w:type="dxa"/>
            <w:tcBorders>
              <w:top w:val="single" w:sz="4" w:space="0" w:color="000000"/>
              <w:left w:val="single" w:sz="12" w:space="0" w:color="000000"/>
              <w:bottom w:val="single" w:sz="12"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374,313.00</w:t>
            </w:r>
          </w:p>
        </w:tc>
        <w:tc>
          <w:tcPr>
            <w:tcW w:w="1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83,156.00</w:t>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291,157.00</w:t>
            </w:r>
          </w:p>
        </w:tc>
        <w:tc>
          <w:tcPr>
            <w:tcW w:w="10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w w:val="95"/>
                <w:sz w:val="18"/>
              </w:rPr>
              <w:t>350.13%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9" w:footer="982" w:top="1100" w:bottom="1180" w:left="1500" w:right="1420"/>
        </w:sectPr>
      </w:pPr>
    </w:p>
    <w:p>
      <w:pPr>
        <w:spacing w:line="240" w:lineRule="auto" w:before="9"/>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972"/>
        <w:gridCol w:w="1968"/>
        <w:gridCol w:w="1945"/>
        <w:gridCol w:w="1651"/>
        <w:gridCol w:w="1067"/>
      </w:tblGrid>
      <w:tr>
        <w:trPr>
          <w:trHeight w:val="305" w:hRule="exact"/>
        </w:trPr>
        <w:tc>
          <w:tcPr>
            <w:tcW w:w="1972" w:type="dxa"/>
            <w:tcBorders>
              <w:top w:val="single" w:sz="12"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6,582,678.00</w:t>
            </w:r>
          </w:p>
        </w:tc>
        <w:tc>
          <w:tcPr>
            <w:tcW w:w="19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3,182,959.00</w:t>
            </w:r>
          </w:p>
        </w:tc>
        <w:tc>
          <w:tcPr>
            <w:tcW w:w="16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3,399,719.00</w:t>
            </w:r>
          </w:p>
        </w:tc>
        <w:tc>
          <w:tcPr>
            <w:tcW w:w="106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w w:val="95"/>
                <w:sz w:val="18"/>
              </w:rPr>
              <w:t>106.81%</w:t>
            </w:r>
            <w:r>
              <w:rPr>
                <w:rFonts w:ascii="Times New Roman"/>
                <w:sz w:val="18"/>
              </w:rPr>
            </w:r>
          </w:p>
        </w:tc>
      </w:tr>
      <w:tr>
        <w:trPr>
          <w:trHeight w:val="478"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30"/>
                <w:sz w:val="18"/>
                <w:szCs w:val="18"/>
              </w:rPr>
              <w:t>应付票</w:t>
            </w:r>
            <w:r>
              <w:rPr>
                <w:rFonts w:ascii="宋体" w:hAnsi="宋体" w:cs="宋体" w:eastAsia="宋体" w:hint="default"/>
                <w:spacing w:val="-46"/>
                <w:sz w:val="18"/>
                <w:szCs w:val="18"/>
              </w:rPr>
              <w:t> </w:t>
            </w:r>
            <w:r>
              <w:rPr>
                <w:rFonts w:ascii="宋体" w:hAnsi="宋体" w:cs="宋体" w:eastAsia="宋体" w:hint="default"/>
                <w:spacing w:val="22"/>
                <w:sz w:val="18"/>
                <w:szCs w:val="18"/>
              </w:rPr>
              <w:t>据周</w:t>
            </w:r>
            <w:r>
              <w:rPr>
                <w:rFonts w:ascii="宋体" w:hAnsi="宋体" w:cs="宋体" w:eastAsia="宋体" w:hint="default"/>
                <w:spacing w:val="-46"/>
                <w:sz w:val="18"/>
                <w:szCs w:val="18"/>
              </w:rPr>
              <w:t> </w:t>
            </w:r>
            <w:r>
              <w:rPr>
                <w:rFonts w:ascii="宋体" w:hAnsi="宋体" w:cs="宋体" w:eastAsia="宋体" w:hint="default"/>
                <w:spacing w:val="30"/>
                <w:sz w:val="18"/>
                <w:szCs w:val="18"/>
              </w:rPr>
              <w:t>转天数</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51.21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33.79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17.42</w:t>
            </w:r>
          </w:p>
        </w:tc>
        <w:tc>
          <w:tcPr>
            <w:tcW w:w="1067" w:type="dxa"/>
            <w:tcBorders>
              <w:top w:val="single" w:sz="4" w:space="0" w:color="000000"/>
              <w:left w:val="single" w:sz="4" w:space="0" w:color="000000"/>
              <w:bottom w:val="single" w:sz="4" w:space="0" w:color="000000"/>
              <w:right w:val="single" w:sz="12" w:space="0" w:color="000000"/>
            </w:tcBorders>
          </w:tcPr>
          <w:p>
            <w:pPr/>
          </w:p>
        </w:tc>
      </w:tr>
      <w:tr>
        <w:trPr>
          <w:trHeight w:val="294"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3,146,318.00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1,686,242.00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1,460,076.00</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sz w:val="18"/>
              </w:rPr>
              <w:t>86.59%</w:t>
            </w:r>
          </w:p>
        </w:tc>
      </w:tr>
      <w:tr>
        <w:trPr>
          <w:trHeight w:val="478"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30"/>
                <w:sz w:val="18"/>
                <w:szCs w:val="18"/>
              </w:rPr>
              <w:t>应付账</w:t>
            </w:r>
            <w:r>
              <w:rPr>
                <w:rFonts w:ascii="宋体" w:hAnsi="宋体" w:cs="宋体" w:eastAsia="宋体" w:hint="default"/>
                <w:spacing w:val="-46"/>
                <w:sz w:val="18"/>
                <w:szCs w:val="18"/>
              </w:rPr>
              <w:t> </w:t>
            </w:r>
            <w:r>
              <w:rPr>
                <w:rFonts w:ascii="宋体" w:hAnsi="宋体" w:cs="宋体" w:eastAsia="宋体" w:hint="default"/>
                <w:spacing w:val="22"/>
                <w:sz w:val="18"/>
                <w:szCs w:val="18"/>
              </w:rPr>
              <w:t>款周</w:t>
            </w:r>
            <w:r>
              <w:rPr>
                <w:rFonts w:ascii="宋体" w:hAnsi="宋体" w:cs="宋体" w:eastAsia="宋体" w:hint="default"/>
                <w:spacing w:val="-46"/>
                <w:sz w:val="18"/>
                <w:szCs w:val="18"/>
              </w:rPr>
              <w:t> </w:t>
            </w:r>
            <w:r>
              <w:rPr>
                <w:rFonts w:ascii="宋体" w:hAnsi="宋体" w:cs="宋体" w:eastAsia="宋体" w:hint="default"/>
                <w:spacing w:val="30"/>
                <w:sz w:val="18"/>
                <w:szCs w:val="18"/>
              </w:rPr>
              <w:t>转天数</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25.34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27.95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-2.61</w:t>
            </w:r>
          </w:p>
        </w:tc>
        <w:tc>
          <w:tcPr>
            <w:tcW w:w="1067" w:type="dxa"/>
            <w:tcBorders>
              <w:top w:val="single" w:sz="4" w:space="0" w:color="000000"/>
              <w:left w:val="single" w:sz="4" w:space="0" w:color="000000"/>
              <w:bottom w:val="single" w:sz="4" w:space="0" w:color="000000"/>
              <w:right w:val="single" w:sz="12" w:space="0" w:color="000000"/>
            </w:tcBorders>
          </w:tcPr>
          <w:p>
            <w:pPr/>
          </w:p>
        </w:tc>
      </w:tr>
      <w:tr>
        <w:trPr>
          <w:trHeight w:val="294"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702,946.00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164,563.00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538,383.00</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w w:val="95"/>
                <w:sz w:val="18"/>
              </w:rPr>
              <w:t>327.16%</w:t>
            </w:r>
            <w:r>
              <w:rPr>
                <w:rFonts w:ascii="Times New Roman"/>
                <w:sz w:val="18"/>
              </w:rPr>
            </w:r>
          </w:p>
        </w:tc>
      </w:tr>
      <w:tr>
        <w:trPr>
          <w:trHeight w:val="294"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11,390,645.00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5,531,770.00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5,858,875.00</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Times New Roman" w:hAnsi="Times New Roman" w:cs="Times New Roman" w:eastAsia="Times New Roman" w:hint="default"/>
                <w:sz w:val="18"/>
                <w:szCs w:val="18"/>
              </w:rPr>
            </w:pPr>
            <w:r>
              <w:rPr>
                <w:rFonts w:ascii="Times New Roman"/>
                <w:w w:val="95"/>
                <w:sz w:val="18"/>
              </w:rPr>
              <w:t>105.91%</w:t>
            </w:r>
            <w:r>
              <w:rPr>
                <w:rFonts w:ascii="Times New Roman"/>
                <w:sz w:val="18"/>
              </w:rPr>
            </w:r>
          </w:p>
        </w:tc>
      </w:tr>
      <w:tr>
        <w:trPr>
          <w:trHeight w:val="479" w:hRule="exact"/>
        </w:trPr>
        <w:tc>
          <w:tcPr>
            <w:tcW w:w="197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4"/>
                <w:sz w:val="18"/>
                <w:szCs w:val="18"/>
              </w:rPr>
              <w:t>归属于母公司所有者</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4,623,562.00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3,158,136.00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1"/>
                <w:sz w:val="18"/>
              </w:rPr>
              <w:t>1,465,426.00</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2"/>
              <w:jc w:val="right"/>
              <w:rPr>
                <w:rFonts w:ascii="Times New Roman" w:hAnsi="Times New Roman" w:cs="Times New Roman" w:eastAsia="Times New Roman" w:hint="default"/>
                <w:sz w:val="18"/>
                <w:szCs w:val="18"/>
              </w:rPr>
            </w:pPr>
            <w:r>
              <w:rPr>
                <w:rFonts w:ascii="Times New Roman"/>
                <w:sz w:val="18"/>
              </w:rPr>
              <w:t>46.40%</w:t>
            </w:r>
          </w:p>
        </w:tc>
      </w:tr>
      <w:tr>
        <w:trPr>
          <w:trHeight w:val="305" w:hRule="exact"/>
        </w:trPr>
        <w:tc>
          <w:tcPr>
            <w:tcW w:w="1972" w:type="dxa"/>
            <w:tcBorders>
              <w:top w:val="single" w:sz="4" w:space="0" w:color="000000"/>
              <w:left w:val="single" w:sz="12" w:space="0" w:color="000000"/>
              <w:bottom w:val="single" w:sz="12"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9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16,229,651.00</w:t>
            </w:r>
          </w:p>
        </w:tc>
        <w:tc>
          <w:tcPr>
            <w:tcW w:w="1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8,829,047.00</w:t>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7,400,604.00</w:t>
            </w:r>
          </w:p>
        </w:tc>
        <w:tc>
          <w:tcPr>
            <w:tcW w:w="10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sz w:val="18"/>
              </w:rPr>
              <w:t>83.82%</w:t>
            </w:r>
          </w:p>
        </w:tc>
      </w:tr>
    </w:tbl>
    <w:p>
      <w:pPr>
        <w:pStyle w:val="BodyText"/>
        <w:spacing w:line="240" w:lineRule="auto" w:before="40"/>
        <w:ind w:left="624" w:right="87"/>
        <w:jc w:val="left"/>
      </w:pPr>
      <w:r>
        <w:rPr>
          <w:rFonts w:ascii="Times New Roman" w:hAnsi="Times New Roman" w:cs="Times New Roman" w:eastAsia="Times New Roman" w:hint="default"/>
        </w:rPr>
        <w:t>1</w:t>
      </w:r>
      <w:r>
        <w:rPr/>
        <w:t>、货币资金变化的主要原因：</w:t>
      </w:r>
    </w:p>
    <w:p>
      <w:pPr>
        <w:pStyle w:val="BodyText"/>
        <w:spacing w:line="240" w:lineRule="auto" w:before="135"/>
        <w:ind w:left="623" w:right="87"/>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公司经营活动所产生的现金流量净额增加，带来货币资金的增加；</w:t>
      </w:r>
    </w:p>
    <w:p>
      <w:pPr>
        <w:pStyle w:val="BodyText"/>
        <w:spacing w:line="338" w:lineRule="auto" w:before="137"/>
        <w:ind w:right="211" w:firstLine="480"/>
        <w:jc w:val="left"/>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公司以银行承兑汇票与供应商结算货款的比重进一步增加，因此报告期末</w:t>
      </w:r>
      <w:r>
        <w:rPr>
          <w:spacing w:val="3"/>
        </w:rPr>
        <w:t> </w:t>
      </w:r>
      <w:r>
        <w:rPr/>
        <w:t>公司银行承兑汇票保证金也有所增加，期末余额为</w:t>
      </w:r>
      <w:r>
        <w:rPr>
          <w:spacing w:val="-60"/>
        </w:rPr>
        <w:t> </w:t>
      </w:r>
      <w:r>
        <w:rPr>
          <w:rFonts w:ascii="Times New Roman" w:hAnsi="Times New Roman" w:cs="Times New Roman" w:eastAsia="Times New Roman" w:hint="default"/>
        </w:rPr>
        <w:t>39.60 </w:t>
      </w:r>
      <w:r>
        <w:rPr/>
        <w:t>亿元。</w:t>
      </w:r>
    </w:p>
    <w:p>
      <w:pPr>
        <w:pStyle w:val="BodyText"/>
        <w:spacing w:line="240" w:lineRule="auto" w:before="27"/>
        <w:ind w:left="624" w:right="87"/>
        <w:jc w:val="left"/>
      </w:pPr>
      <w:r>
        <w:rPr>
          <w:rFonts w:ascii="Times New Roman" w:hAnsi="Times New Roman" w:cs="Times New Roman" w:eastAsia="Times New Roman" w:hint="default"/>
        </w:rPr>
        <w:t>2</w:t>
      </w:r>
      <w:r>
        <w:rPr/>
        <w:t>、存货变化的主要原因：</w:t>
      </w:r>
    </w:p>
    <w:p>
      <w:pPr>
        <w:pStyle w:val="BodyText"/>
        <w:spacing w:line="345" w:lineRule="auto" w:before="135"/>
        <w:ind w:right="215"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随着公司连锁网络规模的进一步扩大，公司存货也会随之增加；但由于公</w:t>
      </w:r>
      <w:r>
        <w:rPr>
          <w:spacing w:val="3"/>
        </w:rPr>
        <w:t> </w:t>
      </w:r>
      <w:r>
        <w:rPr>
          <w:spacing w:val="6"/>
        </w:rPr>
        <w:t>司物流平台的逐步整合以及采购及库存管理水平的逐步提高，存货周转率有所提</w:t>
      </w:r>
      <w:r>
        <w:rPr>
          <w:spacing w:val="6"/>
        </w:rPr>
        <w:t> </w:t>
      </w:r>
      <w:r>
        <w:rPr/>
        <w:t>升；同时由于元旦前置，公司的备货在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31</w:t>
      </w:r>
      <w:r>
        <w:rPr>
          <w:rFonts w:ascii="Times New Roman" w:hAnsi="Times New Roman" w:cs="Times New Roman" w:eastAsia="Times New Roman" w:hint="default"/>
          <w:spacing w:val="38"/>
        </w:rPr>
        <w:t> </w:t>
      </w:r>
      <w:r>
        <w:rPr/>
        <w:t>日有所消化，由此带来存货数量上 涨幅度低于营业总收入的增长幅度；</w:t>
      </w:r>
    </w:p>
    <w:p>
      <w:pPr>
        <w:pStyle w:val="BodyText"/>
        <w:spacing w:line="348" w:lineRule="auto" w:before="48"/>
        <w:ind w:right="89" w:firstLine="480"/>
        <w:jc w:val="left"/>
      </w:pPr>
      <w:r>
        <w:rPr>
          <w:rFonts w:ascii="Wingdings" w:hAnsi="Wingdings" w:cs="Wingdings" w:eastAsia="Wingdings" w:hint="default"/>
        </w:rPr>
        <w:t></w:t>
      </w:r>
      <w:r>
        <w:rPr>
          <w:rFonts w:ascii="Wingdings" w:hAnsi="Wingdings" w:cs="Wingdings" w:eastAsia="Wingdings" w:hint="default"/>
          <w:spacing w:val="-43"/>
        </w:rPr>
        <w:t></w:t>
      </w:r>
      <w:r>
        <w:rPr>
          <w:rFonts w:ascii="Times New Roman" w:hAnsi="Times New Roman" w:cs="Times New Roman" w:eastAsia="Times New Roman" w:hint="default"/>
          <w:spacing w:val="-43"/>
        </w:rPr>
      </w:r>
      <w:r>
        <w:rPr>
          <w:spacing w:val="2"/>
        </w:rPr>
        <w:t>由于公司连锁网络仍处于快速拓展中，而物流平台的建设相对滞后，在一</w:t>
      </w:r>
      <w:r>
        <w:rPr>
          <w:spacing w:val="3"/>
        </w:rPr>
        <w:t> </w:t>
      </w:r>
      <w:r>
        <w:rPr>
          <w:spacing w:val="-4"/>
        </w:rPr>
        <w:t>定时期、一定区域仍会存在物流分散的特点，同时公司库存备货有一定季节性因素，</w:t>
      </w:r>
      <w:r>
        <w:rPr>
          <w:spacing w:val="-114"/>
        </w:rPr>
        <w:t> </w:t>
      </w:r>
      <w:r>
        <w:rPr>
          <w:spacing w:val="-114"/>
        </w:rPr>
      </w:r>
      <w:r>
        <w:rPr/>
        <w:t>例如十一、元旦等，因此公司未来存货周转率指标仍可能出现波动。</w:t>
      </w:r>
    </w:p>
    <w:p>
      <w:pPr>
        <w:pStyle w:val="BodyText"/>
        <w:spacing w:line="240" w:lineRule="auto" w:before="46"/>
        <w:ind w:left="623" w:right="87"/>
        <w:jc w:val="left"/>
      </w:pPr>
      <w:r>
        <w:rPr>
          <w:rFonts w:ascii="Times New Roman" w:hAnsi="Times New Roman" w:cs="Times New Roman" w:eastAsia="Times New Roman" w:hint="default"/>
        </w:rPr>
        <w:t>3</w:t>
      </w:r>
      <w:r>
        <w:rPr/>
        <w:t>、固定资产变化的主要原因：</w:t>
      </w:r>
    </w:p>
    <w:p>
      <w:pPr>
        <w:pStyle w:val="BodyText"/>
        <w:tabs>
          <w:tab w:pos="983" w:val="left" w:leader="none"/>
        </w:tabs>
        <w:spacing w:line="338" w:lineRule="auto" w:before="135"/>
        <w:ind w:left="144" w:right="221" w:firstLine="480"/>
        <w:jc w:val="left"/>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t>公司启动连锁购置店策略，全年共购置</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处店面，购置总价约</w:t>
      </w:r>
      <w:r>
        <w:rPr>
          <w:spacing w:val="-51"/>
        </w:rPr>
        <w:t> </w:t>
      </w:r>
      <w:r>
        <w:rPr>
          <w:rFonts w:ascii="Times New Roman" w:hAnsi="Times New Roman" w:cs="Times New Roman" w:eastAsia="Times New Roman" w:hint="default"/>
        </w:rPr>
        <w:t>10.5</w:t>
      </w:r>
      <w:r>
        <w:rPr>
          <w:rFonts w:ascii="Times New Roman" w:hAnsi="Times New Roman" w:cs="Times New Roman" w:eastAsia="Times New Roman" w:hint="default"/>
          <w:spacing w:val="9"/>
        </w:rPr>
        <w:t> </w:t>
      </w:r>
      <w:r>
        <w:rPr/>
        <w:t>亿元， 带来固定资产增加；</w:t>
      </w:r>
    </w:p>
    <w:p>
      <w:pPr>
        <w:pStyle w:val="BodyText"/>
        <w:tabs>
          <w:tab w:pos="983" w:val="left" w:leader="none"/>
        </w:tabs>
        <w:spacing w:line="345" w:lineRule="auto" w:before="55"/>
        <w:ind w:right="217" w:firstLine="480"/>
        <w:jc w:val="left"/>
      </w:pPr>
      <w:r>
        <w:rPr>
          <w:rFonts w:ascii="Wingdings" w:hAnsi="Wingdings" w:cs="Wingdings" w:eastAsia="Wingdings" w:hint="default"/>
          <w:w w:val="95"/>
          <w:sz w:val="21"/>
          <w:szCs w:val="21"/>
        </w:rPr>
        <w:t></w:t>
      </w:r>
      <w:r>
        <w:rPr>
          <w:rFonts w:ascii="Times New Roman" w:hAnsi="Times New Roman" w:cs="Times New Roman" w:eastAsia="Times New Roman" w:hint="default"/>
          <w:w w:val="95"/>
          <w:sz w:val="21"/>
          <w:szCs w:val="21"/>
        </w:rPr>
        <w:tab/>
      </w:r>
      <w:r>
        <w:rPr>
          <w:spacing w:val="2"/>
        </w:rPr>
        <w:t>北京物流中心建设完工并投入使用，江苏物流中心办公楼、培训楼建设完</w:t>
      </w:r>
      <w:r>
        <w:rPr>
          <w:spacing w:val="3"/>
        </w:rPr>
        <w:t> </w:t>
      </w:r>
      <w:r>
        <w:rPr/>
        <w:t>工并投入使用，带来公司固定资产的增加。</w:t>
      </w:r>
    </w:p>
    <w:p>
      <w:pPr>
        <w:pStyle w:val="BodyText"/>
        <w:spacing w:line="240" w:lineRule="auto" w:before="48"/>
        <w:ind w:left="624" w:right="87"/>
        <w:jc w:val="left"/>
      </w:pPr>
      <w:r>
        <w:rPr>
          <w:rFonts w:ascii="Times New Roman" w:hAnsi="Times New Roman" w:cs="Times New Roman" w:eastAsia="Times New Roman" w:hint="default"/>
        </w:rPr>
        <w:t>4</w:t>
      </w:r>
      <w:r>
        <w:rPr/>
        <w:t>、无形资产变化的主要原因：</w:t>
      </w:r>
    </w:p>
    <w:p>
      <w:pPr>
        <w:pStyle w:val="BodyText"/>
        <w:tabs>
          <w:tab w:pos="1043" w:val="left" w:leader="none"/>
        </w:tabs>
        <w:spacing w:line="338" w:lineRule="auto" w:before="135"/>
        <w:ind w:left="144" w:right="221" w:firstLine="480"/>
        <w:jc w:val="left"/>
        <w:rPr>
          <w:rFonts w:ascii="Times New Roman" w:hAnsi="Times New Roman" w:cs="Times New Roman" w:eastAsia="Times New Roman" w:hint="default"/>
        </w:rPr>
      </w:pPr>
      <w:r>
        <w:rPr>
          <w:rFonts w:ascii="Wingdings" w:hAnsi="Wingdings" w:cs="Wingdings" w:eastAsia="Wingdings" w:hint="default"/>
          <w:w w:val="99"/>
        </w:rPr>
        <w:t></w:t>
      </w:r>
      <w:r>
        <w:rPr>
          <w:rFonts w:ascii="Times New Roman" w:hAnsi="Times New Roman" w:cs="Times New Roman" w:eastAsia="Times New Roman" w:hint="default"/>
          <w:w w:val="99"/>
        </w:rPr>
        <w:tab/>
      </w:r>
      <w:r>
        <w:rPr/>
        <w:t>报告期内，公司与全部 </w:t>
      </w:r>
      <w:r>
        <w:rPr>
          <w:rFonts w:ascii="Times New Roman" w:hAnsi="Times New Roman" w:cs="Times New Roman" w:eastAsia="Times New Roman" w:hint="default"/>
        </w:rPr>
        <w:t>19</w:t>
      </w:r>
      <w:r>
        <w:rPr>
          <w:rFonts w:ascii="Times New Roman" w:hAnsi="Times New Roman" w:cs="Times New Roman" w:eastAsia="Times New Roman" w:hint="default"/>
          <w:spacing w:val="-16"/>
        </w:rPr>
        <w:t> </w:t>
      </w:r>
      <w:r>
        <w:rPr>
          <w:spacing w:val="-6"/>
        </w:rPr>
        <w:t>家特许加盟企业签署《终止特许加盟协议》，向</w:t>
      </w:r>
      <w:r>
        <w:rPr/>
        <w:t> 特许加盟商支付经营渠道承接对价，由此带来无形资产增加</w:t>
      </w:r>
      <w:r>
        <w:rPr>
          <w:rFonts w:ascii="Times New Roman" w:hAnsi="Times New Roman" w:cs="Times New Roman" w:eastAsia="Times New Roman" w:hint="default"/>
        </w:rPr>
        <w:t>.</w:t>
      </w:r>
    </w:p>
    <w:p>
      <w:pPr>
        <w:pStyle w:val="BodyText"/>
        <w:spacing w:line="240" w:lineRule="auto" w:before="27"/>
        <w:ind w:left="624" w:right="87"/>
        <w:jc w:val="left"/>
      </w:pPr>
      <w:r>
        <w:rPr>
          <w:rFonts w:ascii="Times New Roman" w:hAnsi="Times New Roman" w:cs="Times New Roman" w:eastAsia="Times New Roman" w:hint="default"/>
        </w:rPr>
        <w:t>5</w:t>
      </w:r>
      <w:r>
        <w:rPr/>
        <w:t>、应付票据变化的主要原因：</w:t>
      </w:r>
    </w:p>
    <w:p>
      <w:pPr>
        <w:pStyle w:val="BodyText"/>
        <w:spacing w:line="338" w:lineRule="auto" w:before="135"/>
        <w:ind w:left="144" w:right="209" w:firstLine="480"/>
        <w:jc w:val="left"/>
      </w:pPr>
      <w:r>
        <w:rPr>
          <w:rFonts w:ascii="Wingdings" w:hAnsi="Wingdings" w:cs="Wingdings" w:eastAsia="Wingdings" w:hint="default"/>
        </w:rPr>
        <w:t></w:t>
      </w:r>
      <w:r>
        <w:rPr>
          <w:rFonts w:ascii="Wingdings" w:hAnsi="Wingdings" w:cs="Wingdings" w:eastAsia="Wingdings" w:hint="default"/>
          <w:spacing w:val="-32"/>
        </w:rPr>
        <w:t></w:t>
      </w:r>
      <w:r>
        <w:rPr>
          <w:rFonts w:ascii="Times New Roman" w:hAnsi="Times New Roman" w:cs="Times New Roman" w:eastAsia="Times New Roman" w:hint="default"/>
          <w:spacing w:val="-32"/>
        </w:rPr>
      </w:r>
      <w:r>
        <w:rPr>
          <w:spacing w:val="2"/>
        </w:rPr>
        <w:t>公司以银行承兑汇票与供应商结算货款的比重进一步增加，由此带来报告</w:t>
      </w:r>
      <w:r>
        <w:rPr>
          <w:spacing w:val="3"/>
        </w:rPr>
        <w:t> </w:t>
      </w:r>
      <w:r>
        <w:rPr/>
        <w:t>期末应付票据的增加。</w:t>
      </w:r>
    </w:p>
    <w:p>
      <w:pPr>
        <w:pStyle w:val="BodyText"/>
        <w:spacing w:line="240" w:lineRule="auto" w:before="55"/>
        <w:ind w:left="624" w:right="87"/>
        <w:jc w:val="left"/>
      </w:pPr>
      <w:r>
        <w:rPr>
          <w:rFonts w:ascii="Times New Roman" w:hAnsi="Times New Roman" w:cs="Times New Roman" w:eastAsia="Times New Roman" w:hint="default"/>
        </w:rPr>
        <w:t>6</w:t>
      </w:r>
      <w:r>
        <w:rPr/>
        <w:t>、应付账款变化的主要原因：</w:t>
      </w:r>
    </w:p>
    <w:p>
      <w:pPr>
        <w:spacing w:after="0" w:line="240" w:lineRule="auto"/>
        <w:jc w:val="left"/>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48" w:lineRule="auto" w:before="26"/>
        <w:ind w:right="198" w:firstLine="480"/>
        <w:jc w:val="both"/>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报告期内，公司连锁网络进一步扩大，以及</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年元旦节假日提前备货， </w:t>
      </w:r>
      <w:r>
        <w:rPr>
          <w:spacing w:val="-1"/>
        </w:rPr>
        <w:t>由此带来公司报告期内采购数量的增加，从而导致供应商未到期应付账款的相应增</w:t>
      </w:r>
      <w:r>
        <w:rPr>
          <w:spacing w:val="-106"/>
        </w:rPr>
        <w:t> </w:t>
      </w:r>
      <w:r>
        <w:rPr>
          <w:spacing w:val="-106"/>
        </w:rPr>
      </w:r>
      <w:r>
        <w:rPr/>
        <w:t>加，但公司的应付账款周转期同比去年减少了</w:t>
      </w:r>
      <w:r>
        <w:rPr>
          <w:spacing w:val="-60"/>
        </w:rPr>
        <w:t> </w:t>
      </w:r>
      <w:r>
        <w:rPr>
          <w:rFonts w:ascii="Times New Roman" w:hAnsi="Times New Roman" w:cs="Times New Roman" w:eastAsia="Times New Roman" w:hint="default"/>
        </w:rPr>
        <w:t>2.6 </w:t>
      </w:r>
      <w:r>
        <w:rPr/>
        <w:t>天。</w:t>
      </w:r>
    </w:p>
    <w:p>
      <w:pPr>
        <w:pStyle w:val="BodyText"/>
        <w:spacing w:line="240" w:lineRule="auto" w:before="16"/>
        <w:ind w:left="623" w:right="87"/>
        <w:jc w:val="left"/>
      </w:pPr>
      <w:r>
        <w:rPr>
          <w:rFonts w:ascii="Times New Roman" w:hAnsi="Times New Roman" w:cs="Times New Roman" w:eastAsia="Times New Roman" w:hint="default"/>
        </w:rPr>
        <w:t>7</w:t>
      </w:r>
      <w:r>
        <w:rPr/>
        <w:t>、其他应付款变化的主要原因：</w:t>
      </w:r>
    </w:p>
    <w:p>
      <w:pPr>
        <w:pStyle w:val="BodyText"/>
        <w:spacing w:line="348" w:lineRule="auto" w:before="135"/>
        <w:ind w:left="144" w:right="221" w:firstLine="480"/>
        <w:jc w:val="both"/>
      </w:pPr>
      <w:r>
        <w:rPr>
          <w:rFonts w:ascii="Wingdings" w:hAnsi="Wingdings" w:cs="Wingdings" w:eastAsia="Wingdings" w:hint="default"/>
          <w:w w:val="99"/>
        </w:rPr>
        <w:t></w:t>
      </w:r>
      <w:r>
        <w:rPr>
          <w:rFonts w:ascii="Times New Roman" w:hAnsi="Times New Roman" w:cs="Times New Roman" w:eastAsia="Times New Roman" w:hint="default"/>
          <w:w w:val="99"/>
        </w:rPr>
      </w:r>
      <w:r>
        <w:rPr/>
        <w:t>报告期内，公司与全部 </w:t>
      </w:r>
      <w:r>
        <w:rPr>
          <w:rFonts w:ascii="Times New Roman" w:hAnsi="Times New Roman" w:cs="Times New Roman" w:eastAsia="Times New Roman" w:hint="default"/>
        </w:rPr>
        <w:t>19</w:t>
      </w:r>
      <w:r>
        <w:rPr>
          <w:rFonts w:ascii="Times New Roman" w:hAnsi="Times New Roman" w:cs="Times New Roman" w:eastAsia="Times New Roman" w:hint="default"/>
          <w:spacing w:val="-16"/>
        </w:rPr>
        <w:t> </w:t>
      </w:r>
      <w:r>
        <w:rPr>
          <w:spacing w:val="-6"/>
        </w:rPr>
        <w:t>家特许加盟企业签署《终止特许加盟协议》，向</w:t>
      </w:r>
      <w:r>
        <w:rPr/>
        <w:t> </w:t>
      </w:r>
      <w:r>
        <w:rPr>
          <w:spacing w:val="-1"/>
        </w:rPr>
        <w:t>特许加盟企业支付的提前解约违约金、经营渠道承接对价及固定资产购买对价尚未</w:t>
      </w:r>
      <w:r>
        <w:rPr>
          <w:spacing w:val="-106"/>
        </w:rPr>
        <w:t> </w:t>
      </w:r>
      <w:r>
        <w:rPr>
          <w:spacing w:val="-106"/>
        </w:rPr>
      </w:r>
      <w:r>
        <w:rPr/>
        <w:t>到期支付，由此带来报告期末其他应付款的增加；</w:t>
      </w:r>
    </w:p>
    <w:p>
      <w:pPr>
        <w:pStyle w:val="BodyText"/>
        <w:spacing w:line="338" w:lineRule="auto" w:before="46"/>
        <w:ind w:left="144" w:right="221" w:firstLine="480"/>
        <w:jc w:val="both"/>
      </w:pPr>
      <w:r>
        <w:rPr>
          <w:rFonts w:ascii="Wingdings" w:hAnsi="Wingdings" w:cs="Wingdings" w:eastAsia="Wingdings" w:hint="default"/>
        </w:rPr>
        <w:t></w:t>
      </w:r>
      <w:r>
        <w:rPr>
          <w:rFonts w:ascii="Wingdings" w:hAnsi="Wingdings" w:cs="Wingdings" w:eastAsia="Wingdings" w:hint="default"/>
          <w:spacing w:val="29"/>
        </w:rPr>
        <w:t></w:t>
      </w:r>
      <w:r>
        <w:rPr>
          <w:rFonts w:ascii="Times New Roman" w:hAnsi="Times New Roman" w:cs="Times New Roman" w:eastAsia="Times New Roman" w:hint="default"/>
          <w:spacing w:val="29"/>
        </w:rPr>
      </w:r>
      <w:r>
        <w:rPr/>
        <w:t>报告期末，公司购置相关连锁店物业价款尚未到期支付，其他应付款进一</w:t>
      </w:r>
      <w:r>
        <w:rPr>
          <w:spacing w:val="1"/>
        </w:rPr>
        <w:t> </w:t>
      </w:r>
      <w:r>
        <w:rPr/>
        <w:t>步增加。</w:t>
      </w:r>
    </w:p>
    <w:p>
      <w:pPr>
        <w:pStyle w:val="BodyText"/>
        <w:spacing w:line="240" w:lineRule="auto" w:before="55"/>
        <w:ind w:left="624" w:right="87"/>
        <w:jc w:val="left"/>
      </w:pPr>
      <w:r>
        <w:rPr>
          <w:rFonts w:ascii="Times New Roman" w:hAnsi="Times New Roman" w:cs="Times New Roman" w:eastAsia="Times New Roman" w:hint="default"/>
        </w:rPr>
        <w:t>8</w:t>
      </w:r>
      <w:r>
        <w:rPr/>
        <w:t>、上述原因，造成报告期末公司流动资产、流动负债以及总资产的变化。</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tabs>
          <w:tab w:pos="7103" w:val="left" w:leader="none"/>
        </w:tabs>
        <w:spacing w:before="0"/>
        <w:ind w:left="624" w:right="87" w:firstLine="0"/>
        <w:jc w:val="left"/>
        <w:rPr>
          <w:rFonts w:ascii="宋体" w:hAnsi="宋体" w:cs="宋体" w:eastAsia="宋体" w:hint="default"/>
          <w:sz w:val="21"/>
          <w:szCs w:val="21"/>
        </w:rPr>
      </w:pPr>
      <w:r>
        <w:rPr>
          <w:rFonts w:ascii="宋体" w:hAnsi="宋体" w:cs="宋体" w:eastAsia="宋体" w:hint="default"/>
          <w:sz w:val="24"/>
          <w:szCs w:val="24"/>
        </w:rPr>
        <w:t>（七）销售费用和管理费用情况分析</w:t>
        <w:tab/>
      </w:r>
      <w:r>
        <w:rPr>
          <w:rFonts w:ascii="宋体" w:hAnsi="宋体" w:cs="宋体" w:eastAsia="宋体" w:hint="default"/>
          <w:sz w:val="21"/>
          <w:szCs w:val="21"/>
        </w:rPr>
        <w:t>（单位：千元）</w:t>
      </w:r>
    </w:p>
    <w:p>
      <w:pPr>
        <w:spacing w:line="240" w:lineRule="auto" w:before="9"/>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80"/>
        <w:gridCol w:w="1650"/>
        <w:gridCol w:w="1440"/>
        <w:gridCol w:w="1440"/>
        <w:gridCol w:w="1440"/>
        <w:gridCol w:w="1440"/>
      </w:tblGrid>
      <w:tr>
        <w:trPr>
          <w:trHeight w:val="348"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tabs>
                <w:tab w:pos="715" w:val="left" w:leader="none"/>
              </w:tabs>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39"/>
              <w:ind w:left="355" w:right="353"/>
              <w:jc w:val="left"/>
              <w:rPr>
                <w:rFonts w:ascii="宋体" w:hAnsi="宋体" w:cs="宋体" w:eastAsia="宋体" w:hint="default"/>
                <w:sz w:val="18"/>
                <w:szCs w:val="18"/>
              </w:rPr>
            </w:pPr>
            <w:r>
              <w:rPr>
                <w:rFonts w:ascii="宋体" w:hAnsi="宋体" w:cs="宋体" w:eastAsia="宋体" w:hint="default"/>
                <w:sz w:val="18"/>
                <w:szCs w:val="18"/>
              </w:rPr>
              <w:t>费用占比 变动情况</w:t>
            </w:r>
          </w:p>
        </w:tc>
      </w:tr>
      <w:tr>
        <w:trPr>
          <w:trHeight w:val="478" w:hRule="exact"/>
        </w:trPr>
        <w:tc>
          <w:tcPr>
            <w:tcW w:w="1080" w:type="dxa"/>
            <w:vMerge/>
            <w:tcBorders>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占主营收入</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占主营收入</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40" w:type="dxa"/>
            <w:vMerge/>
            <w:tcBorders>
              <w:left w:val="single" w:sz="4" w:space="0" w:color="000000"/>
              <w:bottom w:val="single" w:sz="4" w:space="0" w:color="000000"/>
              <w:right w:val="single" w:sz="4" w:space="0" w:color="000000"/>
            </w:tcBorders>
          </w:tcPr>
          <w:p>
            <w:pPr/>
          </w:p>
        </w:tc>
      </w:tr>
      <w:tr>
        <w:trPr>
          <w:trHeight w:val="33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123,142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81,842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Times New Roman" w:hAnsi="Times New Roman" w:cs="Times New Roman" w:eastAsia="Times New Roman" w:hint="default"/>
                <w:sz w:val="18"/>
                <w:szCs w:val="18"/>
              </w:rPr>
            </w:pPr>
            <w:r>
              <w:rPr>
                <w:rFonts w:ascii="Times New Roman"/>
                <w:sz w:val="18"/>
              </w:rPr>
              <w:t>-0.01%</w:t>
            </w:r>
          </w:p>
        </w:tc>
      </w:tr>
      <w:tr>
        <w:trPr>
          <w:trHeight w:val="33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597,082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461,070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Times New Roman" w:hAnsi="Times New Roman" w:cs="Times New Roman" w:eastAsia="Times New Roman" w:hint="default"/>
                <w:sz w:val="18"/>
                <w:szCs w:val="18"/>
              </w:rPr>
            </w:pPr>
            <w:r>
              <w:rPr>
                <w:rFonts w:ascii="Times New Roman"/>
                <w:sz w:val="18"/>
              </w:rPr>
              <w:t>-0.31%</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1,008,690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677,087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Times New Roman" w:hAnsi="Times New Roman" w:cs="Times New Roman" w:eastAsia="Times New Roman" w:hint="default"/>
                <w:sz w:val="18"/>
                <w:szCs w:val="18"/>
              </w:rPr>
            </w:pPr>
            <w:r>
              <w:rPr>
                <w:rFonts w:ascii="Times New Roman"/>
                <w:sz w:val="18"/>
              </w:rPr>
              <w:t>-0.11%</w:t>
            </w:r>
          </w:p>
        </w:tc>
      </w:tr>
      <w:tr>
        <w:trPr>
          <w:trHeight w:val="33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910,464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688,586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Times New Roman" w:hAnsi="Times New Roman" w:cs="Times New Roman" w:eastAsia="Times New Roman" w:hint="default"/>
                <w:sz w:val="18"/>
                <w:szCs w:val="18"/>
              </w:rPr>
            </w:pPr>
            <w:r>
              <w:rPr>
                <w:rFonts w:ascii="Times New Roman"/>
                <w:sz w:val="18"/>
              </w:rPr>
              <w:t>-0.41%</w:t>
            </w:r>
          </w:p>
        </w:tc>
      </w:tr>
      <w:tr>
        <w:trPr>
          <w:trHeight w:val="33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221,132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163,674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Times New Roman" w:hAnsi="Times New Roman" w:cs="Times New Roman" w:eastAsia="Times New Roman" w:hint="default"/>
                <w:sz w:val="18"/>
                <w:szCs w:val="18"/>
              </w:rPr>
            </w:pPr>
            <w:r>
              <w:rPr>
                <w:rFonts w:ascii="Times New Roman"/>
                <w:sz w:val="18"/>
              </w:rPr>
              <w:t>-0.09%</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18"/>
                <w:szCs w:val="18"/>
              </w:rPr>
            </w:pPr>
            <w:r>
              <w:rPr>
                <w:rFonts w:ascii="宋体" w:hAnsi="宋体" w:cs="宋体" w:eastAsia="宋体" w:hint="default"/>
                <w:sz w:val="18"/>
                <w:szCs w:val="18"/>
              </w:rPr>
              <w:t>装潢费</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169,159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176,239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Times New Roman" w:hAnsi="Times New Roman" w:cs="Times New Roman" w:eastAsia="Times New Roman" w:hint="default"/>
                <w:sz w:val="18"/>
                <w:szCs w:val="18"/>
              </w:rPr>
            </w:pPr>
            <w:r>
              <w:rPr>
                <w:rFonts w:ascii="Times New Roman"/>
                <w:sz w:val="18"/>
              </w:rPr>
              <w:t>-0.27%</w:t>
            </w:r>
          </w:p>
        </w:tc>
      </w:tr>
      <w:tr>
        <w:trPr>
          <w:trHeight w:val="33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449,450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352,338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Times New Roman" w:hAnsi="Times New Roman" w:cs="Times New Roman" w:eastAsia="Times New Roman" w:hint="default"/>
                <w:sz w:val="18"/>
                <w:szCs w:val="18"/>
              </w:rPr>
            </w:pPr>
            <w:r>
              <w:rPr>
                <w:rFonts w:ascii="Times New Roman"/>
                <w:sz w:val="18"/>
              </w:rPr>
              <w:t>-0.25%</w:t>
            </w:r>
          </w:p>
        </w:tc>
      </w:tr>
      <w:tr>
        <w:trPr>
          <w:trHeight w:val="33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3,479,119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8.99%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2,600,837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0"/>
              <w:jc w:val="right"/>
              <w:rPr>
                <w:rFonts w:ascii="Times New Roman" w:hAnsi="Times New Roman" w:cs="Times New Roman" w:eastAsia="Times New Roman" w:hint="default"/>
                <w:sz w:val="18"/>
                <w:szCs w:val="18"/>
              </w:rPr>
            </w:pPr>
            <w:r>
              <w:rPr>
                <w:rFonts w:ascii="Times New Roman"/>
                <w:sz w:val="18"/>
              </w:rPr>
              <w:t>-1.45%</w:t>
            </w:r>
          </w:p>
        </w:tc>
      </w:tr>
    </w:tbl>
    <w:p>
      <w:pPr>
        <w:pStyle w:val="BodyText"/>
        <w:spacing w:line="338" w:lineRule="auto" w:before="40"/>
        <w:ind w:right="218" w:firstLine="480"/>
        <w:jc w:val="both"/>
      </w:pPr>
      <w:r>
        <w:rPr>
          <w:rFonts w:ascii="Times New Roman" w:hAnsi="Times New Roman" w:cs="Times New Roman" w:eastAsia="Times New Roman" w:hint="default"/>
          <w:spacing w:val="2"/>
        </w:rPr>
        <w:t>1</w:t>
      </w:r>
      <w:r>
        <w:rPr>
          <w:spacing w:val="2"/>
        </w:rPr>
        <w:t>、报告期内，公司规模效益进一步提升，单店经营质量和精细化管理水平进</w:t>
      </w:r>
      <w:r>
        <w:rPr>
          <w:spacing w:val="3"/>
        </w:rPr>
        <w:t> </w:t>
      </w:r>
      <w:r>
        <w:rPr/>
        <w:t>一步提高，由此带来公司费用的投入产出效率提高。</w:t>
      </w:r>
    </w:p>
    <w:p>
      <w:pPr>
        <w:pStyle w:val="BodyText"/>
        <w:spacing w:line="350" w:lineRule="auto" w:before="55"/>
        <w:ind w:left="144" w:right="221"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年，在连锁店备选址确定过程中，公司将租售比作为备选址确定的一 </w:t>
      </w:r>
      <w:r>
        <w:rPr>
          <w:spacing w:val="-1"/>
        </w:rPr>
        <w:t>个重要条件，在投资回报分析和谈判过程中严格控制；同时，由于可比门店实现较</w:t>
      </w:r>
      <w:r>
        <w:rPr>
          <w:spacing w:val="-108"/>
        </w:rPr>
        <w:t> </w:t>
      </w:r>
      <w:r>
        <w:rPr>
          <w:spacing w:val="-108"/>
        </w:rPr>
      </w:r>
      <w:r>
        <w:rPr>
          <w:spacing w:val="-1"/>
        </w:rPr>
        <w:t>好增长，也带来租赁费用占比的进一步下降，从而实现报告期内租赁费率较上年同</w:t>
      </w:r>
      <w:r>
        <w:rPr>
          <w:spacing w:val="-106"/>
        </w:rPr>
        <w:t> </w:t>
      </w:r>
      <w:r>
        <w:rPr>
          <w:spacing w:val="-106"/>
        </w:rPr>
      </w:r>
      <w:r>
        <w:rPr/>
        <w:t>期下降</w:t>
      </w:r>
      <w:r>
        <w:rPr>
          <w:spacing w:val="-60"/>
        </w:rPr>
        <w:t> </w:t>
      </w:r>
      <w:r>
        <w:rPr>
          <w:rFonts w:ascii="Times New Roman" w:hAnsi="Times New Roman" w:cs="Times New Roman" w:eastAsia="Times New Roman" w:hint="default"/>
        </w:rPr>
        <w:t>0.11 </w:t>
      </w:r>
      <w:r>
        <w:rPr/>
        <w:t>个百分点。</w:t>
      </w:r>
    </w:p>
    <w:p>
      <w:pPr>
        <w:pStyle w:val="BodyText"/>
        <w:spacing w:line="352" w:lineRule="auto" w:before="13"/>
        <w:ind w:right="98" w:firstLine="480"/>
        <w:jc w:val="both"/>
      </w:pPr>
      <w:r>
        <w:rPr>
          <w:rFonts w:ascii="Times New Roman" w:hAnsi="Times New Roman" w:cs="Times New Roman" w:eastAsia="Times New Roman" w:hint="default"/>
          <w:spacing w:val="2"/>
        </w:rPr>
        <w:t>3</w:t>
      </w:r>
      <w:r>
        <w:rPr>
          <w:spacing w:val="2"/>
        </w:rPr>
        <w:t>、为应对公司快速的连锁网络扩张所带来的人员需求，几年来，公司一直遵</w:t>
      </w:r>
      <w:r>
        <w:rPr>
          <w:spacing w:val="3"/>
        </w:rPr>
        <w:t> </w:t>
      </w:r>
      <w:r>
        <w:rPr/>
        <w:t>循超前储备、超前培养的战略，因此后期不需要在店面开发时再同比例增加引进人</w:t>
      </w:r>
      <w:r>
        <w:rPr/>
        <w:t> 员，而有一部分是进行储备人员的分流使用；同时，报告期内公司新开店面中同城 店面进一步增加，公司管理人员也不需要同比例增加，由此带来人员费用增长相对 </w:t>
      </w:r>
      <w:r>
        <w:rPr>
          <w:spacing w:val="-4"/>
        </w:rPr>
        <w:t>较慢；此外，在信息系统平台和物流平台的支撑下，公司二三级市场收编效果明显，</w:t>
      </w:r>
    </w:p>
    <w:p>
      <w:pPr>
        <w:spacing w:after="0" w:line="352"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240" w:lineRule="auto" w:before="26"/>
        <w:ind w:left="845" w:right="3699"/>
        <w:jc w:val="center"/>
      </w:pPr>
      <w:r>
        <w:rPr/>
        <w:t>资源共享程度提升，管理成本和人员成本进一步下降；</w:t>
      </w:r>
    </w:p>
    <w:p>
      <w:pPr>
        <w:pStyle w:val="BodyText"/>
        <w:spacing w:line="348" w:lineRule="auto" w:before="154"/>
        <w:ind w:left="863" w:right="858" w:firstLine="480"/>
        <w:jc w:val="both"/>
      </w:pPr>
      <w:r>
        <w:rPr>
          <w:rFonts w:ascii="Times New Roman" w:hAnsi="Times New Roman" w:cs="Times New Roman" w:eastAsia="Times New Roman" w:hint="default"/>
          <w:spacing w:val="2"/>
        </w:rPr>
        <w:t>4</w:t>
      </w:r>
      <w:r>
        <w:rPr>
          <w:spacing w:val="2"/>
        </w:rPr>
        <w:t>、随着各地经营团队的成熟，各地子公司管理水平进一步提升，水电费、办</w:t>
      </w:r>
      <w:r>
        <w:rPr>
          <w:spacing w:val="3"/>
        </w:rPr>
        <w:t> </w:t>
      </w:r>
      <w:r>
        <w:rPr>
          <w:spacing w:val="-1"/>
        </w:rPr>
        <w:t>公费的控制能力有一定提升；同时，公司新开店面数量占比的相对下降，也带来了</w:t>
      </w:r>
      <w:r>
        <w:rPr>
          <w:spacing w:val="-108"/>
        </w:rPr>
        <w:t> </w:t>
      </w:r>
      <w:r>
        <w:rPr>
          <w:spacing w:val="-108"/>
        </w:rPr>
      </w:r>
      <w:r>
        <w:rPr/>
        <w:t>装潢费用的相对下降。</w:t>
      </w:r>
    </w:p>
    <w:p>
      <w:pPr>
        <w:spacing w:line="240" w:lineRule="auto" w:before="0"/>
        <w:rPr>
          <w:rFonts w:ascii="宋体" w:hAnsi="宋体" w:cs="宋体" w:eastAsia="宋体" w:hint="default"/>
          <w:sz w:val="24"/>
          <w:szCs w:val="24"/>
        </w:rPr>
      </w:pPr>
    </w:p>
    <w:p>
      <w:pPr>
        <w:pStyle w:val="BodyText"/>
        <w:spacing w:line="240" w:lineRule="auto" w:before="200"/>
        <w:ind w:left="1344" w:right="208"/>
        <w:jc w:val="left"/>
      </w:pPr>
      <w:r>
        <w:rPr/>
        <w:t>（八）主要控股公司及参股公司的经营情况及业绩：</w:t>
      </w:r>
    </w:p>
    <w:p>
      <w:pPr>
        <w:pStyle w:val="BodyText"/>
        <w:spacing w:line="240" w:lineRule="auto" w:before="154"/>
        <w:ind w:left="1343" w:right="208"/>
        <w:jc w:val="left"/>
      </w:pPr>
      <w:r>
        <w:rPr>
          <w:rFonts w:ascii="Times New Roman" w:hAnsi="Times New Roman" w:cs="Times New Roman" w:eastAsia="Times New Roman" w:hint="default"/>
        </w:rPr>
        <w:t>1</w:t>
      </w:r>
      <w:r>
        <w:rPr/>
        <w:t>、净利润前</w:t>
      </w:r>
      <w:r>
        <w:rPr>
          <w:spacing w:val="-60"/>
        </w:rPr>
        <w:t> </w:t>
      </w:r>
      <w:r>
        <w:rPr>
          <w:rFonts w:ascii="Times New Roman" w:hAnsi="Times New Roman" w:cs="Times New Roman" w:eastAsia="Times New Roman" w:hint="default"/>
        </w:rPr>
        <w:t>30 </w:t>
      </w:r>
      <w:r>
        <w:rPr/>
        <w:t>位控股子公司经营情况如下：</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281"/>
        <w:gridCol w:w="1660"/>
        <w:gridCol w:w="1860"/>
        <w:gridCol w:w="1660"/>
        <w:gridCol w:w="1661"/>
      </w:tblGrid>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控股公司名称</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0" w:right="0"/>
              <w:jc w:val="left"/>
              <w:rPr>
                <w:rFonts w:ascii="宋体" w:hAnsi="宋体" w:cs="宋体" w:eastAsia="宋体" w:hint="default"/>
                <w:sz w:val="18"/>
                <w:szCs w:val="18"/>
              </w:rPr>
            </w:pPr>
            <w:r>
              <w:rPr>
                <w:rFonts w:ascii="宋体" w:hAnsi="宋体" w:cs="宋体" w:eastAsia="宋体" w:hint="default"/>
                <w:sz w:val="18"/>
                <w:szCs w:val="18"/>
              </w:rPr>
              <w:t>注册资本（元）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9"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29"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29" w:right="0"/>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99,978,500.00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696,967,362.75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326,012,447.62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93,047,309.91</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127,480,000.00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674,621,020.42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294,159,022.73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80,862,773.13</w:t>
            </w:r>
          </w:p>
        </w:tc>
      </w:tr>
      <w:tr>
        <w:trPr>
          <w:trHeight w:val="29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457,596,560.45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148,937,646.71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55,404,332.98</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104,010,000.00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350,358,070.98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224,582,664.19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37,981,500.08</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陕西苏宁电器有限责任公司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32,760,000.00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202,191,656.51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139,025,617.30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37,694,309.84</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厦门福厦苏宁电器有限公司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37,600,000.00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82,448,708.72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70,762,702.25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19,682,341.78</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113,000,000.00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471,289,139.34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150,228,417.93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15,347,732.05</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上海长宁苏宁电器有限公司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668,328,505.60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25,165,625.97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15,165,625.97</w:t>
            </w:r>
          </w:p>
        </w:tc>
      </w:tr>
      <w:tr>
        <w:trPr>
          <w:trHeight w:val="29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新疆苏宁电器有限公司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46,146,662.50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41,224,485.61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12,628,240.33</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广西苏宁电器有限公司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108,146,673.78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26,219,268.07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11,476,280.11</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无锡市苏宁电器有限公司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66,608,899.86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32,763,716.17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8,973,966.98</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东莞市苏宁电器有限公司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26,000,000.00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71,561,770.34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42,982,591.51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8,373,191.30</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41,150,000.00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142,591,967.39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56,573,676.20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7,270,690.84</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马鞍山苏宁电器有限公司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49,333,410.02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14,882,834.99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7,114,962.12</w:t>
            </w:r>
          </w:p>
        </w:tc>
      </w:tr>
      <w:tr>
        <w:trPr>
          <w:trHeight w:val="29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汕头苏宁电器有限公司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23,500,000.00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52,928,666.93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33,904,719.64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6,809,392.01</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46,165,739.89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21,593,769.51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6,402,175.35</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大连沈大苏宁电器有限公司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19,600,000.00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66,408,018.35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30,382,827.91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6,162,674.85</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57,000,000.00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397,764,063.81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72,448,419.68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6,070,507.78</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27,000,000.00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134,604,161.84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37,471,940.06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5,994,419.61</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长春苏宁电器有限公司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76,659,545.44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19,074,002.47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5,886,717.80</w:t>
            </w:r>
          </w:p>
        </w:tc>
      </w:tr>
      <w:tr>
        <w:trPr>
          <w:trHeight w:val="29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西宁苏宁电器有限公司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17,000,000.00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29,689,614.17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27,955,586.40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5,691,280.36</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上海杨浦苏宁电器售后服务有限公司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24,060,299.00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17,790,164.93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5,541,774.08</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福建苏宁电器有限公司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89,000,000.00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150,339,184.44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98,463,620.99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5,125,930.09</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北京苏宁空调设备安装有限公司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26,306,265.35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19,004,169.22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4,952,780.76</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112,056,762.22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19,532,282.31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4,751,966.51</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佛山市苏宁电器有限公司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38,000,000.00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171,878,983.10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51,983,537.77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4,641,033.76</w:t>
            </w:r>
          </w:p>
        </w:tc>
      </w:tr>
      <w:tr>
        <w:trPr>
          <w:trHeight w:val="29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164,564,152.64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16,910,369.32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4,622,212.27</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芜湖苏宁电器有限公司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5,100,000.00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20,360,605.68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12,804,182.22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4,197,592.10</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杭州苏宁电器售后服务有限公司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18,157,314.38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8,962,145.49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4,107,856.86</w:t>
            </w:r>
          </w:p>
        </w:tc>
      </w:tr>
      <w:tr>
        <w:trPr>
          <w:trHeight w:val="29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河南苏宁电器有限公司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87,101,234.89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24,813,815.20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3,970,124.95</w:t>
            </w:r>
          </w:p>
        </w:tc>
      </w:tr>
    </w:tbl>
    <w:p>
      <w:pPr>
        <w:pStyle w:val="BodyText"/>
        <w:spacing w:line="240" w:lineRule="auto" w:before="7"/>
        <w:ind w:left="1344" w:right="208"/>
        <w:jc w:val="left"/>
      </w:pPr>
      <w:r>
        <w:rPr>
          <w:rFonts w:ascii="Times New Roman" w:hAnsi="Times New Roman" w:cs="Times New Roman" w:eastAsia="Times New Roman" w:hint="default"/>
          <w:spacing w:val="7"/>
        </w:rPr>
        <w:t>2</w:t>
      </w:r>
      <w:r>
        <w:rPr>
          <w:spacing w:val="7"/>
        </w:rPr>
        <w:t>、报告期内不存在单个参股公司的投资收益对净利润的影响</w:t>
      </w:r>
      <w:r>
        <w:rPr>
          <w:spacing w:val="30"/>
        </w:rPr>
        <w:t> </w:t>
      </w:r>
      <w:r>
        <w:rPr>
          <w:rFonts w:ascii="Times New Roman" w:hAnsi="Times New Roman" w:cs="Times New Roman" w:eastAsia="Times New Roman" w:hint="default"/>
          <w:spacing w:val="5"/>
        </w:rPr>
        <w:t>10%</w:t>
      </w:r>
      <w:r>
        <w:rPr>
          <w:spacing w:val="5"/>
        </w:rPr>
        <w:t>以上（含</w:t>
      </w:r>
      <w:r>
        <w:rPr/>
      </w:r>
    </w:p>
    <w:p>
      <w:pPr>
        <w:pStyle w:val="BodyText"/>
        <w:spacing w:line="240" w:lineRule="auto" w:before="27"/>
        <w:ind w:left="864" w:right="208"/>
        <w:jc w:val="left"/>
      </w:pPr>
      <w:r>
        <w:rPr>
          <w:rFonts w:ascii="Times New Roman" w:hAnsi="Times New Roman" w:cs="Times New Roman" w:eastAsia="Times New Roman" w:hint="default"/>
        </w:rPr>
        <w:t>10%</w:t>
      </w:r>
      <w:r>
        <w:rPr/>
        <w:t>）的情况。</w:t>
      </w:r>
    </w:p>
    <w:p>
      <w:pPr>
        <w:spacing w:line="240" w:lineRule="auto" w:before="0"/>
        <w:rPr>
          <w:rFonts w:ascii="宋体" w:hAnsi="宋体" w:cs="宋体" w:eastAsia="宋体" w:hint="default"/>
          <w:sz w:val="24"/>
          <w:szCs w:val="24"/>
        </w:rPr>
      </w:pPr>
    </w:p>
    <w:p>
      <w:pPr>
        <w:pStyle w:val="BodyText"/>
        <w:spacing w:line="240" w:lineRule="auto" w:before="214"/>
        <w:ind w:left="1344" w:right="208"/>
        <w:jc w:val="left"/>
      </w:pPr>
      <w:r>
        <w:rPr/>
        <w:t>（九）主要供应商、客户情况（母公司）</w:t>
      </w:r>
    </w:p>
    <w:p>
      <w:pPr>
        <w:spacing w:after="0" w:line="240" w:lineRule="auto"/>
        <w:jc w:val="left"/>
        <w:sectPr>
          <w:pgSz w:w="11910" w:h="16840"/>
          <w:pgMar w:header="879" w:footer="982" w:top="1100" w:bottom="1180" w:left="780" w:right="780"/>
        </w:sectPr>
      </w:pPr>
    </w:p>
    <w:p>
      <w:pPr>
        <w:spacing w:line="240" w:lineRule="auto" w:before="9"/>
        <w:rPr>
          <w:rFonts w:ascii="宋体" w:hAnsi="宋体" w:cs="宋体" w:eastAsia="宋体" w:hint="default"/>
          <w:sz w:val="9"/>
          <w:szCs w:val="9"/>
        </w:rPr>
      </w:pPr>
    </w:p>
    <w:tbl>
      <w:tblPr>
        <w:tblW w:w="0" w:type="auto"/>
        <w:jc w:val="left"/>
        <w:tblInd w:w="187" w:type="dxa"/>
        <w:tblLayout w:type="fixed"/>
        <w:tblCellMar>
          <w:top w:w="0" w:type="dxa"/>
          <w:left w:w="0" w:type="dxa"/>
          <w:bottom w:w="0" w:type="dxa"/>
          <w:right w:w="0" w:type="dxa"/>
        </w:tblCellMar>
        <w:tblLook w:val="01E0"/>
      </w:tblPr>
      <w:tblGrid>
        <w:gridCol w:w="2130"/>
        <w:gridCol w:w="2658"/>
        <w:gridCol w:w="1800"/>
        <w:gridCol w:w="1934"/>
      </w:tblGrid>
      <w:tr>
        <w:trPr>
          <w:trHeight w:val="73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101" w:firstLine="420"/>
              <w:jc w:val="left"/>
              <w:rPr>
                <w:rFonts w:ascii="宋体" w:hAnsi="宋体" w:cs="宋体" w:eastAsia="宋体" w:hint="default"/>
                <w:sz w:val="21"/>
                <w:szCs w:val="21"/>
              </w:rPr>
            </w:pPr>
            <w:r>
              <w:rPr>
                <w:rFonts w:ascii="宋体" w:hAnsi="宋体" w:cs="宋体" w:eastAsia="宋体" w:hint="default"/>
                <w:spacing w:val="2"/>
                <w:sz w:val="21"/>
                <w:szCs w:val="21"/>
              </w:rPr>
              <w:t>前五名供应商采</w:t>
            </w:r>
            <w:r>
              <w:rPr>
                <w:rFonts w:ascii="宋体" w:hAnsi="宋体" w:cs="宋体" w:eastAsia="宋体" w:hint="default"/>
                <w:sz w:val="21"/>
                <w:szCs w:val="21"/>
              </w:rPr>
              <w:t> 购金额合计（千元）</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11,113,656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占采购总额比重</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36.91%</w:t>
            </w:r>
          </w:p>
        </w:tc>
      </w:tr>
      <w:tr>
        <w:trPr>
          <w:trHeight w:val="71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2"/>
              <w:ind w:left="103" w:right="-3" w:firstLine="420"/>
              <w:jc w:val="left"/>
              <w:rPr>
                <w:rFonts w:ascii="宋体" w:hAnsi="宋体" w:cs="宋体" w:eastAsia="宋体" w:hint="default"/>
                <w:sz w:val="21"/>
                <w:szCs w:val="21"/>
              </w:rPr>
            </w:pPr>
            <w:r>
              <w:rPr>
                <w:rFonts w:ascii="宋体" w:hAnsi="宋体" w:cs="宋体" w:eastAsia="宋体" w:hint="default"/>
                <w:spacing w:val="2"/>
                <w:sz w:val="21"/>
                <w:szCs w:val="21"/>
              </w:rPr>
              <w:t>前五名销售客户</w:t>
            </w:r>
            <w:r>
              <w:rPr>
                <w:rFonts w:ascii="宋体" w:hAnsi="宋体" w:cs="宋体" w:eastAsia="宋体" w:hint="default"/>
                <w:sz w:val="21"/>
                <w:szCs w:val="21"/>
              </w:rPr>
              <w:t> </w:t>
            </w:r>
            <w:r>
              <w:rPr>
                <w:rFonts w:ascii="宋体" w:hAnsi="宋体" w:cs="宋体" w:eastAsia="宋体" w:hint="default"/>
                <w:spacing w:val="-9"/>
                <w:sz w:val="21"/>
                <w:szCs w:val="21"/>
              </w:rPr>
              <w:t>销售金额合计（千元）</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8,987,183</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29.08%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48" w:lineRule="auto" w:before="26"/>
        <w:ind w:left="623" w:right="181"/>
        <w:jc w:val="left"/>
      </w:pPr>
      <w:r>
        <w:rPr/>
        <w:t>三、经营中出现的问题与困难及解决方案： </w:t>
      </w:r>
      <w:r>
        <w:rPr>
          <w:rFonts w:ascii="Times New Roman" w:hAnsi="Times New Roman" w:cs="Times New Roman" w:eastAsia="Times New Roman" w:hint="default"/>
        </w:rPr>
        <w:t>1</w:t>
      </w:r>
      <w:r>
        <w:rPr/>
        <w:t>、租金成本上涨对公司连锁发展的影响 租金成本上涨仍是公司连锁发展过程中面临的主要问题之一，针对这一问题，</w:t>
      </w:r>
    </w:p>
    <w:p>
      <w:pPr>
        <w:pStyle w:val="BodyText"/>
        <w:spacing w:line="240" w:lineRule="auto" w:before="46"/>
        <w:ind w:right="0"/>
        <w:jc w:val="both"/>
      </w:pPr>
      <w:r>
        <w:rPr/>
        <w:t>公司将持续采取以下措施：</w:t>
      </w:r>
    </w:p>
    <w:p>
      <w:pPr>
        <w:pStyle w:val="BodyText"/>
        <w:spacing w:line="338" w:lineRule="auto" w:before="154"/>
        <w:ind w:right="85" w:firstLine="482"/>
        <w:jc w:val="left"/>
      </w:pPr>
      <w:r>
        <w:rPr>
          <w:rFonts w:ascii="Wingdings" w:hAnsi="Wingdings" w:cs="Wingdings" w:eastAsia="Wingdings" w:hint="default"/>
        </w:rPr>
        <w:t></w:t>
      </w:r>
      <w:r>
        <w:rPr>
          <w:rFonts w:ascii="Wingdings" w:hAnsi="Wingdings" w:cs="Wingdings" w:eastAsia="Wingdings" w:hint="default"/>
          <w:spacing w:val="-85"/>
        </w:rPr>
        <w:t></w:t>
      </w:r>
      <w:r>
        <w:rPr>
          <w:rFonts w:ascii="Times New Roman" w:hAnsi="Times New Roman" w:cs="Times New Roman" w:eastAsia="Times New Roman" w:hint="default"/>
          <w:spacing w:val="-85"/>
        </w:rPr>
      </w:r>
      <w:r>
        <w:rPr/>
        <w:t>加强与全国性开发商的战略合作，共同分析商圈、店面规划，定制性开发， 长期性合作；</w:t>
      </w:r>
    </w:p>
    <w:p>
      <w:pPr>
        <w:pStyle w:val="BodyText"/>
        <w:spacing w:line="348" w:lineRule="auto" w:before="55"/>
        <w:ind w:right="221" w:firstLine="480"/>
        <w:jc w:val="both"/>
      </w:pPr>
      <w:r>
        <w:rPr>
          <w:rFonts w:ascii="Wingdings" w:hAnsi="Wingdings" w:cs="Wingdings" w:eastAsia="Wingdings" w:hint="default"/>
        </w:rPr>
        <w:t></w:t>
      </w:r>
      <w:r>
        <w:rPr>
          <w:rFonts w:ascii="Wingdings" w:hAnsi="Wingdings" w:cs="Wingdings" w:eastAsia="Wingdings" w:hint="default"/>
          <w:spacing w:val="29"/>
        </w:rPr>
        <w:t></w:t>
      </w:r>
      <w:r>
        <w:rPr>
          <w:rFonts w:ascii="Times New Roman" w:hAnsi="Times New Roman" w:cs="Times New Roman" w:eastAsia="Times New Roman" w:hint="default"/>
          <w:spacing w:val="29"/>
        </w:rPr>
      </w:r>
      <w:r>
        <w:rPr/>
        <w:t>在充分论证的基础上，在全国重点城市的核心商圈，合理购置店面，以减</w:t>
      </w:r>
      <w:r>
        <w:rPr>
          <w:spacing w:val="1"/>
        </w:rPr>
        <w:t> </w:t>
      </w:r>
      <w:r>
        <w:rPr>
          <w:spacing w:val="-1"/>
        </w:rPr>
        <w:t>少经营风险，降低租金压力，以旗舰店的良好形象和销售，带动区域整体经营能力</w:t>
      </w:r>
      <w:r>
        <w:rPr>
          <w:spacing w:val="-108"/>
        </w:rPr>
        <w:t> </w:t>
      </w:r>
      <w:r>
        <w:rPr>
          <w:spacing w:val="-108"/>
        </w:rPr>
      </w:r>
      <w:r>
        <w:rPr/>
        <w:t>提升；</w:t>
      </w:r>
    </w:p>
    <w:p>
      <w:pPr>
        <w:pStyle w:val="BodyText"/>
        <w:tabs>
          <w:tab w:pos="1043" w:val="left" w:leader="none"/>
        </w:tabs>
        <w:spacing w:line="338" w:lineRule="auto" w:before="46"/>
        <w:ind w:left="623" w:right="2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在条件允许的情况下进行自建店面，进一步降低成本。 </w:t>
      </w:r>
      <w:r>
        <w:rPr>
          <w:rFonts w:ascii="Times New Roman" w:hAnsi="Times New Roman" w:cs="Times New Roman" w:eastAsia="Times New Roman" w:hint="default"/>
        </w:rPr>
        <w:t>2</w:t>
      </w:r>
      <w:r>
        <w:rPr/>
        <w:t>、物流平台建设相对滞后对公司经营、管理能力提升的影响 </w:t>
      </w:r>
      <w:r>
        <w:rPr>
          <w:spacing w:val="-1"/>
        </w:rPr>
        <w:t>随着公司在二、三级市场连锁发展速度的进一步加快，物流平台建设的相对滞</w:t>
      </w:r>
    </w:p>
    <w:p>
      <w:pPr>
        <w:pStyle w:val="BodyText"/>
        <w:spacing w:line="357" w:lineRule="auto" w:before="55"/>
        <w:ind w:left="623" w:right="181" w:hanging="480"/>
        <w:jc w:val="left"/>
      </w:pPr>
      <w:r>
        <w:rPr/>
        <w:t>后对公司在区域范围内的资源整合、采购及配套服务能力的提升带来一定的限制。 针对这一问题，公司将进一步加强后台物流平台的建设：</w:t>
      </w:r>
    </w:p>
    <w:p>
      <w:pPr>
        <w:pStyle w:val="BodyText"/>
        <w:spacing w:line="338" w:lineRule="auto" w:before="36"/>
        <w:ind w:right="211" w:firstLine="482"/>
        <w:jc w:val="left"/>
      </w:pPr>
      <w:r>
        <w:rPr>
          <w:rFonts w:ascii="Wingdings" w:hAnsi="Wingdings" w:cs="Wingdings" w:eastAsia="Wingdings" w:hint="default"/>
        </w:rPr>
        <w:t></w:t>
      </w:r>
      <w:r>
        <w:rPr>
          <w:rFonts w:ascii="Wingdings" w:hAnsi="Wingdings" w:cs="Wingdings" w:eastAsia="Wingdings" w:hint="default"/>
          <w:spacing w:val="-35"/>
        </w:rPr>
        <w:t></w:t>
      </w:r>
      <w:r>
        <w:rPr>
          <w:rFonts w:ascii="Times New Roman" w:hAnsi="Times New Roman" w:cs="Times New Roman" w:eastAsia="Times New Roman" w:hint="default"/>
          <w:spacing w:val="-35"/>
        </w:rPr>
      </w:r>
      <w:r>
        <w:rPr>
          <w:spacing w:val="2"/>
        </w:rPr>
        <w:t>利用已经建成的杭州、北京、江苏物流基地，不断总结经验，形成成熟的</w:t>
      </w:r>
      <w:r>
        <w:rPr>
          <w:spacing w:val="3"/>
        </w:rPr>
        <w:t> </w:t>
      </w:r>
      <w:r>
        <w:rPr/>
        <w:t>物流平台操作模式与建设、作业标准；</w:t>
      </w:r>
    </w:p>
    <w:p>
      <w:pPr>
        <w:pStyle w:val="BodyText"/>
        <w:spacing w:line="240" w:lineRule="auto" w:before="55"/>
        <w:ind w:left="626" w:right="87"/>
        <w:jc w:val="left"/>
      </w:pPr>
      <w:r>
        <w:rPr>
          <w:rFonts w:ascii="Wingdings" w:hAnsi="Wingdings" w:cs="Wingdings" w:eastAsia="Wingdings" w:hint="default"/>
        </w:rPr>
        <w:t></w:t>
      </w:r>
      <w:r>
        <w:rPr>
          <w:rFonts w:ascii="Wingdings" w:hAnsi="Wingdings" w:cs="Wingdings" w:eastAsia="Wingdings" w:hint="default"/>
          <w:spacing w:val="-63"/>
        </w:rPr>
        <w:t></w:t>
      </w:r>
      <w:r>
        <w:rPr>
          <w:rFonts w:ascii="Times New Roman" w:hAnsi="Times New Roman" w:cs="Times New Roman" w:eastAsia="Times New Roman" w:hint="default"/>
          <w:spacing w:val="-63"/>
        </w:rPr>
      </w:r>
      <w:r>
        <w:rPr/>
        <w:t>沈阳物流中心尽快进入施工阶段；</w:t>
      </w:r>
    </w:p>
    <w:p>
      <w:pPr>
        <w:pStyle w:val="BodyText"/>
        <w:spacing w:line="338" w:lineRule="auto" w:before="137"/>
        <w:ind w:right="85" w:firstLine="482"/>
        <w:jc w:val="left"/>
      </w:pPr>
      <w:r>
        <w:rPr>
          <w:rFonts w:ascii="Wingdings" w:hAnsi="Wingdings" w:cs="Wingdings" w:eastAsia="Wingdings" w:hint="default"/>
        </w:rPr>
        <w:t></w:t>
      </w:r>
      <w:r>
        <w:rPr>
          <w:rFonts w:ascii="Wingdings" w:hAnsi="Wingdings" w:cs="Wingdings" w:eastAsia="Wingdings" w:hint="default"/>
          <w:spacing w:val="-85"/>
        </w:rPr>
        <w:t></w:t>
      </w:r>
      <w:r>
        <w:rPr>
          <w:rFonts w:ascii="Times New Roman" w:hAnsi="Times New Roman" w:cs="Times New Roman" w:eastAsia="Times New Roman" w:hint="default"/>
          <w:spacing w:val="-85"/>
        </w:rPr>
      </w:r>
      <w:r>
        <w:rPr/>
        <w:t>物流基地选址已经达成意向的成都、无锡、徐州等地，尽快签署正式合同， 力争</w:t>
      </w:r>
      <w:r>
        <w:rPr>
          <w:rFonts w:ascii="Times New Roman" w:hAnsi="Times New Roman" w:cs="Times New Roman" w:eastAsia="Times New Roman" w:hint="default"/>
        </w:rPr>
        <w:t>08</w:t>
      </w:r>
      <w:r>
        <w:rPr/>
        <w:t>年进入实际施工；</w:t>
      </w:r>
    </w:p>
    <w:p>
      <w:pPr>
        <w:pStyle w:val="BodyText"/>
        <w:spacing w:line="338" w:lineRule="auto" w:before="27"/>
        <w:ind w:right="211" w:firstLine="482"/>
        <w:jc w:val="left"/>
      </w:pPr>
      <w:r>
        <w:rPr>
          <w:rFonts w:ascii="Wingdings" w:hAnsi="Wingdings" w:cs="Wingdings" w:eastAsia="Wingdings" w:hint="default"/>
        </w:rPr>
        <w:t></w:t>
      </w:r>
      <w:r>
        <w:rPr>
          <w:rFonts w:ascii="Wingdings" w:hAnsi="Wingdings" w:cs="Wingdings" w:eastAsia="Wingdings" w:hint="default"/>
          <w:spacing w:val="-35"/>
        </w:rPr>
        <w:t></w:t>
      </w:r>
      <w:r>
        <w:rPr>
          <w:rFonts w:ascii="Times New Roman" w:hAnsi="Times New Roman" w:cs="Times New Roman" w:eastAsia="Times New Roman" w:hint="default"/>
          <w:spacing w:val="-35"/>
        </w:rPr>
      </w:r>
      <w:r>
        <w:rPr>
          <w:spacing w:val="2"/>
        </w:rPr>
        <w:t>对于其他区域，公司将抓紧物流基地的选址工作，在充分论证的基础上适</w:t>
      </w:r>
      <w:r>
        <w:rPr>
          <w:spacing w:val="3"/>
        </w:rPr>
        <w:t> </w:t>
      </w:r>
      <w:r>
        <w:rPr/>
        <w:t>时推进物流基地建设。</w:t>
      </w:r>
    </w:p>
    <w:p>
      <w:pPr>
        <w:pStyle w:val="BodyText"/>
        <w:spacing w:line="338" w:lineRule="auto" w:before="55"/>
        <w:ind w:left="623" w:right="215"/>
        <w:jc w:val="left"/>
      </w:pPr>
      <w:r>
        <w:rPr>
          <w:rFonts w:ascii="Times New Roman" w:hAnsi="Times New Roman" w:cs="Times New Roman" w:eastAsia="Times New Roman" w:hint="default"/>
        </w:rPr>
        <w:t>3</w:t>
      </w:r>
      <w:r>
        <w:rPr/>
        <w:t>、专业人才的缺乏在一定程度上制约公司的发展 </w:t>
      </w:r>
      <w:r>
        <w:rPr>
          <w:spacing w:val="-1"/>
        </w:rPr>
        <w:t>为了满足公司连锁网络的持续高速扩张对人才的长远需求，公司在人力资源上</w:t>
      </w:r>
    </w:p>
    <w:p>
      <w:pPr>
        <w:pStyle w:val="BodyText"/>
        <w:spacing w:line="357" w:lineRule="auto" w:before="55"/>
        <w:ind w:right="221"/>
        <w:jc w:val="both"/>
      </w:pPr>
      <w:r>
        <w:rPr>
          <w:spacing w:val="-1"/>
        </w:rPr>
        <w:t>采取了提前培养、提前储备的战略，但由此也带来了公司人员年轻，遇事经验不足</w:t>
      </w:r>
      <w:r>
        <w:rPr>
          <w:spacing w:val="-108"/>
        </w:rPr>
        <w:t> </w:t>
      </w:r>
      <w:r>
        <w:rPr>
          <w:spacing w:val="-108"/>
        </w:rPr>
      </w:r>
      <w:r>
        <w:rPr>
          <w:spacing w:val="-1"/>
        </w:rPr>
        <w:t>等问题。随着公司连锁经营规模的逐步扩大，人员能力的提升和专业人才的缺乏在</w:t>
      </w:r>
      <w:r>
        <w:rPr>
          <w:spacing w:val="-106"/>
        </w:rPr>
        <w:t> </w:t>
      </w:r>
      <w:r>
        <w:rPr>
          <w:spacing w:val="-106"/>
        </w:rPr>
      </w:r>
      <w:r>
        <w:rPr/>
        <w:t>一定程度上制约了公司的发展。</w:t>
      </w:r>
    </w:p>
    <w:p>
      <w:pPr>
        <w:spacing w:after="0" w:line="357"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57" w:lineRule="auto" w:before="26"/>
        <w:ind w:left="144" w:right="198" w:firstLine="480"/>
        <w:jc w:val="both"/>
      </w:pPr>
      <w:r>
        <w:rPr>
          <w:spacing w:val="-1"/>
        </w:rPr>
        <w:t>为了解决该问题，公司将从内部培养及外部招聘两方面来缓解人力资源的需求</w:t>
      </w:r>
      <w:r>
        <w:rPr/>
        <w:t> </w:t>
      </w:r>
      <w:r>
        <w:rPr>
          <w:spacing w:val="-1"/>
        </w:rPr>
        <w:t>压力。一方面加大内部人才培养的力度，加大培训体系建设，培育核心团队，另一</w:t>
      </w:r>
      <w:r>
        <w:rPr>
          <w:spacing w:val="-108"/>
        </w:rPr>
        <w:t> </w:t>
      </w:r>
      <w:r>
        <w:rPr>
          <w:spacing w:val="-108"/>
        </w:rPr>
      </w:r>
      <w:r>
        <w:rPr/>
        <w:t>方面引进社会优秀人才，丰富人才结构。在此基础上，公司也将进一步完善薪酬、 福利、股票期权等各项激励措施，更好的推进人力资源战略</w:t>
      </w:r>
    </w:p>
    <w:p>
      <w:pPr>
        <w:pStyle w:val="BodyText"/>
        <w:spacing w:line="338" w:lineRule="auto" w:before="36"/>
        <w:ind w:left="623" w:right="204"/>
        <w:jc w:val="left"/>
      </w:pPr>
      <w:r>
        <w:rPr>
          <w:rFonts w:ascii="Times New Roman" w:hAnsi="Times New Roman" w:cs="Times New Roman" w:eastAsia="Times New Roman" w:hint="default"/>
        </w:rPr>
        <w:t>4</w:t>
      </w:r>
      <w:r>
        <w:rPr/>
        <w:t>、消费类电子产品市场整合不完全对公司经营的影响 公司在消费类电子产品特别是 </w:t>
      </w:r>
      <w:r>
        <w:rPr>
          <w:rFonts w:ascii="Times New Roman" w:hAnsi="Times New Roman" w:cs="Times New Roman" w:eastAsia="Times New Roman" w:hint="default"/>
        </w:rPr>
        <w:t>3C</w:t>
      </w:r>
      <w:r>
        <w:rPr>
          <w:rFonts w:ascii="Times New Roman" w:hAnsi="Times New Roman" w:cs="Times New Roman" w:eastAsia="Times New Roman" w:hint="default"/>
          <w:spacing w:val="-3"/>
        </w:rPr>
        <w:t> </w:t>
      </w:r>
      <w:r>
        <w:rPr/>
        <w:t>产品的销售上仍处于尚需培育的阶段，目前</w:t>
      </w:r>
    </w:p>
    <w:p>
      <w:pPr>
        <w:pStyle w:val="BodyText"/>
        <w:spacing w:line="350" w:lineRule="auto" w:before="27"/>
        <w:ind w:right="221"/>
        <w:jc w:val="both"/>
      </w:pPr>
      <w:r>
        <w:rPr/>
        <w:t>公司在此类产品的经营上还不够专业，加上 </w:t>
      </w:r>
      <w:r>
        <w:rPr>
          <w:rFonts w:ascii="Times New Roman" w:hAnsi="Times New Roman" w:cs="Times New Roman" w:eastAsia="Times New Roman" w:hint="default"/>
        </w:rPr>
        <w:t>3C</w:t>
      </w:r>
      <w:r>
        <w:rPr>
          <w:rFonts w:ascii="Times New Roman" w:hAnsi="Times New Roman" w:cs="Times New Roman" w:eastAsia="Times New Roman" w:hint="default"/>
          <w:spacing w:val="-4"/>
        </w:rPr>
        <w:t> </w:t>
      </w:r>
      <w:r>
        <w:rPr/>
        <w:t>产品的上游供应商集中度高、竞争 </w:t>
      </w:r>
      <w:r>
        <w:rPr>
          <w:spacing w:val="-1"/>
        </w:rPr>
        <w:t>激烈，且销售渠道尚需整合，对公司该部分产品的经营产生了短期影响。同时部分</w:t>
      </w:r>
      <w:r>
        <w:rPr>
          <w:spacing w:val="-108"/>
        </w:rPr>
        <w:t> </w:t>
      </w:r>
      <w:r>
        <w:rPr>
          <w:spacing w:val="-108"/>
        </w:rPr>
      </w:r>
      <w:r>
        <w:rPr>
          <w:spacing w:val="-1"/>
        </w:rPr>
        <w:t>品牌如诺基亚、联想、佳能等品牌市场份额过于集中，也产生了对公司经营有所影</w:t>
      </w:r>
      <w:r>
        <w:rPr>
          <w:spacing w:val="-108"/>
        </w:rPr>
        <w:t> </w:t>
      </w:r>
      <w:r>
        <w:rPr>
          <w:spacing w:val="-108"/>
        </w:rPr>
      </w:r>
      <w:r>
        <w:rPr/>
        <w:t>响的情况。</w:t>
      </w:r>
    </w:p>
    <w:p>
      <w:pPr>
        <w:pStyle w:val="BodyText"/>
        <w:spacing w:line="357" w:lineRule="auto" w:before="43"/>
        <w:ind w:right="221" w:firstLine="480"/>
        <w:jc w:val="both"/>
      </w:pPr>
      <w:r>
        <w:rPr>
          <w:spacing w:val="-1"/>
        </w:rPr>
        <w:t>未来，公司将进一步加强对消费类电子产品的培育，加强各品类产品定制、包</w:t>
      </w:r>
      <w:r>
        <w:rPr/>
        <w:t> </w:t>
      </w:r>
      <w:r>
        <w:rPr>
          <w:spacing w:val="-1"/>
        </w:rPr>
        <w:t>销的研究，通过与供应商产品直供合作、加强高毛利产品的销售，同时加强配件以</w:t>
      </w:r>
      <w:r>
        <w:rPr>
          <w:spacing w:val="-108"/>
        </w:rPr>
        <w:t> </w:t>
      </w:r>
      <w:r>
        <w:rPr>
          <w:spacing w:val="-108"/>
        </w:rPr>
      </w:r>
      <w:r>
        <w:rPr>
          <w:spacing w:val="-1"/>
        </w:rPr>
        <w:t>及关联产品的销售，着力培养专业化团队和终端自营能力，加快产品的服务体系建</w:t>
      </w:r>
      <w:r>
        <w:rPr>
          <w:spacing w:val="-106"/>
        </w:rPr>
        <w:t> </w:t>
      </w:r>
      <w:r>
        <w:rPr>
          <w:spacing w:val="-106"/>
        </w:rPr>
      </w:r>
      <w:r>
        <w:rPr/>
        <w:t>设等方式，有效提升产品毛利及销售份额。</w:t>
      </w:r>
    </w:p>
    <w:p>
      <w:pPr>
        <w:spacing w:line="240" w:lineRule="auto" w:before="0"/>
        <w:rPr>
          <w:rFonts w:ascii="宋体" w:hAnsi="宋体" w:cs="宋体" w:eastAsia="宋体" w:hint="default"/>
          <w:sz w:val="24"/>
          <w:szCs w:val="24"/>
        </w:rPr>
      </w:pPr>
    </w:p>
    <w:p>
      <w:pPr>
        <w:pStyle w:val="BodyText"/>
        <w:spacing w:line="240" w:lineRule="auto" w:before="190"/>
        <w:ind w:left="623" w:right="87"/>
        <w:jc w:val="left"/>
      </w:pPr>
      <w:r>
        <w:rPr/>
        <w:t>四、</w:t>
      </w:r>
      <w:r>
        <w:rPr>
          <w:rFonts w:ascii="Times New Roman" w:hAnsi="Times New Roman" w:cs="Times New Roman" w:eastAsia="Times New Roman" w:hint="default"/>
        </w:rPr>
        <w:t>2008 </w:t>
      </w:r>
      <w:r>
        <w:rPr/>
        <w:t>年的展望及前景</w:t>
      </w:r>
    </w:p>
    <w:p>
      <w:pPr>
        <w:pStyle w:val="BodyText"/>
        <w:spacing w:line="240" w:lineRule="auto" w:before="135"/>
        <w:ind w:left="623" w:right="87"/>
        <w:jc w:val="left"/>
      </w:pPr>
      <w:r>
        <w:rPr/>
        <w:t>（一）</w:t>
      </w:r>
      <w:r>
        <w:rPr>
          <w:rFonts w:ascii="Times New Roman" w:hAnsi="Times New Roman" w:cs="Times New Roman" w:eastAsia="Times New Roman" w:hint="default"/>
        </w:rPr>
        <w:t>2008 </w:t>
      </w:r>
      <w:r>
        <w:rPr/>
        <w:t>年发展规划</w:t>
      </w:r>
    </w:p>
    <w:p>
      <w:pPr>
        <w:pStyle w:val="BodyText"/>
        <w:spacing w:line="338" w:lineRule="auto" w:before="135"/>
        <w:ind w:right="205" w:firstLine="48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spacing w:val="-3"/>
        </w:rPr>
        <w:t>年，中国家电市场容量将保持快速增长，在奥运与国家内需拉动政策的带</w:t>
      </w:r>
      <w:r>
        <w:rPr/>
        <w:t> 动下，有可能实现更快的发展。</w:t>
      </w:r>
    </w:p>
    <w:p>
      <w:pPr>
        <w:pStyle w:val="BodyText"/>
        <w:spacing w:line="348" w:lineRule="auto" w:before="55"/>
        <w:ind w:right="87" w:firstLine="480"/>
        <w:jc w:val="left"/>
      </w:pPr>
      <w:r>
        <w:rPr>
          <w:spacing w:val="-5"/>
        </w:rPr>
        <w:t>苏宁电器经过多年的后台整合和各项资源的储备，在品牌影响力、供应链整合、</w:t>
      </w:r>
      <w:r>
        <w:rPr/>
        <w:t> </w:t>
      </w:r>
      <w:r>
        <w:rPr>
          <w:spacing w:val="-4"/>
        </w:rPr>
        <w:t>市场运营上已经具备一定的实力。</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0"/>
        </w:rPr>
        <w:t> </w:t>
      </w:r>
      <w:r>
        <w:rPr>
          <w:spacing w:val="-7"/>
        </w:rPr>
        <w:t>年下半年，公司通过科学、细致的调研分析，</w:t>
      </w:r>
      <w:r>
        <w:rPr/>
        <w:t> 结合自身的能力资源状况，进一步修正明确了到 </w:t>
      </w:r>
      <w:r>
        <w:rPr>
          <w:rFonts w:ascii="Times New Roman" w:hAnsi="Times New Roman" w:cs="Times New Roman" w:eastAsia="Times New Roman" w:hint="default"/>
        </w:rPr>
        <w:t>2010 </w:t>
      </w:r>
      <w:r>
        <w:rPr/>
        <w:t>年的发展战略。</w:t>
      </w:r>
      <w:r>
        <w:rPr>
          <w:rFonts w:ascii="Times New Roman" w:hAnsi="Times New Roman" w:cs="Times New Roman" w:eastAsia="Times New Roman" w:hint="default"/>
        </w:rPr>
        <w:t>2008</w:t>
      </w:r>
      <w:r>
        <w:rPr>
          <w:rFonts w:ascii="Times New Roman" w:hAnsi="Times New Roman" w:cs="Times New Roman" w:eastAsia="Times New Roman" w:hint="default"/>
          <w:spacing w:val="-26"/>
        </w:rPr>
        <w:t> </w:t>
      </w:r>
      <w:r>
        <w:rPr/>
        <w:t>年是三 年发展战略的第一年、开局年，公司会继续坚持一贯的经营风格，加快拓展，力争 在效益和规模上实现新的突破，为</w:t>
      </w:r>
      <w:r>
        <w:rPr>
          <w:spacing w:val="-60"/>
        </w:rPr>
        <w:t> </w:t>
      </w:r>
      <w:r>
        <w:rPr>
          <w:rFonts w:ascii="Times New Roman" w:hAnsi="Times New Roman" w:cs="Times New Roman" w:eastAsia="Times New Roman" w:hint="default"/>
        </w:rPr>
        <w:t>2010 </w:t>
      </w:r>
      <w:r>
        <w:rPr/>
        <w:t>年的目标打下坚实的基础。</w:t>
      </w:r>
    </w:p>
    <w:p>
      <w:pPr>
        <w:pStyle w:val="BodyText"/>
        <w:spacing w:line="240" w:lineRule="auto" w:before="16"/>
        <w:ind w:left="624" w:right="87"/>
        <w:jc w:val="left"/>
      </w:pPr>
      <w:r>
        <w:rPr>
          <w:rFonts w:ascii="Times New Roman" w:hAnsi="Times New Roman" w:cs="Times New Roman" w:eastAsia="Times New Roman" w:hint="default"/>
        </w:rPr>
        <w:t>1</w:t>
      </w:r>
      <w:r>
        <w:rPr/>
        <w:t>、连锁发展：</w:t>
      </w:r>
    </w:p>
    <w:p>
      <w:pPr>
        <w:pStyle w:val="BodyText"/>
        <w:spacing w:line="240" w:lineRule="auto" w:before="135"/>
        <w:ind w:left="624" w:right="87"/>
        <w:jc w:val="left"/>
      </w:pPr>
      <w:r>
        <w:rPr>
          <w:rFonts w:ascii="Wingdings" w:hAnsi="Wingdings" w:cs="Wingdings" w:eastAsia="Wingdings" w:hint="default"/>
        </w:rPr>
        <w:t></w:t>
      </w:r>
      <w:r>
        <w:rPr>
          <w:rFonts w:ascii="Wingdings" w:hAnsi="Wingdings" w:cs="Wingdings" w:eastAsia="Wingdings" w:hint="default"/>
          <w:spacing w:val="-174"/>
        </w:rPr>
        <w:t></w:t>
      </w:r>
      <w:r>
        <w:rPr>
          <w:rFonts w:ascii="Times New Roman" w:hAnsi="Times New Roman" w:cs="Times New Roman" w:eastAsia="Times New Roman" w:hint="default"/>
          <w:spacing w:val="-174"/>
        </w:rPr>
      </w:r>
      <w:r>
        <w:rPr>
          <w:rFonts w:ascii="Times New Roman" w:hAnsi="Times New Roman" w:cs="Times New Roman" w:eastAsia="Times New Roman" w:hint="default"/>
        </w:rPr>
        <w:t>08</w:t>
      </w:r>
      <w:r>
        <w:rPr>
          <w:rFonts w:ascii="Times New Roman" w:hAnsi="Times New Roman" w:cs="Times New Roman" w:eastAsia="Times New Roman" w:hint="default"/>
          <w:spacing w:val="6"/>
        </w:rPr>
        <w:t> </w:t>
      </w:r>
      <w:r>
        <w:rPr>
          <w:spacing w:val="-3"/>
        </w:rPr>
        <w:t>年公司将在合理规划的基础上，继续稳步提升连锁发展速度，全年计划新</w:t>
      </w:r>
    </w:p>
    <w:p>
      <w:pPr>
        <w:pStyle w:val="BodyText"/>
        <w:spacing w:line="350" w:lineRule="auto" w:before="135"/>
        <w:ind w:left="144" w:right="198"/>
        <w:jc w:val="both"/>
      </w:pPr>
      <w:r>
        <w:rPr/>
        <w:t>开店面数量突破</w:t>
      </w:r>
      <w:r>
        <w:rPr>
          <w:spacing w:val="-64"/>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spacing w:val="-6"/>
        </w:rPr>
        <w:t>家；北京、上海两地，到</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年底，连锁店数量均要达到</w:t>
      </w:r>
      <w:r>
        <w:rPr>
          <w:spacing w:val="-64"/>
        </w:rPr>
        <w:t> </w:t>
      </w:r>
      <w:r>
        <w:rPr>
          <w:rFonts w:ascii="Times New Roman" w:hAnsi="Times New Roman" w:cs="Times New Roman" w:eastAsia="Times New Roman" w:hint="default"/>
        </w:rPr>
        <w:t>100 </w:t>
      </w:r>
      <w:r>
        <w:rPr/>
        <w:t>家；天津、重庆、成都、武汉区域要借助城市的快速发展加快连锁布局；在华东、 </w:t>
      </w:r>
      <w:r>
        <w:rPr>
          <w:spacing w:val="-1"/>
        </w:rPr>
        <w:t>华南市场加强纵向密度，在加强一二级市场旗舰店建设的基础上，全面推进三级市</w:t>
      </w:r>
      <w:r>
        <w:rPr>
          <w:spacing w:val="-106"/>
        </w:rPr>
        <w:t> </w:t>
      </w:r>
      <w:r>
        <w:rPr>
          <w:spacing w:val="-106"/>
        </w:rPr>
      </w:r>
      <w:r>
        <w:rPr/>
        <w:t>场发展，积累四级市场建设经验；</w:t>
      </w:r>
    </w:p>
    <w:p>
      <w:pPr>
        <w:spacing w:after="0" w:line="350"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62" w:lineRule="auto" w:before="26"/>
        <w:ind w:right="179" w:firstLine="480"/>
        <w:jc w:val="both"/>
      </w:pPr>
      <w:r>
        <w:rPr>
          <w:rFonts w:ascii="Wingdings" w:hAnsi="Wingdings" w:cs="Wingdings" w:eastAsia="Wingdings" w:hint="default"/>
        </w:rPr>
        <w:t></w:t>
      </w:r>
      <w:r>
        <w:rPr>
          <w:rFonts w:ascii="Wingdings" w:hAnsi="Wingdings" w:cs="Wingdings" w:eastAsia="Wingdings" w:hint="default"/>
          <w:spacing w:val="-211"/>
        </w:rPr>
        <w:t></w:t>
      </w:r>
      <w:r>
        <w:rPr>
          <w:rFonts w:ascii="Times New Roman" w:hAnsi="Times New Roman" w:cs="Times New Roman" w:eastAsia="Times New Roman" w:hint="default"/>
          <w:spacing w:val="-211"/>
        </w:rPr>
      </w:r>
      <w:r>
        <w:rPr/>
        <w:t>继续贯彻执行“地区攻略”、“旗舰店攻略”，运用“租、买、并、建”多</w:t>
      </w:r>
      <w:r>
        <w:rPr>
          <w:spacing w:val="-1"/>
        </w:rPr>
        <w:t> </w:t>
      </w:r>
      <w:r>
        <w:rPr/>
        <w:t>种方式，依托重点地区、核心商圈和优质店面资源，延续完善</w:t>
      </w:r>
      <w:r>
        <w:rPr>
          <w:spacing w:val="29"/>
        </w:rPr>
        <w:t> </w:t>
      </w:r>
      <w:r>
        <w:rPr>
          <w:rFonts w:ascii="Times New Roman" w:hAnsi="Times New Roman" w:cs="Times New Roman" w:eastAsia="Times New Roman" w:hint="default"/>
        </w:rPr>
        <w:t>3C</w:t>
      </w:r>
      <w:r>
        <w:rPr>
          <w:position w:val="6"/>
        </w:rPr>
        <w:t>＋</w:t>
      </w:r>
      <w:r>
        <w:rPr/>
        <w:t>模式，突出旗</w:t>
      </w:r>
      <w:r>
        <w:rPr>
          <w:spacing w:val="-113"/>
        </w:rPr>
        <w:t> </w:t>
      </w:r>
      <w:r>
        <w:rPr>
          <w:spacing w:val="-113"/>
        </w:rPr>
      </w:r>
      <w:r>
        <w:rPr/>
        <w:t>舰店、中心店建设，多开高质量店面，进一步优化店面质量。</w:t>
      </w:r>
    </w:p>
    <w:p>
      <w:pPr>
        <w:pStyle w:val="BodyText"/>
        <w:spacing w:line="240" w:lineRule="auto" w:before="31"/>
        <w:ind w:left="623" w:right="179"/>
        <w:jc w:val="left"/>
      </w:pPr>
      <w:r>
        <w:rPr>
          <w:rFonts w:ascii="Times New Roman" w:hAnsi="Times New Roman" w:cs="Times New Roman" w:eastAsia="Times New Roman" w:hint="default"/>
        </w:rPr>
        <w:t>2</w:t>
      </w:r>
      <w:r>
        <w:rPr/>
        <w:t>、创新营销：</w:t>
      </w:r>
    </w:p>
    <w:p>
      <w:pPr>
        <w:pStyle w:val="BodyText"/>
        <w:spacing w:line="338" w:lineRule="auto" w:before="135"/>
        <w:ind w:right="178" w:firstLine="480"/>
        <w:jc w:val="both"/>
      </w:pPr>
      <w:r>
        <w:rPr>
          <w:rFonts w:ascii="Wingdings" w:hAnsi="Wingdings" w:cs="Wingdings" w:eastAsia="Wingdings" w:hint="default"/>
        </w:rPr>
        <w:t></w:t>
      </w:r>
      <w:r>
        <w:rPr>
          <w:rFonts w:ascii="Wingdings" w:hAnsi="Wingdings" w:cs="Wingdings" w:eastAsia="Wingdings" w:hint="default"/>
          <w:spacing w:val="-55"/>
        </w:rPr>
        <w:t></w:t>
      </w:r>
      <w:r>
        <w:rPr>
          <w:rFonts w:ascii="Times New Roman" w:hAnsi="Times New Roman" w:cs="Times New Roman" w:eastAsia="Times New Roman" w:hint="default"/>
          <w:spacing w:val="-55"/>
        </w:rPr>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3"/>
        </w:rPr>
        <w:t>年，家电市场容量仍将保持</w:t>
      </w:r>
      <w:r>
        <w:rPr>
          <w:spacing w:val="-59"/>
        </w:rPr>
        <w:t> </w:t>
      </w:r>
      <w:r>
        <w:rPr>
          <w:rFonts w:ascii="Times New Roman" w:hAnsi="Times New Roman" w:cs="Times New Roman" w:eastAsia="Times New Roman" w:hint="default"/>
          <w:spacing w:val="-4"/>
        </w:rPr>
        <w:t>10%</w:t>
      </w:r>
      <w:r>
        <w:rPr>
          <w:spacing w:val="-4"/>
        </w:rPr>
        <w:t>左右的增长，达到</w:t>
      </w:r>
      <w:r>
        <w:rPr>
          <w:spacing w:val="-59"/>
        </w:rPr>
        <w:t> </w:t>
      </w:r>
      <w:r>
        <w:rPr>
          <w:rFonts w:ascii="Times New Roman" w:hAnsi="Times New Roman" w:cs="Times New Roman" w:eastAsia="Times New Roman" w:hint="default"/>
        </w:rPr>
        <w:t>8300</w:t>
      </w:r>
      <w:r>
        <w:rPr>
          <w:rFonts w:ascii="Times New Roman" w:hAnsi="Times New Roman" w:cs="Times New Roman" w:eastAsia="Times New Roman" w:hint="default"/>
          <w:spacing w:val="1"/>
        </w:rPr>
        <w:t> </w:t>
      </w:r>
      <w:r>
        <w:rPr>
          <w:spacing w:val="-6"/>
        </w:rPr>
        <w:t>亿元左右；同</w:t>
      </w:r>
      <w:r>
        <w:rPr/>
        <w:t> </w:t>
      </w:r>
      <w:r>
        <w:rPr>
          <w:spacing w:val="-3"/>
        </w:rPr>
        <w:t>时，</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24"/>
        </w:rPr>
        <w:t> </w:t>
      </w:r>
      <w:r>
        <w:rPr>
          <w:spacing w:val="-3"/>
        </w:rPr>
        <w:t>年作为奥运年，也将带来影音、数码产品更新换代等销售商机；此外，消</w:t>
      </w:r>
      <w:r>
        <w:rPr>
          <w:spacing w:val="-115"/>
        </w:rPr>
        <w:t> </w:t>
      </w:r>
      <w:r>
        <w:rPr>
          <w:spacing w:val="-115"/>
        </w:rPr>
      </w:r>
      <w:r>
        <w:rPr/>
        <w:t>费类电子产品中，</w:t>
      </w:r>
      <w:r>
        <w:rPr>
          <w:rFonts w:ascii="Times New Roman" w:hAnsi="Times New Roman" w:cs="Times New Roman" w:eastAsia="Times New Roman" w:hint="default"/>
        </w:rPr>
        <w:t>3C</w:t>
      </w:r>
      <w:r>
        <w:rPr>
          <w:rFonts w:ascii="Times New Roman" w:hAnsi="Times New Roman" w:cs="Times New Roman" w:eastAsia="Times New Roman" w:hint="default"/>
          <w:spacing w:val="29"/>
        </w:rPr>
        <w:t> </w:t>
      </w:r>
      <w:r>
        <w:rPr/>
        <w:t>产品正逐渐从传统渠道销售为主转向专业家电连锁为销售主</w:t>
      </w:r>
      <w:r>
        <w:rPr>
          <w:spacing w:val="-113"/>
        </w:rPr>
        <w:t> </w:t>
      </w:r>
      <w:r>
        <w:rPr>
          <w:spacing w:val="-113"/>
        </w:rPr>
      </w:r>
      <w:r>
        <w:rPr/>
        <w:t>渠道；家电专业连锁行业仍将保持较高速度的增长；</w:t>
      </w:r>
    </w:p>
    <w:p>
      <w:pPr>
        <w:pStyle w:val="BodyText"/>
        <w:spacing w:line="338" w:lineRule="auto" w:before="55"/>
        <w:ind w:right="117" w:firstLine="480"/>
        <w:jc w:val="both"/>
      </w:pPr>
      <w:r>
        <w:rPr>
          <w:rFonts w:ascii="Wingdings" w:hAnsi="Wingdings" w:cs="Wingdings" w:eastAsia="Wingdings" w:hint="default"/>
        </w:rPr>
        <w:t></w:t>
      </w:r>
      <w:r>
        <w:rPr>
          <w:rFonts w:ascii="Wingdings" w:hAnsi="Wingdings" w:cs="Wingdings" w:eastAsia="Wingdings" w:hint="default"/>
          <w:spacing w:val="-62"/>
        </w:rPr>
        <w:t></w:t>
      </w:r>
      <w:r>
        <w:rPr>
          <w:rFonts w:ascii="Times New Roman" w:hAnsi="Times New Roman" w:cs="Times New Roman" w:eastAsia="Times New Roman" w:hint="default"/>
          <w:spacing w:val="-62"/>
        </w:rPr>
      </w:r>
      <w:r>
        <w:rPr/>
        <w:t>产品采购方面，继续深化采购合作模式，借助</w:t>
      </w:r>
      <w:r>
        <w:rPr>
          <w:spacing w:val="-61"/>
        </w:rPr>
        <w:t> </w:t>
      </w:r>
      <w:r>
        <w:rPr>
          <w:rFonts w:ascii="Times New Roman" w:hAnsi="Times New Roman" w:cs="Times New Roman" w:eastAsia="Times New Roman" w:hint="default"/>
        </w:rPr>
        <w:t>B2B</w:t>
      </w:r>
      <w:r>
        <w:rPr>
          <w:rFonts w:ascii="Times New Roman" w:hAnsi="Times New Roman" w:cs="Times New Roman" w:eastAsia="Times New Roman" w:hint="default"/>
          <w:spacing w:val="-2"/>
        </w:rPr>
        <w:t> </w:t>
      </w:r>
      <w:r>
        <w:rPr/>
        <w:t>系统和</w:t>
      </w:r>
      <w:r>
        <w:rPr>
          <w:spacing w:val="-61"/>
        </w:rPr>
        <w:t> </w:t>
      </w:r>
      <w:r>
        <w:rPr>
          <w:rFonts w:ascii="Times New Roman" w:hAnsi="Times New Roman" w:cs="Times New Roman" w:eastAsia="Times New Roman" w:hint="default"/>
        </w:rPr>
        <w:t>SAP </w:t>
      </w:r>
      <w:r>
        <w:rPr/>
        <w:t>系统优势， 结合商品特点，加强商品品类分析和商品规划研究，尝试新品类引进；</w:t>
      </w:r>
    </w:p>
    <w:p>
      <w:pPr>
        <w:pStyle w:val="BodyText"/>
        <w:spacing w:line="348" w:lineRule="auto" w:before="55"/>
        <w:ind w:right="158" w:firstLine="480"/>
        <w:jc w:val="both"/>
      </w:pPr>
      <w:r>
        <w:rPr/>
        <w:t>加大与各品类占比较大品牌的战略合作，通过大单采购、包销、定制等手段， 获得优势品牌的</w:t>
      </w:r>
      <w:r>
        <w:rPr>
          <w:spacing w:val="-76"/>
        </w:rPr>
        <w:t> </w:t>
      </w:r>
      <w:r>
        <w:rPr>
          <w:rFonts w:ascii="Times New Roman" w:hAnsi="Times New Roman" w:cs="Times New Roman" w:eastAsia="Times New Roman" w:hint="default"/>
        </w:rPr>
        <w:t>ODM</w:t>
      </w:r>
      <w:r>
        <w:rPr/>
        <w:t>、</w:t>
      </w:r>
      <w:r>
        <w:rPr>
          <w:rFonts w:ascii="Times New Roman" w:hAnsi="Times New Roman" w:cs="Times New Roman" w:eastAsia="Times New Roman" w:hint="default"/>
        </w:rPr>
        <w:t>OEM</w:t>
      </w:r>
      <w:r>
        <w:rPr>
          <w:rFonts w:ascii="Times New Roman" w:hAnsi="Times New Roman" w:cs="Times New Roman" w:eastAsia="Times New Roman" w:hint="default"/>
          <w:spacing w:val="-16"/>
        </w:rPr>
        <w:t> </w:t>
      </w:r>
      <w:r>
        <w:rPr/>
        <w:t>资源支持，力争在两年内实现定制、买断、包销产品 占比达到</w:t>
      </w:r>
      <w:r>
        <w:rPr>
          <w:spacing w:val="-60"/>
        </w:rPr>
        <w:t> </w:t>
      </w:r>
      <w:r>
        <w:rPr>
          <w:rFonts w:ascii="Times New Roman" w:hAnsi="Times New Roman" w:cs="Times New Roman" w:eastAsia="Times New Roman" w:hint="default"/>
        </w:rPr>
        <w:t>20%</w:t>
      </w:r>
      <w:r>
        <w:rPr/>
        <w:t>，保持公司综合毛利率稳中有升；</w:t>
      </w:r>
    </w:p>
    <w:p>
      <w:pPr>
        <w:pStyle w:val="BodyText"/>
        <w:spacing w:line="348" w:lineRule="auto" w:before="16"/>
        <w:ind w:right="17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店面销售方面，进一步加强终端自营能力的建设，强化店面人员主动销售</w:t>
      </w:r>
      <w:r>
        <w:rPr>
          <w:spacing w:val="3"/>
        </w:rPr>
        <w:t> </w:t>
      </w:r>
      <w:r>
        <w:rPr>
          <w:spacing w:val="-1"/>
        </w:rPr>
        <w:t>意识培训，加强对产品知识的培训，不断提高销售技能，提升销售质量；同时，坚</w:t>
      </w:r>
      <w:r>
        <w:rPr>
          <w:spacing w:val="-108"/>
        </w:rPr>
        <w:t> </w:t>
      </w:r>
      <w:r>
        <w:rPr>
          <w:spacing w:val="-108"/>
        </w:rPr>
      </w:r>
      <w:r>
        <w:rPr/>
        <w:t>持以顾客为中心的经营理念，持续完善</w:t>
      </w:r>
      <w:r>
        <w:rPr>
          <w:spacing w:val="-60"/>
        </w:rPr>
        <w:t> </w:t>
      </w:r>
      <w:r>
        <w:rPr>
          <w:rFonts w:ascii="Times New Roman" w:hAnsi="Times New Roman" w:cs="Times New Roman" w:eastAsia="Times New Roman" w:hint="default"/>
        </w:rPr>
        <w:t>5S</w:t>
      </w:r>
      <w:r>
        <w:rPr>
          <w:rFonts w:ascii="Times New Roman" w:hAnsi="Times New Roman" w:cs="Times New Roman" w:eastAsia="Times New Roman" w:hint="default"/>
          <w:spacing w:val="-1"/>
        </w:rPr>
        <w:t> </w:t>
      </w:r>
      <w:r>
        <w:rPr/>
        <w:t>满意服务模式，提高服务满意度；</w:t>
      </w:r>
    </w:p>
    <w:p>
      <w:pPr>
        <w:pStyle w:val="BodyText"/>
        <w:spacing w:line="338" w:lineRule="auto" w:before="16"/>
        <w:ind w:left="144" w:right="158" w:firstLine="480"/>
        <w:jc w:val="both"/>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多渠道销售方面，通过</w:t>
      </w:r>
      <w:r>
        <w:rPr>
          <w:spacing w:val="-52"/>
        </w:rPr>
        <w:t> </w:t>
      </w:r>
      <w:r>
        <w:rPr>
          <w:rFonts w:ascii="Times New Roman" w:hAnsi="Times New Roman" w:cs="Times New Roman" w:eastAsia="Times New Roman" w:hint="default"/>
        </w:rPr>
        <w:t>B2C</w:t>
      </w:r>
      <w:r>
        <w:rPr>
          <w:rFonts w:ascii="Times New Roman" w:hAnsi="Times New Roman" w:cs="Times New Roman" w:eastAsia="Times New Roman" w:hint="default"/>
          <w:spacing w:val="6"/>
        </w:rPr>
        <w:t> </w:t>
      </w:r>
      <w:r>
        <w:rPr/>
        <w:t>网站升级、大客户开发和异业合作等措施，进 一步拓展团购、网上购物等销售渠道，利用全国连锁优势，提升多渠道销售规模。</w:t>
      </w:r>
    </w:p>
    <w:p>
      <w:pPr>
        <w:pStyle w:val="BodyText"/>
        <w:spacing w:line="240" w:lineRule="auto" w:before="55"/>
        <w:ind w:left="624" w:right="179"/>
        <w:jc w:val="left"/>
      </w:pPr>
      <w:r>
        <w:rPr>
          <w:rFonts w:ascii="Times New Roman" w:hAnsi="Times New Roman" w:cs="Times New Roman" w:eastAsia="Times New Roman" w:hint="default"/>
        </w:rPr>
        <w:t>3</w:t>
      </w:r>
      <w:r>
        <w:rPr/>
        <w:t>、品牌建设：</w:t>
      </w:r>
    </w:p>
    <w:p>
      <w:pPr>
        <w:pStyle w:val="BodyText"/>
        <w:spacing w:line="338" w:lineRule="auto" w:before="135"/>
        <w:ind w:left="144" w:right="177" w:firstLine="480"/>
        <w:jc w:val="both"/>
      </w:pPr>
      <w:r>
        <w:rPr>
          <w:rFonts w:ascii="Wingdings" w:hAnsi="Wingdings" w:cs="Wingdings" w:eastAsia="Wingdings" w:hint="default"/>
        </w:rPr>
        <w:t></w:t>
      </w:r>
      <w:r>
        <w:rPr>
          <w:rFonts w:ascii="Wingdings" w:hAnsi="Wingdings" w:cs="Wingdings" w:eastAsia="Wingdings" w:hint="default"/>
          <w:spacing w:val="-32"/>
        </w:rPr>
        <w:t></w:t>
      </w:r>
      <w:r>
        <w:rPr>
          <w:rFonts w:ascii="Times New Roman" w:hAnsi="Times New Roman" w:cs="Times New Roman" w:eastAsia="Times New Roman" w:hint="default"/>
          <w:spacing w:val="-32"/>
        </w:rPr>
      </w:r>
      <w:r>
        <w:rPr>
          <w:spacing w:val="2"/>
        </w:rPr>
        <w:t>进一步完善品牌建设，建立品牌管理机制，实现品牌形象的提升，通过品</w:t>
      </w:r>
      <w:r>
        <w:rPr>
          <w:spacing w:val="3"/>
        </w:rPr>
        <w:t> </w:t>
      </w:r>
      <w:r>
        <w:rPr/>
        <w:t>牌塑造带来顾客吸引和品牌溢价能力的提升。</w:t>
      </w:r>
      <w:r>
        <w:rPr>
          <w:rFonts w:ascii="Times New Roman" w:hAnsi="Times New Roman" w:cs="Times New Roman" w:eastAsia="Times New Roman" w:hint="default"/>
        </w:rPr>
        <w:t>2008</w:t>
      </w:r>
      <w:r>
        <w:rPr>
          <w:rFonts w:ascii="Times New Roman" w:hAnsi="Times New Roman" w:cs="Times New Roman" w:eastAsia="Times New Roman" w:hint="default"/>
          <w:spacing w:val="-23"/>
        </w:rPr>
        <w:t> </w:t>
      </w:r>
      <w:r>
        <w:rPr>
          <w:spacing w:val="-4"/>
        </w:rPr>
        <w:t>年，公司要朝着打造一个“令人</w:t>
      </w:r>
      <w:r>
        <w:rPr/>
        <w:t> 尊敬的品牌”的目标努力。</w:t>
      </w:r>
    </w:p>
    <w:p>
      <w:pPr>
        <w:pStyle w:val="BodyText"/>
        <w:spacing w:line="240" w:lineRule="auto" w:before="55"/>
        <w:ind w:left="624" w:right="179"/>
        <w:jc w:val="left"/>
      </w:pPr>
      <w:r>
        <w:rPr>
          <w:rFonts w:ascii="Times New Roman" w:hAnsi="Times New Roman" w:cs="Times New Roman" w:eastAsia="Times New Roman" w:hint="default"/>
        </w:rPr>
        <w:t>4</w:t>
      </w:r>
      <w:r>
        <w:rPr/>
        <w:t>、服务体系：</w:t>
      </w:r>
    </w:p>
    <w:p>
      <w:pPr>
        <w:pStyle w:val="BodyText"/>
        <w:spacing w:line="338" w:lineRule="auto" w:before="135"/>
        <w:ind w:left="144" w:right="177" w:firstLine="480"/>
        <w:jc w:val="both"/>
      </w:pPr>
      <w:r>
        <w:rPr>
          <w:rFonts w:ascii="Wingdings" w:hAnsi="Wingdings" w:cs="Wingdings" w:eastAsia="Wingdings" w:hint="default"/>
        </w:rPr>
        <w:t></w:t>
      </w:r>
      <w:r>
        <w:rPr>
          <w:rFonts w:ascii="Wingdings" w:hAnsi="Wingdings" w:cs="Wingdings" w:eastAsia="Wingdings" w:hint="default"/>
          <w:spacing w:val="-32"/>
        </w:rPr>
        <w:t></w:t>
      </w:r>
      <w:r>
        <w:rPr>
          <w:rFonts w:ascii="Times New Roman" w:hAnsi="Times New Roman" w:cs="Times New Roman" w:eastAsia="Times New Roman" w:hint="default"/>
          <w:spacing w:val="-32"/>
        </w:rPr>
      </w:r>
      <w:r>
        <w:rPr>
          <w:spacing w:val="2"/>
        </w:rPr>
        <w:t>物流方面，按规划继续推进物流配送中心建设工作；引入专业物流软件，</w:t>
      </w:r>
      <w:r>
        <w:rPr>
          <w:spacing w:val="3"/>
        </w:rPr>
        <w:t> </w:t>
      </w:r>
      <w:r>
        <w:rPr/>
        <w:t>强化日常运作管理，提高基础作业执行力度，推进配送准时制服务；</w:t>
      </w:r>
    </w:p>
    <w:p>
      <w:pPr>
        <w:pStyle w:val="BodyText"/>
        <w:spacing w:line="348" w:lineRule="auto" w:before="55"/>
        <w:ind w:left="144" w:right="177" w:firstLine="480"/>
        <w:jc w:val="both"/>
      </w:pPr>
      <w:r>
        <w:rPr>
          <w:rFonts w:ascii="Wingdings" w:hAnsi="Wingdings" w:cs="Wingdings" w:eastAsia="Wingdings" w:hint="default"/>
        </w:rPr>
        <w:t></w:t>
      </w:r>
      <w:r>
        <w:rPr>
          <w:rFonts w:ascii="Wingdings" w:hAnsi="Wingdings" w:cs="Wingdings" w:eastAsia="Wingdings" w:hint="default"/>
          <w:spacing w:val="-32"/>
        </w:rPr>
        <w:t></w:t>
      </w:r>
      <w:r>
        <w:rPr>
          <w:rFonts w:ascii="Times New Roman" w:hAnsi="Times New Roman" w:cs="Times New Roman" w:eastAsia="Times New Roman" w:hint="default"/>
          <w:spacing w:val="-32"/>
        </w:rPr>
      </w:r>
      <w:r>
        <w:rPr>
          <w:spacing w:val="2"/>
        </w:rPr>
        <w:t>售后服务方面，进一步提升综合产品安装、维修服务能力，系统化推进蓝</w:t>
      </w:r>
      <w:r>
        <w:rPr>
          <w:spacing w:val="3"/>
        </w:rPr>
        <w:t> </w:t>
      </w:r>
      <w:r>
        <w:rPr>
          <w:spacing w:val="-1"/>
        </w:rPr>
        <w:t>领与梯队工程，提高管理队伍人员素质和技术人员作业技能；继续推进产品延保服</w:t>
      </w:r>
      <w:r>
        <w:rPr>
          <w:spacing w:val="-106"/>
        </w:rPr>
        <w:t> </w:t>
      </w:r>
      <w:r>
        <w:rPr>
          <w:spacing w:val="-106"/>
        </w:rPr>
      </w:r>
      <w:r>
        <w:rPr/>
        <w:t>务，加强售后服务保障。</w:t>
      </w:r>
    </w:p>
    <w:p>
      <w:pPr>
        <w:pStyle w:val="BodyText"/>
        <w:spacing w:line="338" w:lineRule="auto" w:before="46"/>
        <w:ind w:left="144" w:right="177" w:firstLine="480"/>
        <w:jc w:val="both"/>
      </w:pPr>
      <w:r>
        <w:rPr>
          <w:rFonts w:ascii="Wingdings" w:hAnsi="Wingdings" w:cs="Wingdings" w:eastAsia="Wingdings" w:hint="default"/>
        </w:rPr>
        <w:t></w:t>
      </w:r>
      <w:r>
        <w:rPr>
          <w:rFonts w:ascii="Wingdings" w:hAnsi="Wingdings" w:cs="Wingdings" w:eastAsia="Wingdings" w:hint="default"/>
          <w:spacing w:val="-32"/>
        </w:rPr>
        <w:t></w:t>
      </w:r>
      <w:r>
        <w:rPr>
          <w:rFonts w:ascii="Times New Roman" w:hAnsi="Times New Roman" w:cs="Times New Roman" w:eastAsia="Times New Roman" w:hint="default"/>
          <w:spacing w:val="-32"/>
        </w:rPr>
      </w:r>
      <w:r>
        <w:rPr>
          <w:spacing w:val="2"/>
        </w:rPr>
        <w:t>客户服务方面，立足于集中式统一受理平台的强大功能，开发增值服务功</w:t>
      </w:r>
      <w:r>
        <w:rPr>
          <w:spacing w:val="3"/>
        </w:rPr>
        <w:t> </w:t>
      </w:r>
      <w:r>
        <w:rPr>
          <w:spacing w:val="-1"/>
        </w:rPr>
        <w:t>能，优化现有流程模块，继续以服务营销、提高客户满意度为主线，加强服务意识</w:t>
      </w:r>
    </w:p>
    <w:p>
      <w:pPr>
        <w:spacing w:after="0" w:line="338" w:lineRule="auto"/>
        <w:jc w:val="both"/>
        <w:sectPr>
          <w:footerReference w:type="default" r:id="rId20"/>
          <w:pgSz w:w="11910" w:h="16840"/>
          <w:pgMar w:footer="982" w:header="879" w:top="1100" w:bottom="1180" w:left="1500" w:right="1460"/>
          <w:pgNumType w:start="46"/>
        </w:sectPr>
      </w:pPr>
    </w:p>
    <w:p>
      <w:pPr>
        <w:spacing w:line="240" w:lineRule="auto" w:before="10"/>
        <w:rPr>
          <w:rFonts w:ascii="宋体" w:hAnsi="宋体" w:cs="宋体" w:eastAsia="宋体" w:hint="default"/>
          <w:sz w:val="10"/>
          <w:szCs w:val="10"/>
        </w:rPr>
      </w:pPr>
    </w:p>
    <w:p>
      <w:pPr>
        <w:pStyle w:val="BodyText"/>
        <w:spacing w:line="240" w:lineRule="auto" w:before="26"/>
        <w:ind w:left="144" w:right="87"/>
        <w:jc w:val="left"/>
      </w:pPr>
      <w:r>
        <w:rPr/>
        <w:t>培训，重点强化投诉处理、服务改善，提升服务质量。</w:t>
      </w:r>
    </w:p>
    <w:p>
      <w:pPr>
        <w:pStyle w:val="BodyText"/>
        <w:spacing w:line="240" w:lineRule="auto" w:before="154"/>
        <w:ind w:left="623" w:right="87"/>
        <w:jc w:val="left"/>
      </w:pPr>
      <w:r>
        <w:rPr>
          <w:rFonts w:ascii="Times New Roman" w:hAnsi="Times New Roman" w:cs="Times New Roman" w:eastAsia="Times New Roman" w:hint="default"/>
        </w:rPr>
        <w:t>5</w:t>
      </w:r>
      <w:r>
        <w:rPr/>
        <w:t>、信息管理体系</w:t>
      </w:r>
    </w:p>
    <w:p>
      <w:pPr>
        <w:pStyle w:val="BodyText"/>
        <w:spacing w:line="350" w:lineRule="auto" w:before="135"/>
        <w:ind w:right="95" w:firstLine="480"/>
        <w:jc w:val="left"/>
      </w:pPr>
      <w:r>
        <w:rPr>
          <w:rFonts w:ascii="Wingdings" w:hAnsi="Wingdings" w:cs="Wingdings" w:eastAsia="Wingdings" w:hint="default"/>
        </w:rPr>
        <w:t></w:t>
      </w:r>
      <w:r>
        <w:rPr>
          <w:rFonts w:ascii="Wingdings" w:hAnsi="Wingdings" w:cs="Wingdings" w:eastAsia="Wingdings" w:hint="default"/>
          <w:spacing w:val="-53"/>
        </w:rPr>
        <w:t></w:t>
      </w:r>
      <w:r>
        <w:rPr>
          <w:rFonts w:ascii="Times New Roman" w:hAnsi="Times New Roman" w:cs="Times New Roman" w:eastAsia="Times New Roman" w:hint="default"/>
          <w:spacing w:val="-53"/>
        </w:rPr>
      </w:r>
      <w:r>
        <w:rPr/>
        <w:t>不断挖掘</w:t>
      </w:r>
      <w:r>
        <w:rPr>
          <w:spacing w:val="-58"/>
        </w:rPr>
        <w:t> </w:t>
      </w:r>
      <w:r>
        <w:rPr>
          <w:rFonts w:ascii="Times New Roman" w:hAnsi="Times New Roman" w:cs="Times New Roman" w:eastAsia="Times New Roman" w:hint="default"/>
        </w:rPr>
        <w:t>SAP/ERP</w:t>
      </w:r>
      <w:r>
        <w:rPr>
          <w:rFonts w:ascii="Times New Roman" w:hAnsi="Times New Roman" w:cs="Times New Roman" w:eastAsia="Times New Roman" w:hint="default"/>
          <w:spacing w:val="1"/>
        </w:rPr>
        <w:t> </w:t>
      </w:r>
      <w:r>
        <w:rPr>
          <w:spacing w:val="-6"/>
        </w:rPr>
        <w:t>功能，加强系统集成能力，建立专业化的项目管理团队，</w:t>
      </w:r>
      <w:r>
        <w:rPr/>
        <w:t> 在提升专业化解决方案研究创新能力的基础上，为企业精细化、高效率管理提供先 进手段，完成数据中心建设，建立灾备体系，同时逐步在前台经营和客户体验上发 挥价值，提升运维支持能力，提高运维服务质量。</w:t>
      </w:r>
    </w:p>
    <w:p>
      <w:pPr>
        <w:pStyle w:val="BodyText"/>
        <w:spacing w:line="338" w:lineRule="auto" w:before="43"/>
        <w:ind w:left="623" w:right="2581"/>
        <w:jc w:val="left"/>
      </w:pPr>
      <w:r>
        <w:rPr>
          <w:rFonts w:ascii="Times New Roman" w:hAnsi="Times New Roman" w:cs="Times New Roman" w:eastAsia="Times New Roman" w:hint="default"/>
        </w:rPr>
        <w:t>6</w:t>
      </w:r>
      <w:r>
        <w:rPr/>
        <w:t>、组织体系： 按照资源整合、提高效率的方式，不断优化组织结构：</w:t>
      </w:r>
    </w:p>
    <w:p>
      <w:pPr>
        <w:pStyle w:val="BodyText"/>
        <w:spacing w:line="240" w:lineRule="auto" w:before="55"/>
        <w:ind w:left="623" w:right="87"/>
        <w:jc w:val="left"/>
      </w:pPr>
      <w:r>
        <w:rPr/>
        <w:t>加强区域内各公司协调、资源共享，新组建</w:t>
      </w:r>
      <w:r>
        <w:rPr>
          <w:spacing w:val="-60"/>
        </w:rPr>
        <w:t> </w:t>
      </w:r>
      <w:r>
        <w:rPr>
          <w:rFonts w:ascii="Times New Roman" w:hAnsi="Times New Roman" w:cs="Times New Roman" w:eastAsia="Times New Roman" w:hint="default"/>
        </w:rPr>
        <w:t>3 </w:t>
      </w:r>
      <w:r>
        <w:rPr/>
        <w:t>个地区总部和</w:t>
      </w:r>
      <w:r>
        <w:rPr>
          <w:spacing w:val="-60"/>
        </w:rPr>
        <w:t> </w:t>
      </w:r>
      <w:r>
        <w:rPr>
          <w:rFonts w:ascii="Times New Roman" w:hAnsi="Times New Roman" w:cs="Times New Roman" w:eastAsia="Times New Roman" w:hint="default"/>
        </w:rPr>
        <w:t>1 </w:t>
      </w:r>
      <w:r>
        <w:rPr/>
        <w:t>个直属地区：</w:t>
      </w:r>
    </w:p>
    <w:p>
      <w:pPr>
        <w:pStyle w:val="BodyText"/>
        <w:spacing w:line="338" w:lineRule="auto" w:before="135"/>
        <w:ind w:right="211" w:firstLine="480"/>
        <w:jc w:val="left"/>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设立南京大区为总部直属地区，与地区总部享有同等地位，强化南京的绝</w:t>
      </w:r>
      <w:r>
        <w:rPr>
          <w:spacing w:val="3"/>
        </w:rPr>
        <w:t> </w:t>
      </w:r>
      <w:r>
        <w:rPr/>
        <w:t>对领先优势；</w:t>
      </w:r>
    </w:p>
    <w:p>
      <w:pPr>
        <w:pStyle w:val="BodyText"/>
        <w:spacing w:line="338" w:lineRule="auto" w:before="55"/>
        <w:ind w:right="211" w:firstLine="480"/>
        <w:jc w:val="left"/>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增设华东一区总部，下辖无锡大区、徐州大区、济南大区、青岛大区、合</w:t>
      </w:r>
      <w:r>
        <w:rPr>
          <w:spacing w:val="3"/>
        </w:rPr>
        <w:t> </w:t>
      </w:r>
      <w:r>
        <w:rPr/>
        <w:t>肥大区和芜湖大区六个大区；</w:t>
      </w:r>
    </w:p>
    <w:p>
      <w:pPr>
        <w:pStyle w:val="BodyText"/>
        <w:spacing w:line="240" w:lineRule="auto" w:before="55"/>
        <w:ind w:left="623" w:right="87"/>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增设东北地区总部，下辖沈阳大区、长春大区和哈尔滨大区三个大区；</w:t>
      </w:r>
    </w:p>
    <w:p>
      <w:pPr>
        <w:pStyle w:val="BodyText"/>
        <w:spacing w:line="338" w:lineRule="auto" w:before="137"/>
        <w:ind w:right="211" w:firstLine="480"/>
        <w:jc w:val="left"/>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增设西南地区总部，下辖重庆大区、成都大区、昆明大区和贵阳大区四个</w:t>
      </w:r>
      <w:r>
        <w:rPr>
          <w:spacing w:val="3"/>
        </w:rPr>
        <w:t> </w:t>
      </w:r>
      <w:r>
        <w:rPr/>
        <w:t>大区；</w:t>
      </w:r>
    </w:p>
    <w:p>
      <w:pPr>
        <w:pStyle w:val="BodyText"/>
        <w:spacing w:line="357" w:lineRule="auto" w:before="55"/>
        <w:ind w:right="221" w:firstLine="480"/>
        <w:jc w:val="both"/>
      </w:pPr>
      <w:r>
        <w:rPr>
          <w:spacing w:val="-1"/>
        </w:rPr>
        <w:t>在组织建设中，要进一步强化总部对采购、财务的核心职能、资源调配和制度</w:t>
      </w:r>
      <w:r>
        <w:rPr/>
        <w:t> </w:t>
      </w:r>
      <w:r>
        <w:rPr>
          <w:spacing w:val="-1"/>
        </w:rPr>
        <w:t>标准的集中管理能力，在此基础上发挥各地在销售和服务上的灵活性，满足消费者</w:t>
      </w:r>
      <w:r>
        <w:rPr>
          <w:spacing w:val="-106"/>
        </w:rPr>
        <w:t> </w:t>
      </w:r>
      <w:r>
        <w:rPr>
          <w:spacing w:val="-106"/>
        </w:rPr>
      </w:r>
      <w:r>
        <w:rPr/>
        <w:t>多样化的需求与本地化品牌建设。</w:t>
      </w:r>
    </w:p>
    <w:p>
      <w:pPr>
        <w:pStyle w:val="BodyText"/>
        <w:spacing w:line="240" w:lineRule="auto" w:before="36"/>
        <w:ind w:left="623" w:right="87"/>
        <w:jc w:val="left"/>
      </w:pPr>
      <w:r>
        <w:rPr>
          <w:rFonts w:ascii="Times New Roman" w:hAnsi="Times New Roman" w:cs="Times New Roman" w:eastAsia="Times New Roman" w:hint="default"/>
        </w:rPr>
        <w:t>7</w:t>
      </w:r>
      <w:r>
        <w:rPr/>
        <w:t>、人力资源：</w:t>
      </w:r>
    </w:p>
    <w:p>
      <w:pPr>
        <w:pStyle w:val="BodyText"/>
        <w:spacing w:line="348" w:lineRule="auto" w:before="135"/>
        <w:ind w:right="101" w:firstLine="480"/>
        <w:jc w:val="both"/>
      </w:pPr>
      <w:r>
        <w:rPr>
          <w:rFonts w:ascii="Wingdings" w:hAnsi="Wingdings" w:cs="Wingdings" w:eastAsia="Wingdings" w:hint="default"/>
        </w:rPr>
        <w:t></w:t>
      </w:r>
      <w:r>
        <w:rPr>
          <w:rFonts w:ascii="Wingdings" w:hAnsi="Wingdings" w:cs="Wingdings" w:eastAsia="Wingdings" w:hint="default"/>
          <w:spacing w:val="-84"/>
        </w:rPr>
        <w:t></w:t>
      </w:r>
      <w:r>
        <w:rPr>
          <w:rFonts w:ascii="Times New Roman" w:hAnsi="Times New Roman" w:cs="Times New Roman" w:eastAsia="Times New Roman" w:hint="default"/>
          <w:spacing w:val="-84"/>
        </w:rPr>
      </w:r>
      <w:r>
        <w:rPr/>
        <w:t>继续坚持“提前培养、提前储备、自主培养”的原则，围绕公司三年规划， </w:t>
      </w:r>
      <w:r>
        <w:rPr>
          <w:spacing w:val="-4"/>
        </w:rPr>
        <w:t>建立人才引进、培养计划，有针对性的满足企业各岗位人员引进、培训、培养需要，</w:t>
      </w:r>
      <w:r>
        <w:rPr>
          <w:spacing w:val="-116"/>
        </w:rPr>
        <w:t> </w:t>
      </w:r>
      <w:r>
        <w:rPr>
          <w:spacing w:val="-116"/>
        </w:rPr>
      </w:r>
      <w:r>
        <w:rPr/>
        <w:t>全面提升员工综合能力；</w:t>
      </w:r>
    </w:p>
    <w:p>
      <w:pPr>
        <w:pStyle w:val="BodyText"/>
        <w:spacing w:line="338" w:lineRule="auto" w:before="46"/>
        <w:ind w:right="211" w:firstLine="480"/>
        <w:jc w:val="left"/>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完善培训手段，从员工的基本流程操作能力提升逐步专项员工综合能力提</w:t>
      </w:r>
      <w:r>
        <w:rPr>
          <w:spacing w:val="3"/>
        </w:rPr>
        <w:t> </w:t>
      </w:r>
      <w:r>
        <w:rPr/>
        <w:t>升。</w:t>
      </w:r>
    </w:p>
    <w:p>
      <w:pPr>
        <w:pStyle w:val="BodyText"/>
        <w:spacing w:line="357" w:lineRule="auto" w:before="55"/>
        <w:ind w:left="623" w:right="181"/>
        <w:jc w:val="left"/>
      </w:pPr>
      <w:r>
        <w:rPr/>
        <w:t>（二）未来资金需求及使用计划 结合发展战略目标，公司将制定切实可行的发展规划和实施计划，合理筹集、</w:t>
      </w:r>
    </w:p>
    <w:p>
      <w:pPr>
        <w:pStyle w:val="BodyText"/>
        <w:spacing w:line="357" w:lineRule="auto" w:before="36"/>
        <w:ind w:right="217"/>
        <w:jc w:val="left"/>
      </w:pPr>
      <w:r>
        <w:rPr>
          <w:spacing w:val="-1"/>
        </w:rPr>
        <w:t>安排、使用资金。公司银行信贷信誉良好，偿债能力强，同时具备证券市场再融资</w:t>
      </w:r>
      <w:r>
        <w:rPr>
          <w:spacing w:val="-108"/>
        </w:rPr>
        <w:t> </w:t>
      </w:r>
      <w:r>
        <w:rPr>
          <w:spacing w:val="-108"/>
        </w:rPr>
      </w:r>
      <w:r>
        <w:rPr/>
        <w:t>的条件，因此，公司融资渠道畅通，未来资金来源应有充足保证。</w:t>
      </w:r>
    </w:p>
    <w:p>
      <w:pPr>
        <w:spacing w:after="0" w:line="357" w:lineRule="auto"/>
        <w:jc w:val="left"/>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240" w:lineRule="auto" w:before="26"/>
        <w:ind w:left="1344" w:right="208"/>
        <w:jc w:val="left"/>
      </w:pPr>
      <w:r>
        <w:rPr/>
        <w:t>（三）生产经营环境以及宏观政策、法规发生重大变化对公司的影响</w:t>
      </w:r>
    </w:p>
    <w:p>
      <w:pPr>
        <w:pStyle w:val="BodyText"/>
        <w:spacing w:line="240" w:lineRule="auto" w:before="154"/>
        <w:ind w:left="1343" w:right="208"/>
        <w:jc w:val="left"/>
      </w:pPr>
      <w:r>
        <w:rPr>
          <w:rFonts w:ascii="Times New Roman" w:hAnsi="Times New Roman" w:cs="Times New Roman" w:eastAsia="Times New Roman" w:hint="default"/>
        </w:rPr>
        <w:t>1</w:t>
      </w:r>
      <w:r>
        <w:rPr/>
        <w:t>、新《企业所得税法》对公司经营的影响</w:t>
      </w:r>
    </w:p>
    <w:p>
      <w:pPr>
        <w:pStyle w:val="BodyText"/>
        <w:spacing w:line="338" w:lineRule="auto" w:before="135"/>
        <w:ind w:left="863" w:right="860" w:firstLine="480"/>
        <w:jc w:val="both"/>
      </w:pPr>
      <w:r>
        <w:rPr/>
        <w:t>新《企业所得税法》于</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日开始生效，按照新《企业所得税法》</w:t>
      </w:r>
      <w:r>
        <w:rPr>
          <w:spacing w:val="-1"/>
        </w:rPr>
        <w:t> </w:t>
      </w:r>
      <w:r>
        <w:rPr>
          <w:spacing w:val="-5"/>
        </w:rPr>
        <w:t>的规定，内外资企业“两税合一”，公司所得税率将下调至</w:t>
      </w:r>
      <w:r>
        <w:rPr>
          <w:spacing w:val="9"/>
        </w:rPr>
        <w:t> </w:t>
      </w:r>
      <w:r>
        <w:rPr>
          <w:rFonts w:ascii="Times New Roman" w:hAnsi="Times New Roman" w:cs="Times New Roman" w:eastAsia="Times New Roman" w:hint="default"/>
        </w:rPr>
        <w:t>25%</w:t>
      </w:r>
      <w:r>
        <w:rPr/>
        <w:t>，净利润水平相应 有所提升。</w:t>
      </w:r>
    </w:p>
    <w:p>
      <w:pPr>
        <w:pStyle w:val="BodyText"/>
        <w:spacing w:line="338" w:lineRule="auto" w:before="55"/>
        <w:ind w:left="1343" w:right="858"/>
        <w:jc w:val="left"/>
      </w:pPr>
      <w:r>
        <w:rPr>
          <w:rFonts w:ascii="Times New Roman" w:hAnsi="Times New Roman" w:cs="Times New Roman" w:eastAsia="Times New Roman" w:hint="default"/>
        </w:rPr>
        <w:t>2</w:t>
      </w:r>
      <w:r>
        <w:rPr/>
        <w:t>、新《全国年节及纪念日放假办法》对公司经营的影响 新《全国年节及纪念日放假办法》于</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日开始实施，按照新《办</w:t>
      </w:r>
    </w:p>
    <w:p>
      <w:pPr>
        <w:pStyle w:val="BodyText"/>
        <w:spacing w:line="348" w:lineRule="auto" w:before="27"/>
        <w:ind w:left="863" w:right="838"/>
        <w:jc w:val="both"/>
      </w:pPr>
      <w:r>
        <w:rPr/>
        <w:t>法》的规定，自 </w:t>
      </w:r>
      <w:r>
        <w:rPr>
          <w:rFonts w:ascii="Times New Roman" w:hAnsi="Times New Roman" w:cs="Times New Roman" w:eastAsia="Times New Roman" w:hint="default"/>
        </w:rPr>
        <w:t>2008</w:t>
      </w:r>
      <w:r>
        <w:rPr>
          <w:rFonts w:ascii="Times New Roman" w:hAnsi="Times New Roman" w:cs="Times New Roman" w:eastAsia="Times New Roman" w:hint="default"/>
          <w:spacing w:val="38"/>
        </w:rPr>
        <w:t> </w:t>
      </w:r>
      <w:r>
        <w:rPr/>
        <w:t>年开始全国年节及纪念日放假更加分散，节假日集中消费对 公司资源瓶颈、服务压力短期集中的状况将有所缓解，年度内公司销售更加平稳， 但对年度整体销售影响不大。</w:t>
      </w:r>
    </w:p>
    <w:p>
      <w:pPr>
        <w:pStyle w:val="BodyText"/>
        <w:spacing w:line="338" w:lineRule="auto" w:before="46"/>
        <w:ind w:left="1343" w:right="855"/>
        <w:jc w:val="left"/>
      </w:pPr>
      <w:r>
        <w:rPr>
          <w:rFonts w:ascii="Times New Roman" w:hAnsi="Times New Roman" w:cs="Times New Roman" w:eastAsia="Times New Roman" w:hint="default"/>
        </w:rPr>
        <w:t>3</w:t>
      </w:r>
      <w:r>
        <w:rPr/>
        <w:t>、国家内需拉动政策对公司经营的影响 </w:t>
      </w:r>
      <w:r>
        <w:rPr>
          <w:spacing w:val="-1"/>
        </w:rPr>
        <w:t>国家为拉动内需出台的一系列政策，将进一步拉动国内家电市场需求，扩大市</w:t>
      </w:r>
    </w:p>
    <w:p>
      <w:pPr>
        <w:pStyle w:val="BodyText"/>
        <w:spacing w:line="357" w:lineRule="auto" w:before="55"/>
        <w:ind w:left="863" w:right="861"/>
        <w:jc w:val="both"/>
      </w:pPr>
      <w:r>
        <w:rPr>
          <w:spacing w:val="-1"/>
        </w:rPr>
        <w:t>场容量，为公司总体市场增长带来更大空间；为激活农村市场消费而启动的“家电</w:t>
      </w:r>
      <w:r>
        <w:rPr>
          <w:spacing w:val="-108"/>
        </w:rPr>
        <w:t> </w:t>
      </w:r>
      <w:r>
        <w:rPr>
          <w:spacing w:val="-108"/>
        </w:rPr>
      </w:r>
      <w:r>
        <w:rPr/>
        <w:t>下乡”业务，在一定程度上促进了公司在三四级市场销售规模的增加。</w:t>
      </w:r>
    </w:p>
    <w:p>
      <w:pPr>
        <w:spacing w:line="240" w:lineRule="auto" w:before="0"/>
        <w:rPr>
          <w:rFonts w:ascii="宋体" w:hAnsi="宋体" w:cs="宋体" w:eastAsia="宋体" w:hint="default"/>
          <w:sz w:val="24"/>
          <w:szCs w:val="24"/>
        </w:rPr>
      </w:pPr>
    </w:p>
    <w:p>
      <w:pPr>
        <w:pStyle w:val="BodyText"/>
        <w:spacing w:line="240" w:lineRule="auto" w:before="190"/>
        <w:ind w:left="1343" w:right="208"/>
        <w:jc w:val="left"/>
      </w:pPr>
      <w:r>
        <w:rPr/>
        <w:t>五、报告期公司投资情况：</w:t>
      </w:r>
    </w:p>
    <w:p>
      <w:pPr>
        <w:pStyle w:val="BodyText"/>
        <w:spacing w:line="240" w:lineRule="auto" w:before="154"/>
        <w:ind w:left="1343" w:right="208"/>
        <w:jc w:val="left"/>
      </w:pPr>
      <w:r>
        <w:rPr>
          <w:rFonts w:ascii="Times New Roman" w:hAnsi="Times New Roman" w:cs="Times New Roman" w:eastAsia="Times New Roman" w:hint="default"/>
        </w:rPr>
        <w:t>1</w:t>
      </w:r>
      <w:r>
        <w:rPr/>
        <w:t>、公司募集资金使用情况：</w:t>
      </w:r>
    </w:p>
    <w:p>
      <w:pPr>
        <w:pStyle w:val="BodyText"/>
        <w:tabs>
          <w:tab w:pos="7343" w:val="left" w:leader="none"/>
        </w:tabs>
        <w:spacing w:line="240" w:lineRule="auto" w:before="135"/>
        <w:ind w:left="1343" w:right="208"/>
        <w:jc w:val="left"/>
      </w:pPr>
      <w:r>
        <w:rPr/>
        <w:t>（</w:t>
      </w:r>
      <w:r>
        <w:rPr>
          <w:rFonts w:ascii="Times New Roman" w:hAnsi="Times New Roman" w:cs="Times New Roman" w:eastAsia="Times New Roman" w:hint="default"/>
        </w:rPr>
        <w:t>1</w:t>
      </w:r>
      <w:r>
        <w:rPr/>
        <w:t>）募集资金承诺项目使用情况</w:t>
        <w:tab/>
        <w:t>（单位：千元）</w:t>
      </w:r>
    </w:p>
    <w:p>
      <w:pPr>
        <w:pStyle w:val="BodyText"/>
        <w:tabs>
          <w:tab w:pos="1763" w:val="left" w:leader="none"/>
        </w:tabs>
        <w:spacing w:line="240" w:lineRule="auto" w:before="135"/>
        <w:ind w:left="1343" w:right="208"/>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首次公开发行募集资金项目的资金使用情况：</w:t>
      </w:r>
    </w:p>
    <w:p>
      <w:pPr>
        <w:spacing w:line="240" w:lineRule="auto" w:before="5"/>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255"/>
        <w:gridCol w:w="627"/>
        <w:gridCol w:w="1018"/>
        <w:gridCol w:w="863"/>
        <w:gridCol w:w="967"/>
        <w:gridCol w:w="902"/>
        <w:gridCol w:w="1217"/>
        <w:gridCol w:w="1050"/>
        <w:gridCol w:w="764"/>
        <w:gridCol w:w="722"/>
        <w:gridCol w:w="721"/>
      </w:tblGrid>
      <w:tr>
        <w:trPr>
          <w:trHeight w:val="468" w:hRule="exact"/>
        </w:trPr>
        <w:tc>
          <w:tcPr>
            <w:tcW w:w="1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394,602.1</w:t>
            </w:r>
          </w:p>
        </w:tc>
        <w:tc>
          <w:tcPr>
            <w:tcW w:w="39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78" w:right="0"/>
              <w:jc w:val="left"/>
              <w:rPr>
                <w:rFonts w:ascii="宋体" w:hAnsi="宋体" w:cs="宋体" w:eastAsia="宋体" w:hint="default"/>
                <w:sz w:val="18"/>
                <w:szCs w:val="18"/>
              </w:rPr>
            </w:pPr>
            <w:r>
              <w:rPr>
                <w:rFonts w:ascii="宋体" w:hAnsi="宋体" w:cs="宋体" w:eastAsia="宋体" w:hint="default"/>
                <w:sz w:val="18"/>
                <w:szCs w:val="18"/>
              </w:rPr>
              <w:t>本年度已使用募集资金总额</w:t>
            </w:r>
          </w:p>
        </w:tc>
        <w:tc>
          <w:tcPr>
            <w:tcW w:w="1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45" w:right="0"/>
              <w:jc w:val="left"/>
              <w:rPr>
                <w:rFonts w:ascii="Times New Roman" w:hAnsi="Times New Roman" w:cs="Times New Roman" w:eastAsia="Times New Roman" w:hint="default"/>
                <w:sz w:val="18"/>
                <w:szCs w:val="18"/>
              </w:rPr>
            </w:pPr>
            <w:r>
              <w:rPr>
                <w:rFonts w:ascii="Times New Roman"/>
                <w:sz w:val="18"/>
              </w:rPr>
              <w:t>1,766.9</w:t>
            </w:r>
          </w:p>
        </w:tc>
      </w:tr>
      <w:tr>
        <w:trPr>
          <w:trHeight w:val="478" w:hRule="exact"/>
        </w:trPr>
        <w:tc>
          <w:tcPr>
            <w:tcW w:w="1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变更用途的募集资金</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2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
              <w:jc w:val="center"/>
              <w:rPr>
                <w:rFonts w:ascii="Times New Roman" w:hAnsi="Times New Roman" w:cs="Times New Roman" w:eastAsia="Times New Roman" w:hint="default"/>
                <w:sz w:val="18"/>
                <w:szCs w:val="18"/>
              </w:rPr>
            </w:pPr>
            <w:r>
              <w:rPr>
                <w:rFonts w:ascii="Times New Roman"/>
                <w:sz w:val="18"/>
              </w:rPr>
              <w:t>99,632.0</w:t>
            </w:r>
          </w:p>
        </w:tc>
        <w:tc>
          <w:tcPr>
            <w:tcW w:w="3932" w:type="dxa"/>
            <w:gridSpan w:val="4"/>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68" w:right="0"/>
              <w:jc w:val="left"/>
              <w:rPr>
                <w:rFonts w:ascii="宋体" w:hAnsi="宋体" w:cs="宋体" w:eastAsia="宋体" w:hint="default"/>
                <w:sz w:val="18"/>
                <w:szCs w:val="18"/>
              </w:rPr>
            </w:pPr>
            <w:r>
              <w:rPr>
                <w:rFonts w:ascii="宋体" w:hAnsi="宋体" w:cs="宋体" w:eastAsia="宋体" w:hint="default"/>
                <w:sz w:val="18"/>
                <w:szCs w:val="18"/>
              </w:rPr>
              <w:t>已累计使用募集资金总额</w:t>
            </w:r>
          </w:p>
        </w:tc>
        <w:tc>
          <w:tcPr>
            <w:tcW w:w="1443"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55" w:right="0"/>
              <w:jc w:val="left"/>
              <w:rPr>
                <w:rFonts w:ascii="Times New Roman" w:hAnsi="Times New Roman" w:cs="Times New Roman" w:eastAsia="Times New Roman" w:hint="default"/>
                <w:sz w:val="18"/>
                <w:szCs w:val="18"/>
              </w:rPr>
            </w:pPr>
            <w:r>
              <w:rPr>
                <w:rFonts w:ascii="Times New Roman"/>
                <w:sz w:val="18"/>
              </w:rPr>
              <w:t>294,894.4</w:t>
            </w:r>
          </w:p>
        </w:tc>
      </w:tr>
      <w:tr>
        <w:trPr>
          <w:trHeight w:val="479" w:hRule="exact"/>
        </w:trPr>
        <w:tc>
          <w:tcPr>
            <w:tcW w:w="1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变更用途的募集资金</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总额比例</w:t>
            </w:r>
          </w:p>
        </w:tc>
        <w:tc>
          <w:tcPr>
            <w:tcW w:w="2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25%</w:t>
            </w:r>
          </w:p>
        </w:tc>
        <w:tc>
          <w:tcPr>
            <w:tcW w:w="3932" w:type="dxa"/>
            <w:gridSpan w:val="4"/>
            <w:vMerge/>
            <w:tcBorders>
              <w:left w:val="single" w:sz="4" w:space="0" w:color="000000"/>
              <w:bottom w:val="single" w:sz="4" w:space="0" w:color="000000"/>
              <w:right w:val="single" w:sz="4" w:space="0" w:color="000000"/>
            </w:tcBorders>
          </w:tcPr>
          <w:p>
            <w:pPr/>
          </w:p>
        </w:tc>
        <w:tc>
          <w:tcPr>
            <w:tcW w:w="1443" w:type="dxa"/>
            <w:gridSpan w:val="2"/>
            <w:vMerge/>
            <w:tcBorders>
              <w:left w:val="single" w:sz="4" w:space="0" w:color="000000"/>
              <w:bottom w:val="single" w:sz="4" w:space="0" w:color="000000"/>
              <w:right w:val="single" w:sz="4" w:space="0" w:color="000000"/>
            </w:tcBorders>
          </w:tcPr>
          <w:p>
            <w:pPr/>
          </w:p>
        </w:tc>
      </w:tr>
      <w:tr>
        <w:trPr>
          <w:trHeight w:val="1180"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43" w:right="439"/>
              <w:jc w:val="center"/>
              <w:rPr>
                <w:rFonts w:ascii="宋体" w:hAnsi="宋体" w:cs="宋体" w:eastAsia="宋体" w:hint="default"/>
                <w:sz w:val="18"/>
                <w:szCs w:val="18"/>
              </w:rPr>
            </w:pPr>
            <w:r>
              <w:rPr>
                <w:rFonts w:ascii="宋体" w:hAnsi="宋体" w:cs="宋体" w:eastAsia="宋体" w:hint="default"/>
                <w:sz w:val="18"/>
                <w:szCs w:val="18"/>
              </w:rPr>
              <w:t>承诺 项目</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both"/>
              <w:rPr>
                <w:rFonts w:ascii="宋体" w:hAnsi="宋体" w:cs="宋体" w:eastAsia="宋体" w:hint="default"/>
                <w:sz w:val="18"/>
                <w:szCs w:val="18"/>
              </w:rPr>
            </w:pPr>
            <w:r>
              <w:rPr>
                <w:rFonts w:ascii="宋体" w:hAnsi="宋体" w:cs="宋体" w:eastAsia="宋体" w:hint="default"/>
                <w:sz w:val="18"/>
                <w:szCs w:val="18"/>
              </w:rPr>
              <w:t>是否已</w:t>
            </w:r>
          </w:p>
          <w:p>
            <w:pPr>
              <w:pStyle w:val="TableParagraph"/>
              <w:spacing w:line="240" w:lineRule="auto"/>
              <w:ind w:left="38" w:right="38"/>
              <w:jc w:val="both"/>
              <w:rPr>
                <w:rFonts w:ascii="宋体" w:hAnsi="宋体" w:cs="宋体" w:eastAsia="宋体" w:hint="default"/>
                <w:sz w:val="18"/>
                <w:szCs w:val="18"/>
              </w:rPr>
            </w:pPr>
            <w:r>
              <w:rPr>
                <w:rFonts w:ascii="宋体" w:hAnsi="宋体" w:cs="宋体" w:eastAsia="宋体" w:hint="default"/>
                <w:sz w:val="18"/>
                <w:szCs w:val="18"/>
              </w:rPr>
              <w:t>变更项 目（含 部分变 更）</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4" w:right="52" w:hanging="270"/>
              <w:jc w:val="left"/>
              <w:rPr>
                <w:rFonts w:ascii="宋体" w:hAnsi="宋体" w:cs="宋体" w:eastAsia="宋体" w:hint="default"/>
                <w:sz w:val="18"/>
                <w:szCs w:val="18"/>
              </w:rPr>
            </w:pPr>
            <w:r>
              <w:rPr>
                <w:rFonts w:ascii="宋体" w:hAnsi="宋体" w:cs="宋体" w:eastAsia="宋体" w:hint="default"/>
                <w:sz w:val="18"/>
                <w:szCs w:val="18"/>
              </w:rPr>
              <w:t>原计划投入 总额</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8" w:right="26" w:hanging="270"/>
              <w:jc w:val="left"/>
              <w:rPr>
                <w:rFonts w:ascii="宋体" w:hAnsi="宋体" w:cs="宋体" w:eastAsia="宋体" w:hint="default"/>
                <w:sz w:val="18"/>
                <w:szCs w:val="18"/>
              </w:rPr>
            </w:pPr>
            <w:r>
              <w:rPr>
                <w:rFonts w:ascii="宋体" w:hAnsi="宋体" w:cs="宋体" w:eastAsia="宋体" w:hint="default"/>
                <w:sz w:val="18"/>
                <w:szCs w:val="18"/>
              </w:rPr>
              <w:t>累计已投入 金额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 w:right="-4" w:firstLine="61"/>
              <w:jc w:val="left"/>
              <w:rPr>
                <w:rFonts w:ascii="宋体" w:hAnsi="宋体" w:cs="宋体" w:eastAsia="宋体" w:hint="default"/>
                <w:sz w:val="18"/>
                <w:szCs w:val="18"/>
              </w:rPr>
            </w:pPr>
            <w:r>
              <w:rPr>
                <w:rFonts w:ascii="宋体" w:hAnsi="宋体" w:cs="宋体" w:eastAsia="宋体" w:hint="default"/>
                <w:sz w:val="18"/>
                <w:szCs w:val="18"/>
              </w:rPr>
              <w:t>实际投资 进度（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3" w:right="61"/>
              <w:jc w:val="center"/>
              <w:rPr>
                <w:rFonts w:ascii="宋体" w:hAnsi="宋体" w:cs="宋体" w:eastAsia="宋体" w:hint="default"/>
                <w:sz w:val="18"/>
                <w:szCs w:val="18"/>
              </w:rPr>
            </w:pPr>
            <w:r>
              <w:rPr>
                <w:rFonts w:ascii="宋体" w:hAnsi="宋体" w:cs="宋体" w:eastAsia="宋体" w:hint="default"/>
                <w:sz w:val="18"/>
                <w:szCs w:val="18"/>
              </w:rPr>
              <w:t>本年度实现的 收益（以利润 总额计算）</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 w:right="68"/>
              <w:jc w:val="center"/>
              <w:rPr>
                <w:rFonts w:ascii="宋体" w:hAnsi="宋体" w:cs="宋体" w:eastAsia="宋体" w:hint="default"/>
                <w:sz w:val="18"/>
                <w:szCs w:val="18"/>
              </w:rPr>
            </w:pPr>
            <w:r>
              <w:rPr>
                <w:rFonts w:ascii="宋体" w:hAnsi="宋体" w:cs="宋体" w:eastAsia="宋体" w:hint="default"/>
                <w:sz w:val="18"/>
                <w:szCs w:val="18"/>
              </w:rPr>
              <w:t>项目建成时 间或预计建 成时间</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7" w:right="104"/>
              <w:jc w:val="both"/>
              <w:rPr>
                <w:rFonts w:ascii="宋体" w:hAnsi="宋体" w:cs="宋体" w:eastAsia="宋体" w:hint="default"/>
                <w:sz w:val="18"/>
                <w:szCs w:val="18"/>
              </w:rPr>
            </w:pPr>
            <w:r>
              <w:rPr>
                <w:rFonts w:ascii="宋体" w:hAnsi="宋体" w:cs="宋体" w:eastAsia="宋体" w:hint="default"/>
                <w:sz w:val="18"/>
                <w:szCs w:val="18"/>
              </w:rPr>
              <w:t>是否符 合计划 进度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5" w:right="84"/>
              <w:jc w:val="both"/>
              <w:rPr>
                <w:rFonts w:ascii="宋体" w:hAnsi="宋体" w:cs="宋体" w:eastAsia="宋体" w:hint="default"/>
                <w:sz w:val="18"/>
                <w:szCs w:val="18"/>
              </w:rPr>
            </w:pPr>
            <w:r>
              <w:rPr>
                <w:rFonts w:ascii="宋体" w:hAnsi="宋体" w:cs="宋体" w:eastAsia="宋体" w:hint="default"/>
                <w:sz w:val="18"/>
                <w:szCs w:val="18"/>
              </w:rPr>
              <w:t>是否符 合预计 收益</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项目可</w:t>
            </w:r>
          </w:p>
          <w:p>
            <w:pPr>
              <w:pStyle w:val="TableParagraph"/>
              <w:spacing w:line="240" w:lineRule="auto"/>
              <w:ind w:left="83" w:right="85"/>
              <w:jc w:val="center"/>
              <w:rPr>
                <w:rFonts w:ascii="宋体" w:hAnsi="宋体" w:cs="宋体" w:eastAsia="宋体" w:hint="default"/>
                <w:sz w:val="18"/>
                <w:szCs w:val="18"/>
              </w:rPr>
            </w:pPr>
            <w:r>
              <w:rPr>
                <w:rFonts w:ascii="宋体" w:hAnsi="宋体" w:cs="宋体" w:eastAsia="宋体" w:hint="default"/>
                <w:sz w:val="18"/>
                <w:szCs w:val="18"/>
              </w:rPr>
              <w:t>行性是 否发生 重大变 化</w:t>
            </w:r>
          </w:p>
        </w:tc>
      </w:tr>
      <w:tr>
        <w:trPr>
          <w:trHeight w:val="48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南京新</w:t>
            </w:r>
            <w:r>
              <w:rPr>
                <w:rFonts w:ascii="宋体" w:hAnsi="宋体" w:cs="宋体" w:eastAsia="宋体" w:hint="default"/>
                <w:spacing w:val="-56"/>
                <w:sz w:val="18"/>
                <w:szCs w:val="18"/>
              </w:rPr>
              <w:t> </w:t>
            </w:r>
            <w:r>
              <w:rPr>
                <w:rFonts w:ascii="宋体" w:hAnsi="宋体" w:cs="宋体" w:eastAsia="宋体" w:hint="default"/>
                <w:spacing w:val="17"/>
                <w:sz w:val="18"/>
                <w:szCs w:val="18"/>
              </w:rPr>
              <w:t>街口</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店扩建项目</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99,632.0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增资北</w:t>
            </w:r>
            <w:r>
              <w:rPr>
                <w:rFonts w:ascii="宋体" w:hAnsi="宋体" w:cs="宋体" w:eastAsia="宋体" w:hint="default"/>
                <w:spacing w:val="-56"/>
                <w:sz w:val="18"/>
                <w:szCs w:val="18"/>
              </w:rPr>
              <w:t> </w:t>
            </w:r>
            <w:r>
              <w:rPr>
                <w:rFonts w:ascii="宋体" w:hAnsi="宋体" w:cs="宋体" w:eastAsia="宋体" w:hint="default"/>
                <w:spacing w:val="17"/>
                <w:sz w:val="18"/>
                <w:szCs w:val="18"/>
              </w:rPr>
              <w:t>京苏</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40" w:lineRule="auto"/>
              <w:ind w:left="105" w:right="65"/>
              <w:jc w:val="left"/>
              <w:rPr>
                <w:rFonts w:ascii="宋体" w:hAnsi="宋体" w:cs="宋体" w:eastAsia="宋体" w:hint="default"/>
                <w:sz w:val="18"/>
                <w:szCs w:val="18"/>
              </w:rPr>
            </w:pPr>
            <w:r>
              <w:rPr>
                <w:rFonts w:ascii="宋体" w:hAnsi="宋体" w:cs="宋体" w:eastAsia="宋体" w:hint="default"/>
                <w:spacing w:val="22"/>
                <w:sz w:val="18"/>
                <w:szCs w:val="18"/>
              </w:rPr>
              <w:t>宁电器</w:t>
            </w:r>
            <w:r>
              <w:rPr>
                <w:rFonts w:ascii="宋体" w:hAnsi="宋体" w:cs="宋体" w:eastAsia="宋体" w:hint="default"/>
                <w:spacing w:val="-57"/>
                <w:sz w:val="18"/>
                <w:szCs w:val="18"/>
              </w:rPr>
              <w:t> </w:t>
            </w:r>
            <w:r>
              <w:rPr>
                <w:rFonts w:ascii="宋体" w:hAnsi="宋体" w:cs="宋体" w:eastAsia="宋体" w:hint="default"/>
                <w:spacing w:val="17"/>
                <w:sz w:val="18"/>
                <w:szCs w:val="18"/>
              </w:rPr>
              <w:t>有限</w:t>
            </w:r>
            <w:r>
              <w:rPr>
                <w:rFonts w:ascii="宋体" w:hAnsi="宋体" w:cs="宋体" w:eastAsia="宋体" w:hint="default"/>
                <w:spacing w:val="-56"/>
                <w:sz w:val="18"/>
                <w:szCs w:val="18"/>
              </w:rPr>
              <w:t> </w:t>
            </w:r>
            <w:r>
              <w:rPr>
                <w:rFonts w:ascii="宋体" w:hAnsi="宋体" w:cs="宋体" w:eastAsia="宋体" w:hint="default"/>
                <w:sz w:val="18"/>
                <w:szCs w:val="18"/>
              </w:rPr>
              <w:t>公司</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37,500.0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37,500.0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17,204.3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增资浙</w:t>
            </w:r>
            <w:r>
              <w:rPr>
                <w:rFonts w:ascii="宋体" w:hAnsi="宋体" w:cs="宋体" w:eastAsia="宋体" w:hint="default"/>
                <w:spacing w:val="-56"/>
                <w:sz w:val="18"/>
                <w:szCs w:val="18"/>
              </w:rPr>
              <w:t> </w:t>
            </w:r>
            <w:r>
              <w:rPr>
                <w:rFonts w:ascii="宋体" w:hAnsi="宋体" w:cs="宋体" w:eastAsia="宋体" w:hint="default"/>
                <w:spacing w:val="17"/>
                <w:sz w:val="18"/>
                <w:szCs w:val="18"/>
              </w:rPr>
              <w:t>江苏</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40" w:lineRule="auto"/>
              <w:ind w:left="105" w:right="65"/>
              <w:jc w:val="left"/>
              <w:rPr>
                <w:rFonts w:ascii="宋体" w:hAnsi="宋体" w:cs="宋体" w:eastAsia="宋体" w:hint="default"/>
                <w:sz w:val="18"/>
                <w:szCs w:val="18"/>
              </w:rPr>
            </w:pPr>
            <w:r>
              <w:rPr>
                <w:rFonts w:ascii="宋体" w:hAnsi="宋体" w:cs="宋体" w:eastAsia="宋体" w:hint="default"/>
                <w:spacing w:val="22"/>
                <w:sz w:val="18"/>
                <w:szCs w:val="18"/>
              </w:rPr>
              <w:t>宁电器</w:t>
            </w:r>
            <w:r>
              <w:rPr>
                <w:rFonts w:ascii="宋体" w:hAnsi="宋体" w:cs="宋体" w:eastAsia="宋体" w:hint="default"/>
                <w:spacing w:val="-57"/>
                <w:sz w:val="18"/>
                <w:szCs w:val="18"/>
              </w:rPr>
              <w:t> </w:t>
            </w:r>
            <w:r>
              <w:rPr>
                <w:rFonts w:ascii="宋体" w:hAnsi="宋体" w:cs="宋体" w:eastAsia="宋体" w:hint="default"/>
                <w:spacing w:val="17"/>
                <w:sz w:val="18"/>
                <w:szCs w:val="18"/>
              </w:rPr>
              <w:t>有限</w:t>
            </w:r>
            <w:r>
              <w:rPr>
                <w:rFonts w:ascii="宋体" w:hAnsi="宋体" w:cs="宋体" w:eastAsia="宋体" w:hint="default"/>
                <w:spacing w:val="-56"/>
                <w:sz w:val="18"/>
                <w:szCs w:val="18"/>
              </w:rPr>
              <w:t> </w:t>
            </w:r>
            <w:r>
              <w:rPr>
                <w:rFonts w:ascii="宋体" w:hAnsi="宋体" w:cs="宋体" w:eastAsia="宋体" w:hint="default"/>
                <w:sz w:val="18"/>
                <w:szCs w:val="18"/>
              </w:rPr>
              <w:t>公司</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39,765.6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增资上</w:t>
            </w:r>
            <w:r>
              <w:rPr>
                <w:rFonts w:ascii="宋体" w:hAnsi="宋体" w:cs="宋体" w:eastAsia="宋体" w:hint="default"/>
                <w:spacing w:val="-56"/>
                <w:sz w:val="18"/>
                <w:szCs w:val="18"/>
              </w:rPr>
              <w:t> </w:t>
            </w:r>
            <w:r>
              <w:rPr>
                <w:rFonts w:ascii="宋体" w:hAnsi="宋体" w:cs="宋体" w:eastAsia="宋体" w:hint="default"/>
                <w:spacing w:val="17"/>
                <w:sz w:val="18"/>
                <w:szCs w:val="18"/>
              </w:rPr>
              <w:t>海苏</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40" w:lineRule="auto"/>
              <w:ind w:left="105" w:right="65"/>
              <w:jc w:val="left"/>
              <w:rPr>
                <w:rFonts w:ascii="宋体" w:hAnsi="宋体" w:cs="宋体" w:eastAsia="宋体" w:hint="default"/>
                <w:sz w:val="18"/>
                <w:szCs w:val="18"/>
              </w:rPr>
            </w:pPr>
            <w:r>
              <w:rPr>
                <w:rFonts w:ascii="宋体" w:hAnsi="宋体" w:cs="宋体" w:eastAsia="宋体" w:hint="default"/>
                <w:spacing w:val="22"/>
                <w:sz w:val="18"/>
                <w:szCs w:val="18"/>
              </w:rPr>
              <w:t>宁电器</w:t>
            </w:r>
            <w:r>
              <w:rPr>
                <w:rFonts w:ascii="宋体" w:hAnsi="宋体" w:cs="宋体" w:eastAsia="宋体" w:hint="default"/>
                <w:spacing w:val="-57"/>
                <w:sz w:val="18"/>
                <w:szCs w:val="18"/>
              </w:rPr>
              <w:t> </w:t>
            </w:r>
            <w:r>
              <w:rPr>
                <w:rFonts w:ascii="宋体" w:hAnsi="宋体" w:cs="宋体" w:eastAsia="宋体" w:hint="default"/>
                <w:spacing w:val="17"/>
                <w:sz w:val="18"/>
                <w:szCs w:val="18"/>
              </w:rPr>
              <w:t>有限</w:t>
            </w:r>
            <w:r>
              <w:rPr>
                <w:rFonts w:ascii="宋体" w:hAnsi="宋体" w:cs="宋体" w:eastAsia="宋体" w:hint="default"/>
                <w:spacing w:val="-56"/>
                <w:sz w:val="18"/>
                <w:szCs w:val="18"/>
              </w:rPr>
              <w:t> </w:t>
            </w:r>
            <w:r>
              <w:rPr>
                <w:rFonts w:ascii="宋体" w:hAnsi="宋体" w:cs="宋体" w:eastAsia="宋体" w:hint="default"/>
                <w:sz w:val="18"/>
                <w:szCs w:val="18"/>
              </w:rPr>
              <w:t>公司</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37,500.0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1,766.9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37,500.0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sz w:val="18"/>
              </w:rPr>
              <w:t>35,560.8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9" w:footer="982" w:top="1100" w:bottom="1180" w:left="780" w:right="780"/>
        </w:sectPr>
      </w:pPr>
    </w:p>
    <w:p>
      <w:pPr>
        <w:spacing w:line="240" w:lineRule="auto" w:before="9"/>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1252"/>
        <w:gridCol w:w="629"/>
        <w:gridCol w:w="1016"/>
        <w:gridCol w:w="863"/>
        <w:gridCol w:w="968"/>
        <w:gridCol w:w="900"/>
        <w:gridCol w:w="1217"/>
        <w:gridCol w:w="1050"/>
        <w:gridCol w:w="766"/>
        <w:gridCol w:w="720"/>
        <w:gridCol w:w="718"/>
      </w:tblGrid>
      <w:tr>
        <w:trPr>
          <w:trHeight w:val="485"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pacing w:val="22"/>
                <w:sz w:val="18"/>
                <w:szCs w:val="18"/>
              </w:rPr>
              <w:t>物流配</w:t>
            </w:r>
            <w:r>
              <w:rPr>
                <w:rFonts w:ascii="宋体" w:hAnsi="宋体" w:cs="宋体" w:eastAsia="宋体" w:hint="default"/>
                <w:spacing w:val="-56"/>
                <w:sz w:val="18"/>
                <w:szCs w:val="18"/>
              </w:rPr>
              <w:t> </w:t>
            </w:r>
            <w:r>
              <w:rPr>
                <w:rFonts w:ascii="宋体" w:hAnsi="宋体" w:cs="宋体" w:eastAsia="宋体" w:hint="default"/>
                <w:spacing w:val="17"/>
                <w:sz w:val="18"/>
                <w:szCs w:val="18"/>
              </w:rPr>
              <w:t>送一</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期扩建项目</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80,000.0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40" w:lineRule="auto"/>
              <w:ind w:left="283" w:right="54"/>
              <w:jc w:val="left"/>
              <w:rPr>
                <w:rFonts w:ascii="宋体" w:hAnsi="宋体" w:cs="宋体" w:eastAsia="宋体" w:hint="default"/>
                <w:sz w:val="18"/>
                <w:szCs w:val="18"/>
              </w:rPr>
            </w:pPr>
            <w:r>
              <w:rPr>
                <w:rFonts w:ascii="宋体" w:hAnsi="宋体" w:cs="宋体" w:eastAsia="宋体" w:hint="default"/>
                <w:spacing w:val="33"/>
                <w:sz w:val="18"/>
                <w:szCs w:val="18"/>
              </w:rPr>
              <w:t>新建杭州</w:t>
            </w:r>
            <w:r>
              <w:rPr>
                <w:rFonts w:ascii="宋体" w:hAnsi="宋体" w:cs="宋体" w:eastAsia="宋体" w:hint="default"/>
                <w:spacing w:val="-87"/>
                <w:sz w:val="18"/>
                <w:szCs w:val="18"/>
              </w:rPr>
              <w:t> </w:t>
            </w:r>
            <w:r>
              <w:rPr>
                <w:rFonts w:ascii="宋体" w:hAnsi="宋体" w:cs="宋体" w:eastAsia="宋体" w:hint="default"/>
                <w:sz w:val="18"/>
                <w:szCs w:val="18"/>
              </w:rPr>
              <w:t>配送中心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25,000.8</w:t>
            </w:r>
          </w:p>
        </w:tc>
        <w:tc>
          <w:tcPr>
            <w:tcW w:w="90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0" w:type="dxa"/>
            <w:vMerge/>
            <w:tcBorders>
              <w:left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3" w:right="0"/>
              <w:jc w:val="left"/>
              <w:rPr>
                <w:rFonts w:ascii="宋体" w:hAnsi="宋体" w:cs="宋体" w:eastAsia="宋体" w:hint="default"/>
                <w:sz w:val="18"/>
                <w:szCs w:val="18"/>
              </w:rPr>
            </w:pPr>
            <w:r>
              <w:rPr>
                <w:rFonts w:ascii="宋体" w:hAnsi="宋体" w:cs="宋体" w:eastAsia="宋体" w:hint="default"/>
                <w:spacing w:val="33"/>
                <w:sz w:val="18"/>
                <w:szCs w:val="18"/>
              </w:rPr>
              <w:t>扩建南京</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5" w:lineRule="exact"/>
              <w:ind w:left="283" w:right="0"/>
              <w:jc w:val="left"/>
              <w:rPr>
                <w:rFonts w:ascii="宋体" w:hAnsi="宋体" w:cs="宋体" w:eastAsia="宋体" w:hint="default"/>
                <w:sz w:val="18"/>
                <w:szCs w:val="18"/>
              </w:rPr>
            </w:pPr>
            <w:r>
              <w:rPr>
                <w:rFonts w:ascii="宋体" w:hAnsi="宋体" w:cs="宋体" w:eastAsia="宋体" w:hint="default"/>
                <w:sz w:val="18"/>
                <w:szCs w:val="18"/>
              </w:rPr>
              <w:t>配送中心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22,527.5</w:t>
            </w:r>
          </w:p>
        </w:tc>
        <w:tc>
          <w:tcPr>
            <w:tcW w:w="90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0" w:type="dxa"/>
            <w:vMerge/>
            <w:tcBorders>
              <w:left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3" w:right="0"/>
              <w:jc w:val="left"/>
              <w:rPr>
                <w:rFonts w:ascii="宋体" w:hAnsi="宋体" w:cs="宋体" w:eastAsia="宋体" w:hint="default"/>
                <w:sz w:val="18"/>
                <w:szCs w:val="18"/>
              </w:rPr>
            </w:pPr>
            <w:r>
              <w:rPr>
                <w:rFonts w:ascii="宋体" w:hAnsi="宋体" w:cs="宋体" w:eastAsia="宋体" w:hint="default"/>
                <w:spacing w:val="33"/>
                <w:sz w:val="18"/>
                <w:szCs w:val="18"/>
              </w:rPr>
              <w:t>新建北京</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5" w:lineRule="exact"/>
              <w:ind w:left="283" w:right="0"/>
              <w:jc w:val="left"/>
              <w:rPr>
                <w:rFonts w:ascii="宋体" w:hAnsi="宋体" w:cs="宋体" w:eastAsia="宋体" w:hint="default"/>
                <w:sz w:val="18"/>
                <w:szCs w:val="18"/>
              </w:rPr>
            </w:pPr>
            <w:r>
              <w:rPr>
                <w:rFonts w:ascii="宋体" w:hAnsi="宋体" w:cs="宋体" w:eastAsia="宋体" w:hint="default"/>
                <w:sz w:val="18"/>
                <w:szCs w:val="18"/>
              </w:rPr>
              <w:t>配送中心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32,471.7</w:t>
            </w:r>
          </w:p>
        </w:tc>
        <w:tc>
          <w:tcPr>
            <w:tcW w:w="90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0"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2"/>
                <w:sz w:val="18"/>
                <w:szCs w:val="18"/>
              </w:rPr>
              <w:t>商业信</w:t>
            </w:r>
            <w:r>
              <w:rPr>
                <w:rFonts w:ascii="宋体" w:hAnsi="宋体" w:cs="宋体" w:eastAsia="宋体" w:hint="default"/>
                <w:spacing w:val="-56"/>
                <w:sz w:val="18"/>
                <w:szCs w:val="18"/>
              </w:rPr>
              <w:t> </w:t>
            </w:r>
            <w:r>
              <w:rPr>
                <w:rFonts w:ascii="宋体" w:hAnsi="宋体" w:cs="宋体" w:eastAsia="宋体" w:hint="default"/>
                <w:spacing w:val="17"/>
                <w:sz w:val="18"/>
                <w:szCs w:val="18"/>
              </w:rPr>
              <w:t>息化</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40" w:lineRule="auto"/>
              <w:ind w:left="102" w:right="65"/>
              <w:jc w:val="left"/>
              <w:rPr>
                <w:rFonts w:ascii="宋体" w:hAnsi="宋体" w:cs="宋体" w:eastAsia="宋体" w:hint="default"/>
                <w:sz w:val="18"/>
                <w:szCs w:val="18"/>
              </w:rPr>
            </w:pPr>
            <w:r>
              <w:rPr>
                <w:rFonts w:ascii="宋体" w:hAnsi="宋体" w:cs="宋体" w:eastAsia="宋体" w:hint="default"/>
                <w:spacing w:val="22"/>
                <w:sz w:val="18"/>
                <w:szCs w:val="18"/>
              </w:rPr>
              <w:t>系统建</w:t>
            </w:r>
            <w:r>
              <w:rPr>
                <w:rFonts w:ascii="宋体" w:hAnsi="宋体" w:cs="宋体" w:eastAsia="宋体" w:hint="default"/>
                <w:spacing w:val="-57"/>
                <w:sz w:val="18"/>
                <w:szCs w:val="18"/>
              </w:rPr>
              <w:t> </w:t>
            </w:r>
            <w:r>
              <w:rPr>
                <w:rFonts w:ascii="宋体" w:hAnsi="宋体" w:cs="宋体" w:eastAsia="宋体" w:hint="default"/>
                <w:spacing w:val="17"/>
                <w:sz w:val="18"/>
                <w:szCs w:val="18"/>
              </w:rPr>
              <w:t>设项</w:t>
            </w:r>
            <w:r>
              <w:rPr>
                <w:rFonts w:ascii="宋体" w:hAnsi="宋体" w:cs="宋体" w:eastAsia="宋体" w:hint="default"/>
                <w:spacing w:val="-56"/>
                <w:sz w:val="18"/>
                <w:szCs w:val="18"/>
              </w:rPr>
              <w:t> </w:t>
            </w:r>
            <w:r>
              <w:rPr>
                <w:rFonts w:ascii="宋体" w:hAnsi="宋体" w:cs="宋体" w:eastAsia="宋体" w:hint="default"/>
                <w:sz w:val="18"/>
                <w:szCs w:val="18"/>
              </w:rPr>
              <w:t>目</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99,894.4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99,894.4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9"/>
              <w:jc w:val="right"/>
              <w:rPr>
                <w:rFonts w:ascii="Times New Roman" w:hAnsi="Times New Roman" w:cs="Times New Roman" w:eastAsia="Times New Roman" w:hint="default"/>
                <w:sz w:val="18"/>
                <w:szCs w:val="18"/>
              </w:rPr>
            </w:pPr>
            <w:r>
              <w:rPr>
                <w:rFonts w:ascii="Times New Roman"/>
                <w:sz w:val="18"/>
              </w:rPr>
              <w:t>394,526.4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54"/>
              <w:jc w:val="right"/>
              <w:rPr>
                <w:rFonts w:ascii="Times New Roman" w:hAnsi="Times New Roman" w:cs="Times New Roman" w:eastAsia="Times New Roman" w:hint="default"/>
                <w:sz w:val="18"/>
                <w:szCs w:val="18"/>
              </w:rPr>
            </w:pPr>
            <w:r>
              <w:rPr>
                <w:rFonts w:ascii="Times New Roman"/>
                <w:sz w:val="18"/>
              </w:rPr>
              <w:t>1,766.9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294,894.4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74.75%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92,530.7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84" w:hRule="exact"/>
        </w:trPr>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分项目说明未达到计划进度和预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415" w:hRule="exact"/>
        </w:trPr>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89"/>
              <w:jc w:val="left"/>
              <w:rPr>
                <w:rFonts w:ascii="宋体" w:hAnsi="宋体" w:cs="宋体" w:eastAsia="宋体" w:hint="default"/>
                <w:sz w:val="18"/>
                <w:szCs w:val="18"/>
              </w:rPr>
            </w:pPr>
            <w:r>
              <w:rPr>
                <w:rFonts w:ascii="宋体" w:hAnsi="宋体" w:cs="宋体" w:eastAsia="宋体" w:hint="default"/>
                <w:spacing w:val="12"/>
                <w:sz w:val="18"/>
                <w:szCs w:val="18"/>
              </w:rPr>
              <w:t>项目可行性发生重大变化的情况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说明</w:t>
            </w:r>
          </w:p>
        </w:tc>
        <w:tc>
          <w:tcPr>
            <w:tcW w:w="7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因南京新街口店扩建项目用地挂牌出让时其实际的出让面积、出让政策、规划用地性质等</w:t>
            </w:r>
          </w:p>
          <w:p>
            <w:pPr>
              <w:pStyle w:val="TableParagraph"/>
              <w:spacing w:line="240" w:lineRule="auto"/>
              <w:ind w:left="104" w:right="101"/>
              <w:jc w:val="both"/>
              <w:rPr>
                <w:rFonts w:ascii="宋体" w:hAnsi="宋体" w:cs="宋体" w:eastAsia="宋体" w:hint="default"/>
                <w:sz w:val="18"/>
                <w:szCs w:val="18"/>
              </w:rPr>
            </w:pPr>
            <w:r>
              <w:rPr>
                <w:rFonts w:ascii="宋体" w:hAnsi="宋体" w:cs="宋体" w:eastAsia="宋体" w:hint="default"/>
                <w:spacing w:val="-1"/>
                <w:sz w:val="18"/>
                <w:szCs w:val="18"/>
              </w:rPr>
              <w:t>与原募集资金项目规划相比发生了一定的变动，公司原计划拟与江苏苏宁电器有限公司联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合进行南京新街口店扩建项目的建设。但在实际操作过程中，考虑到联合实施项目建设会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对公司运作的独立性造成一定的影响，同时对公司而言，项目建成周期长且项目管理、控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制难度较大。鉴于上述情况，本着为投资者负责的态度，经公司第二届董事会第十七次会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议、</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年第二次临时股东大会审议通过，同意终止南京新街口店扩建项目。</w:t>
            </w:r>
          </w:p>
        </w:tc>
      </w:tr>
      <w:tr>
        <w:trPr>
          <w:trHeight w:val="484" w:hRule="exact"/>
        </w:trPr>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分项目说明募集资金投向变更原</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因及变更程序</w:t>
            </w:r>
          </w:p>
        </w:tc>
        <w:tc>
          <w:tcPr>
            <w:tcW w:w="7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84" w:hRule="exact"/>
        </w:trPr>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募集资金项目实施地点变更情况</w:t>
            </w:r>
          </w:p>
        </w:tc>
        <w:tc>
          <w:tcPr>
            <w:tcW w:w="7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5" w:hRule="exact"/>
        </w:trPr>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募集资金项目实施方式调整情况</w:t>
            </w:r>
          </w:p>
        </w:tc>
        <w:tc>
          <w:tcPr>
            <w:tcW w:w="7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4" w:hRule="exact"/>
        </w:trPr>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募集资金项目先期投入及置换情</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4" w:hRule="exact"/>
        </w:trPr>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用闲置募集资金暂时补充流动资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金情况</w:t>
            </w:r>
          </w:p>
        </w:tc>
        <w:tc>
          <w:tcPr>
            <w:tcW w:w="7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5" w:hRule="exact"/>
        </w:trPr>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项目实施出现募集资金结余的金</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额及原因</w:t>
            </w:r>
          </w:p>
        </w:tc>
        <w:tc>
          <w:tcPr>
            <w:tcW w:w="7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22" w:hRule="exact"/>
        </w:trPr>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03" w:right="100"/>
              <w:jc w:val="left"/>
              <w:rPr>
                <w:rFonts w:ascii="宋体" w:hAnsi="宋体" w:cs="宋体" w:eastAsia="宋体" w:hint="default"/>
                <w:sz w:val="18"/>
                <w:szCs w:val="18"/>
              </w:rPr>
            </w:pPr>
            <w:r>
              <w:rPr>
                <w:rFonts w:ascii="宋体" w:hAnsi="宋体" w:cs="宋体" w:eastAsia="宋体" w:hint="default"/>
                <w:spacing w:val="-2"/>
                <w:sz w:val="18"/>
                <w:szCs w:val="18"/>
              </w:rPr>
              <w:t>尚未使用的募集资金用途、去向以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及募集资金其他使用情况</w:t>
            </w:r>
          </w:p>
        </w:tc>
        <w:tc>
          <w:tcPr>
            <w:tcW w:w="72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98" w:lineRule="auto" w:before="63"/>
        <w:ind w:left="864" w:right="858"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：物流配送体系一期扩建项目不直接产生经济收入，故无法单独核算效益；物流配送 体系一期扩建项效益主要体现在：其主要服务于公司采购、销售和服务体系，有利于整合区域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内物流平台，一定程度上促进了区域内销售收入的增长；</w:t>
      </w:r>
    </w:p>
    <w:p>
      <w:pPr>
        <w:spacing w:line="386" w:lineRule="auto" w:before="54"/>
        <w:ind w:left="864" w:right="859"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：商业信息化系统建设项目不直接产生经济收入，故无法单独核算效益；商业信息化 系统建设项目的效益主要体现在：促进企业管理水平的提高，营业费用率水平的降低。</w:t>
      </w:r>
    </w:p>
    <w:p>
      <w:pPr>
        <w:spacing w:after="0" w:line="386" w:lineRule="auto"/>
        <w:jc w:val="both"/>
        <w:rPr>
          <w:rFonts w:ascii="宋体" w:hAnsi="宋体" w:cs="宋体" w:eastAsia="宋体" w:hint="default"/>
          <w:sz w:val="21"/>
          <w:szCs w:val="21"/>
        </w:rPr>
        <w:sectPr>
          <w:pgSz w:w="11910" w:h="16840"/>
          <w:pgMar w:header="879" w:footer="982" w:top="1100" w:bottom="1180" w:left="780" w:right="780"/>
        </w:sectPr>
      </w:pPr>
    </w:p>
    <w:p>
      <w:pPr>
        <w:spacing w:line="240" w:lineRule="auto" w:before="10"/>
        <w:rPr>
          <w:rFonts w:ascii="宋体" w:hAnsi="宋体" w:cs="宋体" w:eastAsia="宋体" w:hint="default"/>
          <w:sz w:val="10"/>
          <w:szCs w:val="10"/>
        </w:rPr>
      </w:pPr>
    </w:p>
    <w:p>
      <w:pPr>
        <w:pStyle w:val="BodyText"/>
        <w:spacing w:line="240" w:lineRule="auto" w:before="26"/>
        <w:ind w:left="1004" w:right="0"/>
        <w:jc w:val="left"/>
      </w:pPr>
      <w:r>
        <w:rPr/>
        <w:t>更募集资金项目的资金使用情况：</w:t>
      </w:r>
    </w:p>
    <w:p>
      <w:pPr>
        <w:spacing w:line="240" w:lineRule="auto" w:before="9"/>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441"/>
        <w:gridCol w:w="978"/>
        <w:gridCol w:w="996"/>
        <w:gridCol w:w="758"/>
        <w:gridCol w:w="936"/>
        <w:gridCol w:w="935"/>
        <w:gridCol w:w="936"/>
        <w:gridCol w:w="923"/>
        <w:gridCol w:w="482"/>
        <w:gridCol w:w="900"/>
        <w:gridCol w:w="624"/>
      </w:tblGrid>
      <w:tr>
        <w:trPr>
          <w:trHeight w:val="702" w:hRule="exact"/>
        </w:trPr>
        <w:tc>
          <w:tcPr>
            <w:tcW w:w="34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变更投资项目的资金总额</w:t>
            </w:r>
          </w:p>
        </w:tc>
        <w:tc>
          <w:tcPr>
            <w:tcW w:w="64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99,000.0</w:t>
            </w:r>
          </w:p>
        </w:tc>
      </w:tr>
      <w:tr>
        <w:trPr>
          <w:trHeight w:val="2116"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4" w:right="121"/>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1" w:right="132"/>
              <w:jc w:val="center"/>
              <w:rPr>
                <w:rFonts w:ascii="宋体" w:hAnsi="宋体" w:cs="宋体" w:eastAsia="宋体" w:hint="default"/>
                <w:sz w:val="18"/>
                <w:szCs w:val="18"/>
              </w:rPr>
            </w:pPr>
            <w:r>
              <w:rPr>
                <w:rFonts w:ascii="宋体" w:hAnsi="宋体" w:cs="宋体" w:eastAsia="宋体" w:hint="default"/>
                <w:sz w:val="18"/>
                <w:szCs w:val="18"/>
              </w:rPr>
              <w:t>变更后项 目拟投入 金额</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4" w:right="102"/>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93" w:right="101" w:hanging="90"/>
              <w:jc w:val="left"/>
              <w:rPr>
                <w:rFonts w:ascii="宋体" w:hAnsi="宋体" w:cs="宋体" w:eastAsia="宋体" w:hint="default"/>
                <w:sz w:val="18"/>
                <w:szCs w:val="18"/>
              </w:rPr>
            </w:pPr>
            <w:r>
              <w:rPr>
                <w:rFonts w:ascii="宋体" w:hAnsi="宋体" w:cs="宋体" w:eastAsia="宋体" w:hint="default"/>
                <w:sz w:val="18"/>
                <w:szCs w:val="18"/>
              </w:rPr>
              <w:t>累计已投 入金额</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1" w:right="191"/>
              <w:jc w:val="left"/>
              <w:rPr>
                <w:rFonts w:ascii="宋体" w:hAnsi="宋体" w:cs="宋体" w:eastAsia="宋体" w:hint="default"/>
                <w:sz w:val="18"/>
                <w:szCs w:val="18"/>
              </w:rPr>
            </w:pPr>
            <w:r>
              <w:rPr>
                <w:rFonts w:ascii="宋体" w:hAnsi="宋体" w:cs="宋体" w:eastAsia="宋体" w:hint="default"/>
                <w:sz w:val="18"/>
                <w:szCs w:val="18"/>
              </w:rPr>
              <w:t>实际投 资进度</w:t>
            </w:r>
          </w:p>
          <w:p>
            <w:pPr>
              <w:pStyle w:val="TableParagraph"/>
              <w:spacing w:line="248" w:lineRule="exact"/>
              <w:ind w:left="2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center"/>
              <w:rPr>
                <w:rFonts w:ascii="宋体" w:hAnsi="宋体" w:cs="宋体" w:eastAsia="宋体" w:hint="default"/>
                <w:sz w:val="18"/>
                <w:szCs w:val="18"/>
              </w:rPr>
            </w:pPr>
            <w:r>
              <w:rPr>
                <w:rFonts w:ascii="宋体" w:hAnsi="宋体" w:cs="宋体" w:eastAsia="宋体" w:hint="default"/>
                <w:sz w:val="18"/>
                <w:szCs w:val="18"/>
              </w:rPr>
              <w:t>本年度实 现的收益</w:t>
            </w:r>
          </w:p>
          <w:p>
            <w:pPr>
              <w:pStyle w:val="TableParagraph"/>
              <w:spacing w:line="240" w:lineRule="auto"/>
              <w:ind w:left="103" w:right="101"/>
              <w:jc w:val="center"/>
              <w:rPr>
                <w:rFonts w:ascii="宋体" w:hAnsi="宋体" w:cs="宋体" w:eastAsia="宋体" w:hint="default"/>
                <w:sz w:val="18"/>
                <w:szCs w:val="18"/>
              </w:rPr>
            </w:pPr>
            <w:r>
              <w:rPr>
                <w:rFonts w:ascii="宋体" w:hAnsi="宋体" w:cs="宋体" w:eastAsia="宋体" w:hint="default"/>
                <w:sz w:val="18"/>
                <w:szCs w:val="18"/>
              </w:rPr>
              <w:t>（以利润 总额计 算）</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5" w:right="185"/>
              <w:jc w:val="center"/>
              <w:rPr>
                <w:rFonts w:ascii="宋体" w:hAnsi="宋体" w:cs="宋体" w:eastAsia="宋体" w:hint="default"/>
                <w:sz w:val="18"/>
                <w:szCs w:val="18"/>
              </w:rPr>
            </w:pPr>
            <w:r>
              <w:rPr>
                <w:rFonts w:ascii="宋体" w:hAnsi="宋体" w:cs="宋体" w:eastAsia="宋体" w:hint="default"/>
                <w:sz w:val="18"/>
                <w:szCs w:val="18"/>
              </w:rPr>
              <w:t>项目建 成时间 或预计 建成时 间</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6" w:right="144"/>
              <w:jc w:val="both"/>
              <w:rPr>
                <w:rFonts w:ascii="宋体" w:hAnsi="宋体" w:cs="宋体" w:eastAsia="宋体" w:hint="default"/>
                <w:sz w:val="18"/>
                <w:szCs w:val="18"/>
              </w:rPr>
            </w:pPr>
            <w:r>
              <w:rPr>
                <w:rFonts w:ascii="宋体" w:hAnsi="宋体" w:cs="宋体" w:eastAsia="宋体" w:hint="default"/>
                <w:sz w:val="18"/>
                <w:szCs w:val="18"/>
              </w:rPr>
              <w:t>是 否 符 合 计 划 进 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5" w:right="173"/>
              <w:jc w:val="both"/>
              <w:rPr>
                <w:rFonts w:ascii="宋体" w:hAnsi="宋体" w:cs="宋体" w:eastAsia="宋体" w:hint="default"/>
                <w:sz w:val="18"/>
                <w:szCs w:val="18"/>
              </w:rPr>
            </w:pPr>
            <w:r>
              <w:rPr>
                <w:rFonts w:ascii="宋体" w:hAnsi="宋体" w:cs="宋体" w:eastAsia="宋体" w:hint="default"/>
                <w:sz w:val="18"/>
                <w:szCs w:val="18"/>
              </w:rPr>
              <w:t>是否符 合预计 收益</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both"/>
              <w:rPr>
                <w:rFonts w:ascii="宋体" w:hAnsi="宋体" w:cs="宋体" w:eastAsia="宋体" w:hint="default"/>
                <w:sz w:val="18"/>
                <w:szCs w:val="18"/>
              </w:rPr>
            </w:pPr>
            <w:r>
              <w:rPr>
                <w:rFonts w:ascii="宋体" w:hAnsi="宋体" w:cs="宋体" w:eastAsia="宋体" w:hint="default"/>
                <w:sz w:val="18"/>
                <w:szCs w:val="18"/>
              </w:rPr>
              <w:t>变更</w:t>
            </w:r>
          </w:p>
          <w:p>
            <w:pPr>
              <w:pStyle w:val="TableParagraph"/>
              <w:spacing w:line="240" w:lineRule="auto"/>
              <w:ind w:left="127" w:right="125"/>
              <w:jc w:val="both"/>
              <w:rPr>
                <w:rFonts w:ascii="宋体" w:hAnsi="宋体" w:cs="宋体" w:eastAsia="宋体" w:hint="default"/>
                <w:sz w:val="18"/>
                <w:szCs w:val="18"/>
              </w:rPr>
            </w:pPr>
            <w:r>
              <w:rPr>
                <w:rFonts w:ascii="宋体" w:hAnsi="宋体" w:cs="宋体" w:eastAsia="宋体" w:hint="default"/>
                <w:sz w:val="18"/>
                <w:szCs w:val="18"/>
              </w:rPr>
              <w:t>后的 项目 可行 性是 否发 生重 大变 化</w:t>
            </w:r>
          </w:p>
        </w:tc>
      </w:tr>
      <w:tr>
        <w:trPr>
          <w:trHeight w:val="71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73"/>
              <w:jc w:val="left"/>
              <w:rPr>
                <w:rFonts w:ascii="宋体" w:hAnsi="宋体" w:cs="宋体" w:eastAsia="宋体" w:hint="default"/>
                <w:sz w:val="18"/>
                <w:szCs w:val="18"/>
              </w:rPr>
            </w:pPr>
            <w:r>
              <w:rPr>
                <w:rFonts w:ascii="宋体" w:hAnsi="宋体" w:cs="宋体" w:eastAsia="宋体" w:hint="default"/>
                <w:spacing w:val="23"/>
                <w:sz w:val="18"/>
                <w:szCs w:val="18"/>
              </w:rPr>
              <w:t>六地区连锁店</w:t>
            </w:r>
            <w:r>
              <w:rPr>
                <w:rFonts w:ascii="宋体" w:hAnsi="宋体" w:cs="宋体" w:eastAsia="宋体" w:hint="default"/>
                <w:spacing w:val="-62"/>
                <w:sz w:val="18"/>
                <w:szCs w:val="18"/>
              </w:rPr>
              <w:t> </w:t>
            </w:r>
            <w:r>
              <w:rPr>
                <w:rFonts w:ascii="宋体" w:hAnsi="宋体" w:cs="宋体" w:eastAsia="宋体" w:hint="default"/>
                <w:sz w:val="18"/>
                <w:szCs w:val="18"/>
              </w:rPr>
              <w:t>建设项目</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南京新街</w:t>
            </w:r>
          </w:p>
          <w:p>
            <w:pPr>
              <w:pStyle w:val="TableParagraph"/>
              <w:spacing w:line="240"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口店扩建 项目</w:t>
            </w:r>
          </w:p>
        </w:tc>
        <w:tc>
          <w:tcPr>
            <w:tcW w:w="99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40" w:lineRule="auto"/>
              <w:ind w:left="464" w:right="53"/>
              <w:jc w:val="both"/>
              <w:rPr>
                <w:rFonts w:ascii="宋体" w:hAnsi="宋体" w:cs="宋体" w:eastAsia="宋体" w:hint="default"/>
                <w:sz w:val="18"/>
                <w:szCs w:val="18"/>
              </w:rPr>
            </w:pPr>
            <w:r>
              <w:rPr>
                <w:rFonts w:ascii="宋体" w:hAnsi="宋体" w:cs="宋体" w:eastAsia="宋体" w:hint="default"/>
                <w:spacing w:val="36"/>
                <w:sz w:val="18"/>
                <w:szCs w:val="18"/>
              </w:rPr>
              <w:t>增资北京</w:t>
            </w:r>
            <w:r>
              <w:rPr>
                <w:rFonts w:ascii="宋体" w:hAnsi="宋体" w:cs="宋体" w:eastAsia="宋体" w:hint="default"/>
                <w:spacing w:val="-42"/>
                <w:sz w:val="18"/>
                <w:szCs w:val="18"/>
              </w:rPr>
              <w:t> </w:t>
            </w:r>
            <w:r>
              <w:rPr>
                <w:rFonts w:ascii="宋体" w:hAnsi="宋体" w:cs="宋体" w:eastAsia="宋体" w:hint="default"/>
                <w:spacing w:val="36"/>
                <w:sz w:val="18"/>
                <w:szCs w:val="18"/>
              </w:rPr>
              <w:t>苏宁电器</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8"/>
              <w:jc w:val="right"/>
              <w:rPr>
                <w:rFonts w:ascii="Times New Roman" w:hAnsi="Times New Roman" w:cs="Times New Roman" w:eastAsia="Times New Roman" w:hint="default"/>
                <w:sz w:val="18"/>
                <w:szCs w:val="18"/>
              </w:rPr>
            </w:pPr>
            <w:r>
              <w:rPr>
                <w:rFonts w:ascii="Times New Roman"/>
                <w:sz w:val="18"/>
              </w:rPr>
              <w:t>11,000.0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11,000.0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-1,530.6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8"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4" w:right="0"/>
              <w:jc w:val="left"/>
              <w:rPr>
                <w:rFonts w:ascii="宋体" w:hAnsi="宋体" w:cs="宋体" w:eastAsia="宋体" w:hint="default"/>
                <w:sz w:val="18"/>
                <w:szCs w:val="18"/>
              </w:rPr>
            </w:pPr>
            <w:r>
              <w:rPr>
                <w:rFonts w:ascii="宋体" w:hAnsi="宋体" w:cs="宋体" w:eastAsia="宋体" w:hint="default"/>
                <w:spacing w:val="36"/>
                <w:sz w:val="18"/>
                <w:szCs w:val="18"/>
              </w:rPr>
              <w:t>增资上海</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0" w:lineRule="auto"/>
              <w:ind w:left="464" w:right="53"/>
              <w:jc w:val="left"/>
              <w:rPr>
                <w:rFonts w:ascii="宋体" w:hAnsi="宋体" w:cs="宋体" w:eastAsia="宋体" w:hint="default"/>
                <w:sz w:val="18"/>
                <w:szCs w:val="18"/>
              </w:rPr>
            </w:pPr>
            <w:r>
              <w:rPr>
                <w:rFonts w:ascii="宋体" w:hAnsi="宋体" w:cs="宋体" w:eastAsia="宋体" w:hint="default"/>
                <w:spacing w:val="36"/>
                <w:sz w:val="18"/>
                <w:szCs w:val="18"/>
              </w:rPr>
              <w:t>苏宁电器</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8"/>
              <w:jc w:val="right"/>
              <w:rPr>
                <w:rFonts w:ascii="Times New Roman" w:hAnsi="Times New Roman" w:cs="Times New Roman" w:eastAsia="Times New Roman" w:hint="default"/>
                <w:sz w:val="18"/>
                <w:szCs w:val="18"/>
              </w:rPr>
            </w:pPr>
            <w:r>
              <w:rPr>
                <w:rFonts w:ascii="Times New Roman"/>
                <w:sz w:val="18"/>
              </w:rPr>
              <w:t>19,800.0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19,800.0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5,124.9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vMerge/>
            <w:tcBorders>
              <w:left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4" w:right="0"/>
              <w:jc w:val="left"/>
              <w:rPr>
                <w:rFonts w:ascii="宋体" w:hAnsi="宋体" w:cs="宋体" w:eastAsia="宋体" w:hint="default"/>
                <w:sz w:val="18"/>
                <w:szCs w:val="18"/>
              </w:rPr>
            </w:pPr>
            <w:r>
              <w:rPr>
                <w:rFonts w:ascii="宋体" w:hAnsi="宋体" w:cs="宋体" w:eastAsia="宋体" w:hint="default"/>
                <w:spacing w:val="36"/>
                <w:sz w:val="18"/>
                <w:szCs w:val="18"/>
              </w:rPr>
              <w:t>增资武汉</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0" w:lineRule="auto"/>
              <w:ind w:left="464" w:right="53"/>
              <w:jc w:val="left"/>
              <w:rPr>
                <w:rFonts w:ascii="宋体" w:hAnsi="宋体" w:cs="宋体" w:eastAsia="宋体" w:hint="default"/>
                <w:sz w:val="18"/>
                <w:szCs w:val="18"/>
              </w:rPr>
            </w:pPr>
            <w:r>
              <w:rPr>
                <w:rFonts w:ascii="宋体" w:hAnsi="宋体" w:cs="宋体" w:eastAsia="宋体" w:hint="default"/>
                <w:spacing w:val="36"/>
                <w:sz w:val="18"/>
                <w:szCs w:val="18"/>
              </w:rPr>
              <w:t>苏宁电器</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8"/>
              <w:jc w:val="right"/>
              <w:rPr>
                <w:rFonts w:ascii="Times New Roman" w:hAnsi="Times New Roman" w:cs="Times New Roman" w:eastAsia="Times New Roman" w:hint="default"/>
                <w:sz w:val="18"/>
                <w:szCs w:val="18"/>
              </w:rPr>
            </w:pPr>
            <w:r>
              <w:rPr>
                <w:rFonts w:ascii="Times New Roman"/>
                <w:sz w:val="18"/>
              </w:rPr>
              <w:t>19,800.0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1,920.0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19,800.0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-883.1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vMerge/>
            <w:tcBorders>
              <w:left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4" w:right="0"/>
              <w:jc w:val="left"/>
              <w:rPr>
                <w:rFonts w:ascii="宋体" w:hAnsi="宋体" w:cs="宋体" w:eastAsia="宋体" w:hint="default"/>
                <w:sz w:val="18"/>
                <w:szCs w:val="18"/>
              </w:rPr>
            </w:pPr>
            <w:r>
              <w:rPr>
                <w:rFonts w:ascii="宋体" w:hAnsi="宋体" w:cs="宋体" w:eastAsia="宋体" w:hint="default"/>
                <w:spacing w:val="36"/>
                <w:sz w:val="18"/>
                <w:szCs w:val="18"/>
              </w:rPr>
              <w:t>增资福建</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0" w:lineRule="auto"/>
              <w:ind w:left="464" w:right="53"/>
              <w:jc w:val="left"/>
              <w:rPr>
                <w:rFonts w:ascii="宋体" w:hAnsi="宋体" w:cs="宋体" w:eastAsia="宋体" w:hint="default"/>
                <w:sz w:val="18"/>
                <w:szCs w:val="18"/>
              </w:rPr>
            </w:pPr>
            <w:r>
              <w:rPr>
                <w:rFonts w:ascii="宋体" w:hAnsi="宋体" w:cs="宋体" w:eastAsia="宋体" w:hint="default"/>
                <w:spacing w:val="36"/>
                <w:sz w:val="18"/>
                <w:szCs w:val="18"/>
              </w:rPr>
              <w:t>苏宁器有</w:t>
            </w:r>
            <w:r>
              <w:rPr>
                <w:rFonts w:ascii="宋体" w:hAnsi="宋体" w:cs="宋体" w:eastAsia="宋体" w:hint="default"/>
                <w:spacing w:val="-42"/>
                <w:sz w:val="18"/>
                <w:szCs w:val="18"/>
              </w:rPr>
              <w:t> </w:t>
            </w:r>
            <w:r>
              <w:rPr>
                <w:rFonts w:ascii="宋体" w:hAnsi="宋体" w:cs="宋体" w:eastAsia="宋体" w:hint="default"/>
                <w:sz w:val="18"/>
                <w:szCs w:val="18"/>
              </w:rPr>
              <w:t>限公司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7"/>
              <w:jc w:val="right"/>
              <w:rPr>
                <w:rFonts w:ascii="Times New Roman" w:hAnsi="Times New Roman" w:cs="Times New Roman" w:eastAsia="Times New Roman" w:hint="default"/>
                <w:sz w:val="18"/>
                <w:szCs w:val="18"/>
              </w:rPr>
            </w:pPr>
            <w:r>
              <w:rPr>
                <w:rFonts w:ascii="Times New Roman"/>
                <w:sz w:val="18"/>
              </w:rPr>
              <w:t>24,300.0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21,600.0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7,155.5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2008</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vMerge/>
            <w:tcBorders>
              <w:left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4" w:right="0"/>
              <w:jc w:val="both"/>
              <w:rPr>
                <w:rFonts w:ascii="宋体" w:hAnsi="宋体" w:cs="宋体" w:eastAsia="宋体" w:hint="default"/>
                <w:sz w:val="18"/>
                <w:szCs w:val="18"/>
              </w:rPr>
            </w:pPr>
            <w:r>
              <w:rPr>
                <w:rFonts w:ascii="宋体" w:hAnsi="宋体" w:cs="宋体" w:eastAsia="宋体" w:hint="default"/>
                <w:spacing w:val="36"/>
                <w:sz w:val="18"/>
                <w:szCs w:val="18"/>
              </w:rPr>
              <w:t>增资深圳</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0" w:lineRule="auto"/>
              <w:ind w:left="464" w:right="53"/>
              <w:jc w:val="both"/>
              <w:rPr>
                <w:rFonts w:ascii="宋体" w:hAnsi="宋体" w:cs="宋体" w:eastAsia="宋体" w:hint="default"/>
                <w:sz w:val="18"/>
                <w:szCs w:val="18"/>
              </w:rPr>
            </w:pPr>
            <w:r>
              <w:rPr>
                <w:rFonts w:ascii="宋体" w:hAnsi="宋体" w:cs="宋体" w:eastAsia="宋体" w:hint="default"/>
                <w:spacing w:val="36"/>
                <w:sz w:val="18"/>
                <w:szCs w:val="18"/>
              </w:rPr>
              <w:t>市苏宁电</w:t>
            </w:r>
            <w:r>
              <w:rPr>
                <w:rFonts w:ascii="宋体" w:hAnsi="宋体" w:cs="宋体" w:eastAsia="宋体" w:hint="default"/>
                <w:spacing w:val="-42"/>
                <w:sz w:val="18"/>
                <w:szCs w:val="18"/>
              </w:rPr>
              <w:t> </w:t>
            </w:r>
            <w:r>
              <w:rPr>
                <w:rFonts w:ascii="宋体" w:hAnsi="宋体" w:cs="宋体" w:eastAsia="宋体" w:hint="default"/>
                <w:spacing w:val="36"/>
                <w:sz w:val="18"/>
                <w:szCs w:val="18"/>
              </w:rPr>
              <w:t>器有限公</w:t>
            </w:r>
            <w:r>
              <w:rPr>
                <w:rFonts w:ascii="宋体" w:hAnsi="宋体" w:cs="宋体" w:eastAsia="宋体" w:hint="default"/>
                <w:spacing w:val="-42"/>
                <w:sz w:val="18"/>
                <w:szCs w:val="18"/>
              </w:rPr>
              <w:t> </w:t>
            </w:r>
            <w:r>
              <w:rPr>
                <w:rFonts w:ascii="宋体" w:hAnsi="宋体" w:cs="宋体" w:eastAsia="宋体" w:hint="default"/>
                <w:sz w:val="18"/>
                <w:szCs w:val="18"/>
              </w:rPr>
              <w:t>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1"/>
              <w:jc w:val="right"/>
              <w:rPr>
                <w:rFonts w:ascii="Times New Roman" w:hAnsi="Times New Roman" w:cs="Times New Roman" w:eastAsia="Times New Roman" w:hint="default"/>
                <w:sz w:val="18"/>
                <w:szCs w:val="18"/>
              </w:rPr>
            </w:pPr>
            <w:r>
              <w:rPr>
                <w:rFonts w:ascii="Times New Roman"/>
                <w:sz w:val="18"/>
              </w:rPr>
              <w:t>4,300.0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4,300.0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7,387.0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vMerge/>
            <w:tcBorders>
              <w:left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4" w:right="0"/>
              <w:jc w:val="left"/>
              <w:rPr>
                <w:rFonts w:ascii="宋体" w:hAnsi="宋体" w:cs="宋体" w:eastAsia="宋体" w:hint="default"/>
                <w:sz w:val="18"/>
                <w:szCs w:val="18"/>
              </w:rPr>
            </w:pPr>
            <w:r>
              <w:rPr>
                <w:rFonts w:ascii="宋体" w:hAnsi="宋体" w:cs="宋体" w:eastAsia="宋体" w:hint="default"/>
                <w:spacing w:val="36"/>
                <w:sz w:val="18"/>
                <w:szCs w:val="18"/>
              </w:rPr>
              <w:t>增资沈阳</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0" w:lineRule="auto"/>
              <w:ind w:left="464" w:right="53"/>
              <w:jc w:val="left"/>
              <w:rPr>
                <w:rFonts w:ascii="宋体" w:hAnsi="宋体" w:cs="宋体" w:eastAsia="宋体" w:hint="default"/>
                <w:sz w:val="18"/>
                <w:szCs w:val="18"/>
              </w:rPr>
            </w:pPr>
            <w:r>
              <w:rPr>
                <w:rFonts w:ascii="宋体" w:hAnsi="宋体" w:cs="宋体" w:eastAsia="宋体" w:hint="default"/>
                <w:spacing w:val="36"/>
                <w:sz w:val="18"/>
                <w:szCs w:val="18"/>
              </w:rPr>
              <w:t>苏宁电器</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97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8"/>
              <w:jc w:val="right"/>
              <w:rPr>
                <w:rFonts w:ascii="Times New Roman" w:hAnsi="Times New Roman" w:cs="Times New Roman" w:eastAsia="Times New Roman" w:hint="default"/>
                <w:sz w:val="18"/>
                <w:szCs w:val="18"/>
              </w:rPr>
            </w:pPr>
            <w:r>
              <w:rPr>
                <w:rFonts w:ascii="Times New Roman"/>
                <w:sz w:val="18"/>
              </w:rPr>
              <w:t>19,800.0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2,340.0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19,800.0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-412.6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6"/>
              <w:jc w:val="right"/>
              <w:rPr>
                <w:rFonts w:ascii="Times New Roman" w:hAnsi="Times New Roman" w:cs="Times New Roman" w:eastAsia="Times New Roman" w:hint="default"/>
                <w:sz w:val="18"/>
                <w:szCs w:val="18"/>
              </w:rPr>
            </w:pPr>
            <w:r>
              <w:rPr>
                <w:rFonts w:ascii="Times New Roman"/>
                <w:sz w:val="18"/>
              </w:rPr>
              <w:t>99,000.0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4,260.0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96,300.0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16,841.1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49" w:hRule="exact"/>
        </w:trPr>
        <w:tc>
          <w:tcPr>
            <w:tcW w:w="34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变更原因及变更程序说明（分具体项目）</w:t>
            </w:r>
          </w:p>
        </w:tc>
        <w:tc>
          <w:tcPr>
            <w:tcW w:w="64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因南京新街口店扩建项目用地挂牌出让时其实际的出让面积、出让政策、规划用</w:t>
            </w:r>
          </w:p>
          <w:p>
            <w:pPr>
              <w:pStyle w:val="TableParagraph"/>
              <w:spacing w:line="234" w:lineRule="exact" w:before="22"/>
              <w:ind w:left="103" w:right="79"/>
              <w:jc w:val="both"/>
              <w:rPr>
                <w:rFonts w:ascii="宋体" w:hAnsi="宋体" w:cs="宋体" w:eastAsia="宋体" w:hint="default"/>
                <w:sz w:val="18"/>
                <w:szCs w:val="18"/>
              </w:rPr>
            </w:pPr>
            <w:r>
              <w:rPr>
                <w:rFonts w:ascii="宋体" w:hAnsi="宋体" w:cs="宋体" w:eastAsia="宋体" w:hint="default"/>
                <w:sz w:val="18"/>
                <w:szCs w:val="18"/>
              </w:rPr>
              <w:t>地性质等与原募集资金项目规划相比发生了一定的变动，公司原计划拟与江苏苏 宁电器有限公司联合进行南京新街口店扩建项目的建设。但在实际操作过程中， 考虑到联合实施项目建设会对公司运作的独立性造成一定的影响，同时对公司而 言，项目建成周期长且项目管理、控制难度较大。鉴于上述情况，本着为投资者 </w:t>
            </w:r>
            <w:r>
              <w:rPr>
                <w:rFonts w:ascii="宋体" w:hAnsi="宋体" w:cs="宋体" w:eastAsia="宋体" w:hint="default"/>
                <w:spacing w:val="-3"/>
                <w:sz w:val="18"/>
                <w:szCs w:val="18"/>
              </w:rPr>
              <w:t>负责的态度，经公司第二届董事会第十七次会议、</w:t>
            </w:r>
            <w:r>
              <w:rPr>
                <w:rFonts w:ascii="Times New Roman" w:hAnsi="Times New Roman" w:cs="Times New Roman" w:eastAsia="Times New Roman" w:hint="default"/>
                <w:spacing w:val="-3"/>
                <w:sz w:val="18"/>
                <w:szCs w:val="18"/>
              </w:rPr>
              <w:t>2005 </w:t>
            </w:r>
            <w:r>
              <w:rPr>
                <w:rFonts w:ascii="宋体" w:hAnsi="宋体" w:cs="宋体" w:eastAsia="宋体" w:hint="default"/>
                <w:sz w:val="18"/>
                <w:szCs w:val="18"/>
              </w:rPr>
              <w:t>年第二次临时股东大会审</w:t>
            </w:r>
            <w:r>
              <w:rPr>
                <w:rFonts w:ascii="宋体" w:hAnsi="宋体" w:cs="宋体" w:eastAsia="宋体" w:hint="default"/>
                <w:spacing w:val="-77"/>
                <w:sz w:val="18"/>
                <w:szCs w:val="18"/>
              </w:rPr>
              <w:t> </w:t>
            </w:r>
            <w:r>
              <w:rPr>
                <w:rFonts w:ascii="宋体" w:hAnsi="宋体" w:cs="宋体" w:eastAsia="宋体" w:hint="default"/>
                <w:sz w:val="18"/>
                <w:szCs w:val="18"/>
              </w:rPr>
              <w:t>议通过，同意终止南京新街口店扩建项目。</w:t>
            </w:r>
          </w:p>
        </w:tc>
      </w:tr>
      <w:tr>
        <w:trPr>
          <w:trHeight w:val="683" w:hRule="exact"/>
        </w:trPr>
        <w:tc>
          <w:tcPr>
            <w:tcW w:w="34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95"/>
              <w:jc w:val="left"/>
              <w:rPr>
                <w:rFonts w:ascii="宋体" w:hAnsi="宋体" w:cs="宋体" w:eastAsia="宋体" w:hint="default"/>
                <w:sz w:val="18"/>
                <w:szCs w:val="18"/>
              </w:rPr>
            </w:pPr>
            <w:r>
              <w:rPr>
                <w:rFonts w:ascii="宋体" w:hAnsi="宋体" w:cs="宋体" w:eastAsia="宋体" w:hint="default"/>
                <w:spacing w:val="8"/>
                <w:sz w:val="18"/>
                <w:szCs w:val="18"/>
              </w:rPr>
              <w:t>未达到计划进度和预计收益的情况和原 </w:t>
            </w:r>
            <w:r>
              <w:rPr>
                <w:rFonts w:ascii="宋体" w:hAnsi="宋体" w:cs="宋体" w:eastAsia="宋体" w:hint="default"/>
                <w:sz w:val="18"/>
                <w:szCs w:val="18"/>
              </w:rPr>
              <w:t>因（分具体项目）</w:t>
            </w:r>
          </w:p>
        </w:tc>
        <w:tc>
          <w:tcPr>
            <w:tcW w:w="64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22" w:hRule="exact"/>
        </w:trPr>
        <w:tc>
          <w:tcPr>
            <w:tcW w:w="34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95"/>
              <w:jc w:val="left"/>
              <w:rPr>
                <w:rFonts w:ascii="宋体" w:hAnsi="宋体" w:cs="宋体" w:eastAsia="宋体" w:hint="default"/>
                <w:sz w:val="18"/>
                <w:szCs w:val="18"/>
              </w:rPr>
            </w:pPr>
            <w:r>
              <w:rPr>
                <w:rFonts w:ascii="宋体" w:hAnsi="宋体" w:cs="宋体" w:eastAsia="宋体" w:hint="default"/>
                <w:spacing w:val="8"/>
                <w:sz w:val="18"/>
                <w:szCs w:val="18"/>
              </w:rPr>
              <w:t>变更后的项目可行性发生重大变化的情 </w:t>
            </w:r>
            <w:r>
              <w:rPr>
                <w:rFonts w:ascii="宋体" w:hAnsi="宋体" w:cs="宋体" w:eastAsia="宋体" w:hint="default"/>
                <w:sz w:val="18"/>
                <w:szCs w:val="18"/>
              </w:rPr>
              <w:t>况说明</w:t>
            </w:r>
          </w:p>
        </w:tc>
        <w:tc>
          <w:tcPr>
            <w:tcW w:w="64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398" w:lineRule="auto" w:before="63"/>
        <w:ind w:left="763"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：六地区连锁店建设项目尚未实施完毕，且连锁店均在</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年之后开设，经营没有达 </w:t>
      </w:r>
      <w:r>
        <w:rPr>
          <w:rFonts w:ascii="宋体" w:hAnsi="宋体" w:cs="宋体" w:eastAsia="宋体" w:hint="default"/>
          <w:spacing w:val="-3"/>
          <w:sz w:val="21"/>
          <w:szCs w:val="21"/>
        </w:rPr>
        <w:t>到变更募集资金用途的补充公告的判定年限—正常年（开业后第三年）。随着项目实施的推进，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已开设连锁店进入成熟稳定期，经营效益逐步提高，该项目效益情况将会进一步体现。</w:t>
      </w:r>
    </w:p>
    <w:p>
      <w:pPr>
        <w:spacing w:after="0" w:line="398" w:lineRule="auto"/>
        <w:jc w:val="left"/>
        <w:rPr>
          <w:rFonts w:ascii="宋体" w:hAnsi="宋体" w:cs="宋体" w:eastAsia="宋体" w:hint="default"/>
          <w:sz w:val="21"/>
          <w:szCs w:val="21"/>
        </w:rPr>
        <w:sectPr>
          <w:pgSz w:w="11910" w:h="16840"/>
          <w:pgMar w:header="879" w:footer="982" w:top="1100" w:bottom="1180" w:left="880" w:right="880"/>
        </w:sectPr>
      </w:pPr>
    </w:p>
    <w:p>
      <w:pPr>
        <w:spacing w:line="240" w:lineRule="auto" w:before="10"/>
        <w:rPr>
          <w:rFonts w:ascii="宋体" w:hAnsi="宋体" w:cs="宋体" w:eastAsia="宋体" w:hint="default"/>
          <w:sz w:val="10"/>
          <w:szCs w:val="10"/>
        </w:rPr>
      </w:pPr>
    </w:p>
    <w:p>
      <w:pPr>
        <w:pStyle w:val="BodyText"/>
        <w:tabs>
          <w:tab w:pos="1663" w:val="left" w:leader="none"/>
        </w:tabs>
        <w:spacing w:line="240" w:lineRule="auto" w:before="26"/>
        <w:ind w:left="1244"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Times New Roman" w:hAnsi="Times New Roman" w:cs="Times New Roman" w:eastAsia="Times New Roman" w:hint="default"/>
        </w:rPr>
        <w:t>2006 </w:t>
      </w:r>
      <w:r>
        <w:rPr/>
        <w:t>年非公开发行股票募集资金使用情况</w:t>
      </w:r>
    </w:p>
    <w:p>
      <w:pPr>
        <w:spacing w:line="240" w:lineRule="auto" w:before="4"/>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865"/>
        <w:gridCol w:w="726"/>
        <w:gridCol w:w="1315"/>
        <w:gridCol w:w="1136"/>
        <w:gridCol w:w="1080"/>
        <w:gridCol w:w="900"/>
        <w:gridCol w:w="1090"/>
        <w:gridCol w:w="820"/>
        <w:gridCol w:w="540"/>
        <w:gridCol w:w="815"/>
        <w:gridCol w:w="625"/>
      </w:tblGrid>
      <w:tr>
        <w:trPr>
          <w:trHeight w:val="342" w:hRule="exact"/>
        </w:trPr>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1,195,020.0</w:t>
            </w:r>
          </w:p>
        </w:tc>
        <w:tc>
          <w:tcPr>
            <w:tcW w:w="33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89" w:right="0"/>
              <w:jc w:val="left"/>
              <w:rPr>
                <w:rFonts w:ascii="宋体" w:hAnsi="宋体" w:cs="宋体" w:eastAsia="宋体" w:hint="default"/>
                <w:sz w:val="18"/>
                <w:szCs w:val="18"/>
              </w:rPr>
            </w:pPr>
            <w:r>
              <w:rPr>
                <w:rFonts w:ascii="宋体" w:hAnsi="宋体" w:cs="宋体" w:eastAsia="宋体" w:hint="default"/>
                <w:sz w:val="18"/>
                <w:szCs w:val="18"/>
              </w:rPr>
              <w:t>本年度已使用募集资金总额</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3" w:right="0"/>
              <w:jc w:val="left"/>
              <w:rPr>
                <w:rFonts w:ascii="Times New Roman" w:hAnsi="Times New Roman" w:cs="Times New Roman" w:eastAsia="Times New Roman" w:hint="default"/>
                <w:sz w:val="18"/>
                <w:szCs w:val="18"/>
              </w:rPr>
            </w:pPr>
            <w:r>
              <w:rPr>
                <w:rFonts w:ascii="Times New Roman"/>
                <w:sz w:val="18"/>
              </w:rPr>
              <w:t>284,610.1</w:t>
            </w:r>
          </w:p>
        </w:tc>
      </w:tr>
      <w:tr>
        <w:trPr>
          <w:trHeight w:val="565" w:hRule="exact"/>
        </w:trPr>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81"/>
              <w:jc w:val="left"/>
              <w:rPr>
                <w:rFonts w:ascii="宋体" w:hAnsi="宋体" w:cs="宋体" w:eastAsia="宋体" w:hint="default"/>
                <w:sz w:val="18"/>
                <w:szCs w:val="18"/>
              </w:rPr>
            </w:pPr>
            <w:r>
              <w:rPr>
                <w:rFonts w:ascii="宋体" w:hAnsi="宋体" w:cs="宋体" w:eastAsia="宋体" w:hint="default"/>
                <w:spacing w:val="16"/>
                <w:sz w:val="18"/>
                <w:szCs w:val="18"/>
              </w:rPr>
              <w:t>变更用途的募集</w:t>
            </w:r>
            <w:r>
              <w:rPr>
                <w:rFonts w:ascii="宋体" w:hAnsi="宋体" w:cs="宋体" w:eastAsia="宋体" w:hint="default"/>
                <w:spacing w:val="-71"/>
                <w:sz w:val="18"/>
                <w:szCs w:val="18"/>
              </w:rPr>
              <w:t> </w:t>
            </w:r>
            <w:r>
              <w:rPr>
                <w:rFonts w:ascii="宋体" w:hAnsi="宋体" w:cs="宋体" w:eastAsia="宋体" w:hint="default"/>
                <w:sz w:val="18"/>
                <w:szCs w:val="18"/>
              </w:rPr>
              <w:t>资金总额</w:t>
            </w:r>
          </w:p>
        </w:tc>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49" w:type="dxa"/>
            <w:gridSpan w:val="4"/>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79" w:right="0"/>
              <w:jc w:val="left"/>
              <w:rPr>
                <w:rFonts w:ascii="宋体" w:hAnsi="宋体" w:cs="宋体" w:eastAsia="宋体" w:hint="default"/>
                <w:sz w:val="18"/>
                <w:szCs w:val="18"/>
              </w:rPr>
            </w:pPr>
            <w:r>
              <w:rPr>
                <w:rFonts w:ascii="宋体" w:hAnsi="宋体" w:cs="宋体" w:eastAsia="宋体" w:hint="default"/>
                <w:sz w:val="18"/>
                <w:szCs w:val="18"/>
              </w:rPr>
              <w:t>已累计使用募集资金总额</w:t>
            </w:r>
          </w:p>
        </w:tc>
        <w:tc>
          <w:tcPr>
            <w:tcW w:w="144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971,953.7</w:t>
            </w:r>
          </w:p>
        </w:tc>
      </w:tr>
      <w:tr>
        <w:trPr>
          <w:trHeight w:val="478" w:hRule="exact"/>
        </w:trPr>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变更用途的募集</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资金总额比例</w:t>
            </w:r>
          </w:p>
        </w:tc>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49" w:type="dxa"/>
            <w:gridSpan w:val="4"/>
            <w:vMerge/>
            <w:tcBorders>
              <w:left w:val="single" w:sz="4" w:space="0" w:color="000000"/>
              <w:bottom w:val="single" w:sz="4" w:space="0" w:color="000000"/>
              <w:right w:val="single" w:sz="4" w:space="0" w:color="000000"/>
            </w:tcBorders>
          </w:tcPr>
          <w:p>
            <w:pPr/>
          </w:p>
        </w:tc>
        <w:tc>
          <w:tcPr>
            <w:tcW w:w="1440" w:type="dxa"/>
            <w:gridSpan w:val="2"/>
            <w:vMerge/>
            <w:tcBorders>
              <w:left w:val="single" w:sz="4" w:space="0" w:color="000000"/>
              <w:bottom w:val="single" w:sz="4" w:space="0" w:color="000000"/>
              <w:right w:val="single" w:sz="4" w:space="0" w:color="000000"/>
            </w:tcBorders>
          </w:tcPr>
          <w:p>
            <w:pPr/>
          </w:p>
        </w:tc>
      </w:tr>
      <w:tr>
        <w:trPr>
          <w:trHeight w:val="1181"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7" w:right="246"/>
              <w:jc w:val="left"/>
              <w:rPr>
                <w:rFonts w:ascii="宋体" w:hAnsi="宋体" w:cs="宋体" w:eastAsia="宋体" w:hint="default"/>
                <w:sz w:val="18"/>
                <w:szCs w:val="18"/>
              </w:rPr>
            </w:pPr>
            <w:r>
              <w:rPr>
                <w:rFonts w:ascii="宋体" w:hAnsi="宋体" w:cs="宋体" w:eastAsia="宋体" w:hint="default"/>
                <w:sz w:val="18"/>
                <w:szCs w:val="18"/>
              </w:rPr>
              <w:t>承诺 项目</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27" w:firstLine="64"/>
              <w:jc w:val="left"/>
              <w:rPr>
                <w:rFonts w:ascii="宋体" w:hAnsi="宋体" w:cs="宋体" w:eastAsia="宋体" w:hint="default"/>
                <w:sz w:val="18"/>
                <w:szCs w:val="18"/>
              </w:rPr>
            </w:pPr>
            <w:r>
              <w:rPr>
                <w:rFonts w:ascii="宋体" w:hAnsi="宋体" w:cs="宋体" w:eastAsia="宋体" w:hint="default"/>
                <w:sz w:val="18"/>
                <w:szCs w:val="18"/>
              </w:rPr>
              <w:t>是否已 变更项 </w:t>
            </w:r>
            <w:r>
              <w:rPr>
                <w:rFonts w:ascii="宋体" w:hAnsi="宋体" w:cs="宋体" w:eastAsia="宋体" w:hint="default"/>
                <w:spacing w:val="-13"/>
                <w:sz w:val="18"/>
                <w:szCs w:val="18"/>
              </w:rPr>
              <w:t>目（含部</w:t>
            </w:r>
            <w:r>
              <w:rPr>
                <w:rFonts w:ascii="宋体" w:hAnsi="宋体" w:cs="宋体" w:eastAsia="宋体" w:hint="default"/>
                <w:sz w:val="18"/>
                <w:szCs w:val="18"/>
              </w:rPr>
              <w:t> 分变更）</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原计划投入总额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3" w:right="20" w:hanging="450"/>
              <w:jc w:val="left"/>
              <w:rPr>
                <w:rFonts w:ascii="宋体" w:hAnsi="宋体" w:cs="宋体" w:eastAsia="宋体" w:hint="default"/>
                <w:sz w:val="18"/>
                <w:szCs w:val="18"/>
              </w:rPr>
            </w:pPr>
            <w:r>
              <w:rPr>
                <w:rFonts w:ascii="宋体" w:hAnsi="宋体" w:cs="宋体" w:eastAsia="宋体" w:hint="default"/>
                <w:sz w:val="18"/>
                <w:szCs w:val="18"/>
              </w:rPr>
              <w:t>本年度投入金 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3" w:right="84" w:hanging="270"/>
              <w:jc w:val="left"/>
              <w:rPr>
                <w:rFonts w:ascii="宋体" w:hAnsi="宋体" w:cs="宋体" w:eastAsia="宋体" w:hint="default"/>
                <w:sz w:val="18"/>
                <w:szCs w:val="18"/>
              </w:rPr>
            </w:pPr>
            <w:r>
              <w:rPr>
                <w:rFonts w:ascii="宋体" w:hAnsi="宋体" w:cs="宋体" w:eastAsia="宋体" w:hint="default"/>
                <w:sz w:val="18"/>
                <w:szCs w:val="18"/>
              </w:rPr>
              <w:t>累计已投入 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3" w:firstLine="61"/>
              <w:jc w:val="left"/>
              <w:rPr>
                <w:rFonts w:ascii="宋体" w:hAnsi="宋体" w:cs="宋体" w:eastAsia="宋体" w:hint="default"/>
                <w:sz w:val="18"/>
                <w:szCs w:val="18"/>
              </w:rPr>
            </w:pPr>
            <w:r>
              <w:rPr>
                <w:rFonts w:ascii="宋体" w:hAnsi="宋体" w:cs="宋体" w:eastAsia="宋体" w:hint="default"/>
                <w:sz w:val="18"/>
                <w:szCs w:val="18"/>
              </w:rPr>
              <w:t>实际投资 进度（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23" w:firstLine="66"/>
              <w:jc w:val="left"/>
              <w:rPr>
                <w:rFonts w:ascii="宋体" w:hAnsi="宋体" w:cs="宋体" w:eastAsia="宋体" w:hint="default"/>
                <w:sz w:val="18"/>
                <w:szCs w:val="18"/>
              </w:rPr>
            </w:pPr>
            <w:r>
              <w:rPr>
                <w:rFonts w:ascii="宋体" w:hAnsi="宋体" w:cs="宋体" w:eastAsia="宋体" w:hint="default"/>
                <w:sz w:val="18"/>
                <w:szCs w:val="18"/>
              </w:rPr>
              <w:t>本年度实现 </w:t>
            </w:r>
            <w:r>
              <w:rPr>
                <w:rFonts w:ascii="宋体" w:hAnsi="宋体" w:cs="宋体" w:eastAsia="宋体" w:hint="default"/>
                <w:spacing w:val="-8"/>
                <w:sz w:val="18"/>
                <w:szCs w:val="18"/>
              </w:rPr>
              <w:t>的收益（以利</w:t>
            </w:r>
            <w:r>
              <w:rPr>
                <w:rFonts w:ascii="宋体" w:hAnsi="宋体" w:cs="宋体" w:eastAsia="宋体" w:hint="default"/>
                <w:sz w:val="18"/>
                <w:szCs w:val="18"/>
              </w:rPr>
              <w:t> 润总额计算）</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44" w:right="43"/>
              <w:jc w:val="center"/>
              <w:rPr>
                <w:rFonts w:ascii="宋体" w:hAnsi="宋体" w:cs="宋体" w:eastAsia="宋体" w:hint="default"/>
                <w:sz w:val="18"/>
                <w:szCs w:val="18"/>
              </w:rPr>
            </w:pPr>
            <w:r>
              <w:rPr>
                <w:rFonts w:ascii="宋体" w:hAnsi="宋体" w:cs="宋体" w:eastAsia="宋体" w:hint="default"/>
                <w:sz w:val="18"/>
                <w:szCs w:val="18"/>
              </w:rPr>
              <w:t>项目建成 时间或预 计建成时 间</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3" w:right="84"/>
              <w:jc w:val="both"/>
              <w:rPr>
                <w:rFonts w:ascii="宋体" w:hAnsi="宋体" w:cs="宋体" w:eastAsia="宋体" w:hint="default"/>
                <w:sz w:val="18"/>
                <w:szCs w:val="18"/>
              </w:rPr>
            </w:pPr>
            <w:r>
              <w:rPr>
                <w:rFonts w:ascii="宋体" w:hAnsi="宋体" w:cs="宋体" w:eastAsia="宋体" w:hint="default"/>
                <w:sz w:val="18"/>
                <w:szCs w:val="18"/>
              </w:rPr>
              <w:t>是否 符合 计划 进度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 w:right="41"/>
              <w:jc w:val="left"/>
              <w:rPr>
                <w:rFonts w:ascii="宋体" w:hAnsi="宋体" w:cs="宋体" w:eastAsia="宋体" w:hint="default"/>
                <w:sz w:val="18"/>
                <w:szCs w:val="18"/>
              </w:rPr>
            </w:pPr>
            <w:r>
              <w:rPr>
                <w:rFonts w:ascii="宋体" w:hAnsi="宋体" w:cs="宋体" w:eastAsia="宋体" w:hint="default"/>
                <w:sz w:val="18"/>
                <w:szCs w:val="18"/>
              </w:rPr>
              <w:t>是否符合 预计收益</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项目可</w:t>
            </w:r>
          </w:p>
          <w:p>
            <w:pPr>
              <w:pStyle w:val="TableParagraph"/>
              <w:spacing w:line="240" w:lineRule="auto"/>
              <w:ind w:left="37" w:right="36"/>
              <w:jc w:val="center"/>
              <w:rPr>
                <w:rFonts w:ascii="宋体" w:hAnsi="宋体" w:cs="宋体" w:eastAsia="宋体" w:hint="default"/>
                <w:sz w:val="18"/>
                <w:szCs w:val="18"/>
              </w:rPr>
            </w:pPr>
            <w:r>
              <w:rPr>
                <w:rFonts w:ascii="宋体" w:hAnsi="宋体" w:cs="宋体" w:eastAsia="宋体" w:hint="default"/>
                <w:sz w:val="18"/>
                <w:szCs w:val="18"/>
              </w:rPr>
              <w:t>行性是 否发生 重大变 化</w:t>
            </w:r>
          </w:p>
        </w:tc>
      </w:tr>
      <w:tr>
        <w:trPr>
          <w:trHeight w:val="94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家</w:t>
            </w:r>
          </w:p>
          <w:p>
            <w:pPr>
              <w:pStyle w:val="TableParagraph"/>
              <w:spacing w:line="234" w:lineRule="exact" w:before="15"/>
              <w:ind w:left="103" w:right="48"/>
              <w:jc w:val="both"/>
              <w:rPr>
                <w:rFonts w:ascii="宋体" w:hAnsi="宋体" w:cs="宋体" w:eastAsia="宋体" w:hint="default"/>
                <w:sz w:val="18"/>
                <w:szCs w:val="18"/>
              </w:rPr>
            </w:pPr>
            <w:r>
              <w:rPr>
                <w:rFonts w:ascii="宋体" w:hAnsi="宋体" w:cs="宋体" w:eastAsia="宋体" w:hint="default"/>
                <w:spacing w:val="36"/>
                <w:sz w:val="18"/>
                <w:szCs w:val="18"/>
              </w:rPr>
              <w:t>连锁店</w:t>
            </w:r>
            <w:r>
              <w:rPr>
                <w:rFonts w:ascii="宋体" w:hAnsi="宋体" w:cs="宋体" w:eastAsia="宋体" w:hint="default"/>
                <w:spacing w:val="-36"/>
                <w:sz w:val="18"/>
                <w:szCs w:val="18"/>
              </w:rPr>
              <w:t> </w:t>
            </w:r>
            <w:r>
              <w:rPr>
                <w:rFonts w:ascii="宋体" w:hAnsi="宋体" w:cs="宋体" w:eastAsia="宋体" w:hint="default"/>
                <w:spacing w:val="36"/>
                <w:sz w:val="18"/>
                <w:szCs w:val="18"/>
              </w:rPr>
              <w:t>发展项</w:t>
            </w:r>
            <w:r>
              <w:rPr>
                <w:rFonts w:ascii="宋体" w:hAnsi="宋体" w:cs="宋体" w:eastAsia="宋体" w:hint="default"/>
                <w:spacing w:val="-36"/>
                <w:sz w:val="18"/>
                <w:szCs w:val="18"/>
              </w:rPr>
              <w:t> </w:t>
            </w:r>
            <w:r>
              <w:rPr>
                <w:rFonts w:ascii="宋体" w:hAnsi="宋体" w:cs="宋体" w:eastAsia="宋体" w:hint="default"/>
                <w:sz w:val="18"/>
                <w:szCs w:val="18"/>
              </w:rPr>
              <w:t>目</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151,456.3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3"/>
              <w:jc w:val="right"/>
              <w:rPr>
                <w:rFonts w:ascii="Times New Roman" w:hAnsi="Times New Roman" w:cs="Times New Roman" w:eastAsia="Times New Roman" w:hint="default"/>
                <w:sz w:val="18"/>
                <w:szCs w:val="18"/>
              </w:rPr>
            </w:pPr>
            <w:r>
              <w:rPr>
                <w:rFonts w:ascii="Times New Roman"/>
                <w:sz w:val="18"/>
              </w:rPr>
              <w:t>372,703.9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78"/>
              <w:jc w:val="right"/>
              <w:rPr>
                <w:rFonts w:ascii="Times New Roman" w:hAnsi="Times New Roman" w:cs="Times New Roman" w:eastAsia="Times New Roman" w:hint="default"/>
                <w:sz w:val="18"/>
                <w:szCs w:val="18"/>
              </w:rPr>
            </w:pPr>
            <w:r>
              <w:rPr>
                <w:rFonts w:ascii="Times New Roman"/>
                <w:sz w:val="18"/>
              </w:rPr>
              <w:t>75%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133,615.3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2008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3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江苏物</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40" w:lineRule="auto"/>
              <w:ind w:left="103" w:right="48"/>
              <w:jc w:val="left"/>
              <w:rPr>
                <w:rFonts w:ascii="宋体" w:hAnsi="宋体" w:cs="宋体" w:eastAsia="宋体" w:hint="default"/>
                <w:sz w:val="18"/>
                <w:szCs w:val="18"/>
              </w:rPr>
            </w:pPr>
            <w:r>
              <w:rPr>
                <w:rFonts w:ascii="宋体" w:hAnsi="宋体" w:cs="宋体" w:eastAsia="宋体" w:hint="default"/>
                <w:spacing w:val="36"/>
                <w:sz w:val="18"/>
                <w:szCs w:val="18"/>
              </w:rPr>
              <w:t>流中心</w:t>
            </w:r>
            <w:r>
              <w:rPr>
                <w:rFonts w:ascii="宋体" w:hAnsi="宋体" w:cs="宋体" w:eastAsia="宋体" w:hint="default"/>
                <w:spacing w:val="-36"/>
                <w:sz w:val="18"/>
                <w:szCs w:val="18"/>
              </w:rPr>
              <w:t> </w:t>
            </w:r>
            <w:r>
              <w:rPr>
                <w:rFonts w:ascii="宋体" w:hAnsi="宋体" w:cs="宋体" w:eastAsia="宋体" w:hint="default"/>
                <w:sz w:val="18"/>
                <w:szCs w:val="18"/>
              </w:rPr>
              <w:t>项目</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153,100.0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92,467.5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z w:val="18"/>
              </w:rPr>
              <w:t>130,131.0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9"/>
              <w:jc w:val="right"/>
              <w:rPr>
                <w:rFonts w:ascii="Times New Roman" w:hAnsi="Times New Roman" w:cs="Times New Roman" w:eastAsia="Times New Roman" w:hint="default"/>
                <w:sz w:val="18"/>
                <w:szCs w:val="18"/>
              </w:rPr>
            </w:pPr>
            <w:r>
              <w:rPr>
                <w:rFonts w:ascii="Times New Roman"/>
                <w:sz w:val="18"/>
              </w:rPr>
              <w:t>85%</w:t>
            </w:r>
          </w:p>
        </w:tc>
        <w:tc>
          <w:tcPr>
            <w:tcW w:w="109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left="13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5"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信息中</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心项目</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66"/>
              <w:jc w:val="right"/>
              <w:rPr>
                <w:rFonts w:ascii="宋体" w:hAnsi="宋体" w:cs="宋体" w:eastAsia="宋体" w:hint="default"/>
                <w:sz w:val="18"/>
                <w:szCs w:val="18"/>
              </w:rPr>
            </w:pPr>
            <w:r>
              <w:rPr>
                <w:rFonts w:ascii="宋体" w:hAnsi="宋体" w:cs="宋体" w:eastAsia="宋体" w:hint="default"/>
                <w:sz w:val="18"/>
                <w:szCs w:val="18"/>
              </w:rPr>
              <w:t>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131,719.0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40,686.3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4"/>
              <w:jc w:val="right"/>
              <w:rPr>
                <w:rFonts w:ascii="Times New Roman" w:hAnsi="Times New Roman" w:cs="Times New Roman" w:eastAsia="Times New Roman" w:hint="default"/>
                <w:sz w:val="18"/>
                <w:szCs w:val="18"/>
              </w:rPr>
            </w:pPr>
            <w:r>
              <w:rPr>
                <w:rFonts w:ascii="Times New Roman"/>
                <w:sz w:val="18"/>
              </w:rPr>
              <w:t>58,917.8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79"/>
              <w:jc w:val="right"/>
              <w:rPr>
                <w:rFonts w:ascii="Times New Roman" w:hAnsi="Times New Roman" w:cs="Times New Roman" w:eastAsia="Times New Roman" w:hint="default"/>
                <w:sz w:val="18"/>
                <w:szCs w:val="18"/>
              </w:rPr>
            </w:pPr>
            <w:r>
              <w:rPr>
                <w:rFonts w:ascii="Times New Roman"/>
                <w:sz w:val="18"/>
              </w:rPr>
              <w:t>45%</w:t>
            </w:r>
          </w:p>
        </w:tc>
        <w:tc>
          <w:tcPr>
            <w:tcW w:w="109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2008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补充流</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动资金</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66"/>
              <w:jc w:val="right"/>
              <w:rPr>
                <w:rFonts w:ascii="宋体" w:hAnsi="宋体" w:cs="宋体" w:eastAsia="宋体" w:hint="default"/>
                <w:sz w:val="18"/>
                <w:szCs w:val="18"/>
              </w:rPr>
            </w:pPr>
            <w:r>
              <w:rPr>
                <w:rFonts w:ascii="宋体" w:hAnsi="宋体" w:cs="宋体" w:eastAsia="宋体" w:hint="default"/>
                <w:sz w:val="18"/>
                <w:szCs w:val="18"/>
              </w:rPr>
              <w:t>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410,201.0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3"/>
              <w:jc w:val="right"/>
              <w:rPr>
                <w:rFonts w:ascii="Times New Roman" w:hAnsi="Times New Roman" w:cs="Times New Roman" w:eastAsia="Times New Roman" w:hint="default"/>
                <w:sz w:val="18"/>
                <w:szCs w:val="18"/>
              </w:rPr>
            </w:pPr>
            <w:r>
              <w:rPr>
                <w:rFonts w:ascii="Times New Roman"/>
                <w:sz w:val="18"/>
              </w:rPr>
              <w:t>410,201.0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66"/>
              <w:jc w:val="right"/>
              <w:rPr>
                <w:rFonts w:ascii="宋体" w:hAnsi="宋体" w:cs="宋体" w:eastAsia="宋体" w:hint="default"/>
                <w:sz w:val="18"/>
                <w:szCs w:val="18"/>
              </w:rPr>
            </w:pPr>
            <w:r>
              <w:rPr>
                <w:rFonts w:ascii="宋体" w:hAnsi="宋体" w:cs="宋体" w:eastAsia="宋体"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7" w:right="0"/>
              <w:jc w:val="left"/>
              <w:rPr>
                <w:rFonts w:ascii="Times New Roman" w:hAnsi="Times New Roman" w:cs="Times New Roman" w:eastAsia="Times New Roman" w:hint="default"/>
                <w:sz w:val="18"/>
                <w:szCs w:val="18"/>
              </w:rPr>
            </w:pPr>
            <w:r>
              <w:rPr>
                <w:rFonts w:ascii="Times New Roman"/>
                <w:sz w:val="18"/>
              </w:rPr>
              <w:t>1,195,020.0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284,610.1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3"/>
              <w:jc w:val="right"/>
              <w:rPr>
                <w:rFonts w:ascii="Times New Roman" w:hAnsi="Times New Roman" w:cs="Times New Roman" w:eastAsia="Times New Roman" w:hint="default"/>
                <w:sz w:val="18"/>
                <w:szCs w:val="18"/>
              </w:rPr>
            </w:pPr>
            <w:r>
              <w:rPr>
                <w:rFonts w:ascii="Times New Roman"/>
                <w:sz w:val="18"/>
              </w:rPr>
              <w:t>971,953.7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78"/>
              <w:jc w:val="right"/>
              <w:rPr>
                <w:rFonts w:ascii="Times New Roman" w:hAnsi="Times New Roman" w:cs="Times New Roman" w:eastAsia="Times New Roman" w:hint="default"/>
                <w:sz w:val="18"/>
                <w:szCs w:val="18"/>
              </w:rPr>
            </w:pPr>
            <w:r>
              <w:rPr>
                <w:rFonts w:ascii="Times New Roman"/>
                <w:sz w:val="18"/>
              </w:rPr>
              <w:t>81%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133,615.3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85" w:hRule="exact"/>
        </w:trPr>
        <w:tc>
          <w:tcPr>
            <w:tcW w:w="2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分项目说明未达到计划进度和预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4" w:hRule="exact"/>
        </w:trPr>
        <w:tc>
          <w:tcPr>
            <w:tcW w:w="2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项目可行性发生重大变化的情况</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7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4" w:hRule="exact"/>
        </w:trPr>
        <w:tc>
          <w:tcPr>
            <w:tcW w:w="2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分项目说明募集资金投向变更原</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因及变更程序</w:t>
            </w:r>
          </w:p>
        </w:tc>
        <w:tc>
          <w:tcPr>
            <w:tcW w:w="7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066" w:hRule="exact"/>
        </w:trPr>
        <w:tc>
          <w:tcPr>
            <w:tcW w:w="2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募集资金项目实施地点变更情况</w:t>
            </w:r>
          </w:p>
        </w:tc>
        <w:tc>
          <w:tcPr>
            <w:tcW w:w="7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日，公司第二届董事会第三十七次会议通过了《关于信息中心项</w:t>
            </w:r>
          </w:p>
          <w:p>
            <w:pPr>
              <w:pStyle w:val="TableParagraph"/>
              <w:spacing w:line="234" w:lineRule="exact" w:before="15"/>
              <w:ind w:left="103" w:right="101"/>
              <w:jc w:val="both"/>
              <w:rPr>
                <w:rFonts w:ascii="宋体" w:hAnsi="宋体" w:cs="宋体" w:eastAsia="宋体" w:hint="default"/>
                <w:sz w:val="18"/>
                <w:szCs w:val="18"/>
              </w:rPr>
            </w:pPr>
            <w:r>
              <w:rPr>
                <w:rFonts w:ascii="宋体" w:hAnsi="宋体" w:cs="宋体" w:eastAsia="宋体" w:hint="default"/>
                <w:spacing w:val="-2"/>
                <w:sz w:val="18"/>
                <w:szCs w:val="18"/>
              </w:rPr>
              <w:t>目建设地点变更的议案》，同意信息中心项目的建设地点由原江苏软件园徐庄园区变更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为南京雨花经济开发区内。变更后，信息中心项目投资方案不变，不会对项目的实施进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度和盈利水平产生不利影响。</w:t>
            </w:r>
          </w:p>
          <w:p>
            <w:pPr>
              <w:pStyle w:val="TableParagraph"/>
              <w:spacing w:line="280" w:lineRule="auto" w:before="21"/>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日，公司第二届董事会第四十二次会议通过了《关于部分连锁店 </w:t>
            </w:r>
            <w:r>
              <w:rPr>
                <w:rFonts w:ascii="宋体" w:hAnsi="宋体" w:cs="宋体" w:eastAsia="宋体" w:hint="default"/>
                <w:spacing w:val="-2"/>
                <w:sz w:val="18"/>
                <w:szCs w:val="18"/>
              </w:rPr>
              <w:t>发展项目实施地点变更的议案》，同意六地区连锁店项目之一－在武汉武昌中南路商圈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开设连锁店变更为在武汉市武广商圈开设连锁店。变更后，原连锁店发展项目投资方案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不变，不会对连锁店发展项目的实施进度和盈利水平产生不利的影响。</w:t>
            </w:r>
          </w:p>
        </w:tc>
      </w:tr>
      <w:tr>
        <w:trPr>
          <w:trHeight w:val="484" w:hRule="exact"/>
        </w:trPr>
        <w:tc>
          <w:tcPr>
            <w:tcW w:w="2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募集资金项目实施方式调整情况</w:t>
            </w:r>
          </w:p>
        </w:tc>
        <w:tc>
          <w:tcPr>
            <w:tcW w:w="7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5" w:hRule="exact"/>
        </w:trPr>
        <w:tc>
          <w:tcPr>
            <w:tcW w:w="2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募集资金项目先期投入及置换情</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4" w:hRule="exact"/>
        </w:trPr>
        <w:tc>
          <w:tcPr>
            <w:tcW w:w="2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用闲置募集资金暂时补充流动资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金情况</w:t>
            </w:r>
          </w:p>
        </w:tc>
        <w:tc>
          <w:tcPr>
            <w:tcW w:w="7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68" w:hRule="exact"/>
        </w:trPr>
        <w:tc>
          <w:tcPr>
            <w:tcW w:w="2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86"/>
              <w:jc w:val="left"/>
              <w:rPr>
                <w:rFonts w:ascii="宋体" w:hAnsi="宋体" w:cs="宋体" w:eastAsia="宋体" w:hint="default"/>
                <w:sz w:val="18"/>
                <w:szCs w:val="18"/>
              </w:rPr>
            </w:pPr>
            <w:r>
              <w:rPr>
                <w:rFonts w:ascii="宋体" w:hAnsi="宋体" w:cs="宋体" w:eastAsia="宋体" w:hint="default"/>
                <w:spacing w:val="13"/>
                <w:sz w:val="18"/>
                <w:szCs w:val="18"/>
              </w:rPr>
              <w:t>项目实施出现募集资金结余的金 </w:t>
            </w:r>
            <w:r>
              <w:rPr>
                <w:rFonts w:ascii="宋体" w:hAnsi="宋体" w:cs="宋体" w:eastAsia="宋体" w:hint="default"/>
                <w:sz w:val="18"/>
                <w:szCs w:val="18"/>
              </w:rPr>
              <w:t>额及原因</w:t>
            </w:r>
          </w:p>
        </w:tc>
        <w:tc>
          <w:tcPr>
            <w:tcW w:w="7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130" w:hRule="exact"/>
        </w:trPr>
        <w:tc>
          <w:tcPr>
            <w:tcW w:w="2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尚未使用的募集资金用途、去向以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及募集资金其他使用情况</w:t>
            </w:r>
          </w:p>
        </w:tc>
        <w:tc>
          <w:tcPr>
            <w:tcW w:w="7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80" w:lineRule="auto" w:before="14"/>
              <w:ind w:left="103" w:right="101"/>
              <w:jc w:val="both"/>
              <w:rPr>
                <w:rFonts w:ascii="宋体" w:hAnsi="宋体" w:cs="宋体" w:eastAsia="宋体" w:hint="default"/>
                <w:sz w:val="18"/>
                <w:szCs w:val="18"/>
              </w:rPr>
            </w:pPr>
            <w:r>
              <w:rPr>
                <w:rFonts w:ascii="宋体" w:hAnsi="宋体" w:cs="宋体" w:eastAsia="宋体" w:hint="default"/>
                <w:spacing w:val="-2"/>
                <w:sz w:val="18"/>
                <w:szCs w:val="18"/>
              </w:rPr>
              <w:t>公司尚未使用的募集资金将主要用于连锁店发展项目、江苏物流中心项目、信息中心项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目的建设；公司将尚未使用的募资金存放于公司专户中，其中为提高资金使用效率，将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万元闲置的募集资金暂时以定期存单方式存放，不存在存单抵押、质押及其他所 有权、使用权受限制的情况。</w:t>
            </w:r>
          </w:p>
        </w:tc>
      </w:tr>
    </w:tbl>
    <w:p>
      <w:pPr>
        <w:spacing w:line="379" w:lineRule="auto" w:before="55"/>
        <w:ind w:left="764" w:right="687" w:firstLine="420"/>
        <w:jc w:val="both"/>
        <w:rPr>
          <w:rFonts w:ascii="宋体" w:hAnsi="宋体" w:cs="宋体" w:eastAsia="宋体" w:hint="default"/>
          <w:sz w:val="22"/>
          <w:szCs w:val="22"/>
        </w:rPr>
      </w:pPr>
      <w:r>
        <w:rPr>
          <w:rFonts w:ascii="宋体" w:hAnsi="宋体" w:cs="宋体" w:eastAsia="宋体" w:hint="default"/>
          <w:sz w:val="21"/>
          <w:szCs w:val="21"/>
        </w:rPr>
        <w:t>注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2"/>
          <w:szCs w:val="22"/>
        </w:rPr>
        <w:t>100 </w:t>
      </w:r>
      <w:r>
        <w:rPr>
          <w:rFonts w:ascii="宋体" w:hAnsi="宋体" w:cs="宋体" w:eastAsia="宋体" w:hint="default"/>
          <w:sz w:val="22"/>
          <w:szCs w:val="22"/>
        </w:rPr>
        <w:t>家连锁店项目尚未全部实施完毕，且连锁店均在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年之后开设，经营没</w:t>
      </w:r>
      <w:r>
        <w:rPr>
          <w:rFonts w:ascii="宋体" w:hAnsi="宋体" w:cs="宋体" w:eastAsia="宋体" w:hint="default"/>
          <w:w w:val="99"/>
          <w:sz w:val="22"/>
          <w:szCs w:val="22"/>
        </w:rPr>
        <w:t> </w:t>
      </w:r>
      <w:r>
        <w:rPr>
          <w:rFonts w:ascii="宋体" w:hAnsi="宋体" w:cs="宋体" w:eastAsia="宋体" w:hint="default"/>
          <w:spacing w:val="-3"/>
          <w:w w:val="99"/>
          <w:sz w:val="22"/>
          <w:szCs w:val="22"/>
        </w:rPr>
        <w:t>有达到非公开发行上市公告书判定年限－正常年（开业后第三年）。随着项目实施的推进，</w:t>
      </w:r>
      <w:r>
        <w:rPr>
          <w:rFonts w:ascii="宋体" w:hAnsi="宋体" w:cs="宋体" w:eastAsia="宋体" w:hint="default"/>
          <w:spacing w:val="-87"/>
          <w:w w:val="99"/>
          <w:sz w:val="22"/>
          <w:szCs w:val="22"/>
        </w:rPr>
        <w:t> </w:t>
      </w:r>
      <w:r>
        <w:rPr>
          <w:rFonts w:ascii="宋体" w:hAnsi="宋体" w:cs="宋体" w:eastAsia="宋体" w:hint="default"/>
          <w:spacing w:val="-87"/>
          <w:w w:val="99"/>
          <w:sz w:val="22"/>
          <w:szCs w:val="22"/>
        </w:rPr>
      </w:r>
      <w:r>
        <w:rPr>
          <w:rFonts w:ascii="宋体" w:hAnsi="宋体" w:cs="宋体" w:eastAsia="宋体" w:hint="default"/>
          <w:sz w:val="22"/>
          <w:szCs w:val="22"/>
        </w:rPr>
        <w:t>已开设连锁店进入成熟稳定期，经营效益逐步提高，该项目效益情况将会进一步体现。</w:t>
      </w:r>
    </w:p>
    <w:p>
      <w:pPr>
        <w:spacing w:after="0" w:line="379" w:lineRule="auto"/>
        <w:jc w:val="both"/>
        <w:rPr>
          <w:rFonts w:ascii="宋体" w:hAnsi="宋体" w:cs="宋体" w:eastAsia="宋体" w:hint="default"/>
          <w:sz w:val="22"/>
          <w:szCs w:val="22"/>
        </w:rPr>
        <w:sectPr>
          <w:pgSz w:w="11910" w:h="16840"/>
          <w:pgMar w:header="879" w:footer="982" w:top="1100" w:bottom="1180" w:left="880" w:right="880"/>
        </w:sectPr>
      </w:pPr>
    </w:p>
    <w:p>
      <w:pPr>
        <w:spacing w:line="240" w:lineRule="auto" w:before="11"/>
        <w:rPr>
          <w:rFonts w:ascii="宋体" w:hAnsi="宋体" w:cs="宋体" w:eastAsia="宋体" w:hint="default"/>
          <w:sz w:val="11"/>
          <w:szCs w:val="11"/>
        </w:rPr>
      </w:pPr>
    </w:p>
    <w:p>
      <w:pPr>
        <w:spacing w:line="400" w:lineRule="auto" w:before="35"/>
        <w:ind w:left="1024" w:right="1018" w:firstLine="419"/>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：江苏物流项目不直接产生经济收入，故无法单独核算效益；江苏物流项目的效益主 要体现在：其建成后有助于公司的区域物流整合，在有效保障货源的前提下加快库存周转率， 有效节约人力成本和租赁费用，提高作业效率，进一步提升公司的配送服务质量和品牌形象。 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：信息中心项目不直接产生经济收入，故无法单独核算效益；信息中心的效益主要体 现在：其建成后能够有力支撑公司未来连锁业务的拓展，加强公司的系统数据处理能力和安全 运行能力，进一步提高企业的管理水平和信息化应用能力，有利于企业的长期持续稳定发展。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ind w:left="1504" w:right="0"/>
        <w:jc w:val="left"/>
      </w:pPr>
      <w:r>
        <w:rPr/>
        <w:t>（</w:t>
      </w:r>
      <w:r>
        <w:rPr>
          <w:rFonts w:ascii="Times New Roman" w:hAnsi="Times New Roman" w:cs="Times New Roman" w:eastAsia="Times New Roman" w:hint="default"/>
        </w:rPr>
        <w:t>2</w:t>
      </w:r>
      <w:r>
        <w:rPr/>
        <w:t>）募集资金管理制度</w:t>
      </w:r>
    </w:p>
    <w:p>
      <w:pPr>
        <w:pStyle w:val="BodyText"/>
        <w:spacing w:line="338" w:lineRule="auto" w:before="135"/>
        <w:ind w:left="1023" w:right="1019" w:firstLine="540"/>
        <w:jc w:val="both"/>
      </w:pP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6"/>
        </w:rPr>
        <w:t>日，公司制订了《募集资金管理办法》，并经公司第二届董事</w:t>
      </w:r>
      <w:r>
        <w:rPr/>
        <w:t> </w:t>
      </w:r>
      <w:r>
        <w:rPr>
          <w:spacing w:val="-2"/>
        </w:rPr>
        <w:t>会第四次会议通过。根据《中小板上市公司募集资金管理细则》（</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5"/>
        </w:rPr>
        <w:t> </w:t>
      </w:r>
      <w:r>
        <w:rPr>
          <w:spacing w:val="-5"/>
        </w:rPr>
        <w:t>年修订）等</w:t>
      </w:r>
      <w:r>
        <w:rPr/>
        <w:t> 相关法律法规的规定，公司对募集资金管理制度予以修订。</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日，公 </w:t>
      </w:r>
      <w:r>
        <w:rPr>
          <w:spacing w:val="-4"/>
        </w:rPr>
        <w:t>司第二届董事会第四十七次会议审议通过了修订后的《募集资金管理制度》。</w:t>
      </w:r>
    </w:p>
    <w:p>
      <w:pPr>
        <w:spacing w:line="240" w:lineRule="auto" w:before="0"/>
        <w:rPr>
          <w:rFonts w:ascii="宋体" w:hAnsi="宋体" w:cs="宋体" w:eastAsia="宋体" w:hint="default"/>
          <w:sz w:val="24"/>
          <w:szCs w:val="24"/>
        </w:rPr>
      </w:pPr>
    </w:p>
    <w:p>
      <w:pPr>
        <w:pStyle w:val="BodyText"/>
        <w:spacing w:line="338" w:lineRule="auto" w:before="209"/>
        <w:ind w:left="1564" w:right="0" w:hanging="60"/>
        <w:jc w:val="left"/>
      </w:pPr>
      <w:r>
        <w:rPr/>
        <w:t>（</w:t>
      </w:r>
      <w:r>
        <w:rPr>
          <w:rFonts w:ascii="Times New Roman" w:hAnsi="Times New Roman" w:cs="Times New Roman" w:eastAsia="Times New Roman" w:hint="default"/>
        </w:rPr>
        <w:t>3</w:t>
      </w:r>
      <w:r>
        <w:rPr/>
        <w:t>）募集资金的管理及存放情况 </w:t>
      </w:r>
      <w:r>
        <w:rPr>
          <w:spacing w:val="-3"/>
        </w:rPr>
        <w:t>公司对募集资金在专项账户集中存储管理，并且在使用募集资金时，按照本公</w:t>
      </w:r>
    </w:p>
    <w:p>
      <w:pPr>
        <w:pStyle w:val="BodyText"/>
        <w:spacing w:line="357" w:lineRule="auto" w:before="55"/>
        <w:ind w:left="1024" w:right="1021"/>
        <w:jc w:val="both"/>
      </w:pPr>
      <w:r>
        <w:rPr>
          <w:spacing w:val="-1"/>
        </w:rPr>
        <w:t>司《募集资金管理制度》严格履行申请和审批手续。公司董事会对年度募集资金存</w:t>
      </w:r>
      <w:r>
        <w:rPr>
          <w:spacing w:val="-108"/>
        </w:rPr>
        <w:t> </w:t>
      </w:r>
      <w:r>
        <w:rPr>
          <w:spacing w:val="-108"/>
        </w:rPr>
      </w:r>
      <w:r>
        <w:rPr>
          <w:spacing w:val="-1"/>
        </w:rPr>
        <w:t>放与使用情况出具专项说明，并聘请会计师事务所对募集资金年度使用情况专项报</w:t>
      </w:r>
      <w:r>
        <w:rPr>
          <w:spacing w:val="-106"/>
        </w:rPr>
        <w:t> </w:t>
      </w:r>
      <w:r>
        <w:rPr>
          <w:spacing w:val="-106"/>
        </w:rPr>
      </w:r>
      <w:r>
        <w:rPr/>
        <w:t>告进行鉴证，出具鉴证报告。</w:t>
      </w:r>
    </w:p>
    <w:p>
      <w:pPr>
        <w:pStyle w:val="BodyText"/>
        <w:spacing w:line="357" w:lineRule="auto" w:before="36"/>
        <w:ind w:left="1024" w:right="1016" w:firstLine="480"/>
        <w:jc w:val="both"/>
      </w:pPr>
      <w:r>
        <w:rPr>
          <w:spacing w:val="-8"/>
        </w:rPr>
        <w:t>根据《深圳证券交易所股票上市规则》、《中小企业板上市公司募集资金管理细</w:t>
      </w:r>
      <w:r>
        <w:rPr/>
        <w:t> </w:t>
      </w:r>
      <w:r>
        <w:rPr>
          <w:spacing w:val="-1"/>
        </w:rPr>
        <w:t>则》及公司《募集资金管理制度》等相关法律、法规的规定和要求，公司、保荐机</w:t>
      </w:r>
      <w:r>
        <w:rPr>
          <w:spacing w:val="-108"/>
        </w:rPr>
        <w:t> </w:t>
      </w:r>
      <w:r>
        <w:rPr>
          <w:spacing w:val="-108"/>
        </w:rPr>
      </w:r>
      <w:r>
        <w:rPr>
          <w:spacing w:val="-1"/>
        </w:rPr>
        <w:t>构分别与中国银行股份有限公司南京鼓楼支行、中国光大银行南京分行、华夏银行</w:t>
      </w:r>
      <w:r>
        <w:rPr>
          <w:spacing w:val="-106"/>
        </w:rPr>
        <w:t> </w:t>
      </w:r>
      <w:r>
        <w:rPr>
          <w:spacing w:val="-106"/>
        </w:rPr>
      </w:r>
      <w:r>
        <w:rPr>
          <w:spacing w:val="-2"/>
        </w:rPr>
        <w:t>股份有限公司南京营业部签订《募集资金三方监管协议》，上述协议与三方监管协</w:t>
      </w:r>
      <w:r>
        <w:rPr>
          <w:spacing w:val="-96"/>
        </w:rPr>
        <w:t> </w:t>
      </w:r>
      <w:r>
        <w:rPr>
          <w:spacing w:val="-96"/>
        </w:rPr>
      </w:r>
      <w:r>
        <w:rPr/>
        <w:t>议范本不存在重大差异，公司在使用募集资金时已严格遵照履行。</w:t>
      </w:r>
    </w:p>
    <w:p>
      <w:pPr>
        <w:pStyle w:val="BodyText"/>
        <w:spacing w:line="240" w:lineRule="auto" w:before="36"/>
        <w:ind w:left="1564" w:right="0"/>
        <w:jc w:val="left"/>
      </w:pPr>
      <w:r>
        <w:rPr>
          <w:spacing w:val="-6"/>
        </w:rPr>
        <w:t>公司（母公司）目前有三个募集资金专户和一个定期存款账户，具体情况如下：</w:t>
      </w:r>
    </w:p>
    <w:p>
      <w:pPr>
        <w:spacing w:before="177"/>
        <w:ind w:left="0" w:right="1105" w:firstLine="0"/>
        <w:jc w:val="right"/>
        <w:rPr>
          <w:rFonts w:ascii="宋体" w:hAnsi="宋体" w:cs="宋体" w:eastAsia="宋体" w:hint="default"/>
          <w:sz w:val="21"/>
          <w:szCs w:val="21"/>
        </w:rPr>
      </w:pPr>
      <w:r>
        <w:rPr>
          <w:rFonts w:ascii="宋体" w:hAnsi="宋体" w:cs="宋体" w:eastAsia="宋体" w:hint="default"/>
          <w:spacing w:val="-1"/>
          <w:sz w:val="21"/>
          <w:szCs w:val="21"/>
        </w:rPr>
        <w:t>（单位：千元）</w:t>
      </w:r>
    </w:p>
    <w:p>
      <w:pPr>
        <w:spacing w:line="240" w:lineRule="auto" w:before="12"/>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3290"/>
        <w:gridCol w:w="2376"/>
        <w:gridCol w:w="1685"/>
        <w:gridCol w:w="1410"/>
        <w:gridCol w:w="1649"/>
      </w:tblGrid>
      <w:tr>
        <w:trPr>
          <w:trHeight w:val="320" w:hRule="exact"/>
        </w:trPr>
        <w:tc>
          <w:tcPr>
            <w:tcW w:w="3290" w:type="dxa"/>
            <w:vMerge w:val="restart"/>
            <w:tcBorders>
              <w:top w:val="single" w:sz="12" w:space="0" w:color="000000"/>
              <w:left w:val="nil" w:sz="6" w:space="0" w:color="auto"/>
              <w:right w:val="single" w:sz="4" w:space="0" w:color="000000"/>
            </w:tcBorders>
          </w:tcPr>
          <w:p>
            <w:pPr>
              <w:pStyle w:val="TableParagraph"/>
              <w:spacing w:line="240" w:lineRule="auto" w:before="142"/>
              <w:ind w:left="19" w:right="0"/>
              <w:jc w:val="center"/>
              <w:rPr>
                <w:rFonts w:ascii="宋体" w:hAnsi="宋体" w:cs="宋体" w:eastAsia="宋体" w:hint="default"/>
                <w:sz w:val="18"/>
                <w:szCs w:val="18"/>
              </w:rPr>
            </w:pPr>
            <w:r>
              <w:rPr>
                <w:rFonts w:ascii="宋体" w:hAnsi="宋体" w:cs="宋体" w:eastAsia="宋体" w:hint="default"/>
                <w:sz w:val="18"/>
                <w:szCs w:val="18"/>
              </w:rPr>
              <w:t>开户银行</w:t>
            </w:r>
          </w:p>
        </w:tc>
        <w:tc>
          <w:tcPr>
            <w:tcW w:w="2376" w:type="dxa"/>
            <w:vMerge w:val="restart"/>
            <w:tcBorders>
              <w:top w:val="single" w:sz="12" w:space="0" w:color="000000"/>
              <w:left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银行帐号</w:t>
            </w:r>
          </w:p>
        </w:tc>
        <w:tc>
          <w:tcPr>
            <w:tcW w:w="4744" w:type="dxa"/>
            <w:gridSpan w:val="3"/>
            <w:tcBorders>
              <w:top w:val="single" w:sz="12"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3290" w:type="dxa"/>
            <w:vMerge/>
            <w:tcBorders>
              <w:left w:val="nil" w:sz="6" w:space="0" w:color="auto"/>
              <w:bottom w:val="single" w:sz="4" w:space="0" w:color="000000"/>
              <w:right w:val="single" w:sz="4" w:space="0" w:color="000000"/>
            </w:tcBorders>
          </w:tcPr>
          <w:p>
            <w:pPr/>
          </w:p>
        </w:tc>
        <w:tc>
          <w:tcPr>
            <w:tcW w:w="2376"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97" w:right="0"/>
              <w:jc w:val="left"/>
              <w:rPr>
                <w:rFonts w:ascii="宋体" w:hAnsi="宋体" w:cs="宋体" w:eastAsia="宋体" w:hint="default"/>
                <w:sz w:val="18"/>
                <w:szCs w:val="18"/>
              </w:rPr>
            </w:pPr>
            <w:r>
              <w:rPr>
                <w:rFonts w:ascii="宋体" w:hAnsi="宋体" w:cs="宋体" w:eastAsia="宋体" w:hint="default"/>
                <w:sz w:val="18"/>
                <w:szCs w:val="18"/>
              </w:rPr>
              <w:t>募集资金余额</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649" w:type="dxa"/>
            <w:tcBorders>
              <w:top w:val="single" w:sz="4" w:space="0" w:color="000000"/>
              <w:left w:val="single" w:sz="4" w:space="0" w:color="000000"/>
              <w:bottom w:val="single" w:sz="4" w:space="0" w:color="000000"/>
              <w:right w:val="nil" w:sz="6" w:space="0" w:color="auto"/>
            </w:tcBorders>
          </w:tcPr>
          <w:p>
            <w:pPr>
              <w:pStyle w:val="TableParagraph"/>
              <w:tabs>
                <w:tab w:pos="998" w:val="left" w:leader="none"/>
              </w:tabs>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合</w:t>
              <w:tab/>
              <w:t>计</w:t>
            </w:r>
          </w:p>
        </w:tc>
      </w:tr>
      <w:tr>
        <w:trPr>
          <w:trHeight w:val="311"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华夏银行南京分行（定期存单）</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18"/>
                <w:szCs w:val="18"/>
              </w:rPr>
            </w:pPr>
            <w:r>
              <w:rPr>
                <w:rFonts w:ascii="Times New Roman"/>
                <w:sz w:val="18"/>
              </w:rPr>
              <w:t>07771-8301-93965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0"/>
              <w:jc w:val="right"/>
              <w:rPr>
                <w:rFonts w:ascii="Times New Roman" w:hAnsi="Times New Roman" w:cs="Times New Roman" w:eastAsia="Times New Roman" w:hint="default"/>
                <w:sz w:val="18"/>
                <w:szCs w:val="18"/>
              </w:rPr>
            </w:pPr>
            <w:r>
              <w:rPr>
                <w:rFonts w:ascii="Times New Roman"/>
                <w:sz w:val="18"/>
              </w:rPr>
              <w:t>50,000.00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9"/>
              <w:jc w:val="right"/>
              <w:rPr>
                <w:rFonts w:ascii="Times New Roman" w:hAnsi="Times New Roman" w:cs="Times New Roman" w:eastAsia="Times New Roman" w:hint="default"/>
                <w:sz w:val="18"/>
                <w:szCs w:val="18"/>
              </w:rPr>
            </w:pPr>
            <w:r>
              <w:rPr>
                <w:rFonts w:ascii="Times New Roman"/>
                <w:sz w:val="18"/>
              </w:rPr>
              <w:t>326.25</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z w:val="18"/>
              </w:rPr>
              <w:t>50,326.250</w:t>
            </w:r>
          </w:p>
        </w:tc>
      </w:tr>
      <w:tr>
        <w:trPr>
          <w:trHeight w:val="310"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中国光大银行南京分行中山东路支行</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18"/>
                <w:szCs w:val="18"/>
              </w:rPr>
            </w:pPr>
            <w:r>
              <w:rPr>
                <w:rFonts w:ascii="Times New Roman"/>
                <w:sz w:val="18"/>
              </w:rPr>
              <w:t>087650120100302076988</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131.48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z w:val="18"/>
              </w:rPr>
              <w:t>131.48</w:t>
            </w:r>
          </w:p>
        </w:tc>
      </w:tr>
      <w:tr>
        <w:trPr>
          <w:trHeight w:val="310"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华夏银行南京分行</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18"/>
                <w:szCs w:val="18"/>
              </w:rPr>
            </w:pPr>
            <w:r>
              <w:rPr>
                <w:rFonts w:ascii="Times New Roman"/>
                <w:sz w:val="18"/>
              </w:rPr>
              <w:t>4131200001819100086118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136,450.67</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9"/>
              <w:jc w:val="right"/>
              <w:rPr>
                <w:rFonts w:ascii="Times New Roman" w:hAnsi="Times New Roman" w:cs="Times New Roman" w:eastAsia="Times New Roman" w:hint="default"/>
                <w:sz w:val="18"/>
                <w:szCs w:val="18"/>
              </w:rPr>
            </w:pPr>
            <w:r>
              <w:rPr>
                <w:rFonts w:ascii="Times New Roman"/>
                <w:sz w:val="18"/>
              </w:rPr>
              <w:t>9,178.81</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z w:val="18"/>
              </w:rPr>
              <w:t>145,629.478</w:t>
            </w:r>
          </w:p>
        </w:tc>
      </w:tr>
      <w:tr>
        <w:trPr>
          <w:trHeight w:val="311"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中国银行南京鼓楼支行</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18"/>
                <w:szCs w:val="18"/>
              </w:rPr>
            </w:pPr>
            <w:r>
              <w:rPr>
                <w:rFonts w:ascii="Times New Roman"/>
                <w:sz w:val="18"/>
              </w:rPr>
              <w:t>044030201654458094001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8"/>
              <w:jc w:val="right"/>
              <w:rPr>
                <w:rFonts w:ascii="Times New Roman" w:hAnsi="Times New Roman" w:cs="Times New Roman" w:eastAsia="Times New Roman" w:hint="default"/>
                <w:sz w:val="18"/>
                <w:szCs w:val="18"/>
              </w:rPr>
            </w:pPr>
            <w:r>
              <w:rPr>
                <w:rFonts w:ascii="Times New Roman"/>
                <w:sz w:val="18"/>
              </w:rPr>
              <w:t>276.43</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z w:val="18"/>
              </w:rPr>
              <w:t>276,431.13</w:t>
            </w:r>
          </w:p>
        </w:tc>
      </w:tr>
      <w:tr>
        <w:trPr>
          <w:trHeight w:val="320" w:hRule="exact"/>
        </w:trPr>
        <w:tc>
          <w:tcPr>
            <w:tcW w:w="3290"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2"/>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76" w:type="dxa"/>
            <w:tcBorders>
              <w:top w:val="single" w:sz="4" w:space="0" w:color="000000"/>
              <w:left w:val="single" w:sz="4" w:space="0" w:color="000000"/>
              <w:bottom w:val="single" w:sz="12" w:space="0" w:color="000000"/>
              <w:right w:val="single" w:sz="4" w:space="0" w:color="000000"/>
            </w:tcBorders>
          </w:tcPr>
          <w:p>
            <w:pP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186,450.67</w:t>
            </w:r>
          </w:p>
        </w:tc>
        <w:tc>
          <w:tcPr>
            <w:tcW w:w="1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09"/>
              <w:jc w:val="right"/>
              <w:rPr>
                <w:rFonts w:ascii="Times New Roman" w:hAnsi="Times New Roman" w:cs="Times New Roman" w:eastAsia="Times New Roman" w:hint="default"/>
                <w:sz w:val="18"/>
                <w:szCs w:val="18"/>
              </w:rPr>
            </w:pPr>
            <w:r>
              <w:rPr>
                <w:rFonts w:ascii="Times New Roman"/>
                <w:sz w:val="18"/>
              </w:rPr>
              <w:t>9,912.97</w:t>
            </w:r>
          </w:p>
        </w:tc>
        <w:tc>
          <w:tcPr>
            <w:tcW w:w="16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z w:val="18"/>
              </w:rPr>
              <w:t>196,363.64</w:t>
            </w:r>
          </w:p>
        </w:tc>
      </w:tr>
    </w:tbl>
    <w:p>
      <w:pPr>
        <w:spacing w:after="0" w:line="240" w:lineRule="auto"/>
        <w:jc w:val="right"/>
        <w:rPr>
          <w:rFonts w:ascii="Times New Roman" w:hAnsi="Times New Roman" w:cs="Times New Roman" w:eastAsia="Times New Roman" w:hint="default"/>
          <w:sz w:val="18"/>
          <w:szCs w:val="18"/>
        </w:rPr>
        <w:sectPr>
          <w:pgSz w:w="11910" w:h="16840"/>
          <w:pgMar w:header="879" w:footer="982" w:top="1100" w:bottom="1180" w:left="620" w:right="620"/>
        </w:sectPr>
      </w:pPr>
    </w:p>
    <w:p>
      <w:pPr>
        <w:spacing w:line="240" w:lineRule="auto" w:before="10"/>
        <w:rPr>
          <w:rFonts w:ascii="宋体" w:hAnsi="宋体" w:cs="宋体" w:eastAsia="宋体" w:hint="default"/>
          <w:sz w:val="10"/>
          <w:szCs w:val="10"/>
        </w:rPr>
      </w:pPr>
    </w:p>
    <w:p>
      <w:pPr>
        <w:pStyle w:val="BodyText"/>
        <w:tabs>
          <w:tab w:pos="8656" w:val="left" w:leader="none"/>
        </w:tabs>
        <w:spacing w:line="357" w:lineRule="auto" w:before="26"/>
        <w:ind w:left="1364" w:right="1254" w:firstLine="480"/>
        <w:jc w:val="left"/>
        <w:rPr>
          <w:sz w:val="21"/>
          <w:szCs w:val="21"/>
        </w:rPr>
      </w:pPr>
      <w:r>
        <w:rPr/>
        <w:t>公司通过子公司或分公司实施的募集资金项目，在项目具体实施过程中，募集 </w:t>
      </w:r>
      <w:r>
        <w:rPr>
          <w:spacing w:val="-3"/>
        </w:rPr>
        <w:t>资金连同其他股东增资款也实行专户管理，具体情况如下：</w:t>
        <w:tab/>
      </w:r>
      <w:r>
        <w:rPr>
          <w:spacing w:val="-6"/>
          <w:sz w:val="21"/>
          <w:szCs w:val="21"/>
        </w:rPr>
        <w:t>（单位：千元）</w:t>
      </w:r>
    </w:p>
    <w:tbl>
      <w:tblPr>
        <w:tblW w:w="0" w:type="auto"/>
        <w:jc w:val="left"/>
        <w:tblInd w:w="117" w:type="dxa"/>
        <w:tblLayout w:type="fixed"/>
        <w:tblCellMar>
          <w:top w:w="0" w:type="dxa"/>
          <w:left w:w="0" w:type="dxa"/>
          <w:bottom w:w="0" w:type="dxa"/>
          <w:right w:w="0" w:type="dxa"/>
        </w:tblCellMar>
        <w:tblLook w:val="01E0"/>
      </w:tblPr>
      <w:tblGrid>
        <w:gridCol w:w="2488"/>
        <w:gridCol w:w="2364"/>
        <w:gridCol w:w="1471"/>
        <w:gridCol w:w="1568"/>
        <w:gridCol w:w="1738"/>
        <w:gridCol w:w="1442"/>
      </w:tblGrid>
      <w:tr>
        <w:trPr>
          <w:trHeight w:val="415" w:hRule="exact"/>
        </w:trPr>
        <w:tc>
          <w:tcPr>
            <w:tcW w:w="2488"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开户银行</w:t>
            </w:r>
          </w:p>
        </w:tc>
        <w:tc>
          <w:tcPr>
            <w:tcW w:w="2364" w:type="dxa"/>
            <w:vMerge w:val="restart"/>
            <w:tcBorders>
              <w:top w:val="single" w:sz="12"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银行帐号</w:t>
            </w:r>
          </w:p>
        </w:tc>
        <w:tc>
          <w:tcPr>
            <w:tcW w:w="622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5" w:hRule="exact"/>
        </w:trPr>
        <w:tc>
          <w:tcPr>
            <w:tcW w:w="2488" w:type="dxa"/>
            <w:vMerge/>
            <w:tcBorders>
              <w:left w:val="nil" w:sz="6" w:space="0" w:color="auto"/>
              <w:bottom w:val="single" w:sz="4" w:space="0" w:color="000000"/>
              <w:right w:val="single" w:sz="4" w:space="0" w:color="000000"/>
            </w:tcBorders>
          </w:tcPr>
          <w:p>
            <w:pPr/>
          </w:p>
        </w:tc>
        <w:tc>
          <w:tcPr>
            <w:tcW w:w="2364" w:type="dxa"/>
            <w:vMerge/>
            <w:tcBorders>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0" w:right="0"/>
              <w:jc w:val="left"/>
              <w:rPr>
                <w:rFonts w:ascii="宋体" w:hAnsi="宋体" w:cs="宋体" w:eastAsia="宋体" w:hint="default"/>
                <w:sz w:val="18"/>
                <w:szCs w:val="18"/>
              </w:rPr>
            </w:pPr>
            <w:r>
              <w:rPr>
                <w:rFonts w:ascii="宋体" w:hAnsi="宋体" w:cs="宋体" w:eastAsia="宋体" w:hint="default"/>
                <w:sz w:val="18"/>
                <w:szCs w:val="18"/>
              </w:rPr>
              <w:t>募集资金余额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8"/>
              <w:jc w:val="right"/>
              <w:rPr>
                <w:rFonts w:ascii="宋体" w:hAnsi="宋体" w:cs="宋体" w:eastAsia="宋体" w:hint="default"/>
                <w:sz w:val="18"/>
                <w:szCs w:val="18"/>
              </w:rPr>
            </w:pPr>
            <w:r>
              <w:rPr>
                <w:rFonts w:ascii="宋体" w:hAnsi="宋体" w:cs="宋体" w:eastAsia="宋体" w:hint="default"/>
                <w:sz w:val="18"/>
                <w:szCs w:val="18"/>
              </w:rPr>
              <w:t>其他股东增资款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442" w:type="dxa"/>
            <w:tcBorders>
              <w:top w:val="single" w:sz="4" w:space="0" w:color="000000"/>
              <w:left w:val="single" w:sz="4" w:space="0" w:color="000000"/>
              <w:bottom w:val="single" w:sz="4" w:space="0" w:color="000000"/>
              <w:right w:val="nil" w:sz="6" w:space="0" w:color="auto"/>
            </w:tcBorders>
          </w:tcPr>
          <w:p>
            <w:pPr>
              <w:pStyle w:val="TableParagraph"/>
              <w:tabs>
                <w:tab w:pos="897" w:val="left" w:leader="none"/>
              </w:tabs>
              <w:spacing w:line="240" w:lineRule="auto" w:before="56"/>
              <w:ind w:left="357" w:right="0"/>
              <w:jc w:val="left"/>
              <w:rPr>
                <w:rFonts w:ascii="宋体" w:hAnsi="宋体" w:cs="宋体" w:eastAsia="宋体" w:hint="default"/>
                <w:sz w:val="18"/>
                <w:szCs w:val="18"/>
              </w:rPr>
            </w:pPr>
            <w:r>
              <w:rPr>
                <w:rFonts w:ascii="宋体" w:hAnsi="宋体" w:cs="宋体" w:eastAsia="宋体" w:hint="default"/>
                <w:sz w:val="18"/>
                <w:szCs w:val="18"/>
              </w:rPr>
              <w:t>合</w:t>
              <w:tab/>
              <w:t>计</w:t>
            </w:r>
          </w:p>
        </w:tc>
      </w:tr>
      <w:tr>
        <w:trPr>
          <w:trHeight w:val="500"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82"/>
              <w:jc w:val="left"/>
              <w:rPr>
                <w:rFonts w:ascii="宋体" w:hAnsi="宋体" w:cs="宋体" w:eastAsia="宋体" w:hint="default"/>
                <w:sz w:val="18"/>
                <w:szCs w:val="18"/>
              </w:rPr>
            </w:pPr>
            <w:r>
              <w:rPr>
                <w:rFonts w:ascii="宋体" w:hAnsi="宋体" w:cs="宋体" w:eastAsia="宋体" w:hint="default"/>
                <w:spacing w:val="9"/>
                <w:sz w:val="18"/>
                <w:szCs w:val="18"/>
              </w:rPr>
              <w:t>招商银行股份有限公司武汉 </w:t>
            </w:r>
            <w:r>
              <w:rPr>
                <w:rFonts w:ascii="宋体" w:hAnsi="宋体" w:cs="宋体" w:eastAsia="宋体" w:hint="default"/>
                <w:sz w:val="18"/>
                <w:szCs w:val="18"/>
              </w:rPr>
              <w:t>循礼门支行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12" w:right="0"/>
              <w:jc w:val="left"/>
              <w:rPr>
                <w:rFonts w:ascii="Times New Roman" w:hAnsi="Times New Roman" w:cs="Times New Roman" w:eastAsia="Times New Roman" w:hint="default"/>
                <w:sz w:val="18"/>
                <w:szCs w:val="18"/>
              </w:rPr>
            </w:pPr>
            <w:r>
              <w:rPr>
                <w:rFonts w:ascii="Times New Roman"/>
                <w:sz w:val="18"/>
              </w:rPr>
              <w:t>0882425510003</w:t>
            </w:r>
          </w:p>
        </w:tc>
        <w:tc>
          <w:tcPr>
            <w:tcW w:w="147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9"/>
              <w:jc w:val="right"/>
              <w:rPr>
                <w:rFonts w:ascii="Times New Roman" w:hAnsi="Times New Roman" w:cs="Times New Roman" w:eastAsia="Times New Roman" w:hint="default"/>
                <w:sz w:val="18"/>
                <w:szCs w:val="18"/>
              </w:rPr>
            </w:pPr>
            <w:r>
              <w:rPr>
                <w:rFonts w:ascii="Times New Roman"/>
                <w:sz w:val="18"/>
              </w:rPr>
              <w:t>54.63</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2"/>
              <w:jc w:val="right"/>
              <w:rPr>
                <w:rFonts w:ascii="Times New Roman" w:hAnsi="Times New Roman" w:cs="Times New Roman" w:eastAsia="Times New Roman" w:hint="default"/>
                <w:sz w:val="18"/>
                <w:szCs w:val="18"/>
              </w:rPr>
            </w:pPr>
            <w:r>
              <w:rPr>
                <w:rFonts w:ascii="Times New Roman"/>
                <w:sz w:val="18"/>
              </w:rPr>
              <w:t>54.63</w:t>
            </w:r>
          </w:p>
        </w:tc>
      </w:tr>
      <w:tr>
        <w:trPr>
          <w:trHeight w:val="425"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中国银行江汉支行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18982508094001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4,428.7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2,500.00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216.25</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12"/>
              <w:jc w:val="right"/>
              <w:rPr>
                <w:rFonts w:ascii="Times New Roman" w:hAnsi="Times New Roman" w:cs="Times New Roman" w:eastAsia="Times New Roman" w:hint="default"/>
                <w:sz w:val="18"/>
                <w:szCs w:val="18"/>
              </w:rPr>
            </w:pPr>
            <w:r>
              <w:rPr>
                <w:rFonts w:ascii="Times New Roman"/>
                <w:sz w:val="18"/>
              </w:rPr>
              <w:t>7,144.95</w:t>
            </w:r>
          </w:p>
        </w:tc>
      </w:tr>
      <w:tr>
        <w:trPr>
          <w:trHeight w:val="752"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82"/>
              <w:jc w:val="left"/>
              <w:rPr>
                <w:rFonts w:ascii="宋体" w:hAnsi="宋体" w:cs="宋体" w:eastAsia="宋体" w:hint="default"/>
                <w:sz w:val="18"/>
                <w:szCs w:val="18"/>
              </w:rPr>
            </w:pPr>
            <w:r>
              <w:rPr>
                <w:rFonts w:ascii="宋体" w:hAnsi="宋体" w:cs="宋体" w:eastAsia="宋体" w:hint="default"/>
                <w:spacing w:val="9"/>
                <w:sz w:val="18"/>
                <w:szCs w:val="18"/>
              </w:rPr>
              <w:t>中国建设银行股份有限公司 </w:t>
            </w:r>
            <w:r>
              <w:rPr>
                <w:rFonts w:ascii="宋体" w:hAnsi="宋体" w:cs="宋体" w:eastAsia="宋体" w:hint="default"/>
                <w:sz w:val="18"/>
                <w:szCs w:val="18"/>
              </w:rPr>
              <w:t>西安莲湖路支行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61001711100052501171</w:t>
            </w:r>
          </w:p>
        </w:tc>
        <w:tc>
          <w:tcPr>
            <w:tcW w:w="147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2,276.00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60.70</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z w:val="18"/>
              </w:rPr>
              <w:t>2,336.70</w:t>
            </w:r>
          </w:p>
        </w:tc>
      </w:tr>
      <w:tr>
        <w:trPr>
          <w:trHeight w:val="788"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82"/>
              <w:jc w:val="both"/>
              <w:rPr>
                <w:rFonts w:ascii="宋体" w:hAnsi="宋体" w:cs="宋体" w:eastAsia="宋体" w:hint="default"/>
                <w:sz w:val="18"/>
                <w:szCs w:val="18"/>
              </w:rPr>
            </w:pPr>
            <w:r>
              <w:rPr>
                <w:rFonts w:ascii="宋体" w:hAnsi="宋体" w:cs="宋体" w:eastAsia="宋体" w:hint="default"/>
                <w:spacing w:val="9"/>
                <w:sz w:val="18"/>
                <w:szCs w:val="18"/>
              </w:rPr>
              <w:t>中国建设银行股份有限公司 杭州市宝石支行东山弄分理 </w:t>
            </w:r>
            <w:r>
              <w:rPr>
                <w:rFonts w:ascii="宋体" w:hAnsi="宋体" w:cs="宋体" w:eastAsia="宋体" w:hint="default"/>
                <w:sz w:val="18"/>
                <w:szCs w:val="18"/>
              </w:rPr>
              <w:t>处</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33001616183053000261</w:t>
            </w:r>
          </w:p>
        </w:tc>
        <w:tc>
          <w:tcPr>
            <w:tcW w:w="147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6,050.00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285.44</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6,335.44</w:t>
            </w:r>
          </w:p>
        </w:tc>
      </w:tr>
      <w:tr>
        <w:trPr>
          <w:trHeight w:val="426"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深圳市商业银行高新北支行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008-21001409-69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747.30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1,500.00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56.17</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12"/>
              <w:jc w:val="right"/>
              <w:rPr>
                <w:rFonts w:ascii="Times New Roman" w:hAnsi="Times New Roman" w:cs="Times New Roman" w:eastAsia="Times New Roman" w:hint="default"/>
                <w:sz w:val="18"/>
                <w:szCs w:val="18"/>
              </w:rPr>
            </w:pPr>
            <w:r>
              <w:rPr>
                <w:rFonts w:ascii="Times New Roman"/>
                <w:sz w:val="18"/>
              </w:rPr>
              <w:t>2,303.47</w:t>
            </w:r>
          </w:p>
        </w:tc>
      </w:tr>
      <w:tr>
        <w:trPr>
          <w:trHeight w:val="546"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82"/>
              <w:jc w:val="left"/>
              <w:rPr>
                <w:rFonts w:ascii="宋体" w:hAnsi="宋体" w:cs="宋体" w:eastAsia="宋体" w:hint="default"/>
                <w:sz w:val="18"/>
                <w:szCs w:val="18"/>
              </w:rPr>
            </w:pPr>
            <w:r>
              <w:rPr>
                <w:rFonts w:ascii="宋体" w:hAnsi="宋体" w:cs="宋体" w:eastAsia="宋体" w:hint="default"/>
                <w:spacing w:val="9"/>
                <w:sz w:val="18"/>
                <w:szCs w:val="18"/>
              </w:rPr>
              <w:t>深圳平安银行深圳高新北支 </w:t>
            </w:r>
            <w:r>
              <w:rPr>
                <w:rFonts w:ascii="宋体" w:hAnsi="宋体" w:cs="宋体" w:eastAsia="宋体" w:hint="default"/>
                <w:sz w:val="18"/>
                <w:szCs w:val="18"/>
              </w:rPr>
              <w:t>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2" w:right="0"/>
              <w:jc w:val="left"/>
              <w:rPr>
                <w:rFonts w:ascii="Times New Roman" w:hAnsi="Times New Roman" w:cs="Times New Roman" w:eastAsia="Times New Roman" w:hint="default"/>
                <w:sz w:val="18"/>
                <w:szCs w:val="18"/>
              </w:rPr>
            </w:pPr>
            <w:r>
              <w:rPr>
                <w:rFonts w:ascii="Times New Roman"/>
                <w:sz w:val="18"/>
              </w:rPr>
              <w:t>0082700027267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22,500.00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Times New Roman" w:hAnsi="Times New Roman" w:cs="Times New Roman" w:eastAsia="Times New Roman" w:hint="default"/>
                <w:sz w:val="18"/>
                <w:szCs w:val="18"/>
              </w:rPr>
            </w:pPr>
            <w:r>
              <w:rPr>
                <w:rFonts w:ascii="Times New Roman"/>
                <w:sz w:val="18"/>
              </w:rPr>
              <w:t>2,500.00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12"/>
              <w:jc w:val="right"/>
              <w:rPr>
                <w:rFonts w:ascii="Times New Roman" w:hAnsi="Times New Roman" w:cs="Times New Roman" w:eastAsia="Times New Roman" w:hint="default"/>
                <w:sz w:val="18"/>
                <w:szCs w:val="18"/>
              </w:rPr>
            </w:pPr>
            <w:r>
              <w:rPr>
                <w:rFonts w:ascii="Times New Roman"/>
                <w:sz w:val="18"/>
              </w:rPr>
              <w:t>25,000.00</w:t>
            </w:r>
          </w:p>
        </w:tc>
      </w:tr>
      <w:tr>
        <w:trPr>
          <w:trHeight w:val="425"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华夏银行广州中环支行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690810228840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9,620.10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11,500.00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195.84</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12"/>
              <w:jc w:val="right"/>
              <w:rPr>
                <w:rFonts w:ascii="Times New Roman" w:hAnsi="Times New Roman" w:cs="Times New Roman" w:eastAsia="Times New Roman" w:hint="default"/>
                <w:sz w:val="18"/>
                <w:szCs w:val="18"/>
              </w:rPr>
            </w:pPr>
            <w:r>
              <w:rPr>
                <w:rFonts w:ascii="Times New Roman"/>
                <w:sz w:val="18"/>
              </w:rPr>
              <w:t>21,315.94</w:t>
            </w:r>
          </w:p>
        </w:tc>
      </w:tr>
      <w:tr>
        <w:trPr>
          <w:trHeight w:val="425"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华夏银行北京平安支行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4038200001804000015537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3,587.10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558.64</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12"/>
              <w:jc w:val="right"/>
              <w:rPr>
                <w:rFonts w:ascii="Times New Roman" w:hAnsi="Times New Roman" w:cs="Times New Roman" w:eastAsia="Times New Roman" w:hint="default"/>
                <w:sz w:val="18"/>
                <w:szCs w:val="18"/>
              </w:rPr>
            </w:pPr>
            <w:r>
              <w:rPr>
                <w:rFonts w:ascii="Times New Roman"/>
                <w:sz w:val="18"/>
              </w:rPr>
              <w:t>4,145.74</w:t>
            </w:r>
          </w:p>
        </w:tc>
      </w:tr>
      <w:tr>
        <w:trPr>
          <w:trHeight w:val="425"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交通银行上海浦东分行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310066580018170026272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640.00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117.48</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12"/>
              <w:jc w:val="right"/>
              <w:rPr>
                <w:rFonts w:ascii="Times New Roman" w:hAnsi="Times New Roman" w:cs="Times New Roman" w:eastAsia="Times New Roman" w:hint="default"/>
                <w:sz w:val="18"/>
                <w:szCs w:val="18"/>
              </w:rPr>
            </w:pPr>
            <w:r>
              <w:rPr>
                <w:rFonts w:ascii="Times New Roman"/>
                <w:sz w:val="18"/>
              </w:rPr>
              <w:t>757.48</w:t>
            </w:r>
          </w:p>
        </w:tc>
      </w:tr>
      <w:tr>
        <w:trPr>
          <w:trHeight w:val="425"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交通银行长沙潇湘支行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431610000018150042112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3,605.00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100.11</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12"/>
              <w:jc w:val="right"/>
              <w:rPr>
                <w:rFonts w:ascii="Times New Roman" w:hAnsi="Times New Roman" w:cs="Times New Roman" w:eastAsia="Times New Roman" w:hint="default"/>
                <w:sz w:val="18"/>
                <w:szCs w:val="18"/>
              </w:rPr>
            </w:pPr>
            <w:r>
              <w:rPr>
                <w:rFonts w:ascii="Times New Roman"/>
                <w:spacing w:val="-1"/>
                <w:w w:val="95"/>
                <w:sz w:val="18"/>
              </w:rPr>
              <w:t>3,705.11</w:t>
            </w:r>
          </w:p>
        </w:tc>
      </w:tr>
      <w:tr>
        <w:trPr>
          <w:trHeight w:val="425" w:hRule="exact"/>
        </w:trPr>
        <w:tc>
          <w:tcPr>
            <w:tcW w:w="2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福州市商业银行怡丰支行</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100015471790010002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2,700.00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5,300.00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131.00</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18"/>
              <w:jc w:val="right"/>
              <w:rPr>
                <w:rFonts w:ascii="Times New Roman" w:hAnsi="Times New Roman" w:cs="Times New Roman" w:eastAsia="Times New Roman" w:hint="default"/>
                <w:sz w:val="18"/>
                <w:szCs w:val="18"/>
              </w:rPr>
            </w:pPr>
            <w:r>
              <w:rPr>
                <w:rFonts w:ascii="Times New Roman"/>
                <w:sz w:val="18"/>
              </w:rPr>
              <w:t>8,131.00</w:t>
            </w:r>
          </w:p>
        </w:tc>
      </w:tr>
      <w:tr>
        <w:trPr>
          <w:trHeight w:val="436" w:hRule="exact"/>
        </w:trPr>
        <w:tc>
          <w:tcPr>
            <w:tcW w:w="2488" w:type="dxa"/>
            <w:tcBorders>
              <w:top w:val="single" w:sz="4" w:space="0" w:color="000000"/>
              <w:left w:val="nil" w:sz="6" w:space="0" w:color="auto"/>
              <w:bottom w:val="single" w:sz="12" w:space="0" w:color="000000"/>
              <w:right w:val="single" w:sz="4" w:space="0" w:color="000000"/>
            </w:tcBorders>
          </w:tcPr>
          <w:p>
            <w:pPr>
              <w:pStyle w:val="TableParagraph"/>
              <w:tabs>
                <w:tab w:pos="567" w:val="left" w:leader="none"/>
              </w:tabs>
              <w:spacing w:line="240" w:lineRule="auto" w:before="56"/>
              <w:ind w:left="2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64" w:type="dxa"/>
            <w:tcBorders>
              <w:top w:val="single" w:sz="4" w:space="0" w:color="000000"/>
              <w:left w:val="single" w:sz="4" w:space="0" w:color="000000"/>
              <w:bottom w:val="single" w:sz="12" w:space="0" w:color="000000"/>
              <w:right w:val="single" w:sz="4" w:space="0" w:color="000000"/>
            </w:tcBorders>
          </w:tcPr>
          <w:p>
            <w:pPr/>
          </w:p>
        </w:tc>
        <w:tc>
          <w:tcPr>
            <w:tcW w:w="14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39,996.10</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39,458.10</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1,776.26</w:t>
            </w:r>
          </w:p>
        </w:tc>
        <w:tc>
          <w:tcPr>
            <w:tcW w:w="14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6"/>
              <w:ind w:right="112"/>
              <w:jc w:val="right"/>
              <w:rPr>
                <w:rFonts w:ascii="Times New Roman" w:hAnsi="Times New Roman" w:cs="Times New Roman" w:eastAsia="Times New Roman" w:hint="default"/>
                <w:sz w:val="18"/>
                <w:szCs w:val="18"/>
              </w:rPr>
            </w:pPr>
            <w:r>
              <w:rPr>
                <w:rFonts w:ascii="Times New Roman"/>
                <w:sz w:val="18"/>
              </w:rPr>
              <w:t>81,230.46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1844" w:right="1254"/>
        <w:jc w:val="left"/>
      </w:pPr>
      <w:r>
        <w:rPr/>
        <w:t>（</w:t>
      </w:r>
      <w:r>
        <w:rPr>
          <w:rFonts w:ascii="Times New Roman" w:hAnsi="Times New Roman" w:cs="Times New Roman" w:eastAsia="Times New Roman" w:hint="default"/>
        </w:rPr>
        <w:t>4</w:t>
      </w:r>
      <w:r>
        <w:rPr/>
        <w:t>）募集资金项目的实施地点变更情况</w:t>
      </w:r>
    </w:p>
    <w:p>
      <w:pPr>
        <w:pStyle w:val="BodyText"/>
        <w:spacing w:line="350" w:lineRule="auto" w:before="135"/>
        <w:ind w:left="1364" w:right="1356" w:firstLine="480"/>
        <w:jc w:val="both"/>
      </w:pPr>
      <w:r>
        <w:rPr/>
        <w:t>①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日，公司第二届董事会第三十七次会议通过了《关于信息 </w:t>
      </w:r>
      <w:r>
        <w:rPr>
          <w:spacing w:val="-2"/>
        </w:rPr>
        <w:t>中心项目建设地点变更的议案》，同意信息中心项目的建设地点由原江苏软件园徐</w:t>
      </w:r>
      <w:r>
        <w:rPr>
          <w:spacing w:val="-95"/>
        </w:rPr>
        <w:t> </w:t>
      </w:r>
      <w:r>
        <w:rPr>
          <w:spacing w:val="-95"/>
        </w:rPr>
      </w:r>
      <w:r>
        <w:rPr>
          <w:spacing w:val="-1"/>
        </w:rPr>
        <w:t>庄园区变更为南京雨花经济开发区内。变更后，信息中心项目投资方案不变，不会</w:t>
      </w:r>
      <w:r>
        <w:rPr>
          <w:spacing w:val="-108"/>
        </w:rPr>
        <w:t> </w:t>
      </w:r>
      <w:r>
        <w:rPr>
          <w:spacing w:val="-108"/>
        </w:rPr>
      </w:r>
      <w:r>
        <w:rPr/>
        <w:t>对项目的实施进度和盈利水平产生不利影响。</w:t>
      </w:r>
    </w:p>
    <w:p>
      <w:pPr>
        <w:pStyle w:val="BodyText"/>
        <w:spacing w:line="352" w:lineRule="auto" w:before="43"/>
        <w:ind w:left="1364" w:right="1356" w:firstLine="480"/>
        <w:jc w:val="both"/>
      </w:pPr>
      <w:r>
        <w:rPr/>
        <w:t>②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日，公司第二届董事会第四十二次会议通过了《关于部分 </w:t>
      </w:r>
      <w:r>
        <w:rPr>
          <w:spacing w:val="-2"/>
        </w:rPr>
        <w:t>连锁店发展项目实施地点变更的议案》，同意六地区连锁店项目之一－在武汉武昌</w:t>
      </w:r>
      <w:r>
        <w:rPr>
          <w:spacing w:val="-97"/>
        </w:rPr>
        <w:t> </w:t>
      </w:r>
      <w:r>
        <w:rPr>
          <w:spacing w:val="-97"/>
        </w:rPr>
      </w:r>
      <w:r>
        <w:rPr>
          <w:spacing w:val="-1"/>
        </w:rPr>
        <w:t>中南路商圈开设连锁店变更为在武汉市武广商圈开设连锁店。变更后，原连锁店发</w:t>
      </w:r>
      <w:r>
        <w:rPr>
          <w:spacing w:val="-106"/>
        </w:rPr>
        <w:t> </w:t>
      </w:r>
      <w:r>
        <w:rPr>
          <w:spacing w:val="-106"/>
        </w:rPr>
      </w:r>
      <w:r>
        <w:rPr>
          <w:spacing w:val="-1"/>
        </w:rPr>
        <w:t>展项目投资方案不变，不会对连锁店发展项目的实施进度和盈利水平产生不利的影</w:t>
      </w:r>
      <w:r>
        <w:rPr>
          <w:spacing w:val="-106"/>
        </w:rPr>
        <w:t> </w:t>
      </w:r>
      <w:r>
        <w:rPr>
          <w:spacing w:val="-106"/>
        </w:rPr>
      </w:r>
      <w:r>
        <w:rPr/>
        <w:t>响。</w:t>
      </w:r>
    </w:p>
    <w:p>
      <w:pPr>
        <w:pStyle w:val="BodyText"/>
        <w:spacing w:line="338" w:lineRule="auto" w:before="41"/>
        <w:ind w:left="1904" w:right="1342"/>
        <w:jc w:val="left"/>
      </w:pPr>
      <w:r>
        <w:rPr/>
        <w:t>（</w:t>
      </w:r>
      <w:r>
        <w:rPr>
          <w:rFonts w:ascii="Times New Roman" w:hAnsi="Times New Roman" w:cs="Times New Roman" w:eastAsia="Times New Roman" w:hint="default"/>
        </w:rPr>
        <w:t>5</w:t>
      </w:r>
      <w:r>
        <w:rPr/>
        <w:t>）募集资金其他使用情况 公司第二届董事会第二十五次会议通过的《关于公司 </w:t>
      </w:r>
      <w:r>
        <w:rPr>
          <w:rFonts w:ascii="Times New Roman" w:hAnsi="Times New Roman" w:cs="Times New Roman" w:eastAsia="Times New Roman" w:hint="default"/>
        </w:rPr>
        <w:t>2006</w:t>
      </w:r>
      <w:r>
        <w:rPr>
          <w:rFonts w:ascii="Times New Roman" w:hAnsi="Times New Roman" w:cs="Times New Roman" w:eastAsia="Times New Roman" w:hint="default"/>
          <w:spacing w:val="-22"/>
        </w:rPr>
        <w:t> </w:t>
      </w:r>
      <w:r>
        <w:rPr/>
        <w:t>年非公开发行股票</w:t>
      </w:r>
    </w:p>
    <w:p>
      <w:pPr>
        <w:pStyle w:val="BodyText"/>
        <w:spacing w:line="240" w:lineRule="auto" w:before="27"/>
        <w:ind w:left="1364" w:right="1254"/>
        <w:jc w:val="left"/>
      </w:pPr>
      <w:r>
        <w:rPr/>
        <w:t>方案的议案》并经公司 </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年第一次临时股东大会决议通过：本次非公开发行股</w:t>
      </w:r>
    </w:p>
    <w:p>
      <w:pPr>
        <w:spacing w:after="0" w:line="240" w:lineRule="auto"/>
        <w:jc w:val="left"/>
        <w:sectPr>
          <w:pgSz w:w="11910" w:h="16840"/>
          <w:pgMar w:header="879" w:footer="982" w:top="1100" w:bottom="1180" w:left="280" w:right="280"/>
        </w:sectPr>
      </w:pPr>
    </w:p>
    <w:p>
      <w:pPr>
        <w:spacing w:line="240" w:lineRule="auto" w:before="10"/>
        <w:rPr>
          <w:rFonts w:ascii="宋体" w:hAnsi="宋体" w:cs="宋体" w:eastAsia="宋体" w:hint="default"/>
          <w:sz w:val="10"/>
          <w:szCs w:val="10"/>
        </w:rPr>
      </w:pPr>
    </w:p>
    <w:p>
      <w:pPr>
        <w:pStyle w:val="BodyText"/>
        <w:spacing w:line="357" w:lineRule="auto" w:before="26"/>
        <w:ind w:left="144" w:right="221"/>
        <w:jc w:val="both"/>
      </w:pPr>
      <w:r>
        <w:rPr>
          <w:spacing w:val="-1"/>
        </w:rPr>
        <w:t>票募集的现金超过上述项目计划募集资金投入部分用于补充本公司的流动资金，不</w:t>
      </w:r>
      <w:r>
        <w:rPr>
          <w:spacing w:val="-106"/>
        </w:rPr>
        <w:t> </w:t>
      </w:r>
      <w:r>
        <w:rPr>
          <w:spacing w:val="-106"/>
        </w:rPr>
      </w:r>
      <w:r>
        <w:rPr/>
        <w:t>足部分由本公司自筹解决。</w:t>
      </w:r>
    </w:p>
    <w:p>
      <w:pPr>
        <w:pStyle w:val="BodyText"/>
        <w:spacing w:line="240" w:lineRule="auto" w:before="36"/>
        <w:ind w:left="683" w:right="87"/>
        <w:jc w:val="left"/>
      </w:pPr>
      <w:r>
        <w:rPr>
          <w:spacing w:val="28"/>
        </w:rPr>
        <w:t>公司本次非公开发行股票募集的现金</w:t>
      </w:r>
      <w:r>
        <w:rPr>
          <w:spacing w:val="-75"/>
        </w:rPr>
        <w:t> </w:t>
      </w:r>
      <w:r>
        <w:rPr>
          <w:spacing w:val="27"/>
        </w:rPr>
        <w:t>超过项目计划募集资金投入部分</w:t>
      </w:r>
      <w:r>
        <w:rPr>
          <w:spacing w:val="-90"/>
        </w:rPr>
        <w:t> </w:t>
      </w:r>
      <w:r>
        <w:rPr/>
      </w:r>
    </w:p>
    <w:p>
      <w:pPr>
        <w:pStyle w:val="BodyText"/>
        <w:spacing w:line="338" w:lineRule="auto" w:before="154"/>
        <w:ind w:left="623" w:right="2101" w:hanging="480"/>
        <w:jc w:val="left"/>
      </w:pPr>
      <w:r>
        <w:rPr>
          <w:rFonts w:ascii="Times New Roman" w:hAnsi="Times New Roman" w:cs="Times New Roman" w:eastAsia="Times New Roman" w:hint="default"/>
        </w:rPr>
        <w:t>410,201.0 </w:t>
      </w:r>
      <w:r>
        <w:rPr/>
        <w:t>千元，已用于补充流动资金。 除上述情况之外，公司本期募集资金未发生其他使用情况。</w:t>
      </w:r>
    </w:p>
    <w:p>
      <w:pPr>
        <w:spacing w:line="240" w:lineRule="auto" w:before="0"/>
        <w:rPr>
          <w:rFonts w:ascii="宋体" w:hAnsi="宋体" w:cs="宋体" w:eastAsia="宋体" w:hint="default"/>
          <w:sz w:val="24"/>
          <w:szCs w:val="24"/>
        </w:rPr>
      </w:pPr>
    </w:p>
    <w:p>
      <w:pPr>
        <w:pStyle w:val="BodyText"/>
        <w:spacing w:line="338" w:lineRule="auto" w:before="209"/>
        <w:ind w:left="623" w:right="215"/>
        <w:jc w:val="left"/>
      </w:pPr>
      <w:r>
        <w:rPr/>
        <w:t>（</w:t>
      </w:r>
      <w:r>
        <w:rPr>
          <w:rFonts w:ascii="Times New Roman" w:hAnsi="Times New Roman" w:cs="Times New Roman" w:eastAsia="Times New Roman" w:hint="default"/>
        </w:rPr>
        <w:t>6</w:t>
      </w:r>
      <w:r>
        <w:rPr/>
        <w:t>）会计师事务所对募集资金年度使用情况专项报告的鉴证意见 </w:t>
      </w:r>
      <w:r>
        <w:rPr>
          <w:spacing w:val="-1"/>
        </w:rPr>
        <w:t>“我们认为，上述募集资金年度使用情况的专项报告已经按照深圳证券交易所</w:t>
      </w:r>
    </w:p>
    <w:p>
      <w:pPr>
        <w:pStyle w:val="BodyText"/>
        <w:spacing w:line="338" w:lineRule="auto" w:before="55"/>
        <w:ind w:right="221"/>
        <w:jc w:val="both"/>
      </w:pPr>
      <w:r>
        <w:rPr>
          <w:spacing w:val="-5"/>
        </w:rPr>
        <w:t>颁布的《中小企业板上市公司募集资金管理细则》（</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51"/>
        </w:rPr>
        <w:t> </w:t>
      </w:r>
      <w:r>
        <w:rPr/>
        <w:t>年修订）及《中小企业板 上市公司临时报告内容与格式指引第</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号：募集资金年度使用情况的专项报告》的</w:t>
      </w:r>
    </w:p>
    <w:p>
      <w:pPr>
        <w:pStyle w:val="BodyText"/>
        <w:spacing w:line="338" w:lineRule="auto" w:before="27"/>
        <w:ind w:right="198"/>
        <w:jc w:val="both"/>
      </w:pPr>
      <w:r>
        <w:rPr/>
        <w:t>通知编制，在所有重大方面如实反映了贵公司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年度募集资金的存放和使用情 </w:t>
      </w:r>
      <w:r>
        <w:rPr>
          <w:spacing w:val="-40"/>
        </w:rPr>
        <w:t>况。”</w:t>
      </w:r>
      <w:r>
        <w:rPr/>
        <w:t> ――引自普华永道中天会计师事务所有限公司普华永道中天特审字（</w:t>
      </w:r>
      <w:r>
        <w:rPr>
          <w:rFonts w:ascii="Times New Roman" w:hAnsi="Times New Roman" w:cs="Times New Roman" w:eastAsia="Times New Roman" w:hint="default"/>
        </w:rPr>
        <w:t>2008</w:t>
      </w:r>
      <w:r>
        <w:rPr/>
        <w:t>） </w:t>
      </w:r>
      <w:r>
        <w:rPr>
          <w:rFonts w:ascii="Times New Roman" w:hAnsi="Times New Roman" w:cs="Times New Roman" w:eastAsia="Times New Roman" w:hint="default"/>
        </w:rPr>
        <w:t>163 </w:t>
      </w:r>
      <w:r>
        <w:rPr>
          <w:spacing w:val="-7"/>
        </w:rPr>
        <w:t>号《苏宁电器股份有限公司</w:t>
      </w:r>
      <w:r>
        <w:rPr>
          <w:spacing w:val="-60"/>
        </w:rPr>
        <w:t> </w:t>
      </w:r>
      <w:r>
        <w:rPr>
          <w:rFonts w:ascii="Times New Roman" w:hAnsi="Times New Roman" w:cs="Times New Roman" w:eastAsia="Times New Roman" w:hint="default"/>
        </w:rPr>
        <w:t>2007 </w:t>
      </w:r>
      <w:r>
        <w:rPr/>
        <w:t>年度募集资金年度使用情况的专项报告及鉴证 </w:t>
      </w:r>
      <w:r>
        <w:rPr>
          <w:spacing w:val="-30"/>
        </w:rPr>
        <w:t>报告》。</w:t>
      </w:r>
    </w:p>
    <w:p>
      <w:pPr>
        <w:spacing w:line="240" w:lineRule="auto" w:before="0"/>
        <w:rPr>
          <w:rFonts w:ascii="宋体" w:hAnsi="宋体" w:cs="宋体" w:eastAsia="宋体" w:hint="default"/>
          <w:sz w:val="24"/>
          <w:szCs w:val="24"/>
        </w:rPr>
      </w:pPr>
    </w:p>
    <w:p>
      <w:pPr>
        <w:pStyle w:val="BodyText"/>
        <w:spacing w:line="240" w:lineRule="auto" w:before="209"/>
        <w:ind w:left="624" w:right="87"/>
        <w:jc w:val="left"/>
      </w:pPr>
      <w:r>
        <w:rPr/>
        <w:t>（二）非募集资金投资情况</w:t>
      </w:r>
    </w:p>
    <w:p>
      <w:pPr>
        <w:pStyle w:val="BodyText"/>
        <w:spacing w:line="338" w:lineRule="auto" w:before="154"/>
        <w:ind w:right="101" w:firstLine="48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日，公司控股子公司－武汉苏宁电器有限公司和鄂州苏宁电器 有限公司共同出资组建黄冈苏宁电器有限公司，注册资本</w:t>
      </w:r>
      <w:r>
        <w:rPr>
          <w:rFonts w:ascii="Times New Roman" w:hAnsi="Times New Roman" w:cs="Times New Roman" w:eastAsia="Times New Roman" w:hint="default"/>
        </w:rPr>
        <w:t>510</w:t>
      </w:r>
      <w:r>
        <w:rPr/>
        <w:t>万元，其中武汉苏宁 </w:t>
      </w:r>
      <w:r>
        <w:rPr>
          <w:spacing w:val="-6"/>
        </w:rPr>
        <w:t>电器有限公司出资</w:t>
      </w:r>
      <w:r>
        <w:rPr>
          <w:rFonts w:ascii="Times New Roman" w:hAnsi="Times New Roman" w:cs="Times New Roman" w:eastAsia="Times New Roman" w:hint="default"/>
          <w:spacing w:val="-6"/>
        </w:rPr>
        <w:t>459</w:t>
      </w:r>
      <w:r>
        <w:rPr>
          <w:spacing w:val="-6"/>
        </w:rPr>
        <w:t>万元，占注册资本的</w:t>
      </w:r>
      <w:r>
        <w:rPr>
          <w:rFonts w:ascii="Times New Roman" w:hAnsi="Times New Roman" w:cs="Times New Roman" w:eastAsia="Times New Roman" w:hint="default"/>
          <w:spacing w:val="-6"/>
        </w:rPr>
        <w:t>90%</w:t>
      </w:r>
      <w:r>
        <w:rPr>
          <w:spacing w:val="-6"/>
        </w:rPr>
        <w:t>，鄂州苏宁电器有限公司出资</w:t>
      </w:r>
      <w:r>
        <w:rPr>
          <w:rFonts w:ascii="Times New Roman" w:hAnsi="Times New Roman" w:cs="Times New Roman" w:eastAsia="Times New Roman" w:hint="default"/>
          <w:spacing w:val="-6"/>
        </w:rPr>
        <w:t>51</w:t>
      </w:r>
      <w:r>
        <w:rPr>
          <w:spacing w:val="-6"/>
        </w:rPr>
        <w:t>万元，</w:t>
      </w:r>
      <w:r>
        <w:rPr>
          <w:spacing w:val="-114"/>
        </w:rPr>
        <w:t> </w:t>
      </w:r>
      <w:r>
        <w:rPr/>
        <w:t>占注册资本的</w:t>
      </w:r>
      <w:r>
        <w:rPr>
          <w:rFonts w:ascii="Times New Roman" w:hAnsi="Times New Roman" w:cs="Times New Roman" w:eastAsia="Times New Roman" w:hint="default"/>
        </w:rPr>
        <w:t>10%</w:t>
      </w:r>
      <w:r>
        <w:rPr/>
        <w:t>。该公司本报告实现净利润</w:t>
      </w:r>
      <w:r>
        <w:rPr>
          <w:rFonts w:ascii="Times New Roman" w:hAnsi="Times New Roman" w:cs="Times New Roman" w:eastAsia="Times New Roman" w:hint="default"/>
        </w:rPr>
        <w:t>-42.09</w:t>
      </w:r>
      <w:r>
        <w:rPr/>
        <w:t>万元。</w:t>
      </w:r>
    </w:p>
    <w:p>
      <w:pPr>
        <w:pStyle w:val="BodyText"/>
        <w:spacing w:line="338" w:lineRule="auto" w:before="27"/>
        <w:ind w:right="218" w:firstLine="48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日，公司控股子公司－贵阳东方苏宁电器有限公司和江苏苏宁</w:t>
      </w:r>
      <w:r>
        <w:rPr/>
        <w:t> 地铁商业管理有限公司共同出资组建遵义苏宁电器有限公司，注册资本</w:t>
      </w:r>
      <w:r>
        <w:rPr>
          <w:rFonts w:ascii="Times New Roman" w:hAnsi="Times New Roman" w:cs="Times New Roman" w:eastAsia="Times New Roman" w:hint="default"/>
        </w:rPr>
        <w:t>500</w:t>
      </w:r>
      <w:r>
        <w:rPr/>
        <w:t>万元， </w:t>
      </w:r>
      <w:r>
        <w:rPr>
          <w:spacing w:val="-3"/>
        </w:rPr>
        <w:t>其中贵阳东方苏宁电器有限公司出资</w:t>
      </w:r>
      <w:r>
        <w:rPr>
          <w:rFonts w:ascii="Times New Roman" w:hAnsi="Times New Roman" w:cs="Times New Roman" w:eastAsia="Times New Roman" w:hint="default"/>
          <w:spacing w:val="-3"/>
        </w:rPr>
        <w:t>450</w:t>
      </w:r>
      <w:r>
        <w:rPr>
          <w:spacing w:val="-3"/>
        </w:rPr>
        <w:t>万元，占注册资本的</w:t>
      </w:r>
      <w:r>
        <w:rPr>
          <w:rFonts w:ascii="Times New Roman" w:hAnsi="Times New Roman" w:cs="Times New Roman" w:eastAsia="Times New Roman" w:hint="default"/>
          <w:spacing w:val="-3"/>
        </w:rPr>
        <w:t>90%</w:t>
      </w:r>
      <w:r>
        <w:rPr>
          <w:spacing w:val="-3"/>
        </w:rPr>
        <w:t>，江苏苏宁地铁商</w:t>
      </w:r>
      <w:r>
        <w:rPr>
          <w:spacing w:val="-114"/>
        </w:rPr>
        <w:t> </w:t>
      </w:r>
      <w:r>
        <w:rPr>
          <w:spacing w:val="-114"/>
        </w:rPr>
      </w:r>
      <w:r>
        <w:rPr>
          <w:spacing w:val="-2"/>
        </w:rPr>
        <w:t>业管理有限公司出资</w:t>
      </w:r>
      <w:r>
        <w:rPr>
          <w:rFonts w:ascii="Times New Roman" w:hAnsi="Times New Roman" w:cs="Times New Roman" w:eastAsia="Times New Roman" w:hint="default"/>
          <w:spacing w:val="-2"/>
        </w:rPr>
        <w:t>50</w:t>
      </w:r>
      <w:r>
        <w:rPr>
          <w:spacing w:val="-2"/>
        </w:rPr>
        <w:t>万元，占注册资本的</w:t>
      </w:r>
      <w:r>
        <w:rPr>
          <w:rFonts w:ascii="Times New Roman" w:hAnsi="Times New Roman" w:cs="Times New Roman" w:eastAsia="Times New Roman" w:hint="default"/>
          <w:spacing w:val="-2"/>
        </w:rPr>
        <w:t>10%</w:t>
      </w:r>
      <w:r>
        <w:rPr>
          <w:spacing w:val="-2"/>
        </w:rPr>
        <w:t>。该公司本报告实现净利润</w:t>
      </w:r>
      <w:r>
        <w:rPr>
          <w:rFonts w:ascii="Times New Roman" w:hAnsi="Times New Roman" w:cs="Times New Roman" w:eastAsia="Times New Roman" w:hint="default"/>
          <w:spacing w:val="-2"/>
        </w:rPr>
        <w:t>41.73</w:t>
      </w:r>
      <w:r>
        <w:rPr>
          <w:spacing w:val="-2"/>
        </w:rPr>
        <w:t>万</w:t>
      </w:r>
      <w:r>
        <w:rPr>
          <w:spacing w:val="-98"/>
        </w:rPr>
        <w:t> </w:t>
      </w:r>
      <w:r>
        <w:rPr/>
        <w:t>元。</w:t>
      </w:r>
    </w:p>
    <w:p>
      <w:pPr>
        <w:pStyle w:val="BodyText"/>
        <w:spacing w:line="338" w:lineRule="auto" w:before="55"/>
        <w:ind w:right="219" w:firstLine="48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w:t>
      </w:r>
      <w:r>
        <w:rPr>
          <w:spacing w:val="-1"/>
        </w:rPr>
        <w:t>日，公司控股子公司－广东苏宁电器有限公司和深圳市苏宁电</w:t>
      </w:r>
      <w:r>
        <w:rPr/>
        <w:t> 器有限公司共同出资组建江门苏宁电器有限公司，注册资本</w:t>
      </w:r>
      <w:r>
        <w:rPr>
          <w:rFonts w:ascii="Times New Roman" w:hAnsi="Times New Roman" w:cs="Times New Roman" w:eastAsia="Times New Roman" w:hint="default"/>
        </w:rPr>
        <w:t>500</w:t>
      </w:r>
      <w:r>
        <w:rPr/>
        <w:t>万元，其中广东苏 </w:t>
      </w:r>
      <w:r>
        <w:rPr>
          <w:spacing w:val="-4"/>
        </w:rPr>
        <w:t>宁电器有限公司出资</w:t>
      </w:r>
      <w:r>
        <w:rPr>
          <w:rFonts w:ascii="Times New Roman" w:hAnsi="Times New Roman" w:cs="Times New Roman" w:eastAsia="Times New Roman" w:hint="default"/>
          <w:spacing w:val="-4"/>
        </w:rPr>
        <w:t>450</w:t>
      </w:r>
      <w:r>
        <w:rPr>
          <w:spacing w:val="-4"/>
        </w:rPr>
        <w:t>万元，占注册资本的</w:t>
      </w:r>
      <w:r>
        <w:rPr>
          <w:rFonts w:ascii="Times New Roman" w:hAnsi="Times New Roman" w:cs="Times New Roman" w:eastAsia="Times New Roman" w:hint="default"/>
          <w:spacing w:val="-4"/>
        </w:rPr>
        <w:t>90%</w:t>
      </w:r>
      <w:r>
        <w:rPr>
          <w:spacing w:val="-4"/>
        </w:rPr>
        <w:t>，深圳市苏宁电器有限公司出资</w:t>
      </w:r>
      <w:r>
        <w:rPr>
          <w:rFonts w:ascii="Times New Roman" w:hAnsi="Times New Roman" w:cs="Times New Roman" w:eastAsia="Times New Roman" w:hint="default"/>
          <w:spacing w:val="-4"/>
        </w:rPr>
        <w:t>50</w:t>
      </w:r>
      <w:r>
        <w:rPr>
          <w:rFonts w:ascii="Times New Roman" w:hAnsi="Times New Roman" w:cs="Times New Roman" w:eastAsia="Times New Roman" w:hint="default"/>
          <w:spacing w:val="-22"/>
        </w:rPr>
        <w:t> </w:t>
      </w:r>
      <w:r>
        <w:rPr/>
        <w:t>万元，占注册资本的</w:t>
      </w:r>
      <w:r>
        <w:rPr>
          <w:rFonts w:ascii="Times New Roman" w:hAnsi="Times New Roman" w:cs="Times New Roman" w:eastAsia="Times New Roman" w:hint="default"/>
        </w:rPr>
        <w:t>10%</w:t>
      </w:r>
      <w:r>
        <w:rPr/>
        <w:t>。该公司本报告实现净利润</w:t>
      </w:r>
      <w:r>
        <w:rPr>
          <w:rFonts w:ascii="Times New Roman" w:hAnsi="Times New Roman" w:cs="Times New Roman" w:eastAsia="Times New Roman" w:hint="default"/>
        </w:rPr>
        <w:t>30.75</w:t>
      </w:r>
      <w:r>
        <w:rPr/>
        <w:t>万元。</w:t>
      </w:r>
    </w:p>
    <w:p>
      <w:pPr>
        <w:pStyle w:val="BodyText"/>
        <w:spacing w:line="240" w:lineRule="auto" w:before="27"/>
        <w:ind w:left="669" w:right="87"/>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日，公司控股子公司</w:t>
      </w:r>
      <w:r>
        <w:rPr>
          <w:rFonts w:ascii="Times New Roman" w:hAnsi="Times New Roman" w:cs="Times New Roman" w:eastAsia="Times New Roman" w:hint="default"/>
        </w:rPr>
        <w:t>-</w:t>
      </w:r>
      <w:r>
        <w:rPr/>
        <w:t>新疆苏宁电器有限公司和江苏苏宁地铁</w:t>
      </w:r>
    </w:p>
    <w:p>
      <w:pPr>
        <w:spacing w:after="0" w:line="240" w:lineRule="auto"/>
        <w:jc w:val="left"/>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38" w:lineRule="auto" w:before="26"/>
        <w:ind w:right="101"/>
        <w:jc w:val="left"/>
      </w:pPr>
      <w:r>
        <w:rPr>
          <w:spacing w:val="-3"/>
        </w:rPr>
        <w:t>商业管理有限公司共同出资组建库尔勒苏宁电器有限责任公司，注册资本</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万元，</w:t>
      </w:r>
      <w:r>
        <w:rPr>
          <w:spacing w:val="-118"/>
        </w:rPr>
        <w:t> </w:t>
      </w:r>
      <w:r>
        <w:rPr/>
        <w:t>其中新疆苏宁电器有限公司出资 </w:t>
      </w:r>
      <w:r>
        <w:rPr>
          <w:rFonts w:ascii="Times New Roman" w:hAnsi="Times New Roman" w:cs="Times New Roman" w:eastAsia="Times New Roman" w:hint="default"/>
        </w:rPr>
        <w:t>350 </w:t>
      </w:r>
      <w:r>
        <w:rPr/>
        <w:t>万元，占注册资本的</w:t>
      </w:r>
      <w:r>
        <w:rPr>
          <w:spacing w:val="-78"/>
        </w:rPr>
        <w:t> </w:t>
      </w:r>
      <w:r>
        <w:rPr>
          <w:rFonts w:ascii="Times New Roman" w:hAnsi="Times New Roman" w:cs="Times New Roman" w:eastAsia="Times New Roman" w:hint="default"/>
        </w:rPr>
        <w:t>70%</w:t>
      </w:r>
      <w:r>
        <w:rPr/>
        <w:t>；江苏苏宁地铁商业 管理有限公司出资 </w:t>
      </w:r>
      <w:r>
        <w:rPr>
          <w:rFonts w:ascii="Times New Roman" w:hAnsi="Times New Roman" w:cs="Times New Roman" w:eastAsia="Times New Roman" w:hint="default"/>
        </w:rPr>
        <w:t>150 </w:t>
      </w:r>
      <w:r>
        <w:rPr/>
        <w:t>万元，占注册资本的 </w:t>
      </w:r>
      <w:r>
        <w:rPr>
          <w:rFonts w:ascii="Times New Roman" w:hAnsi="Times New Roman" w:cs="Times New Roman" w:eastAsia="Times New Roman" w:hint="default"/>
        </w:rPr>
        <w:t>30%</w:t>
      </w:r>
      <w:r>
        <w:rPr/>
        <w:t>。该公司本报告实现净利润</w:t>
      </w:r>
      <w:r>
        <w:rPr>
          <w:spacing w:val="-80"/>
        </w:rPr>
        <w:t> </w:t>
      </w:r>
      <w:r>
        <w:rPr>
          <w:rFonts w:ascii="Times New Roman" w:hAnsi="Times New Roman" w:cs="Times New Roman" w:eastAsia="Times New Roman" w:hint="default"/>
        </w:rPr>
        <w:t>30.00 </w:t>
      </w:r>
      <w:r>
        <w:rPr/>
        <w:t>万元。</w:t>
      </w:r>
    </w:p>
    <w:p>
      <w:pPr>
        <w:pStyle w:val="BodyText"/>
        <w:spacing w:line="240" w:lineRule="auto" w:before="55"/>
        <w:ind w:left="669" w:right="101"/>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日，公司控股子公司</w:t>
      </w:r>
      <w:r>
        <w:rPr>
          <w:rFonts w:ascii="Times New Roman" w:hAnsi="Times New Roman" w:cs="Times New Roman" w:eastAsia="Times New Roman" w:hint="default"/>
        </w:rPr>
        <w:t>-</w:t>
      </w:r>
      <w:r>
        <w:rPr/>
        <w:t>山西苏宁电器有限公司和晋中苏宁电器</w:t>
      </w:r>
    </w:p>
    <w:p>
      <w:pPr>
        <w:pStyle w:val="BodyText"/>
        <w:spacing w:line="240" w:lineRule="auto" w:before="135"/>
        <w:ind w:right="101"/>
        <w:jc w:val="left"/>
      </w:pPr>
      <w:r>
        <w:rPr/>
        <w:t>有限公司共同出资组建大同苏宁电器有限公司，注册资本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万元，其中山西苏宁</w:t>
      </w:r>
    </w:p>
    <w:p>
      <w:pPr>
        <w:pStyle w:val="BodyText"/>
        <w:spacing w:line="338" w:lineRule="auto" w:before="135"/>
        <w:ind w:right="224"/>
        <w:jc w:val="left"/>
      </w:pPr>
      <w:r>
        <w:rPr/>
        <w:t>电器有限公司出资</w:t>
      </w:r>
      <w:r>
        <w:rPr>
          <w:spacing w:val="-58"/>
        </w:rPr>
        <w:t> </w:t>
      </w:r>
      <w:r>
        <w:rPr>
          <w:rFonts w:ascii="Times New Roman" w:hAnsi="Times New Roman" w:cs="Times New Roman" w:eastAsia="Times New Roman" w:hint="default"/>
        </w:rPr>
        <w:t>450</w:t>
      </w:r>
      <w:r>
        <w:rPr>
          <w:rFonts w:ascii="Times New Roman" w:hAnsi="Times New Roman" w:cs="Times New Roman" w:eastAsia="Times New Roman" w:hint="default"/>
          <w:spacing w:val="2"/>
        </w:rPr>
        <w:t> </w:t>
      </w:r>
      <w:r>
        <w:rPr>
          <w:spacing w:val="-5"/>
        </w:rPr>
        <w:t>万元，占注册资本的</w:t>
      </w:r>
      <w:r>
        <w:rPr>
          <w:spacing w:val="-58"/>
        </w:rPr>
        <w:t> </w:t>
      </w:r>
      <w:r>
        <w:rPr>
          <w:rFonts w:ascii="Times New Roman" w:hAnsi="Times New Roman" w:cs="Times New Roman" w:eastAsia="Times New Roman" w:hint="default"/>
          <w:spacing w:val="-3"/>
        </w:rPr>
        <w:t>90%</w:t>
      </w:r>
      <w:r>
        <w:rPr>
          <w:spacing w:val="-3"/>
        </w:rPr>
        <w:t>；晋中苏宁电器有限公司出资</w:t>
      </w:r>
      <w:r>
        <w:rPr>
          <w:spacing w:val="-58"/>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 元，占注册资本的</w:t>
      </w:r>
      <w:r>
        <w:rPr>
          <w:spacing w:val="-60"/>
        </w:rPr>
        <w:t> </w:t>
      </w:r>
      <w:r>
        <w:rPr>
          <w:rFonts w:ascii="Times New Roman" w:hAnsi="Times New Roman" w:cs="Times New Roman" w:eastAsia="Times New Roman" w:hint="default"/>
        </w:rPr>
        <w:t>10%</w:t>
      </w:r>
      <w:r>
        <w:rPr/>
        <w:t>。该公司本报告实现净利润</w:t>
      </w:r>
      <w:r>
        <w:rPr>
          <w:rFonts w:ascii="Times New Roman" w:hAnsi="Times New Roman" w:cs="Times New Roman" w:eastAsia="Times New Roman" w:hint="default"/>
        </w:rPr>
        <w:t>-195.73 </w:t>
      </w:r>
      <w:r>
        <w:rPr/>
        <w:t>万元。</w:t>
      </w:r>
    </w:p>
    <w:p>
      <w:pPr>
        <w:pStyle w:val="BodyText"/>
        <w:spacing w:line="240" w:lineRule="auto" w:before="27"/>
        <w:ind w:left="669" w:right="101"/>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日，公司控股子公司</w:t>
      </w:r>
      <w:r>
        <w:rPr>
          <w:rFonts w:ascii="Times New Roman" w:hAnsi="Times New Roman" w:cs="Times New Roman" w:eastAsia="Times New Roman" w:hint="default"/>
        </w:rPr>
        <w:t>-</w:t>
      </w:r>
      <w:r>
        <w:rPr/>
        <w:t>广西苏宁电器有限公司和桂林苏宁电</w:t>
      </w:r>
    </w:p>
    <w:p>
      <w:pPr>
        <w:pStyle w:val="BodyText"/>
        <w:spacing w:line="240" w:lineRule="auto" w:before="135"/>
        <w:ind w:right="101"/>
        <w:jc w:val="left"/>
      </w:pPr>
      <w:r>
        <w:rPr/>
        <w:t>器有限公司共同出资组建柳州苏宁电器有限公司，注册资本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万元，其中广西苏</w:t>
      </w:r>
    </w:p>
    <w:p>
      <w:pPr>
        <w:pStyle w:val="BodyText"/>
        <w:spacing w:line="240" w:lineRule="auto" w:before="135"/>
        <w:ind w:right="101"/>
        <w:jc w:val="left"/>
        <w:rPr>
          <w:rFonts w:ascii="Times New Roman" w:hAnsi="Times New Roman" w:cs="Times New Roman" w:eastAsia="Times New Roman" w:hint="default"/>
        </w:rPr>
      </w:pPr>
      <w:r>
        <w:rPr/>
        <w:t>宁电器有限公司出资</w:t>
      </w:r>
      <w:r>
        <w:rPr>
          <w:spacing w:val="-66"/>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4"/>
        </w:rPr>
        <w:t>万元，占注册资本的</w:t>
      </w:r>
      <w:r>
        <w:rPr>
          <w:spacing w:val="-66"/>
        </w:rPr>
        <w:t> </w:t>
      </w:r>
      <w:r>
        <w:rPr>
          <w:rFonts w:ascii="Times New Roman" w:hAnsi="Times New Roman" w:cs="Times New Roman" w:eastAsia="Times New Roman" w:hint="default"/>
        </w:rPr>
        <w:t>90</w:t>
      </w:r>
      <w:r>
        <w:rPr/>
        <w:t>％，桂林苏宁电器有限公司出资</w:t>
      </w:r>
      <w:r>
        <w:rPr>
          <w:spacing w:val="-66"/>
        </w:rPr>
        <w:t> </w:t>
      </w:r>
      <w:r>
        <w:rPr>
          <w:rFonts w:ascii="Times New Roman" w:hAnsi="Times New Roman" w:cs="Times New Roman" w:eastAsia="Times New Roman" w:hint="default"/>
        </w:rPr>
        <w:t>50</w:t>
      </w:r>
    </w:p>
    <w:p>
      <w:pPr>
        <w:pStyle w:val="BodyText"/>
        <w:spacing w:line="240" w:lineRule="auto" w:before="135"/>
        <w:ind w:right="101"/>
        <w:jc w:val="left"/>
      </w:pPr>
      <w:r>
        <w:rPr/>
        <w:t>万元，占注册资本的</w:t>
      </w:r>
      <w:r>
        <w:rPr>
          <w:spacing w:val="-60"/>
        </w:rPr>
        <w:t> </w:t>
      </w:r>
      <w:r>
        <w:rPr>
          <w:rFonts w:ascii="Times New Roman" w:hAnsi="Times New Roman" w:cs="Times New Roman" w:eastAsia="Times New Roman" w:hint="default"/>
        </w:rPr>
        <w:t>10%</w:t>
      </w:r>
      <w:r>
        <w:rPr/>
        <w:t>。该公司本报告实现净利润</w:t>
      </w:r>
      <w:r>
        <w:rPr>
          <w:spacing w:val="-60"/>
        </w:rPr>
        <w:t> </w:t>
      </w:r>
      <w:r>
        <w:rPr>
          <w:rFonts w:ascii="Times New Roman" w:hAnsi="Times New Roman" w:cs="Times New Roman" w:eastAsia="Times New Roman" w:hint="default"/>
        </w:rPr>
        <w:t>35.60 </w:t>
      </w:r>
      <w:r>
        <w:rPr/>
        <w:t>万元。</w:t>
      </w:r>
    </w:p>
    <w:p>
      <w:pPr>
        <w:pStyle w:val="BodyText"/>
        <w:spacing w:line="240" w:lineRule="auto" w:before="135"/>
        <w:ind w:left="669" w:right="101"/>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18"/>
        </w:rPr>
        <w:t> </w:t>
      </w:r>
      <w:r>
        <w:rPr/>
        <w:t>日，公司控股子公司</w:t>
      </w:r>
      <w:r>
        <w:rPr>
          <w:rFonts w:ascii="Times New Roman" w:hAnsi="Times New Roman" w:cs="Times New Roman" w:eastAsia="Times New Roman" w:hint="default"/>
        </w:rPr>
        <w:t>-</w:t>
      </w:r>
      <w:r>
        <w:rPr/>
        <w:t>湖南苏宁电器有限公司和湘潭苏宁电</w:t>
      </w:r>
    </w:p>
    <w:p>
      <w:pPr>
        <w:pStyle w:val="BodyText"/>
        <w:spacing w:line="240" w:lineRule="auto" w:before="135"/>
        <w:ind w:right="101"/>
        <w:jc w:val="left"/>
      </w:pPr>
      <w:r>
        <w:rPr/>
        <w:t>器有限公司共同出资组建常德苏宁电器有限公司，注册资本 </w:t>
      </w:r>
      <w:r>
        <w:rPr>
          <w:rFonts w:ascii="Times New Roman" w:hAnsi="Times New Roman" w:cs="Times New Roman" w:eastAsia="Times New Roman" w:hint="default"/>
        </w:rPr>
        <w:t>510</w:t>
      </w:r>
      <w:r>
        <w:rPr>
          <w:rFonts w:ascii="Times New Roman" w:hAnsi="Times New Roman" w:cs="Times New Roman" w:eastAsia="Times New Roman" w:hint="default"/>
          <w:spacing w:val="2"/>
        </w:rPr>
        <w:t> </w:t>
      </w:r>
      <w:r>
        <w:rPr/>
        <w:t>万元，其中湖南苏</w:t>
      </w:r>
    </w:p>
    <w:p>
      <w:pPr>
        <w:pStyle w:val="BodyText"/>
        <w:spacing w:line="240" w:lineRule="auto" w:before="135"/>
        <w:ind w:right="101"/>
        <w:jc w:val="left"/>
        <w:rPr>
          <w:rFonts w:ascii="Times New Roman" w:hAnsi="Times New Roman" w:cs="Times New Roman" w:eastAsia="Times New Roman" w:hint="default"/>
        </w:rPr>
      </w:pPr>
      <w:r>
        <w:rPr/>
        <w:t>宁电器有限公司出资</w:t>
      </w:r>
      <w:r>
        <w:rPr>
          <w:spacing w:val="-65"/>
        </w:rPr>
        <w:t> </w:t>
      </w:r>
      <w:r>
        <w:rPr>
          <w:rFonts w:ascii="Times New Roman" w:hAnsi="Times New Roman" w:cs="Times New Roman" w:eastAsia="Times New Roman" w:hint="default"/>
        </w:rPr>
        <w:t>459</w:t>
      </w:r>
      <w:r>
        <w:rPr>
          <w:rFonts w:ascii="Times New Roman" w:hAnsi="Times New Roman" w:cs="Times New Roman" w:eastAsia="Times New Roman" w:hint="default"/>
          <w:spacing w:val="-5"/>
        </w:rPr>
        <w:t> </w:t>
      </w:r>
      <w:r>
        <w:rPr/>
        <w:t>万元，占注册资本的</w:t>
      </w:r>
      <w:r>
        <w:rPr>
          <w:spacing w:val="-65"/>
        </w:rPr>
        <w:t> </w:t>
      </w:r>
      <w:r>
        <w:rPr>
          <w:rFonts w:ascii="Times New Roman" w:hAnsi="Times New Roman" w:cs="Times New Roman" w:eastAsia="Times New Roman" w:hint="default"/>
        </w:rPr>
        <w:t>90%</w:t>
      </w:r>
      <w:r>
        <w:rPr/>
        <w:t>，湘潭苏宁电器有限公司出资</w:t>
      </w:r>
      <w:r>
        <w:rPr>
          <w:spacing w:val="-65"/>
        </w:rPr>
        <w:t> </w:t>
      </w:r>
      <w:r>
        <w:rPr>
          <w:rFonts w:ascii="Times New Roman" w:hAnsi="Times New Roman" w:cs="Times New Roman" w:eastAsia="Times New Roman" w:hint="default"/>
        </w:rPr>
        <w:t>51</w:t>
      </w:r>
    </w:p>
    <w:p>
      <w:pPr>
        <w:pStyle w:val="BodyText"/>
        <w:spacing w:line="240" w:lineRule="auto" w:before="135"/>
        <w:ind w:right="101"/>
        <w:jc w:val="left"/>
      </w:pPr>
      <w:r>
        <w:rPr/>
        <w:t>万元，占注册资本的</w:t>
      </w:r>
      <w:r>
        <w:rPr>
          <w:spacing w:val="-60"/>
        </w:rPr>
        <w:t> </w:t>
      </w:r>
      <w:r>
        <w:rPr>
          <w:rFonts w:ascii="Times New Roman" w:hAnsi="Times New Roman" w:cs="Times New Roman" w:eastAsia="Times New Roman" w:hint="default"/>
        </w:rPr>
        <w:t>10%</w:t>
      </w:r>
      <w:r>
        <w:rPr/>
        <w:t>。该公司本报告实现净利润</w:t>
      </w:r>
      <w:r>
        <w:rPr>
          <w:rFonts w:ascii="Times New Roman" w:hAnsi="Times New Roman" w:cs="Times New Roman" w:eastAsia="Times New Roman" w:hint="default"/>
        </w:rPr>
        <w:t>-23.42 </w:t>
      </w:r>
      <w:r>
        <w:rPr/>
        <w:t>万元。</w:t>
      </w:r>
    </w:p>
    <w:p>
      <w:pPr>
        <w:pStyle w:val="BodyText"/>
        <w:spacing w:line="240" w:lineRule="auto" w:before="135"/>
        <w:ind w:left="669" w:right="101"/>
        <w:jc w:val="left"/>
      </w:pP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2007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日，公司控股子公司－沈阳苏宁电器有限公司出资组建阜新</w:t>
      </w:r>
    </w:p>
    <w:p>
      <w:pPr>
        <w:pStyle w:val="BodyText"/>
        <w:spacing w:line="338" w:lineRule="auto" w:before="135"/>
        <w:ind w:right="221"/>
        <w:jc w:val="left"/>
      </w:pPr>
      <w:r>
        <w:rPr/>
        <w:t>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万元，沈阳苏宁电器有限公司出资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万元，占 注册资本比例为</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59.80 </w:t>
      </w:r>
      <w:r>
        <w:rPr/>
        <w:t>万元。</w:t>
      </w:r>
    </w:p>
    <w:p>
      <w:pPr>
        <w:pStyle w:val="BodyText"/>
        <w:spacing w:line="240" w:lineRule="auto" w:before="27"/>
        <w:ind w:left="669" w:right="101"/>
        <w:jc w:val="left"/>
      </w:pP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2007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日，公司控股子公司－河南苏宁电器有限公司出资组建焦作</w:t>
      </w:r>
    </w:p>
    <w:p>
      <w:pPr>
        <w:pStyle w:val="BodyText"/>
        <w:spacing w:line="338" w:lineRule="auto" w:before="135"/>
        <w:ind w:right="221"/>
        <w:jc w:val="left"/>
      </w:pPr>
      <w:r>
        <w:rPr/>
        <w:t>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万元，河南苏宁电器有限公司出资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万元，占 注册资本比例</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3.35 </w:t>
      </w:r>
      <w:r>
        <w:rPr/>
        <w:t>万元。</w:t>
      </w:r>
    </w:p>
    <w:p>
      <w:pPr>
        <w:pStyle w:val="BodyText"/>
        <w:spacing w:line="240" w:lineRule="auto" w:before="27"/>
        <w:ind w:left="669" w:right="101"/>
        <w:jc w:val="left"/>
      </w:pPr>
      <w:r>
        <w:rPr>
          <w:rFonts w:ascii="Times New Roman" w:hAnsi="Times New Roman" w:cs="Times New Roman" w:eastAsia="Times New Roman" w:hint="default"/>
          <w:spacing w:val="-4"/>
        </w:rPr>
        <w:t>10</w:t>
      </w:r>
      <w:r>
        <w:rPr>
          <w:spacing w:val="-4"/>
        </w:rPr>
        <w:t>、</w:t>
      </w:r>
      <w:r>
        <w:rPr>
          <w:rFonts w:ascii="Times New Roman" w:hAnsi="Times New Roman" w:cs="Times New Roman" w:eastAsia="Times New Roman" w:hint="default"/>
          <w:spacing w:val="-4"/>
        </w:rPr>
        <w:t>2007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日，公司控股子公司－武汉苏宁电器有限公司和鄂州苏宁电</w:t>
      </w:r>
    </w:p>
    <w:p>
      <w:pPr>
        <w:pStyle w:val="BodyText"/>
        <w:spacing w:line="240" w:lineRule="auto" w:before="135"/>
        <w:ind w:right="101"/>
        <w:jc w:val="left"/>
      </w:pPr>
      <w:r>
        <w:rPr/>
        <w:t>器有限公司共同出资组建襄樊苏宁电器有限公司，注册资本 </w:t>
      </w:r>
      <w:r>
        <w:rPr>
          <w:rFonts w:ascii="Times New Roman" w:hAnsi="Times New Roman" w:cs="Times New Roman" w:eastAsia="Times New Roman" w:hint="default"/>
        </w:rPr>
        <w:t>510</w:t>
      </w:r>
      <w:r>
        <w:rPr>
          <w:rFonts w:ascii="Times New Roman" w:hAnsi="Times New Roman" w:cs="Times New Roman" w:eastAsia="Times New Roman" w:hint="default"/>
          <w:spacing w:val="2"/>
        </w:rPr>
        <w:t> </w:t>
      </w:r>
      <w:r>
        <w:rPr/>
        <w:t>万元，其中武汉苏</w:t>
      </w:r>
    </w:p>
    <w:p>
      <w:pPr>
        <w:pStyle w:val="BodyText"/>
        <w:spacing w:line="240" w:lineRule="auto" w:before="135"/>
        <w:ind w:right="101"/>
        <w:jc w:val="left"/>
        <w:rPr>
          <w:rFonts w:ascii="Times New Roman" w:hAnsi="Times New Roman" w:cs="Times New Roman" w:eastAsia="Times New Roman" w:hint="default"/>
        </w:rPr>
      </w:pPr>
      <w:r>
        <w:rPr/>
        <w:t>宁电器有限公司出资</w:t>
      </w:r>
      <w:r>
        <w:rPr>
          <w:spacing w:val="-66"/>
        </w:rPr>
        <w:t> </w:t>
      </w:r>
      <w:r>
        <w:rPr>
          <w:rFonts w:ascii="Times New Roman" w:hAnsi="Times New Roman" w:cs="Times New Roman" w:eastAsia="Times New Roman" w:hint="default"/>
        </w:rPr>
        <w:t>459</w:t>
      </w:r>
      <w:r>
        <w:rPr>
          <w:rFonts w:ascii="Times New Roman" w:hAnsi="Times New Roman" w:cs="Times New Roman" w:eastAsia="Times New Roman" w:hint="default"/>
          <w:spacing w:val="-6"/>
        </w:rPr>
        <w:t> </w:t>
      </w:r>
      <w:r>
        <w:rPr>
          <w:spacing w:val="-4"/>
        </w:rPr>
        <w:t>万元，占注册资本的</w:t>
      </w:r>
      <w:r>
        <w:rPr>
          <w:spacing w:val="-66"/>
        </w:rPr>
        <w:t> </w:t>
      </w:r>
      <w:r>
        <w:rPr>
          <w:rFonts w:ascii="Times New Roman" w:hAnsi="Times New Roman" w:cs="Times New Roman" w:eastAsia="Times New Roman" w:hint="default"/>
        </w:rPr>
        <w:t>90</w:t>
      </w:r>
      <w:r>
        <w:rPr/>
        <w:t>％；鄂州苏宁电器有限公司出资</w:t>
      </w:r>
      <w:r>
        <w:rPr>
          <w:spacing w:val="-66"/>
        </w:rPr>
        <w:t> </w:t>
      </w:r>
      <w:r>
        <w:rPr>
          <w:rFonts w:ascii="Times New Roman" w:hAnsi="Times New Roman" w:cs="Times New Roman" w:eastAsia="Times New Roman" w:hint="default"/>
        </w:rPr>
        <w:t>51</w:t>
      </w:r>
    </w:p>
    <w:p>
      <w:pPr>
        <w:pStyle w:val="BodyText"/>
        <w:spacing w:line="240" w:lineRule="auto" w:before="135"/>
        <w:ind w:right="101"/>
        <w:jc w:val="left"/>
      </w:pPr>
      <w:r>
        <w:rPr/>
        <w:t>万元，占注册资本的</w:t>
      </w:r>
      <w:r>
        <w:rPr>
          <w:spacing w:val="-60"/>
        </w:rPr>
        <w:t> </w:t>
      </w:r>
      <w:r>
        <w:rPr>
          <w:rFonts w:ascii="Times New Roman" w:hAnsi="Times New Roman" w:cs="Times New Roman" w:eastAsia="Times New Roman" w:hint="default"/>
        </w:rPr>
        <w:t>10%</w:t>
      </w:r>
      <w:r>
        <w:rPr/>
        <w:t>。该公司本报告实现净利润</w:t>
      </w:r>
      <w:r>
        <w:rPr>
          <w:rFonts w:ascii="Times New Roman" w:hAnsi="Times New Roman" w:cs="Times New Roman" w:eastAsia="Times New Roman" w:hint="default"/>
        </w:rPr>
        <w:t>-31.62 </w:t>
      </w:r>
      <w:r>
        <w:rPr/>
        <w:t>万元。</w:t>
      </w:r>
    </w:p>
    <w:p>
      <w:pPr>
        <w:pStyle w:val="BodyText"/>
        <w:spacing w:line="240" w:lineRule="auto" w:before="135"/>
        <w:ind w:left="669" w:right="101"/>
        <w:jc w:val="left"/>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4"/>
        </w:rPr>
        <w:t> </w:t>
      </w:r>
      <w:r>
        <w:rPr/>
        <w:t>日，公司控股子公司－广西苏宁电器有限公司出资组建北</w:t>
      </w:r>
    </w:p>
    <w:p>
      <w:pPr>
        <w:pStyle w:val="BodyText"/>
        <w:spacing w:line="338" w:lineRule="auto" w:before="135"/>
        <w:ind w:right="221"/>
        <w:jc w:val="left"/>
      </w:pPr>
      <w:r>
        <w:rPr/>
        <w:t>海苏宁电器有限公司，注册资本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万元，广西苏宁电器有限公司出资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32.83 </w:t>
      </w:r>
      <w:r>
        <w:rPr/>
        <w:t>万元。</w:t>
      </w:r>
    </w:p>
    <w:p>
      <w:pPr>
        <w:pStyle w:val="BodyText"/>
        <w:spacing w:line="240" w:lineRule="auto" w:before="27"/>
        <w:ind w:left="669" w:right="101"/>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日，公司控股子公司－徐州苏宁电器有限公司出资组建徐</w:t>
      </w:r>
    </w:p>
    <w:p>
      <w:pPr>
        <w:spacing w:after="0" w:line="240" w:lineRule="auto"/>
        <w:jc w:val="left"/>
        <w:sectPr>
          <w:pgSz w:w="11910" w:h="16840"/>
          <w:pgMar w:header="879" w:footer="982" w:top="1100" w:bottom="1180" w:left="1500" w:right="1320"/>
        </w:sectPr>
      </w:pPr>
    </w:p>
    <w:p>
      <w:pPr>
        <w:spacing w:line="240" w:lineRule="auto" w:before="10"/>
        <w:rPr>
          <w:rFonts w:ascii="宋体" w:hAnsi="宋体" w:cs="宋体" w:eastAsia="宋体" w:hint="default"/>
          <w:sz w:val="10"/>
          <w:szCs w:val="10"/>
        </w:rPr>
      </w:pPr>
    </w:p>
    <w:p>
      <w:pPr>
        <w:pStyle w:val="BodyText"/>
        <w:spacing w:line="240" w:lineRule="auto" w:before="26"/>
        <w:ind w:left="144" w:right="0"/>
        <w:jc w:val="both"/>
        <w:rPr>
          <w:rFonts w:ascii="Times New Roman" w:hAnsi="Times New Roman" w:cs="Times New Roman" w:eastAsia="Times New Roman" w:hint="default"/>
        </w:rPr>
      </w:pPr>
      <w:r>
        <w:rPr/>
        <w:t>州苏宁电器物流有限公司，注册资本</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万元，徐州苏宁电器有限公司出资</w:t>
      </w:r>
      <w:r>
        <w:rPr>
          <w:spacing w:val="-59"/>
        </w:rPr>
        <w:t> </w:t>
      </w:r>
      <w:r>
        <w:rPr>
          <w:rFonts w:ascii="Times New Roman" w:hAnsi="Times New Roman" w:cs="Times New Roman" w:eastAsia="Times New Roman" w:hint="default"/>
        </w:rPr>
        <w:t>1,000</w:t>
      </w:r>
    </w:p>
    <w:p>
      <w:pPr>
        <w:pStyle w:val="BodyText"/>
        <w:spacing w:line="240" w:lineRule="auto" w:before="135"/>
        <w:ind w:right="0"/>
        <w:jc w:val="both"/>
      </w:pPr>
      <w:r>
        <w:rPr/>
        <w:t>万元，占注册资本的</w:t>
      </w:r>
      <w:r>
        <w:rPr>
          <w:spacing w:val="-6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-18.05 </w:t>
      </w:r>
      <w:r>
        <w:rPr/>
        <w:t>万元。</w:t>
      </w:r>
    </w:p>
    <w:p>
      <w:pPr>
        <w:pStyle w:val="BodyText"/>
        <w:spacing w:line="240" w:lineRule="auto" w:before="135"/>
        <w:ind w:left="669" w:right="101"/>
        <w:jc w:val="left"/>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日，公司控股子公司－安徽苏宁电器有限公司出资组建巢</w:t>
      </w:r>
    </w:p>
    <w:p>
      <w:pPr>
        <w:pStyle w:val="BodyText"/>
        <w:spacing w:line="338" w:lineRule="auto" w:before="135"/>
        <w:ind w:right="237"/>
        <w:jc w:val="both"/>
      </w:pPr>
      <w:r>
        <w:rPr/>
        <w:t>湖苏宁电器有限公司，注册资本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万元，安徽苏宁电器有限公司出资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62.88 </w:t>
      </w:r>
      <w:r>
        <w:rPr/>
        <w:t>万元。</w:t>
      </w:r>
    </w:p>
    <w:p>
      <w:pPr>
        <w:pStyle w:val="BodyText"/>
        <w:spacing w:line="240" w:lineRule="auto" w:before="27"/>
        <w:ind w:left="669" w:right="101"/>
        <w:jc w:val="left"/>
      </w:pPr>
      <w:r>
        <w:rPr>
          <w:rFonts w:ascii="Times New Roman" w:hAnsi="Times New Roman" w:cs="Times New Roman" w:eastAsia="Times New Roman" w:hint="default"/>
        </w:rPr>
        <w:t>14</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5"/>
        </w:rPr>
        <w:t> </w:t>
      </w:r>
      <w:r>
        <w:rPr/>
        <w:t>日，公司控股子公司－安徽苏宁电器有限公司出资组建淮</w:t>
      </w:r>
    </w:p>
    <w:p>
      <w:pPr>
        <w:pStyle w:val="BodyText"/>
        <w:spacing w:line="338" w:lineRule="auto" w:before="135"/>
        <w:ind w:right="237"/>
        <w:jc w:val="both"/>
      </w:pPr>
      <w:r>
        <w:rPr/>
        <w:t>南苏宁电器有限公司，注册资本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万元，安徽苏宁电器有限公司出资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30.10 </w:t>
      </w:r>
      <w:r>
        <w:rPr/>
        <w:t>万元。</w:t>
      </w:r>
    </w:p>
    <w:p>
      <w:pPr>
        <w:pStyle w:val="BodyText"/>
        <w:spacing w:line="240" w:lineRule="auto" w:before="27"/>
        <w:ind w:left="669" w:right="101"/>
        <w:jc w:val="left"/>
      </w:pPr>
      <w:r>
        <w:rPr>
          <w:rFonts w:ascii="Times New Roman" w:hAnsi="Times New Roman" w:cs="Times New Roman" w:eastAsia="Times New Roman" w:hint="default"/>
        </w:rPr>
        <w:t>15</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5"/>
        </w:rPr>
        <w:t> </w:t>
      </w:r>
      <w:r>
        <w:rPr/>
        <w:t>日，公司控股子公司－新疆苏宁电器有限公司和江苏苏宁</w:t>
      </w:r>
    </w:p>
    <w:p>
      <w:pPr>
        <w:pStyle w:val="BodyText"/>
        <w:spacing w:line="338" w:lineRule="auto" w:before="135"/>
        <w:ind w:right="234"/>
        <w:jc w:val="both"/>
      </w:pPr>
      <w:r>
        <w:rPr/>
        <w:t>地铁商业管理有限公司共同出资组建石河子苏宁电器有限责任公司，注册资本</w:t>
      </w:r>
      <w:r>
        <w:rPr>
          <w:spacing w:val="41"/>
        </w:rPr>
        <w:t> </w:t>
      </w:r>
      <w:r>
        <w:rPr>
          <w:rFonts w:ascii="Times New Roman" w:hAnsi="Times New Roman" w:cs="Times New Roman" w:eastAsia="Times New Roman" w:hint="default"/>
          <w:spacing w:val="-2"/>
        </w:rPr>
        <w:t>500</w:t>
      </w:r>
      <w:r>
        <w:rPr>
          <w:rFonts w:ascii="Times New Roman" w:hAnsi="Times New Roman" w:cs="Times New Roman" w:eastAsia="Times New Roman" w:hint="default"/>
          <w:spacing w:val="-51"/>
        </w:rPr>
        <w:t> </w:t>
      </w:r>
      <w:r>
        <w:rPr/>
        <w:t>万，其中新疆苏宁电器有限公司出资 </w:t>
      </w:r>
      <w:r>
        <w:rPr>
          <w:rFonts w:ascii="Times New Roman" w:hAnsi="Times New Roman" w:cs="Times New Roman" w:eastAsia="Times New Roman" w:hint="default"/>
        </w:rPr>
        <w:t>350 </w:t>
      </w:r>
      <w:r>
        <w:rPr/>
        <w:t>万元，占注册资本的</w:t>
      </w:r>
      <w:r>
        <w:rPr>
          <w:spacing w:val="-78"/>
        </w:rPr>
        <w:t> </w:t>
      </w:r>
      <w:r>
        <w:rPr>
          <w:rFonts w:ascii="Times New Roman" w:hAnsi="Times New Roman" w:cs="Times New Roman" w:eastAsia="Times New Roman" w:hint="default"/>
        </w:rPr>
        <w:t>70%</w:t>
      </w:r>
      <w:r>
        <w:rPr/>
        <w:t>；江苏苏宁地铁 商业管理有限公司出资</w:t>
      </w:r>
      <w:r>
        <w:rPr>
          <w:spacing w:val="-59"/>
        </w:rPr>
        <w:t> </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spacing w:val="-11"/>
        </w:rPr>
        <w:t>万元，占注册资本的</w:t>
      </w:r>
      <w:r>
        <w:rPr>
          <w:spacing w:val="-59"/>
        </w:rPr>
        <w:t> </w:t>
      </w:r>
      <w:r>
        <w:rPr>
          <w:rFonts w:ascii="Times New Roman" w:hAnsi="Times New Roman" w:cs="Times New Roman" w:eastAsia="Times New Roman" w:hint="default"/>
          <w:spacing w:val="-7"/>
        </w:rPr>
        <w:t>30%</w:t>
      </w:r>
      <w:r>
        <w:rPr>
          <w:spacing w:val="-7"/>
        </w:rPr>
        <w:t>。该公司本报告实现净利润</w:t>
      </w:r>
      <w:r>
        <w:rPr>
          <w:spacing w:val="-59"/>
        </w:rPr>
        <w:t> </w:t>
      </w:r>
      <w:r>
        <w:rPr>
          <w:rFonts w:ascii="Times New Roman" w:hAnsi="Times New Roman" w:cs="Times New Roman" w:eastAsia="Times New Roman" w:hint="default"/>
        </w:rPr>
        <w:t>9.36 </w:t>
      </w:r>
      <w:r>
        <w:rPr/>
        <w:t>万元。</w:t>
      </w:r>
    </w:p>
    <w:p>
      <w:pPr>
        <w:pStyle w:val="BodyText"/>
        <w:spacing w:line="240" w:lineRule="auto" w:before="55"/>
        <w:ind w:left="669" w:right="101"/>
        <w:jc w:val="left"/>
      </w:pPr>
      <w:r>
        <w:rPr>
          <w:rFonts w:ascii="Times New Roman" w:hAnsi="Times New Roman" w:cs="Times New Roman" w:eastAsia="Times New Roman" w:hint="default"/>
        </w:rPr>
        <w:t>16</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5"/>
        </w:rPr>
        <w:t> </w:t>
      </w:r>
      <w:r>
        <w:rPr/>
        <w:t>日，公司控股子公司－江西苏宁电器有限公司出资组建景</w:t>
      </w:r>
    </w:p>
    <w:p>
      <w:pPr>
        <w:pStyle w:val="BodyText"/>
        <w:spacing w:line="338" w:lineRule="auto" w:before="135"/>
        <w:ind w:right="101"/>
        <w:jc w:val="left"/>
      </w:pPr>
      <w:r>
        <w:rPr/>
        <w:t>德镇苏宁电器有限公司，注册资本</w:t>
      </w:r>
      <w:r>
        <w:rPr>
          <w:spacing w:val="-7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万元，江西苏宁电器有限公司出资</w:t>
      </w:r>
      <w:r>
        <w:rPr>
          <w:spacing w:val="-7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16.14 </w:t>
      </w:r>
      <w:r>
        <w:rPr/>
        <w:t>万元。</w:t>
      </w:r>
    </w:p>
    <w:p>
      <w:pPr>
        <w:pStyle w:val="BodyText"/>
        <w:spacing w:line="240" w:lineRule="auto" w:before="27"/>
        <w:ind w:left="669" w:right="101"/>
        <w:jc w:val="left"/>
      </w:pPr>
      <w:r>
        <w:rPr>
          <w:rFonts w:ascii="Times New Roman" w:hAnsi="Times New Roman" w:cs="Times New Roman" w:eastAsia="Times New Roman" w:hint="default"/>
        </w:rPr>
        <w:t>17</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8"/>
        </w:rPr>
        <w:t> </w:t>
      </w:r>
      <w:r>
        <w:rPr/>
        <w:t>日，公司控股子公司－湖南苏宁电器有限公司和株洲市真</w:t>
      </w:r>
    </w:p>
    <w:p>
      <w:pPr>
        <w:pStyle w:val="BodyText"/>
        <w:spacing w:line="338" w:lineRule="auto" w:before="135"/>
        <w:ind w:right="234"/>
        <w:jc w:val="both"/>
      </w:pPr>
      <w:r>
        <w:rPr/>
        <w:t>诚苏宁电器有限公司共同出资组建永州苏宁电器有限公司，注册资本 </w:t>
      </w:r>
      <w:r>
        <w:rPr>
          <w:rFonts w:ascii="Times New Roman" w:hAnsi="Times New Roman" w:cs="Times New Roman" w:eastAsia="Times New Roman" w:hint="default"/>
        </w:rPr>
        <w:t>510</w:t>
      </w:r>
      <w:r>
        <w:rPr>
          <w:rFonts w:ascii="Times New Roman" w:hAnsi="Times New Roman" w:cs="Times New Roman" w:eastAsia="Times New Roman" w:hint="default"/>
          <w:spacing w:val="2"/>
        </w:rPr>
        <w:t> </w:t>
      </w:r>
      <w:r>
        <w:rPr/>
        <w:t>万，其中 新疆苏宁电器有限公司出资 </w:t>
      </w:r>
      <w:r>
        <w:rPr>
          <w:rFonts w:ascii="Times New Roman" w:hAnsi="Times New Roman" w:cs="Times New Roman" w:eastAsia="Times New Roman" w:hint="default"/>
        </w:rPr>
        <w:t>459 </w:t>
      </w:r>
      <w:r>
        <w:rPr/>
        <w:t>万元，占注册资本的</w:t>
      </w:r>
      <w:r>
        <w:rPr>
          <w:spacing w:val="-78"/>
        </w:rPr>
        <w:t> </w:t>
      </w:r>
      <w:r>
        <w:rPr>
          <w:rFonts w:ascii="Times New Roman" w:hAnsi="Times New Roman" w:cs="Times New Roman" w:eastAsia="Times New Roman" w:hint="default"/>
        </w:rPr>
        <w:t>90%</w:t>
      </w:r>
      <w:r>
        <w:rPr/>
        <w:t>；江苏苏宁地铁商业管理 有限公司出资</w:t>
      </w:r>
      <w:r>
        <w:rPr>
          <w:spacing w:val="-60"/>
        </w:rPr>
        <w:t> </w:t>
      </w:r>
      <w:r>
        <w:rPr>
          <w:rFonts w:ascii="Times New Roman" w:hAnsi="Times New Roman" w:cs="Times New Roman" w:eastAsia="Times New Roman" w:hint="default"/>
        </w:rPr>
        <w:t>51 </w:t>
      </w:r>
      <w:r>
        <w:rPr/>
        <w:t>万元，占注册资本的</w:t>
      </w:r>
      <w:r>
        <w:rPr>
          <w:spacing w:val="-60"/>
        </w:rPr>
        <w:t> </w:t>
      </w:r>
      <w:r>
        <w:rPr>
          <w:rFonts w:ascii="Times New Roman" w:hAnsi="Times New Roman" w:cs="Times New Roman" w:eastAsia="Times New Roman" w:hint="default"/>
        </w:rPr>
        <w:t>10%</w:t>
      </w:r>
      <w:r>
        <w:rPr/>
        <w:t>。该公司本报告实现净利润</w:t>
      </w:r>
      <w:r>
        <w:rPr>
          <w:spacing w:val="-60"/>
        </w:rPr>
        <w:t> </w:t>
      </w:r>
      <w:r>
        <w:rPr>
          <w:rFonts w:ascii="Times New Roman" w:hAnsi="Times New Roman" w:cs="Times New Roman" w:eastAsia="Times New Roman" w:hint="default"/>
        </w:rPr>
        <w:t>4.32 </w:t>
      </w:r>
      <w:r>
        <w:rPr/>
        <w:t>万元。</w:t>
      </w:r>
    </w:p>
    <w:p>
      <w:pPr>
        <w:pStyle w:val="BodyText"/>
        <w:spacing w:line="240" w:lineRule="auto" w:before="27"/>
        <w:ind w:left="669" w:right="101"/>
        <w:jc w:val="left"/>
      </w:pPr>
      <w:r>
        <w:rPr>
          <w:rFonts w:ascii="Times New Roman" w:hAnsi="Times New Roman" w:cs="Times New Roman" w:eastAsia="Times New Roman" w:hint="default"/>
        </w:rPr>
        <w:t>18</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5"/>
        </w:rPr>
        <w:t> </w:t>
      </w:r>
      <w:r>
        <w:rPr/>
        <w:t>日，公司控股子公司－山西苏宁电器有限公司出资组建朔</w:t>
      </w:r>
    </w:p>
    <w:p>
      <w:pPr>
        <w:pStyle w:val="BodyText"/>
        <w:spacing w:line="338" w:lineRule="auto" w:before="135"/>
        <w:ind w:right="237"/>
        <w:jc w:val="both"/>
      </w:pPr>
      <w:r>
        <w:rPr/>
        <w:t>州苏宁电器有限公司，注册资本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万元，山西苏宁电器有限公司出资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-38.39 </w:t>
      </w:r>
      <w:r>
        <w:rPr/>
        <w:t>万元。</w:t>
      </w:r>
    </w:p>
    <w:p>
      <w:pPr>
        <w:pStyle w:val="BodyText"/>
        <w:spacing w:line="240" w:lineRule="auto" w:before="27"/>
        <w:ind w:left="669" w:right="101"/>
        <w:jc w:val="left"/>
      </w:pPr>
      <w:r>
        <w:rPr>
          <w:rFonts w:ascii="Times New Roman" w:hAnsi="Times New Roman" w:cs="Times New Roman" w:eastAsia="Times New Roman" w:hint="default"/>
        </w:rPr>
        <w:t>19</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5"/>
        </w:rPr>
        <w:t> </w:t>
      </w:r>
      <w:r>
        <w:rPr/>
        <w:t>日，公司与控股子公司－江苏苏宁地铁商业管理有限公司</w:t>
      </w:r>
    </w:p>
    <w:p>
      <w:pPr>
        <w:pStyle w:val="BodyText"/>
        <w:spacing w:line="338" w:lineRule="auto" w:before="135"/>
        <w:ind w:right="101"/>
        <w:jc w:val="left"/>
      </w:pPr>
      <w:r>
        <w:rPr>
          <w:spacing w:val="-6"/>
        </w:rPr>
        <w:t>共同出资组建海南苏宁电器有限公司，注册资本</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spacing w:val="-14"/>
        </w:rPr>
        <w:t>万元，其中公司出资</w:t>
      </w:r>
      <w:r>
        <w:rPr>
          <w:spacing w:val="-57"/>
        </w:rPr>
        <w:t> </w:t>
      </w:r>
      <w:r>
        <w:rPr>
          <w:rFonts w:ascii="Times New Roman" w:hAnsi="Times New Roman" w:cs="Times New Roman" w:eastAsia="Times New Roman" w:hint="default"/>
        </w:rPr>
        <w:t>900</w:t>
      </w:r>
      <w:r>
        <w:rPr>
          <w:rFonts w:ascii="Times New Roman" w:hAnsi="Times New Roman" w:cs="Times New Roman" w:eastAsia="Times New Roman" w:hint="default"/>
          <w:spacing w:val="3"/>
        </w:rPr>
        <w:t> </w:t>
      </w:r>
      <w:r>
        <w:rPr/>
        <w:t>万元， 占注册资本的</w:t>
      </w:r>
      <w:r>
        <w:rPr>
          <w:spacing w:val="-46"/>
        </w:rPr>
        <w:t> </w:t>
      </w:r>
      <w:r>
        <w:rPr>
          <w:rFonts w:ascii="Times New Roman" w:hAnsi="Times New Roman" w:cs="Times New Roman" w:eastAsia="Times New Roman" w:hint="default"/>
        </w:rPr>
        <w:t>90%</w:t>
      </w:r>
      <w:r>
        <w:rPr/>
        <w:t>；江苏苏宁地铁商业管理有限公司出资</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t>万元，占注册资本的 </w:t>
      </w:r>
      <w:r>
        <w:rPr>
          <w:rFonts w:ascii="Times New Roman" w:hAnsi="Times New Roman" w:cs="Times New Roman" w:eastAsia="Times New Roman" w:hint="default"/>
        </w:rPr>
        <w:t>10%</w:t>
      </w:r>
      <w:r>
        <w:rPr/>
        <w:t>。该公司本报告实现净利润</w:t>
      </w:r>
      <w:r>
        <w:rPr>
          <w:spacing w:val="-60"/>
        </w:rPr>
        <w:t> </w:t>
      </w:r>
      <w:r>
        <w:rPr>
          <w:rFonts w:ascii="Times New Roman" w:hAnsi="Times New Roman" w:cs="Times New Roman" w:eastAsia="Times New Roman" w:hint="default"/>
        </w:rPr>
        <w:t>26.88 </w:t>
      </w:r>
      <w:r>
        <w:rPr/>
        <w:t>万元。</w:t>
      </w:r>
    </w:p>
    <w:p>
      <w:pPr>
        <w:pStyle w:val="BodyText"/>
        <w:spacing w:line="240" w:lineRule="auto" w:before="27"/>
        <w:ind w:left="669" w:right="101"/>
        <w:jc w:val="left"/>
      </w:pPr>
      <w:r>
        <w:rPr>
          <w:rFonts w:ascii="Times New Roman" w:hAnsi="Times New Roman" w:cs="Times New Roman" w:eastAsia="Times New Roman" w:hint="default"/>
          <w:spacing w:val="-4"/>
        </w:rPr>
        <w:t>20</w:t>
      </w:r>
      <w:r>
        <w:rPr>
          <w:spacing w:val="-4"/>
        </w:rPr>
        <w:t>、</w:t>
      </w:r>
      <w:r>
        <w:rPr>
          <w:rFonts w:ascii="Times New Roman" w:hAnsi="Times New Roman" w:cs="Times New Roman" w:eastAsia="Times New Roman" w:hint="default"/>
          <w:spacing w:val="-4"/>
        </w:rPr>
        <w:t>2007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日，公司控股子公司－广西苏宁电器有限公司出资组建贵</w:t>
      </w:r>
    </w:p>
    <w:p>
      <w:pPr>
        <w:pStyle w:val="BodyText"/>
        <w:spacing w:line="338" w:lineRule="auto" w:before="135"/>
        <w:ind w:right="237"/>
        <w:jc w:val="both"/>
      </w:pPr>
      <w:r>
        <w:rPr/>
        <w:t>港苏宁电器有限公司，注册资本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万元，广西苏宁电器有限公司出资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24.67 </w:t>
      </w:r>
      <w:r>
        <w:rPr/>
        <w:t>万元。</w:t>
      </w:r>
    </w:p>
    <w:p>
      <w:pPr>
        <w:spacing w:after="0" w:line="338" w:lineRule="auto"/>
        <w:jc w:val="both"/>
        <w:sectPr>
          <w:pgSz w:w="11910" w:h="16840"/>
          <w:pgMar w:header="879" w:footer="982" w:top="1100" w:bottom="1180" w:left="1500" w:right="1320"/>
        </w:sectPr>
      </w:pPr>
    </w:p>
    <w:p>
      <w:pPr>
        <w:spacing w:line="240" w:lineRule="auto" w:before="10"/>
        <w:rPr>
          <w:rFonts w:ascii="宋体" w:hAnsi="宋体" w:cs="宋体" w:eastAsia="宋体" w:hint="default"/>
          <w:sz w:val="10"/>
          <w:szCs w:val="10"/>
        </w:rPr>
      </w:pPr>
    </w:p>
    <w:p>
      <w:pPr>
        <w:pStyle w:val="BodyText"/>
        <w:spacing w:line="240" w:lineRule="auto" w:before="26"/>
        <w:ind w:left="669" w:right="0"/>
        <w:jc w:val="left"/>
      </w:pPr>
      <w:r>
        <w:rPr>
          <w:rFonts w:ascii="Times New Roman" w:hAnsi="Times New Roman" w:cs="Times New Roman" w:eastAsia="Times New Roman" w:hint="default"/>
          <w:spacing w:val="-4"/>
        </w:rPr>
        <w:t>21</w:t>
      </w:r>
      <w:r>
        <w:rPr>
          <w:spacing w:val="-4"/>
        </w:rPr>
        <w:t>、</w:t>
      </w:r>
      <w:r>
        <w:rPr>
          <w:rFonts w:ascii="Times New Roman" w:hAnsi="Times New Roman" w:cs="Times New Roman" w:eastAsia="Times New Roman" w:hint="default"/>
          <w:spacing w:val="-4"/>
        </w:rPr>
        <w:t>2007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日，公司控股子公司－江西苏宁电器有限公司和景德镇苏</w:t>
      </w:r>
    </w:p>
    <w:p>
      <w:pPr>
        <w:pStyle w:val="BodyText"/>
        <w:spacing w:line="338" w:lineRule="auto" w:before="135"/>
        <w:ind w:right="114"/>
        <w:jc w:val="both"/>
      </w:pPr>
      <w:r>
        <w:rPr/>
        <w:t>宁电器有限公司共同出资组建鹰潭苏宁电器有限公司，注册资本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万，其中江西 苏宁电器有限公司出资 </w:t>
      </w:r>
      <w:r>
        <w:rPr>
          <w:rFonts w:ascii="Times New Roman" w:hAnsi="Times New Roman" w:cs="Times New Roman" w:eastAsia="Times New Roman" w:hint="default"/>
        </w:rPr>
        <w:t>450 </w:t>
      </w:r>
      <w:r>
        <w:rPr/>
        <w:t>万元，占注册资本的</w:t>
      </w:r>
      <w:r>
        <w:rPr>
          <w:spacing w:val="-78"/>
        </w:rPr>
        <w:t> </w:t>
      </w:r>
      <w:r>
        <w:rPr>
          <w:rFonts w:ascii="Times New Roman" w:hAnsi="Times New Roman" w:cs="Times New Roman" w:eastAsia="Times New Roman" w:hint="default"/>
        </w:rPr>
        <w:t>90%</w:t>
      </w:r>
      <w:r>
        <w:rPr/>
        <w:t>；景德镇苏宁电器有限公司出 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。该公司本报告实现净利润</w:t>
      </w:r>
      <w:r>
        <w:rPr>
          <w:spacing w:val="-60"/>
        </w:rPr>
        <w:t> </w:t>
      </w:r>
      <w:r>
        <w:rPr>
          <w:rFonts w:ascii="Times New Roman" w:hAnsi="Times New Roman" w:cs="Times New Roman" w:eastAsia="Times New Roman" w:hint="default"/>
        </w:rPr>
        <w:t>7.75 </w:t>
      </w:r>
      <w:r>
        <w:rPr/>
        <w:t>万元。</w:t>
      </w:r>
    </w:p>
    <w:p>
      <w:pPr>
        <w:pStyle w:val="BodyText"/>
        <w:spacing w:line="240" w:lineRule="auto" w:before="27"/>
        <w:ind w:left="669" w:right="0"/>
        <w:jc w:val="left"/>
      </w:pPr>
      <w:r>
        <w:rPr>
          <w:rFonts w:ascii="Times New Roman" w:hAnsi="Times New Roman" w:cs="Times New Roman" w:eastAsia="Times New Roman" w:hint="default"/>
        </w:rPr>
        <w:t>22</w:t>
      </w:r>
      <w:r>
        <w:rPr/>
        <w:t>、</w:t>
      </w:r>
      <w:r>
        <w:rPr>
          <w:rFonts w:ascii="Times New Roman" w:hAnsi="Times New Roman" w:cs="Times New Roman" w:eastAsia="Times New Roman" w:hint="default"/>
        </w:rPr>
        <w:t>2007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32"/>
        </w:rPr>
        <w:t> </w:t>
      </w:r>
      <w:r>
        <w:rPr/>
        <w:t>日，公司控股子公司－包头苏宁电器有限公司出资组建鄂</w:t>
      </w:r>
    </w:p>
    <w:p>
      <w:pPr>
        <w:pStyle w:val="BodyText"/>
        <w:spacing w:line="240" w:lineRule="auto" w:before="135"/>
        <w:ind w:left="144" w:right="0"/>
        <w:jc w:val="both"/>
        <w:rPr>
          <w:rFonts w:ascii="Times New Roman" w:hAnsi="Times New Roman" w:cs="Times New Roman" w:eastAsia="Times New Roman" w:hint="default"/>
        </w:rPr>
      </w:pPr>
      <w:r>
        <w:rPr/>
        <w:t>尔多斯市苏宁电器有限公司，注册资本 </w:t>
      </w:r>
      <w:r>
        <w:rPr>
          <w:rFonts w:ascii="Times New Roman" w:hAnsi="Times New Roman" w:cs="Times New Roman" w:eastAsia="Times New Roman" w:hint="default"/>
        </w:rPr>
        <w:t>500  </w:t>
      </w:r>
      <w:r>
        <w:rPr/>
        <w:t>万元，包头苏宁电器有限公司出资</w:t>
      </w:r>
      <w:r>
        <w:rPr>
          <w:spacing w:val="-60"/>
        </w:rPr>
        <w:t> </w:t>
      </w:r>
      <w:r>
        <w:rPr>
          <w:rFonts w:ascii="Times New Roman" w:hAnsi="Times New Roman" w:cs="Times New Roman" w:eastAsia="Times New Roman" w:hint="default"/>
        </w:rPr>
        <w:t>500</w:t>
      </w:r>
    </w:p>
    <w:p>
      <w:pPr>
        <w:pStyle w:val="BodyText"/>
        <w:spacing w:line="240" w:lineRule="auto" w:before="135"/>
        <w:ind w:left="144" w:right="0"/>
        <w:jc w:val="both"/>
      </w:pPr>
      <w:r>
        <w:rPr/>
        <w:t>万元，占注册资本的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11.48 </w:t>
      </w:r>
      <w:r>
        <w:rPr/>
        <w:t>万元。</w:t>
      </w:r>
    </w:p>
    <w:p>
      <w:pPr>
        <w:pStyle w:val="BodyText"/>
        <w:spacing w:line="240" w:lineRule="auto" w:before="135"/>
        <w:ind w:left="669" w:right="0"/>
        <w:jc w:val="left"/>
      </w:pPr>
      <w:r>
        <w:rPr>
          <w:rFonts w:ascii="Times New Roman" w:hAnsi="Times New Roman" w:cs="Times New Roman" w:eastAsia="Times New Roman" w:hint="default"/>
          <w:spacing w:val="-3"/>
        </w:rPr>
        <w:t>23</w:t>
      </w:r>
      <w:r>
        <w:rPr>
          <w:spacing w:val="-3"/>
        </w:rPr>
        <w:t>、</w:t>
      </w:r>
      <w:r>
        <w:rPr>
          <w:rFonts w:ascii="Times New Roman" w:hAnsi="Times New Roman" w:cs="Times New Roman" w:eastAsia="Times New Roman" w:hint="default"/>
          <w:spacing w:val="-3"/>
        </w:rPr>
        <w:t>2007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日，公司控股子公司－广东苏宁电器有限公司出资组建湛</w:t>
      </w:r>
    </w:p>
    <w:p>
      <w:pPr>
        <w:pStyle w:val="BodyText"/>
        <w:spacing w:line="338" w:lineRule="auto" w:before="135"/>
        <w:ind w:right="117"/>
        <w:jc w:val="both"/>
      </w:pPr>
      <w:r>
        <w:rPr/>
        <w:t>江苏宁电器有限公司，注册资本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万元，广东苏宁电器有限公司出资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-7.37 </w:t>
      </w:r>
      <w:r>
        <w:rPr/>
        <w:t>万元。</w:t>
      </w:r>
    </w:p>
    <w:p>
      <w:pPr>
        <w:pStyle w:val="BodyText"/>
        <w:spacing w:line="240" w:lineRule="auto" w:before="27"/>
        <w:ind w:left="669" w:right="0"/>
        <w:jc w:val="left"/>
      </w:pPr>
      <w:r>
        <w:rPr>
          <w:rFonts w:ascii="Times New Roman" w:hAnsi="Times New Roman" w:cs="Times New Roman" w:eastAsia="Times New Roman" w:hint="default"/>
          <w:spacing w:val="-3"/>
        </w:rPr>
        <w:t>24</w:t>
      </w:r>
      <w:r>
        <w:rPr>
          <w:spacing w:val="-3"/>
        </w:rPr>
        <w:t>、</w:t>
      </w:r>
      <w:r>
        <w:rPr>
          <w:rFonts w:ascii="Times New Roman" w:hAnsi="Times New Roman" w:cs="Times New Roman" w:eastAsia="Times New Roman" w:hint="default"/>
          <w:spacing w:val="-3"/>
        </w:rPr>
        <w:t>2007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日，公司与控股子公司－上海长宁苏宁电器有限公司共同</w:t>
      </w:r>
    </w:p>
    <w:p>
      <w:pPr>
        <w:pStyle w:val="BodyText"/>
        <w:spacing w:line="240" w:lineRule="auto" w:before="135"/>
        <w:ind w:right="0"/>
        <w:jc w:val="both"/>
      </w:pPr>
      <w:r>
        <w:rPr/>
        <w:t>出资组建上海沪申苏宁电器有限公司</w:t>
      </w:r>
      <w:r>
        <w:rPr>
          <w:spacing w:val="-20"/>
        </w:rPr>
        <w:t>，</w:t>
      </w:r>
      <w:r>
        <w:rPr/>
        <w:t>注册资本</w:t>
      </w:r>
      <w:r>
        <w:rPr>
          <w:spacing w:val="-60"/>
        </w:rPr>
        <w:t> </w:t>
      </w:r>
      <w:r>
        <w:rPr>
          <w:rFonts w:ascii="Times New Roman" w:hAnsi="Times New Roman" w:cs="Times New Roman" w:eastAsia="Times New Roman" w:hint="default"/>
        </w:rPr>
        <w:t>10,000 </w:t>
      </w:r>
      <w:r>
        <w:rPr/>
        <w:t>万</w:t>
      </w:r>
      <w:r>
        <w:rPr>
          <w:spacing w:val="-20"/>
        </w:rPr>
        <w:t>元</w:t>
      </w:r>
      <w:r>
        <w:rPr/>
        <w:t>（实到</w:t>
      </w:r>
      <w:r>
        <w:rPr>
          <w:spacing w:val="-60"/>
        </w:rPr>
        <w:t> </w:t>
      </w:r>
      <w:r>
        <w:rPr>
          <w:rFonts w:ascii="Times New Roman" w:hAnsi="Times New Roman" w:cs="Times New Roman" w:eastAsia="Times New Roman" w:hint="default"/>
        </w:rPr>
        <w:t>2,000 </w:t>
      </w:r>
      <w:r>
        <w:rPr/>
        <w:t>万元</w:t>
      </w:r>
      <w:r>
        <w:rPr>
          <w:spacing w:val="-120"/>
        </w:rPr>
        <w:t>）</w:t>
      </w:r>
      <w:r>
        <w:rPr>
          <w:spacing w:val="-20"/>
        </w:rPr>
        <w:t>，其</w:t>
      </w:r>
      <w:r>
        <w:rPr/>
      </w:r>
    </w:p>
    <w:p>
      <w:pPr>
        <w:pStyle w:val="BodyText"/>
        <w:spacing w:line="240" w:lineRule="auto" w:before="135"/>
        <w:ind w:right="0"/>
        <w:jc w:val="both"/>
      </w:pPr>
      <w:r>
        <w:rPr/>
        <w:t>中公司出资</w:t>
      </w:r>
      <w:r>
        <w:rPr>
          <w:spacing w:val="-52"/>
        </w:rPr>
        <w:t> </w:t>
      </w:r>
      <w:r>
        <w:rPr>
          <w:rFonts w:ascii="Times New Roman" w:hAnsi="Times New Roman" w:cs="Times New Roman" w:eastAsia="Times New Roman" w:hint="default"/>
        </w:rPr>
        <w:t>9,000</w:t>
      </w:r>
      <w:r>
        <w:rPr>
          <w:rFonts w:ascii="Times New Roman" w:hAnsi="Times New Roman" w:cs="Times New Roman" w:eastAsia="Times New Roman" w:hint="default"/>
          <w:spacing w:val="8"/>
        </w:rPr>
        <w:t> </w:t>
      </w:r>
      <w:r>
        <w:rPr/>
        <w:t>万元（实到</w:t>
      </w:r>
      <w:r>
        <w:rPr>
          <w:spacing w:val="-52"/>
        </w:rPr>
        <w:t> </w:t>
      </w:r>
      <w:r>
        <w:rPr>
          <w:rFonts w:ascii="Times New Roman" w:hAnsi="Times New Roman" w:cs="Times New Roman" w:eastAsia="Times New Roman" w:hint="default"/>
        </w:rPr>
        <w:t>1,800</w:t>
      </w:r>
      <w:r>
        <w:rPr>
          <w:rFonts w:ascii="Times New Roman" w:hAnsi="Times New Roman" w:cs="Times New Roman" w:eastAsia="Times New Roman" w:hint="default"/>
          <w:spacing w:val="8"/>
        </w:rPr>
        <w:t> </w:t>
      </w:r>
      <w:r>
        <w:rPr/>
        <w:t>万元</w:t>
      </w:r>
      <w:r>
        <w:rPr>
          <w:spacing w:val="-120"/>
        </w:rPr>
        <w:t>）</w:t>
      </w:r>
      <w:r>
        <w:rPr/>
        <w:t>，占注册资本的</w:t>
      </w:r>
      <w:r>
        <w:rPr>
          <w:spacing w:val="-52"/>
        </w:rPr>
        <w:t> </w:t>
      </w:r>
      <w:r>
        <w:rPr>
          <w:rFonts w:ascii="Times New Roman" w:hAnsi="Times New Roman" w:cs="Times New Roman" w:eastAsia="Times New Roman" w:hint="default"/>
        </w:rPr>
        <w:t>90%</w:t>
      </w:r>
      <w:r>
        <w:rPr/>
        <w:t>；上海长宁苏宁电器</w:t>
      </w:r>
    </w:p>
    <w:p>
      <w:pPr>
        <w:pStyle w:val="BodyText"/>
        <w:spacing w:line="338" w:lineRule="auto" w:before="135"/>
        <w:ind w:right="117"/>
        <w:jc w:val="both"/>
      </w:pPr>
      <w:r>
        <w:rPr/>
        <w:t>有限公司出资</w:t>
      </w:r>
      <w:r>
        <w:rPr>
          <w:spacing w:val="-5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spacing w:val="-2"/>
        </w:rPr>
        <w:t>万元（实到</w:t>
      </w:r>
      <w:r>
        <w:rPr>
          <w:spacing w:val="-58"/>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spacing w:val="-13"/>
        </w:rPr>
        <w:t>万元），占注册资本的</w:t>
      </w:r>
      <w:r>
        <w:rPr>
          <w:spacing w:val="-58"/>
        </w:rPr>
        <w:t> </w:t>
      </w:r>
      <w:r>
        <w:rPr>
          <w:rFonts w:ascii="Times New Roman" w:hAnsi="Times New Roman" w:cs="Times New Roman" w:eastAsia="Times New Roman" w:hint="default"/>
          <w:spacing w:val="-1"/>
        </w:rPr>
        <w:t>10%</w:t>
      </w:r>
      <w:r>
        <w:rPr>
          <w:spacing w:val="-1"/>
        </w:rPr>
        <w:t>。该公司本报告实现</w:t>
      </w:r>
      <w:r>
        <w:rPr/>
        <w:t> 净利润</w:t>
      </w:r>
      <w:r>
        <w:rPr>
          <w:rFonts w:ascii="Times New Roman" w:hAnsi="Times New Roman" w:cs="Times New Roman" w:eastAsia="Times New Roman" w:hint="default"/>
        </w:rPr>
        <w:t>-3.44 </w:t>
      </w:r>
      <w:r>
        <w:rPr/>
        <w:t>万元。</w:t>
      </w:r>
    </w:p>
    <w:p>
      <w:pPr>
        <w:pStyle w:val="BodyText"/>
        <w:spacing w:line="240" w:lineRule="auto" w:before="27"/>
        <w:ind w:left="669" w:right="0"/>
        <w:jc w:val="left"/>
      </w:pPr>
      <w:r>
        <w:rPr>
          <w:rFonts w:ascii="Times New Roman" w:hAnsi="Times New Roman" w:cs="Times New Roman" w:eastAsia="Times New Roman" w:hint="default"/>
          <w:spacing w:val="-3"/>
        </w:rPr>
        <w:t>25</w:t>
      </w:r>
      <w:r>
        <w:rPr>
          <w:spacing w:val="-3"/>
        </w:rPr>
        <w:t>、</w:t>
      </w:r>
      <w:r>
        <w:rPr>
          <w:rFonts w:ascii="Times New Roman" w:hAnsi="Times New Roman" w:cs="Times New Roman" w:eastAsia="Times New Roman" w:hint="default"/>
          <w:spacing w:val="-3"/>
        </w:rPr>
        <w:t>2007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日，公司控股子公司－厦门福厦苏宁电器有限公司出资组</w:t>
      </w:r>
    </w:p>
    <w:p>
      <w:pPr>
        <w:pStyle w:val="BodyText"/>
        <w:spacing w:line="240" w:lineRule="auto" w:before="135"/>
        <w:ind w:right="0"/>
        <w:jc w:val="both"/>
      </w:pPr>
      <w:r>
        <w:rPr/>
        <w:t>建龙岩厦龙苏宁电器有限公司，注册资本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万元，厦门福厦苏宁电器有限公司出</w:t>
      </w:r>
    </w:p>
    <w:p>
      <w:pPr>
        <w:pStyle w:val="BodyText"/>
        <w:spacing w:line="240" w:lineRule="auto" w:before="135"/>
        <w:ind w:right="0"/>
        <w:jc w:val="both"/>
      </w:pPr>
      <w:r>
        <w:rPr/>
        <w:t>资</w:t>
      </w:r>
      <w:r>
        <w:rPr>
          <w:spacing w:val="-60"/>
        </w:rPr>
        <w:t> </w:t>
      </w:r>
      <w:r>
        <w:rPr>
          <w:rFonts w:ascii="Times New Roman" w:hAnsi="Times New Roman" w:cs="Times New Roman" w:eastAsia="Times New Roman" w:hint="default"/>
        </w:rPr>
        <w:t>500 </w:t>
      </w:r>
      <w:r>
        <w:rPr/>
        <w:t>万元，占注册资本的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20.00 </w:t>
      </w:r>
      <w:r>
        <w:rPr/>
        <w:t>万元。</w:t>
      </w:r>
    </w:p>
    <w:p>
      <w:pPr>
        <w:pStyle w:val="BodyText"/>
        <w:spacing w:line="240" w:lineRule="auto" w:before="135"/>
        <w:ind w:left="669" w:right="0"/>
        <w:jc w:val="left"/>
      </w:pPr>
      <w:r>
        <w:rPr>
          <w:rFonts w:ascii="Times New Roman" w:hAnsi="Times New Roman" w:cs="Times New Roman" w:eastAsia="Times New Roman" w:hint="default"/>
          <w:spacing w:val="-3"/>
        </w:rPr>
        <w:t>26</w:t>
      </w:r>
      <w:r>
        <w:rPr>
          <w:spacing w:val="-3"/>
        </w:rPr>
        <w:t>、</w:t>
      </w:r>
      <w:r>
        <w:rPr>
          <w:rFonts w:ascii="Times New Roman" w:hAnsi="Times New Roman" w:cs="Times New Roman" w:eastAsia="Times New Roman" w:hint="default"/>
          <w:spacing w:val="-3"/>
        </w:rPr>
        <w:t>2007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日，公司控股子公司－芜湖苏宁电器有限公司出资组建宣</w:t>
      </w:r>
    </w:p>
    <w:p>
      <w:pPr>
        <w:pStyle w:val="BodyText"/>
        <w:spacing w:line="338" w:lineRule="auto" w:before="135"/>
        <w:ind w:right="117"/>
        <w:jc w:val="both"/>
      </w:pPr>
      <w:r>
        <w:rPr/>
        <w:t>城苏宁电器有限公司，注册资本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万元，芜湖苏宁电器有限公司出资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4.78 </w:t>
      </w:r>
      <w:r>
        <w:rPr/>
        <w:t>万元。</w:t>
      </w:r>
    </w:p>
    <w:p>
      <w:pPr>
        <w:pStyle w:val="BodyText"/>
        <w:spacing w:line="240" w:lineRule="auto" w:before="27"/>
        <w:ind w:left="669" w:right="0"/>
        <w:jc w:val="left"/>
      </w:pPr>
      <w:r>
        <w:rPr>
          <w:rFonts w:ascii="Times New Roman" w:hAnsi="Times New Roman" w:cs="Times New Roman" w:eastAsia="Times New Roman" w:hint="default"/>
          <w:spacing w:val="-3"/>
        </w:rPr>
        <w:t>27</w:t>
      </w:r>
      <w:r>
        <w:rPr>
          <w:spacing w:val="-3"/>
        </w:rPr>
        <w:t>、</w:t>
      </w:r>
      <w:r>
        <w:rPr>
          <w:rFonts w:ascii="Times New Roman" w:hAnsi="Times New Roman" w:cs="Times New Roman" w:eastAsia="Times New Roman" w:hint="default"/>
          <w:spacing w:val="-3"/>
        </w:rPr>
        <w:t>2007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日，公司控股子公司－武汉苏宁电器有限公司出资组建随</w:t>
      </w:r>
    </w:p>
    <w:p>
      <w:pPr>
        <w:pStyle w:val="BodyText"/>
        <w:spacing w:line="338" w:lineRule="auto" w:before="135"/>
        <w:ind w:right="117"/>
        <w:jc w:val="both"/>
      </w:pPr>
      <w:r>
        <w:rPr/>
        <w:t>州苏宁电器有限公司，注册资本</w:t>
      </w:r>
      <w:r>
        <w:rPr>
          <w:spacing w:val="-45"/>
        </w:rPr>
        <w:t> </w:t>
      </w:r>
      <w:r>
        <w:rPr>
          <w:rFonts w:ascii="Times New Roman" w:hAnsi="Times New Roman" w:cs="Times New Roman" w:eastAsia="Times New Roman" w:hint="default"/>
        </w:rPr>
        <w:t>510</w:t>
      </w:r>
      <w:r>
        <w:rPr>
          <w:rFonts w:ascii="Times New Roman" w:hAnsi="Times New Roman" w:cs="Times New Roman" w:eastAsia="Times New Roman" w:hint="default"/>
          <w:spacing w:val="15"/>
        </w:rPr>
        <w:t> </w:t>
      </w:r>
      <w:r>
        <w:rPr/>
        <w:t>万元，武汉苏宁电器有限公司出资</w:t>
      </w:r>
      <w:r>
        <w:rPr>
          <w:spacing w:val="-45"/>
        </w:rPr>
        <w:t> </w:t>
      </w:r>
      <w:r>
        <w:rPr>
          <w:rFonts w:ascii="Times New Roman" w:hAnsi="Times New Roman" w:cs="Times New Roman" w:eastAsia="Times New Roman" w:hint="default"/>
        </w:rPr>
        <w:t>510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2.01 </w:t>
      </w:r>
      <w:r>
        <w:rPr/>
        <w:t>万元。</w:t>
      </w:r>
    </w:p>
    <w:p>
      <w:pPr>
        <w:pStyle w:val="BodyText"/>
        <w:spacing w:line="240" w:lineRule="auto" w:before="27"/>
        <w:ind w:left="669" w:right="0"/>
        <w:jc w:val="left"/>
      </w:pPr>
      <w:r>
        <w:rPr>
          <w:rFonts w:ascii="Times New Roman" w:hAnsi="Times New Roman" w:cs="Times New Roman" w:eastAsia="Times New Roman" w:hint="default"/>
        </w:rPr>
        <w:t>28</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日，公司控股子公司－湖南苏宁电器有限公司出资组建怀</w:t>
      </w:r>
    </w:p>
    <w:p>
      <w:pPr>
        <w:pStyle w:val="BodyText"/>
        <w:spacing w:line="338" w:lineRule="auto" w:before="135"/>
        <w:ind w:right="117"/>
        <w:jc w:val="both"/>
      </w:pPr>
      <w:r>
        <w:rPr/>
        <w:t>化苏宁电器有限公司，注册资本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万元，湖南苏宁电器有限公司出资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23.03 </w:t>
      </w:r>
      <w:r>
        <w:rPr/>
        <w:t>万元。</w:t>
      </w:r>
    </w:p>
    <w:p>
      <w:pPr>
        <w:pStyle w:val="BodyText"/>
        <w:spacing w:line="240" w:lineRule="auto" w:before="27"/>
        <w:ind w:left="669" w:right="0"/>
        <w:jc w:val="left"/>
      </w:pPr>
      <w:r>
        <w:rPr>
          <w:rFonts w:ascii="Times New Roman" w:hAnsi="Times New Roman" w:cs="Times New Roman" w:eastAsia="Times New Roman" w:hint="default"/>
        </w:rPr>
        <w:t>29</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日，公司控股子公司－深圳市苏宁电器有限公司出资组建</w:t>
      </w:r>
    </w:p>
    <w:p>
      <w:pPr>
        <w:pStyle w:val="BodyText"/>
        <w:spacing w:line="338" w:lineRule="auto" w:before="135"/>
        <w:ind w:right="117"/>
        <w:jc w:val="both"/>
      </w:pPr>
      <w:r>
        <w:rPr/>
        <w:t>惠州苏宁电器有限公司，注册资本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万元，深圳市苏宁电器有限公司出资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 元，占注册资本的</w:t>
      </w:r>
      <w:r>
        <w:rPr>
          <w:spacing w:val="-6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-0.56 </w:t>
      </w:r>
      <w:r>
        <w:rPr/>
        <w:t>万元。</w:t>
      </w:r>
    </w:p>
    <w:p>
      <w:pPr>
        <w:spacing w:after="0" w:line="338" w:lineRule="auto"/>
        <w:jc w:val="both"/>
        <w:sectPr>
          <w:pgSz w:w="11910" w:h="16840"/>
          <w:pgMar w:header="879" w:footer="982" w:top="1100" w:bottom="1180" w:left="1500" w:right="1440"/>
        </w:sectPr>
      </w:pPr>
    </w:p>
    <w:p>
      <w:pPr>
        <w:spacing w:line="240" w:lineRule="auto" w:before="10"/>
        <w:rPr>
          <w:rFonts w:ascii="宋体" w:hAnsi="宋体" w:cs="宋体" w:eastAsia="宋体" w:hint="default"/>
          <w:sz w:val="10"/>
          <w:szCs w:val="10"/>
        </w:rPr>
      </w:pPr>
    </w:p>
    <w:p>
      <w:pPr>
        <w:pStyle w:val="BodyText"/>
        <w:spacing w:line="240" w:lineRule="auto" w:before="26"/>
        <w:ind w:left="669" w:right="0"/>
        <w:jc w:val="left"/>
      </w:pPr>
      <w:r>
        <w:rPr>
          <w:rFonts w:ascii="Times New Roman" w:hAnsi="Times New Roman" w:cs="Times New Roman" w:eastAsia="Times New Roman" w:hint="default"/>
          <w:spacing w:val="-4"/>
        </w:rPr>
        <w:t>30</w:t>
      </w:r>
      <w:r>
        <w:rPr>
          <w:spacing w:val="-4"/>
        </w:rPr>
        <w:t>、</w:t>
      </w:r>
      <w:r>
        <w:rPr>
          <w:rFonts w:ascii="Times New Roman" w:hAnsi="Times New Roman" w:cs="Times New Roman" w:eastAsia="Times New Roman" w:hint="default"/>
          <w:spacing w:val="-4"/>
        </w:rPr>
        <w:t>2007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日，公司控股子公司－福建苏宁电器有限公司出资组建三</w:t>
      </w:r>
    </w:p>
    <w:p>
      <w:pPr>
        <w:pStyle w:val="BodyText"/>
        <w:spacing w:line="338" w:lineRule="auto" w:before="135"/>
        <w:ind w:right="101"/>
        <w:jc w:val="left"/>
      </w:pPr>
      <w:r>
        <w:rPr/>
        <w:t>明苏宁电器有限公司，注册资本</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万元，福建苏宁电器有限公司出资</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 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7.61 </w:t>
      </w:r>
      <w:r>
        <w:rPr/>
        <w:t>万元。</w:t>
      </w:r>
    </w:p>
    <w:p>
      <w:pPr>
        <w:pStyle w:val="BodyText"/>
        <w:spacing w:line="240" w:lineRule="auto" w:before="27"/>
        <w:ind w:left="669" w:right="0"/>
        <w:jc w:val="left"/>
      </w:pPr>
      <w:r>
        <w:rPr>
          <w:rFonts w:ascii="Times New Roman" w:hAnsi="Times New Roman" w:cs="Times New Roman" w:eastAsia="Times New Roman" w:hint="default"/>
          <w:spacing w:val="-3"/>
        </w:rPr>
        <w:t>31</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日，公司出资组建重庆渝宁苏宁电器有限公司，注册资本</w:t>
      </w:r>
    </w:p>
    <w:p>
      <w:pPr>
        <w:pStyle w:val="BodyText"/>
        <w:spacing w:line="240" w:lineRule="auto" w:before="135"/>
        <w:ind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13"/>
        </w:rPr>
        <w:t>万元，公司出资</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10"/>
        </w:rPr>
        <w:t>万元，占注册资本的</w:t>
      </w:r>
      <w:r>
        <w:rPr>
          <w:spacing w:val="-57"/>
        </w:rPr>
        <w:t> </w:t>
      </w:r>
      <w:r>
        <w:rPr>
          <w:rFonts w:ascii="Times New Roman" w:hAnsi="Times New Roman" w:cs="Times New Roman" w:eastAsia="Times New Roman" w:hint="default"/>
          <w:spacing w:val="-6"/>
        </w:rPr>
        <w:t>100%</w:t>
      </w:r>
      <w:r>
        <w:rPr>
          <w:spacing w:val="-6"/>
        </w:rPr>
        <w:t>。该公司本报告实现净利润</w:t>
      </w:r>
      <w:r>
        <w:rPr>
          <w:spacing w:val="-57"/>
        </w:rPr>
        <w:t> </w:t>
      </w:r>
      <w:r>
        <w:rPr>
          <w:rFonts w:ascii="Times New Roman" w:hAnsi="Times New Roman" w:cs="Times New Roman" w:eastAsia="Times New Roman" w:hint="default"/>
        </w:rPr>
        <w:t>178.70</w:t>
      </w:r>
    </w:p>
    <w:p>
      <w:pPr>
        <w:pStyle w:val="BodyText"/>
        <w:spacing w:line="240" w:lineRule="auto" w:before="135"/>
        <w:ind w:right="0"/>
        <w:jc w:val="left"/>
      </w:pPr>
      <w:r>
        <w:rPr/>
        <w:t>万元。</w:t>
      </w:r>
    </w:p>
    <w:p>
      <w:pPr>
        <w:pStyle w:val="BodyText"/>
        <w:spacing w:line="240" w:lineRule="auto" w:before="154"/>
        <w:ind w:left="669" w:right="0"/>
        <w:jc w:val="left"/>
      </w:pPr>
      <w:r>
        <w:rPr>
          <w:rFonts w:ascii="Times New Roman" w:hAnsi="Times New Roman" w:cs="Times New Roman" w:eastAsia="Times New Roman" w:hint="default"/>
          <w:spacing w:val="-3"/>
        </w:rPr>
        <w:t>32</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日，公司出资组建青岛鲁宁苏宁电器有限公司，注册资本</w:t>
      </w:r>
    </w:p>
    <w:p>
      <w:pPr>
        <w:pStyle w:val="BodyText"/>
        <w:spacing w:line="240" w:lineRule="auto" w:before="135"/>
        <w:ind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13"/>
        </w:rPr>
        <w:t>万元，公司出资</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10"/>
        </w:rPr>
        <w:t>万元，占注册资本的</w:t>
      </w:r>
      <w:r>
        <w:rPr>
          <w:spacing w:val="-57"/>
        </w:rPr>
        <w:t> </w:t>
      </w:r>
      <w:r>
        <w:rPr>
          <w:rFonts w:ascii="Times New Roman" w:hAnsi="Times New Roman" w:cs="Times New Roman" w:eastAsia="Times New Roman" w:hint="default"/>
          <w:spacing w:val="-6"/>
        </w:rPr>
        <w:t>100%</w:t>
      </w:r>
      <w:r>
        <w:rPr>
          <w:spacing w:val="-6"/>
        </w:rPr>
        <w:t>。该公司本报告实现净利润</w:t>
      </w:r>
      <w:r>
        <w:rPr>
          <w:spacing w:val="-57"/>
        </w:rPr>
        <w:t> </w:t>
      </w:r>
      <w:r>
        <w:rPr>
          <w:rFonts w:ascii="Times New Roman" w:hAnsi="Times New Roman" w:cs="Times New Roman" w:eastAsia="Times New Roman" w:hint="default"/>
        </w:rPr>
        <w:t>114.84</w:t>
      </w:r>
    </w:p>
    <w:p>
      <w:pPr>
        <w:pStyle w:val="BodyText"/>
        <w:spacing w:line="240" w:lineRule="auto" w:before="135"/>
        <w:ind w:right="0"/>
        <w:jc w:val="left"/>
      </w:pPr>
      <w:r>
        <w:rPr/>
        <w:t>万元。</w:t>
      </w:r>
    </w:p>
    <w:p>
      <w:pPr>
        <w:pStyle w:val="BodyText"/>
        <w:spacing w:line="240" w:lineRule="auto" w:before="154"/>
        <w:ind w:left="669" w:right="0"/>
        <w:jc w:val="left"/>
      </w:pPr>
      <w:r>
        <w:rPr>
          <w:rFonts w:ascii="Times New Roman" w:hAnsi="Times New Roman" w:cs="Times New Roman" w:eastAsia="Times New Roman" w:hint="default"/>
          <w:spacing w:val="-3"/>
        </w:rPr>
        <w:t>33</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日，公司出资组建绵阳绵宁苏宁电器有限公司，注册资本</w:t>
      </w:r>
    </w:p>
    <w:p>
      <w:pPr>
        <w:pStyle w:val="BodyText"/>
        <w:spacing w:line="240" w:lineRule="auto" w:before="135"/>
        <w:ind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万元，公司出资</w:t>
      </w:r>
      <w:r>
        <w:rPr>
          <w:spacing w:val="-64"/>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万元，占注册资本的</w:t>
      </w:r>
      <w:r>
        <w:rPr>
          <w:spacing w:val="-64"/>
        </w:rPr>
        <w:t> </w:t>
      </w:r>
      <w:r>
        <w:rPr>
          <w:rFonts w:ascii="Times New Roman" w:hAnsi="Times New Roman" w:cs="Times New Roman" w:eastAsia="Times New Roman" w:hint="default"/>
        </w:rPr>
        <w:t>100%</w:t>
      </w:r>
      <w:r>
        <w:rPr/>
        <w:t>。该公司本报告实现净利润</w:t>
      </w:r>
      <w:r>
        <w:rPr>
          <w:spacing w:val="-64"/>
        </w:rPr>
        <w:t> </w:t>
      </w:r>
      <w:r>
        <w:rPr>
          <w:rFonts w:ascii="Times New Roman" w:hAnsi="Times New Roman" w:cs="Times New Roman" w:eastAsia="Times New Roman" w:hint="default"/>
        </w:rPr>
        <w:t>0.88</w:t>
      </w:r>
    </w:p>
    <w:p>
      <w:pPr>
        <w:pStyle w:val="BodyText"/>
        <w:spacing w:line="240" w:lineRule="auto" w:before="135"/>
        <w:ind w:right="0"/>
        <w:jc w:val="left"/>
      </w:pPr>
      <w:r>
        <w:rPr/>
        <w:t>万元。</w:t>
      </w:r>
    </w:p>
    <w:p>
      <w:pPr>
        <w:pStyle w:val="BodyText"/>
        <w:spacing w:line="240" w:lineRule="auto" w:before="154"/>
        <w:ind w:left="669" w:right="0"/>
        <w:jc w:val="left"/>
      </w:pPr>
      <w:r>
        <w:rPr>
          <w:rFonts w:ascii="Times New Roman" w:hAnsi="Times New Roman" w:cs="Times New Roman" w:eastAsia="Times New Roman" w:hint="default"/>
          <w:spacing w:val="-3"/>
        </w:rPr>
        <w:t>34</w:t>
      </w:r>
      <w:r>
        <w:rPr>
          <w:spacing w:val="-3"/>
        </w:rPr>
        <w:t>、</w:t>
      </w:r>
      <w:r>
        <w:rPr>
          <w:rFonts w:ascii="Times New Roman" w:hAnsi="Times New Roman" w:cs="Times New Roman" w:eastAsia="Times New Roman" w:hint="default"/>
          <w:spacing w:val="-3"/>
        </w:rPr>
        <w:t>2007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日，公司控股子公司－河南苏宁电器有限公司出资组建郑</w:t>
      </w:r>
    </w:p>
    <w:p>
      <w:pPr>
        <w:pStyle w:val="BodyText"/>
        <w:spacing w:line="240" w:lineRule="auto" w:before="135"/>
        <w:ind w:right="0"/>
        <w:jc w:val="left"/>
        <w:rPr>
          <w:rFonts w:ascii="Times New Roman" w:hAnsi="Times New Roman" w:cs="Times New Roman" w:eastAsia="Times New Roman" w:hint="default"/>
        </w:rPr>
      </w:pPr>
      <w:r>
        <w:rPr/>
        <w:t>州市上街苏宁电器有限公司，注册资本 </w:t>
      </w:r>
      <w:r>
        <w:rPr>
          <w:rFonts w:ascii="Times New Roman" w:hAnsi="Times New Roman" w:cs="Times New Roman" w:eastAsia="Times New Roman" w:hint="default"/>
        </w:rPr>
        <w:t>500  </w:t>
      </w:r>
      <w:r>
        <w:rPr/>
        <w:t>万元，河南苏宁电器有限公司出资</w:t>
      </w:r>
      <w:r>
        <w:rPr>
          <w:spacing w:val="-60"/>
        </w:rPr>
        <w:t> </w:t>
      </w:r>
      <w:r>
        <w:rPr>
          <w:rFonts w:ascii="Times New Roman" w:hAnsi="Times New Roman" w:cs="Times New Roman" w:eastAsia="Times New Roman" w:hint="default"/>
        </w:rPr>
        <w:t>500</w:t>
      </w:r>
    </w:p>
    <w:p>
      <w:pPr>
        <w:pStyle w:val="BodyText"/>
        <w:spacing w:line="240" w:lineRule="auto" w:before="135"/>
        <w:ind w:right="0"/>
        <w:jc w:val="left"/>
      </w:pPr>
      <w:r>
        <w:rPr/>
        <w:t>万元，占注册资本的</w:t>
      </w:r>
      <w:r>
        <w:rPr>
          <w:spacing w:val="-6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-6.81 </w:t>
      </w:r>
      <w:r>
        <w:rPr/>
        <w:t>万元。</w:t>
      </w:r>
    </w:p>
    <w:p>
      <w:pPr>
        <w:pStyle w:val="BodyText"/>
        <w:spacing w:line="240" w:lineRule="auto" w:before="135"/>
        <w:ind w:left="669" w:right="0"/>
        <w:jc w:val="left"/>
      </w:pPr>
      <w:r>
        <w:rPr>
          <w:rFonts w:ascii="Times New Roman" w:hAnsi="Times New Roman" w:cs="Times New Roman" w:eastAsia="Times New Roman" w:hint="default"/>
        </w:rPr>
        <w:t>35</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日，公司出资组建天津天宁苏宁电器有限公司，注册资本</w:t>
      </w:r>
    </w:p>
    <w:p>
      <w:pPr>
        <w:pStyle w:val="BodyText"/>
        <w:spacing w:line="240" w:lineRule="auto" w:before="135"/>
        <w:ind w:left="144"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13"/>
        </w:rPr>
        <w:t>万元，公司出资</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10"/>
        </w:rPr>
        <w:t>万元，占注册资本的</w:t>
      </w:r>
      <w:r>
        <w:rPr>
          <w:spacing w:val="-57"/>
        </w:rPr>
        <w:t> </w:t>
      </w:r>
      <w:r>
        <w:rPr>
          <w:rFonts w:ascii="Times New Roman" w:hAnsi="Times New Roman" w:cs="Times New Roman" w:eastAsia="Times New Roman" w:hint="default"/>
          <w:spacing w:val="-6"/>
        </w:rPr>
        <w:t>100%</w:t>
      </w:r>
      <w:r>
        <w:rPr>
          <w:spacing w:val="-6"/>
        </w:rPr>
        <w:t>。该公司本报告实现净利润</w:t>
      </w:r>
      <w:r>
        <w:rPr>
          <w:spacing w:val="-57"/>
        </w:rPr>
        <w:t> </w:t>
      </w:r>
      <w:r>
        <w:rPr>
          <w:rFonts w:ascii="Times New Roman" w:hAnsi="Times New Roman" w:cs="Times New Roman" w:eastAsia="Times New Roman" w:hint="default"/>
        </w:rPr>
        <w:t>179.67</w:t>
      </w:r>
    </w:p>
    <w:p>
      <w:pPr>
        <w:pStyle w:val="BodyText"/>
        <w:spacing w:line="240" w:lineRule="auto" w:before="135"/>
        <w:ind w:left="144" w:right="0"/>
        <w:jc w:val="left"/>
      </w:pPr>
      <w:r>
        <w:rPr/>
        <w:t>万元。</w:t>
      </w:r>
    </w:p>
    <w:p>
      <w:pPr>
        <w:pStyle w:val="BodyText"/>
        <w:spacing w:line="240" w:lineRule="auto" w:before="154"/>
        <w:ind w:left="669" w:right="0"/>
        <w:jc w:val="left"/>
        <w:rPr>
          <w:rFonts w:ascii="Times New Roman" w:hAnsi="Times New Roman" w:cs="Times New Roman" w:eastAsia="Times New Roman" w:hint="default"/>
        </w:rPr>
      </w:pPr>
      <w:r>
        <w:rPr>
          <w:rFonts w:ascii="Times New Roman" w:hAnsi="Times New Roman" w:cs="Times New Roman" w:eastAsia="Times New Roman" w:hint="default"/>
          <w:spacing w:val="-8"/>
        </w:rPr>
        <w:t>36</w:t>
      </w:r>
      <w:r>
        <w:rPr>
          <w:spacing w:val="-8"/>
        </w:rPr>
        <w:t>、</w:t>
      </w:r>
      <w:r>
        <w:rPr>
          <w:rFonts w:ascii="Times New Roman" w:hAnsi="Times New Roman" w:cs="Times New Roman" w:eastAsia="Times New Roman" w:hint="default"/>
          <w:spacing w:val="-8"/>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spacing w:val="-5"/>
        </w:rPr>
        <w:t>日，公司出资组建山东苏宁电器有限公司，注册资本</w:t>
      </w:r>
      <w:r>
        <w:rPr>
          <w:spacing w:val="-58"/>
        </w:rPr>
        <w:t> </w:t>
      </w:r>
      <w:r>
        <w:rPr>
          <w:rFonts w:ascii="Times New Roman" w:hAnsi="Times New Roman" w:cs="Times New Roman" w:eastAsia="Times New Roman" w:hint="default"/>
        </w:rPr>
        <w:t>1,000</w:t>
      </w:r>
    </w:p>
    <w:p>
      <w:pPr>
        <w:pStyle w:val="BodyText"/>
        <w:spacing w:line="338" w:lineRule="auto" w:before="135"/>
        <w:ind w:left="144" w:right="110"/>
        <w:jc w:val="left"/>
      </w:pPr>
      <w:r>
        <w:rPr>
          <w:spacing w:val="-4"/>
        </w:rPr>
        <w:t>万元，公司出资</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spacing w:val="-3"/>
        </w:rPr>
        <w:t>万元，占注册资本的</w:t>
      </w:r>
      <w:r>
        <w:rPr>
          <w:spacing w:val="-57"/>
        </w:rPr>
        <w:t> </w:t>
      </w:r>
      <w:r>
        <w:rPr>
          <w:rFonts w:ascii="Times New Roman" w:hAnsi="Times New Roman" w:cs="Times New Roman" w:eastAsia="Times New Roman" w:hint="default"/>
          <w:spacing w:val="-3"/>
        </w:rPr>
        <w:t>100%</w:t>
      </w:r>
      <w:r>
        <w:rPr>
          <w:spacing w:val="-3"/>
        </w:rPr>
        <w:t>。该公司本报告实现净利润</w:t>
      </w:r>
      <w:r>
        <w:rPr>
          <w:spacing w:val="-59"/>
        </w:rPr>
        <w:t> </w:t>
      </w:r>
      <w:r>
        <w:rPr>
          <w:rFonts w:ascii="Times New Roman" w:hAnsi="Times New Roman" w:cs="Times New Roman" w:eastAsia="Times New Roman" w:hint="default"/>
        </w:rPr>
        <w:t>9.81</w:t>
      </w:r>
      <w:r>
        <w:rPr>
          <w:rFonts w:ascii="Times New Roman" w:hAnsi="Times New Roman" w:cs="Times New Roman" w:eastAsia="Times New Roman" w:hint="default"/>
          <w:spacing w:val="3"/>
        </w:rPr>
        <w:t> </w:t>
      </w:r>
      <w:r>
        <w:rPr/>
        <w:t>万 元。</w:t>
      </w:r>
    </w:p>
    <w:p>
      <w:pPr>
        <w:pStyle w:val="BodyText"/>
        <w:spacing w:line="240" w:lineRule="auto" w:before="55"/>
        <w:ind w:left="669" w:right="0"/>
        <w:jc w:val="left"/>
        <w:rPr>
          <w:rFonts w:ascii="Times New Roman" w:hAnsi="Times New Roman" w:cs="Times New Roman" w:eastAsia="Times New Roman" w:hint="default"/>
        </w:rPr>
      </w:pPr>
      <w:r>
        <w:rPr>
          <w:rFonts w:ascii="Times New Roman" w:hAnsi="Times New Roman" w:cs="Times New Roman" w:eastAsia="Times New Roman" w:hint="default"/>
        </w:rPr>
        <w:t>37</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日，公司出资组建云南苏宁电器有限公司，注册资本</w:t>
      </w:r>
      <w:r>
        <w:rPr>
          <w:spacing w:val="-56"/>
        </w:rPr>
        <w:t> </w:t>
      </w:r>
      <w:r>
        <w:rPr>
          <w:rFonts w:ascii="Times New Roman" w:hAnsi="Times New Roman" w:cs="Times New Roman" w:eastAsia="Times New Roman" w:hint="default"/>
        </w:rPr>
        <w:t>500</w:t>
      </w:r>
    </w:p>
    <w:p>
      <w:pPr>
        <w:pStyle w:val="BodyText"/>
        <w:spacing w:line="338" w:lineRule="auto" w:before="135"/>
        <w:ind w:left="144" w:right="100"/>
        <w:jc w:val="left"/>
      </w:pPr>
      <w:r>
        <w:rPr/>
        <w:t>万元，公司出资</w:t>
      </w:r>
      <w:r>
        <w:rPr>
          <w:spacing w:val="-64"/>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万元，占注册资本的</w:t>
      </w:r>
      <w:r>
        <w:rPr>
          <w:spacing w:val="-64"/>
        </w:rPr>
        <w:t> </w:t>
      </w:r>
      <w:r>
        <w:rPr>
          <w:rFonts w:ascii="Times New Roman" w:hAnsi="Times New Roman" w:cs="Times New Roman" w:eastAsia="Times New Roman" w:hint="default"/>
        </w:rPr>
        <w:t>100%</w:t>
      </w:r>
      <w:r>
        <w:rPr/>
        <w:t>。该公司本报告实现净利润</w:t>
      </w:r>
      <w:r>
        <w:rPr>
          <w:spacing w:val="-64"/>
        </w:rPr>
        <w:t> </w:t>
      </w:r>
      <w:r>
        <w:rPr>
          <w:rFonts w:ascii="Times New Roman" w:hAnsi="Times New Roman" w:cs="Times New Roman" w:eastAsia="Times New Roman" w:hint="default"/>
        </w:rPr>
        <w:t>46.10</w:t>
      </w:r>
      <w:r>
        <w:rPr>
          <w:rFonts w:ascii="Times New Roman" w:hAnsi="Times New Roman" w:cs="Times New Roman" w:eastAsia="Times New Roman" w:hint="default"/>
          <w:spacing w:val="-4"/>
        </w:rPr>
        <w:t> </w:t>
      </w:r>
      <w:r>
        <w:rPr/>
        <w:t>万 元。</w:t>
      </w:r>
    </w:p>
    <w:p>
      <w:pPr>
        <w:pStyle w:val="BodyText"/>
        <w:spacing w:line="240" w:lineRule="auto" w:before="55"/>
        <w:ind w:left="669" w:right="0"/>
        <w:jc w:val="left"/>
      </w:pPr>
      <w:r>
        <w:rPr>
          <w:rFonts w:ascii="Times New Roman" w:hAnsi="Times New Roman" w:cs="Times New Roman" w:eastAsia="Times New Roman" w:hint="default"/>
        </w:rPr>
        <w:t>38</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日，公司出资组建宁波甬宁苏宁电器有限公司，注册资本</w:t>
      </w:r>
    </w:p>
    <w:p>
      <w:pPr>
        <w:pStyle w:val="BodyText"/>
        <w:spacing w:line="240" w:lineRule="auto" w:before="135"/>
        <w:ind w:left="144"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13"/>
        </w:rPr>
        <w:t>万元，公司出资</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10"/>
        </w:rPr>
        <w:t>万元，占注册资本的</w:t>
      </w:r>
      <w:r>
        <w:rPr>
          <w:spacing w:val="-57"/>
        </w:rPr>
        <w:t> </w:t>
      </w:r>
      <w:r>
        <w:rPr>
          <w:rFonts w:ascii="Times New Roman" w:hAnsi="Times New Roman" w:cs="Times New Roman" w:eastAsia="Times New Roman" w:hint="default"/>
          <w:spacing w:val="-6"/>
        </w:rPr>
        <w:t>100%</w:t>
      </w:r>
      <w:r>
        <w:rPr>
          <w:spacing w:val="-6"/>
        </w:rPr>
        <w:t>。该公司本报告实现净利润</w:t>
      </w:r>
      <w:r>
        <w:rPr>
          <w:spacing w:val="-57"/>
        </w:rPr>
        <w:t> </w:t>
      </w:r>
      <w:r>
        <w:rPr>
          <w:rFonts w:ascii="Times New Roman" w:hAnsi="Times New Roman" w:cs="Times New Roman" w:eastAsia="Times New Roman" w:hint="default"/>
        </w:rPr>
        <w:t>107.45</w:t>
      </w:r>
    </w:p>
    <w:p>
      <w:pPr>
        <w:pStyle w:val="BodyText"/>
        <w:spacing w:line="240" w:lineRule="auto" w:before="135"/>
        <w:ind w:left="144" w:right="0"/>
        <w:jc w:val="left"/>
      </w:pPr>
      <w:r>
        <w:rPr/>
        <w:t>万元。</w:t>
      </w:r>
    </w:p>
    <w:p>
      <w:pPr>
        <w:pStyle w:val="BodyText"/>
        <w:spacing w:line="240" w:lineRule="auto" w:before="154"/>
        <w:ind w:left="669" w:right="0"/>
        <w:jc w:val="left"/>
      </w:pPr>
      <w:r>
        <w:rPr>
          <w:rFonts w:ascii="Times New Roman" w:hAnsi="Times New Roman" w:cs="Times New Roman" w:eastAsia="Times New Roman" w:hint="default"/>
        </w:rPr>
        <w:t>39</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日，公司出资组建潍坊胶宁苏宁电器有限公司，注册资本</w:t>
      </w:r>
    </w:p>
    <w:p>
      <w:pPr>
        <w:pStyle w:val="BodyText"/>
        <w:spacing w:line="240" w:lineRule="auto" w:before="135"/>
        <w:ind w:left="144"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万元，公司出资</w:t>
      </w:r>
      <w:r>
        <w:rPr>
          <w:spacing w:val="-70"/>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万元，占注册资本的</w:t>
      </w:r>
      <w:r>
        <w:rPr>
          <w:spacing w:val="-7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-7.84</w:t>
      </w:r>
    </w:p>
    <w:p>
      <w:pPr>
        <w:pStyle w:val="BodyText"/>
        <w:spacing w:line="240" w:lineRule="auto" w:before="135"/>
        <w:ind w:left="144" w:right="0"/>
        <w:jc w:val="left"/>
      </w:pPr>
      <w:r>
        <w:rPr/>
        <w:t>万元。</w:t>
      </w:r>
    </w:p>
    <w:p>
      <w:pPr>
        <w:spacing w:after="0" w:line="240" w:lineRule="auto"/>
        <w:jc w:val="left"/>
        <w:sectPr>
          <w:pgSz w:w="11910" w:h="16840"/>
          <w:pgMar w:header="879" w:footer="982" w:top="1100" w:bottom="1180" w:left="1500" w:right="1440"/>
        </w:sectPr>
      </w:pPr>
    </w:p>
    <w:p>
      <w:pPr>
        <w:spacing w:line="240" w:lineRule="auto" w:before="10"/>
        <w:rPr>
          <w:rFonts w:ascii="宋体" w:hAnsi="宋体" w:cs="宋体" w:eastAsia="宋体" w:hint="default"/>
          <w:sz w:val="10"/>
          <w:szCs w:val="10"/>
        </w:rPr>
      </w:pPr>
    </w:p>
    <w:p>
      <w:pPr>
        <w:pStyle w:val="BodyText"/>
        <w:spacing w:line="240" w:lineRule="auto" w:before="26"/>
        <w:ind w:left="669" w:right="0"/>
        <w:jc w:val="left"/>
      </w:pPr>
      <w:r>
        <w:rPr>
          <w:rFonts w:ascii="Times New Roman" w:hAnsi="Times New Roman" w:cs="Times New Roman" w:eastAsia="Times New Roman" w:hint="default"/>
        </w:rPr>
        <w:t>40</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日，公司出资组建烟台烟宁苏宁电器有限公司，注册资本</w:t>
      </w:r>
    </w:p>
    <w:p>
      <w:pPr>
        <w:pStyle w:val="BodyText"/>
        <w:spacing w:line="240" w:lineRule="auto" w:before="135"/>
        <w:ind w:left="144"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7"/>
        </w:rPr>
        <w:t>万元，公司出资</w:t>
      </w:r>
      <w:r>
        <w:rPr>
          <w:spacing w:val="-58"/>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6"/>
        </w:rPr>
        <w:t>万元，占注册资本的</w:t>
      </w:r>
      <w:r>
        <w:rPr>
          <w:spacing w:val="-58"/>
        </w:rPr>
        <w:t> </w:t>
      </w:r>
      <w:r>
        <w:rPr>
          <w:rFonts w:ascii="Times New Roman" w:hAnsi="Times New Roman" w:cs="Times New Roman" w:eastAsia="Times New Roman" w:hint="default"/>
          <w:spacing w:val="-3"/>
        </w:rPr>
        <w:t>100%</w:t>
      </w:r>
      <w:r>
        <w:rPr>
          <w:spacing w:val="-3"/>
        </w:rPr>
        <w:t>。该公司本报告实现净利润</w:t>
      </w:r>
      <w:r>
        <w:rPr>
          <w:spacing w:val="-58"/>
        </w:rPr>
        <w:t> </w:t>
      </w:r>
      <w:r>
        <w:rPr>
          <w:rFonts w:ascii="Times New Roman" w:hAnsi="Times New Roman" w:cs="Times New Roman" w:eastAsia="Times New Roman" w:hint="default"/>
        </w:rPr>
        <w:t>10.73</w:t>
      </w:r>
    </w:p>
    <w:p>
      <w:pPr>
        <w:pStyle w:val="BodyText"/>
        <w:spacing w:line="240" w:lineRule="auto" w:before="135"/>
        <w:ind w:right="0"/>
        <w:jc w:val="left"/>
      </w:pPr>
      <w:r>
        <w:rPr/>
        <w:t>万元。</w:t>
      </w:r>
    </w:p>
    <w:p>
      <w:pPr>
        <w:pStyle w:val="BodyText"/>
        <w:spacing w:line="240" w:lineRule="auto" w:before="154"/>
        <w:ind w:left="669" w:right="0"/>
        <w:jc w:val="left"/>
      </w:pPr>
      <w:r>
        <w:rPr>
          <w:rFonts w:ascii="Times New Roman" w:hAnsi="Times New Roman" w:cs="Times New Roman" w:eastAsia="Times New Roman" w:hint="default"/>
        </w:rPr>
        <w:t>41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日，公司出资组建日照鲁宁苏宁电器有限公司，注册资本</w:t>
      </w:r>
    </w:p>
    <w:p>
      <w:pPr>
        <w:pStyle w:val="BodyText"/>
        <w:spacing w:line="240" w:lineRule="auto" w:before="135"/>
        <w:ind w:left="144"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万元，公司出资</w:t>
      </w:r>
      <w:r>
        <w:rPr>
          <w:spacing w:val="-70"/>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万元，占注册资本的</w:t>
      </w:r>
      <w:r>
        <w:rPr>
          <w:spacing w:val="-7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-1.98</w:t>
      </w:r>
    </w:p>
    <w:p>
      <w:pPr>
        <w:pStyle w:val="BodyText"/>
        <w:spacing w:line="240" w:lineRule="auto" w:before="135"/>
        <w:ind w:left="144" w:right="0"/>
        <w:jc w:val="left"/>
      </w:pPr>
      <w:r>
        <w:rPr/>
        <w:t>万元。</w:t>
      </w:r>
    </w:p>
    <w:p>
      <w:pPr>
        <w:pStyle w:val="BodyText"/>
        <w:spacing w:line="240" w:lineRule="auto" w:before="154"/>
        <w:ind w:left="669" w:right="0"/>
        <w:jc w:val="left"/>
      </w:pPr>
      <w:r>
        <w:rPr>
          <w:rFonts w:ascii="Times New Roman" w:hAnsi="Times New Roman" w:cs="Times New Roman" w:eastAsia="Times New Roman" w:hint="default"/>
        </w:rPr>
        <w:t>42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日，公司出资组建泸州泸宁苏宁电器有限公司，注册资本</w:t>
      </w:r>
    </w:p>
    <w:p>
      <w:pPr>
        <w:pStyle w:val="BodyText"/>
        <w:spacing w:line="240" w:lineRule="auto" w:before="135"/>
        <w:ind w:left="144"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万元，公司出资</w:t>
      </w:r>
      <w:r>
        <w:rPr>
          <w:spacing w:val="-64"/>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万元，占注册资本的</w:t>
      </w:r>
      <w:r>
        <w:rPr>
          <w:spacing w:val="-64"/>
        </w:rPr>
        <w:t> </w:t>
      </w:r>
      <w:r>
        <w:rPr>
          <w:rFonts w:ascii="Times New Roman" w:hAnsi="Times New Roman" w:cs="Times New Roman" w:eastAsia="Times New Roman" w:hint="default"/>
        </w:rPr>
        <w:t>100%</w:t>
      </w:r>
      <w:r>
        <w:rPr/>
        <w:t>。该公司本报告实现净利润</w:t>
      </w:r>
      <w:r>
        <w:rPr>
          <w:spacing w:val="-64"/>
        </w:rPr>
        <w:t> </w:t>
      </w:r>
      <w:r>
        <w:rPr>
          <w:rFonts w:ascii="Times New Roman" w:hAnsi="Times New Roman" w:cs="Times New Roman" w:eastAsia="Times New Roman" w:hint="default"/>
        </w:rPr>
        <w:t>6.05</w:t>
      </w:r>
    </w:p>
    <w:p>
      <w:pPr>
        <w:pStyle w:val="BodyText"/>
        <w:spacing w:line="240" w:lineRule="auto" w:before="135"/>
        <w:ind w:right="0"/>
        <w:jc w:val="left"/>
      </w:pPr>
      <w:r>
        <w:rPr/>
        <w:t>万元。</w:t>
      </w:r>
    </w:p>
    <w:p>
      <w:pPr>
        <w:pStyle w:val="BodyText"/>
        <w:spacing w:line="240" w:lineRule="auto" w:before="154"/>
        <w:ind w:left="669" w:right="0"/>
        <w:jc w:val="left"/>
      </w:pPr>
      <w:r>
        <w:rPr>
          <w:rFonts w:ascii="Times New Roman" w:hAnsi="Times New Roman" w:cs="Times New Roman" w:eastAsia="Times New Roman" w:hint="default"/>
        </w:rPr>
        <w:t>43</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日，公司出资组建唐山唐宁苏宁电器有限公司，注册资本</w:t>
      </w:r>
    </w:p>
    <w:p>
      <w:pPr>
        <w:pStyle w:val="BodyText"/>
        <w:spacing w:line="240" w:lineRule="auto" w:before="135"/>
        <w:ind w:left="144"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万元，公司出资</w:t>
      </w:r>
      <w:r>
        <w:rPr>
          <w:spacing w:val="-70"/>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万元，占注册资本的</w:t>
      </w:r>
      <w:r>
        <w:rPr>
          <w:spacing w:val="-7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-8.77</w:t>
      </w:r>
    </w:p>
    <w:p>
      <w:pPr>
        <w:pStyle w:val="BodyText"/>
        <w:spacing w:line="240" w:lineRule="auto" w:before="135"/>
        <w:ind w:left="144" w:right="0"/>
        <w:jc w:val="left"/>
      </w:pPr>
      <w:r>
        <w:rPr/>
        <w:t>万元。</w:t>
      </w:r>
    </w:p>
    <w:p>
      <w:pPr>
        <w:pStyle w:val="BodyText"/>
        <w:spacing w:line="240" w:lineRule="auto" w:before="154"/>
        <w:ind w:left="669" w:right="0"/>
        <w:jc w:val="left"/>
      </w:pPr>
      <w:r>
        <w:rPr>
          <w:rFonts w:ascii="Times New Roman" w:hAnsi="Times New Roman" w:cs="Times New Roman" w:eastAsia="Times New Roman" w:hint="default"/>
        </w:rPr>
        <w:t>44</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日，公司出资组建山东滨州滨宁苏宁电器有限公司，注册</w:t>
      </w:r>
    </w:p>
    <w:p>
      <w:pPr>
        <w:pStyle w:val="BodyText"/>
        <w:spacing w:line="240" w:lineRule="auto" w:before="135"/>
        <w:ind w:left="144" w:right="0"/>
        <w:jc w:val="left"/>
      </w:pPr>
      <w:r>
        <w:rPr/>
        <w:t>资本</w:t>
      </w:r>
      <w:r>
        <w:rPr>
          <w:spacing w:val="-58"/>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4"/>
        </w:rPr>
        <w:t>万元，公司出资</w:t>
      </w:r>
      <w:r>
        <w:rPr>
          <w:spacing w:val="-58"/>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3"/>
        </w:rPr>
        <w:t>万元，占注册资本的</w:t>
      </w:r>
      <w:r>
        <w:rPr>
          <w:spacing w:val="-58"/>
        </w:rPr>
        <w:t> </w:t>
      </w:r>
      <w:r>
        <w:rPr>
          <w:rFonts w:ascii="Times New Roman" w:hAnsi="Times New Roman" w:cs="Times New Roman" w:eastAsia="Times New Roman" w:hint="default"/>
          <w:spacing w:val="-3"/>
        </w:rPr>
        <w:t>100%</w:t>
      </w:r>
      <w:r>
        <w:rPr>
          <w:spacing w:val="-3"/>
        </w:rPr>
        <w:t>。该公司本报告实现净利润</w:t>
      </w:r>
      <w:r>
        <w:rPr/>
      </w:r>
    </w:p>
    <w:p>
      <w:pPr>
        <w:pStyle w:val="BodyText"/>
        <w:spacing w:line="240" w:lineRule="auto" w:before="135"/>
        <w:ind w:left="144" w:right="0"/>
        <w:jc w:val="left"/>
      </w:pPr>
      <w:r>
        <w:rPr>
          <w:rFonts w:ascii="Times New Roman" w:hAnsi="Times New Roman" w:cs="Times New Roman" w:eastAsia="Times New Roman" w:hint="default"/>
        </w:rPr>
        <w:t>-0.37 </w:t>
      </w:r>
      <w:r>
        <w:rPr/>
        <w:t>万元。</w:t>
      </w:r>
    </w:p>
    <w:p>
      <w:pPr>
        <w:pStyle w:val="BodyText"/>
        <w:spacing w:line="240" w:lineRule="auto" w:before="135"/>
        <w:ind w:left="669" w:right="0"/>
        <w:jc w:val="left"/>
      </w:pPr>
      <w:r>
        <w:rPr>
          <w:rFonts w:ascii="Times New Roman" w:hAnsi="Times New Roman" w:cs="Times New Roman" w:eastAsia="Times New Roman" w:hint="default"/>
          <w:spacing w:val="-3"/>
        </w:rPr>
        <w:t>45</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日，公司出资组建德阳旌城苏宁电器有限公司，注册资本</w:t>
      </w:r>
    </w:p>
    <w:p>
      <w:pPr>
        <w:pStyle w:val="BodyText"/>
        <w:spacing w:line="240" w:lineRule="auto" w:before="135"/>
        <w:ind w:left="144" w:right="0"/>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万元，公司出资</w:t>
      </w:r>
      <w:r>
        <w:rPr>
          <w:spacing w:val="-64"/>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万元，占注册资本的</w:t>
      </w:r>
      <w:r>
        <w:rPr>
          <w:spacing w:val="-64"/>
        </w:rPr>
        <w:t> </w:t>
      </w:r>
      <w:r>
        <w:rPr>
          <w:rFonts w:ascii="Times New Roman" w:hAnsi="Times New Roman" w:cs="Times New Roman" w:eastAsia="Times New Roman" w:hint="default"/>
        </w:rPr>
        <w:t>100%</w:t>
      </w:r>
      <w:r>
        <w:rPr/>
        <w:t>。该公司本报告实现净利润</w:t>
      </w:r>
      <w:r>
        <w:rPr>
          <w:spacing w:val="-64"/>
        </w:rPr>
        <w:t> </w:t>
      </w:r>
      <w:r>
        <w:rPr>
          <w:rFonts w:ascii="Times New Roman" w:hAnsi="Times New Roman" w:cs="Times New Roman" w:eastAsia="Times New Roman" w:hint="default"/>
        </w:rPr>
        <w:t>6.28</w:t>
      </w:r>
    </w:p>
    <w:p>
      <w:pPr>
        <w:pStyle w:val="BodyText"/>
        <w:spacing w:line="240" w:lineRule="auto" w:before="135"/>
        <w:ind w:left="144" w:right="0"/>
        <w:jc w:val="left"/>
      </w:pPr>
      <w:r>
        <w:rPr/>
        <w:t>万元。</w:t>
      </w:r>
    </w:p>
    <w:p>
      <w:pPr>
        <w:pStyle w:val="BodyText"/>
        <w:spacing w:line="240" w:lineRule="auto" w:before="154"/>
        <w:ind w:left="669" w:right="0"/>
        <w:jc w:val="left"/>
        <w:rPr>
          <w:rFonts w:ascii="Times New Roman" w:hAnsi="Times New Roman" w:cs="Times New Roman" w:eastAsia="Times New Roman" w:hint="default"/>
        </w:rPr>
      </w:pPr>
      <w:r>
        <w:rPr>
          <w:rFonts w:ascii="Times New Roman" w:hAnsi="Times New Roman" w:cs="Times New Roman" w:eastAsia="Times New Roman" w:hint="default"/>
          <w:spacing w:val="-8"/>
        </w:rPr>
        <w:t>46</w:t>
      </w:r>
      <w:r>
        <w:rPr>
          <w:spacing w:val="-8"/>
        </w:rPr>
        <w:t>、</w:t>
      </w:r>
      <w:r>
        <w:rPr>
          <w:rFonts w:ascii="Times New Roman" w:hAnsi="Times New Roman" w:cs="Times New Roman" w:eastAsia="Times New Roman" w:hint="default"/>
          <w:spacing w:val="-8"/>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5"/>
        </w:rPr>
        <w:t>日，公司出资组建四川苏宁电器有限公司，注册资本</w:t>
      </w:r>
      <w:r>
        <w:rPr>
          <w:spacing w:val="-59"/>
        </w:rPr>
        <w:t> </w:t>
      </w:r>
      <w:r>
        <w:rPr>
          <w:rFonts w:ascii="Times New Roman" w:hAnsi="Times New Roman" w:cs="Times New Roman" w:eastAsia="Times New Roman" w:hint="default"/>
        </w:rPr>
        <w:t>1,000</w:t>
      </w:r>
    </w:p>
    <w:p>
      <w:pPr>
        <w:pStyle w:val="BodyText"/>
        <w:spacing w:line="240" w:lineRule="auto" w:before="135"/>
        <w:ind w:right="0"/>
        <w:jc w:val="left"/>
        <w:rPr>
          <w:rFonts w:ascii="Times New Roman" w:hAnsi="Times New Roman" w:cs="Times New Roman" w:eastAsia="Times New Roman" w:hint="default"/>
        </w:rPr>
      </w:pPr>
      <w:r>
        <w:rPr/>
        <w:t>万元，公司出资 </w:t>
      </w:r>
      <w:r>
        <w:rPr>
          <w:rFonts w:ascii="Times New Roman" w:hAnsi="Times New Roman" w:cs="Times New Roman" w:eastAsia="Times New Roman" w:hint="default"/>
        </w:rPr>
        <w:t>1,000 </w:t>
      </w:r>
      <w:r>
        <w:rPr/>
        <w:t>万元，占注册资本的 </w:t>
      </w:r>
      <w:r>
        <w:rPr>
          <w:rFonts w:ascii="Times New Roman" w:hAnsi="Times New Roman" w:cs="Times New Roman" w:eastAsia="Times New Roman" w:hint="default"/>
        </w:rPr>
        <w:t>100%</w:t>
      </w:r>
      <w:r>
        <w:rPr/>
        <w:t>。该公司本报告实现净利润</w:t>
      </w:r>
      <w:r>
        <w:rPr>
          <w:spacing w:val="-79"/>
        </w:rPr>
        <w:t> </w:t>
      </w:r>
      <w:r>
        <w:rPr>
          <w:rFonts w:ascii="Times New Roman" w:hAnsi="Times New Roman" w:cs="Times New Roman" w:eastAsia="Times New Roman" w:hint="default"/>
        </w:rPr>
        <w:t>84.35</w:t>
      </w:r>
    </w:p>
    <w:p>
      <w:pPr>
        <w:pStyle w:val="BodyText"/>
        <w:spacing w:line="240" w:lineRule="auto" w:before="135"/>
        <w:ind w:right="0"/>
        <w:jc w:val="left"/>
      </w:pPr>
      <w:r>
        <w:rPr/>
        <w:t>万元。</w:t>
      </w:r>
    </w:p>
    <w:p>
      <w:pPr>
        <w:pStyle w:val="BodyText"/>
        <w:spacing w:line="240" w:lineRule="auto" w:before="154"/>
        <w:ind w:left="669" w:right="0"/>
        <w:jc w:val="left"/>
      </w:pPr>
      <w:r>
        <w:rPr>
          <w:rFonts w:ascii="Times New Roman" w:hAnsi="Times New Roman" w:cs="Times New Roman" w:eastAsia="Times New Roman" w:hint="default"/>
          <w:spacing w:val="-3"/>
        </w:rPr>
        <w:t>47</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日，公司出资组建秦皇岛秦宁苏宁电器有限公司，注册资</w:t>
      </w:r>
    </w:p>
    <w:p>
      <w:pPr>
        <w:pStyle w:val="BodyText"/>
        <w:spacing w:line="240" w:lineRule="auto" w:before="135"/>
        <w:ind w:right="0"/>
        <w:jc w:val="left"/>
        <w:rPr>
          <w:rFonts w:ascii="Times New Roman" w:hAnsi="Times New Roman" w:cs="Times New Roman" w:eastAsia="Times New Roman" w:hint="default"/>
        </w:rPr>
      </w:pPr>
      <w:r>
        <w:rPr/>
        <w:t>本</w:t>
      </w:r>
      <w:r>
        <w:rPr>
          <w:spacing w:val="-60"/>
        </w:rPr>
        <w:t> </w:t>
      </w:r>
      <w:r>
        <w:rPr>
          <w:rFonts w:ascii="Times New Roman" w:hAnsi="Times New Roman" w:cs="Times New Roman" w:eastAsia="Times New Roman" w:hint="default"/>
        </w:rPr>
        <w:t>500 </w:t>
      </w:r>
      <w:r>
        <w:rPr/>
        <w:t>万元</w:t>
      </w:r>
      <w:r>
        <w:rPr>
          <w:spacing w:val="-113"/>
        </w:rPr>
        <w:t>，</w:t>
      </w:r>
      <w:r>
        <w:rPr/>
        <w:t>公司出资</w:t>
      </w:r>
      <w:r>
        <w:rPr>
          <w:spacing w:val="-60"/>
        </w:rPr>
        <w:t> </w:t>
      </w:r>
      <w:r>
        <w:rPr>
          <w:rFonts w:ascii="Times New Roman" w:hAnsi="Times New Roman" w:cs="Times New Roman" w:eastAsia="Times New Roman" w:hint="default"/>
        </w:rPr>
        <w:t>500 </w:t>
      </w:r>
      <w:r>
        <w:rPr/>
        <w:t>万元</w:t>
      </w:r>
      <w:r>
        <w:rPr>
          <w:spacing w:val="-113"/>
        </w:rPr>
        <w:t>，</w:t>
      </w:r>
      <w:r>
        <w:rPr/>
        <w:t>占注册资本的</w:t>
      </w:r>
      <w:r>
        <w:rPr>
          <w:spacing w:val="-60"/>
        </w:rPr>
        <w:t> </w:t>
      </w:r>
      <w:r>
        <w:rPr>
          <w:rFonts w:ascii="Times New Roman" w:hAnsi="Times New Roman" w:cs="Times New Roman" w:eastAsia="Times New Roman" w:hint="default"/>
        </w:rPr>
        <w:t>100%</w:t>
      </w:r>
      <w:r>
        <w:rPr>
          <w:spacing w:val="-113"/>
        </w:rPr>
        <w:t>。</w:t>
      </w:r>
      <w:r>
        <w:rPr/>
        <w:t>该公司本报告实现净利润</w:t>
      </w:r>
      <w:r>
        <w:rPr>
          <w:rFonts w:ascii="Times New Roman" w:hAnsi="Times New Roman" w:cs="Times New Roman" w:eastAsia="Times New Roman" w:hint="default"/>
        </w:rPr>
        <w:t>-0.97</w:t>
      </w:r>
    </w:p>
    <w:p>
      <w:pPr>
        <w:pStyle w:val="BodyText"/>
        <w:spacing w:line="240" w:lineRule="auto" w:before="135"/>
        <w:ind w:right="0"/>
        <w:jc w:val="left"/>
      </w:pPr>
      <w:r>
        <w:rPr/>
        <w:t>万元。</w:t>
      </w:r>
    </w:p>
    <w:p>
      <w:pPr>
        <w:pStyle w:val="BodyText"/>
        <w:spacing w:line="240" w:lineRule="auto" w:before="154"/>
        <w:ind w:left="669" w:right="0"/>
        <w:jc w:val="left"/>
        <w:rPr>
          <w:rFonts w:ascii="Times New Roman" w:hAnsi="Times New Roman" w:cs="Times New Roman" w:eastAsia="Times New Roman" w:hint="default"/>
        </w:rPr>
      </w:pPr>
      <w:r>
        <w:rPr>
          <w:rFonts w:ascii="Times New Roman" w:hAnsi="Times New Roman" w:cs="Times New Roman" w:eastAsia="Times New Roman" w:hint="default"/>
          <w:spacing w:val="-11"/>
        </w:rPr>
        <w:t>48</w:t>
      </w:r>
      <w:r>
        <w:rPr>
          <w:spacing w:val="-11"/>
        </w:rPr>
        <w:t>、</w:t>
      </w:r>
      <w:r>
        <w:rPr>
          <w:rFonts w:ascii="Times New Roman" w:hAnsi="Times New Roman" w:cs="Times New Roman" w:eastAsia="Times New Roman" w:hint="default"/>
          <w:spacing w:val="-11"/>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7"/>
        </w:rPr>
        <w:t>日，公司出资组建石家庄苏宁电器有限公司，注册资本</w:t>
      </w:r>
      <w:r>
        <w:rPr>
          <w:spacing w:val="-57"/>
        </w:rPr>
        <w:t> </w:t>
      </w:r>
      <w:r>
        <w:rPr>
          <w:rFonts w:ascii="Times New Roman" w:hAnsi="Times New Roman" w:cs="Times New Roman" w:eastAsia="Times New Roman" w:hint="default"/>
        </w:rPr>
        <w:t>500</w:t>
      </w:r>
    </w:p>
    <w:p>
      <w:pPr>
        <w:pStyle w:val="BodyText"/>
        <w:spacing w:line="338" w:lineRule="auto" w:before="135"/>
        <w:ind w:right="101"/>
        <w:jc w:val="left"/>
      </w:pPr>
      <w:r>
        <w:rPr/>
        <w:t>万元，公司出资</w:t>
      </w:r>
      <w:r>
        <w:rPr>
          <w:spacing w:val="-64"/>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万元，占注册资本的</w:t>
      </w:r>
      <w:r>
        <w:rPr>
          <w:spacing w:val="-64"/>
        </w:rPr>
        <w:t> </w:t>
      </w:r>
      <w:r>
        <w:rPr>
          <w:rFonts w:ascii="Times New Roman" w:hAnsi="Times New Roman" w:cs="Times New Roman" w:eastAsia="Times New Roman" w:hint="default"/>
        </w:rPr>
        <w:t>100%</w:t>
      </w:r>
      <w:r>
        <w:rPr/>
        <w:t>。该公司本报告实现净利润</w:t>
      </w:r>
      <w:r>
        <w:rPr>
          <w:spacing w:val="-64"/>
        </w:rPr>
        <w:t> </w:t>
      </w:r>
      <w:r>
        <w:rPr>
          <w:rFonts w:ascii="Times New Roman" w:hAnsi="Times New Roman" w:cs="Times New Roman" w:eastAsia="Times New Roman" w:hint="default"/>
        </w:rPr>
        <w:t>46.11</w:t>
      </w:r>
      <w:r>
        <w:rPr>
          <w:rFonts w:ascii="Times New Roman" w:hAnsi="Times New Roman" w:cs="Times New Roman" w:eastAsia="Times New Roman" w:hint="default"/>
          <w:spacing w:val="-4"/>
        </w:rPr>
        <w:t> </w:t>
      </w:r>
      <w:r>
        <w:rPr/>
        <w:t>万 元。</w:t>
      </w:r>
    </w:p>
    <w:p>
      <w:pPr>
        <w:pStyle w:val="BodyText"/>
        <w:spacing w:line="240" w:lineRule="auto" w:before="55"/>
        <w:ind w:left="669" w:right="0"/>
        <w:jc w:val="left"/>
      </w:pPr>
      <w:r>
        <w:rPr>
          <w:rFonts w:ascii="Times New Roman" w:hAnsi="Times New Roman" w:cs="Times New Roman" w:eastAsia="Times New Roman" w:hint="default"/>
          <w:spacing w:val="-3"/>
        </w:rPr>
        <w:t>49</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日，公司出资组建攀枝花金沙苏宁电器有限公司，注册资</w:t>
      </w:r>
    </w:p>
    <w:p>
      <w:pPr>
        <w:pStyle w:val="BodyText"/>
        <w:spacing w:line="240" w:lineRule="auto" w:before="135"/>
        <w:ind w:right="0"/>
        <w:jc w:val="left"/>
        <w:rPr>
          <w:rFonts w:ascii="Times New Roman" w:hAnsi="Times New Roman" w:cs="Times New Roman" w:eastAsia="Times New Roman" w:hint="default"/>
        </w:rPr>
      </w:pPr>
      <w:r>
        <w:rPr/>
        <w:t>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t>万元</w:t>
      </w:r>
      <w:r>
        <w:rPr>
          <w:spacing w:val="-120"/>
        </w:rPr>
        <w:t>，</w:t>
      </w:r>
      <w:r>
        <w:rPr/>
        <w:t>公司出资</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t>万元</w:t>
      </w:r>
      <w:r>
        <w:rPr>
          <w:spacing w:val="-120"/>
        </w:rPr>
        <w:t>，</w:t>
      </w:r>
      <w:r>
        <w:rPr/>
        <w:t>占注册资本的</w:t>
      </w:r>
      <w:r>
        <w:rPr>
          <w:spacing w:val="-80"/>
        </w:rPr>
        <w:t> </w:t>
      </w:r>
      <w:r>
        <w:rPr>
          <w:rFonts w:ascii="Times New Roman" w:hAnsi="Times New Roman" w:cs="Times New Roman" w:eastAsia="Times New Roman" w:hint="default"/>
        </w:rPr>
        <w:t>100%</w:t>
      </w:r>
      <w:r>
        <w:rPr>
          <w:spacing w:val="-120"/>
        </w:rPr>
        <w:t>。</w:t>
      </w:r>
      <w:r>
        <w:rPr>
          <w:spacing w:val="-1"/>
        </w:rPr>
        <w:t>该公司本报告实现净利</w:t>
      </w:r>
      <w:r>
        <w:rPr/>
        <w:t>润</w:t>
      </w:r>
      <w:r>
        <w:rPr>
          <w:rFonts w:ascii="Times New Roman" w:hAnsi="Times New Roman" w:cs="Times New Roman" w:eastAsia="Times New Roman" w:hint="default"/>
        </w:rPr>
        <w:t>-20.28</w:t>
      </w:r>
    </w:p>
    <w:p>
      <w:pPr>
        <w:pStyle w:val="BodyText"/>
        <w:spacing w:line="240" w:lineRule="auto" w:before="135"/>
        <w:ind w:right="0"/>
        <w:jc w:val="left"/>
      </w:pPr>
      <w:r>
        <w:rPr/>
        <w:t>万元。</w:t>
      </w:r>
    </w:p>
    <w:p>
      <w:pPr>
        <w:spacing w:after="0" w:line="240" w:lineRule="auto"/>
        <w:jc w:val="left"/>
        <w:sectPr>
          <w:pgSz w:w="11910" w:h="16840"/>
          <w:pgMar w:header="879" w:footer="982" w:top="1100" w:bottom="1180" w:left="1500" w:right="1440"/>
        </w:sectPr>
      </w:pPr>
    </w:p>
    <w:p>
      <w:pPr>
        <w:spacing w:line="240" w:lineRule="auto" w:before="10"/>
        <w:rPr>
          <w:rFonts w:ascii="宋体" w:hAnsi="宋体" w:cs="宋体" w:eastAsia="宋体" w:hint="default"/>
          <w:sz w:val="10"/>
          <w:szCs w:val="10"/>
        </w:rPr>
      </w:pPr>
    </w:p>
    <w:p>
      <w:pPr>
        <w:pStyle w:val="BodyText"/>
        <w:spacing w:line="240" w:lineRule="auto" w:before="26"/>
        <w:ind w:left="669" w:right="0"/>
        <w:jc w:val="left"/>
      </w:pPr>
      <w:r>
        <w:rPr>
          <w:rFonts w:ascii="Times New Roman" w:hAnsi="Times New Roman" w:cs="Times New Roman" w:eastAsia="Times New Roman" w:hint="default"/>
          <w:spacing w:val="-3"/>
        </w:rPr>
        <w:t>50</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日，公司出资组建沧州沧宁苏宁电器有限公司，注册资本</w:t>
      </w:r>
    </w:p>
    <w:p>
      <w:pPr>
        <w:pStyle w:val="BodyText"/>
        <w:spacing w:line="240" w:lineRule="auto" w:before="135"/>
        <w:ind w:right="0"/>
        <w:jc w:val="both"/>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万元，公司出资</w:t>
      </w:r>
      <w:r>
        <w:rPr>
          <w:spacing w:val="-70"/>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万元，占注册资本的</w:t>
      </w:r>
      <w:r>
        <w:rPr>
          <w:spacing w:val="-7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-5.79</w:t>
      </w:r>
    </w:p>
    <w:p>
      <w:pPr>
        <w:pStyle w:val="BodyText"/>
        <w:spacing w:line="240" w:lineRule="auto" w:before="135"/>
        <w:ind w:left="144" w:right="0"/>
        <w:jc w:val="both"/>
      </w:pPr>
      <w:r>
        <w:rPr/>
        <w:t>万元。</w:t>
      </w:r>
    </w:p>
    <w:p>
      <w:pPr>
        <w:pStyle w:val="BodyText"/>
        <w:spacing w:line="240" w:lineRule="auto" w:before="154"/>
        <w:ind w:left="669" w:right="0"/>
        <w:jc w:val="left"/>
      </w:pPr>
      <w:r>
        <w:rPr>
          <w:rFonts w:ascii="Times New Roman" w:hAnsi="Times New Roman" w:cs="Times New Roman" w:eastAsia="Times New Roman" w:hint="default"/>
          <w:spacing w:val="-3"/>
        </w:rPr>
        <w:t>51</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日，公司出资组建大理滇宁苏宁电器有限公司，注册资本</w:t>
      </w:r>
    </w:p>
    <w:p>
      <w:pPr>
        <w:pStyle w:val="BodyText"/>
        <w:spacing w:line="240" w:lineRule="auto" w:before="135"/>
        <w:ind w:left="144" w:right="0"/>
        <w:jc w:val="both"/>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万元，公司出资</w:t>
      </w:r>
      <w:r>
        <w:rPr>
          <w:spacing w:val="-64"/>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万元，占注册资本的</w:t>
      </w:r>
      <w:r>
        <w:rPr>
          <w:spacing w:val="-64"/>
        </w:rPr>
        <w:t> </w:t>
      </w:r>
      <w:r>
        <w:rPr>
          <w:rFonts w:ascii="Times New Roman" w:hAnsi="Times New Roman" w:cs="Times New Roman" w:eastAsia="Times New Roman" w:hint="default"/>
        </w:rPr>
        <w:t>100%</w:t>
      </w:r>
      <w:r>
        <w:rPr/>
        <w:t>。该公司本报告实现净利润</w:t>
      </w:r>
      <w:r>
        <w:rPr>
          <w:spacing w:val="-64"/>
        </w:rPr>
        <w:t> </w:t>
      </w:r>
      <w:r>
        <w:rPr>
          <w:rFonts w:ascii="Times New Roman" w:hAnsi="Times New Roman" w:cs="Times New Roman" w:eastAsia="Times New Roman" w:hint="default"/>
        </w:rPr>
        <w:t>5.78</w:t>
      </w:r>
    </w:p>
    <w:p>
      <w:pPr>
        <w:pStyle w:val="BodyText"/>
        <w:spacing w:line="240" w:lineRule="auto" w:before="135"/>
        <w:ind w:right="0"/>
        <w:jc w:val="both"/>
      </w:pPr>
      <w:r>
        <w:rPr/>
        <w:t>万元。</w:t>
      </w:r>
    </w:p>
    <w:p>
      <w:pPr>
        <w:pStyle w:val="BodyText"/>
        <w:spacing w:line="240" w:lineRule="auto" w:before="154"/>
        <w:ind w:left="669" w:right="0"/>
        <w:jc w:val="left"/>
      </w:pPr>
      <w:r>
        <w:rPr>
          <w:rFonts w:ascii="Times New Roman" w:hAnsi="Times New Roman" w:cs="Times New Roman" w:eastAsia="Times New Roman" w:hint="default"/>
          <w:spacing w:val="-3"/>
        </w:rPr>
        <w:t>52</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日，公司出资组建廊坊市至诚苏宁电器有限公司，注册资</w:t>
      </w:r>
    </w:p>
    <w:p>
      <w:pPr>
        <w:pStyle w:val="BodyText"/>
        <w:spacing w:line="240" w:lineRule="auto" w:before="135"/>
        <w:ind w:right="0"/>
        <w:jc w:val="both"/>
      </w:pPr>
      <w:r>
        <w:rPr/>
        <w:t>本 </w:t>
      </w:r>
      <w:r>
        <w:rPr>
          <w:rFonts w:ascii="Times New Roman" w:hAnsi="Times New Roman" w:cs="Times New Roman" w:eastAsia="Times New Roman" w:hint="default"/>
        </w:rPr>
        <w:t>500 </w:t>
      </w:r>
      <w:r>
        <w:rPr/>
        <w:t>万元，公司出资 </w:t>
      </w:r>
      <w:r>
        <w:rPr>
          <w:rFonts w:ascii="Times New Roman" w:hAnsi="Times New Roman" w:cs="Times New Roman" w:eastAsia="Times New Roman" w:hint="default"/>
        </w:rPr>
        <w:t>500 </w:t>
      </w:r>
      <w:r>
        <w:rPr/>
        <w:t>万元，占注册资本的</w:t>
      </w:r>
      <w:r>
        <w:rPr>
          <w:spacing w:val="-20"/>
        </w:rPr>
        <w:t> </w:t>
      </w:r>
      <w:r>
        <w:rPr>
          <w:rFonts w:ascii="Times New Roman" w:hAnsi="Times New Roman" w:cs="Times New Roman" w:eastAsia="Times New Roman" w:hint="default"/>
        </w:rPr>
        <w:t>100%</w:t>
      </w:r>
      <w:r>
        <w:rPr/>
        <w:t>。该公司本报告实现净利润</w:t>
      </w:r>
    </w:p>
    <w:p>
      <w:pPr>
        <w:pStyle w:val="BodyText"/>
        <w:spacing w:line="240" w:lineRule="auto" w:before="135"/>
        <w:ind w:right="0"/>
        <w:jc w:val="both"/>
      </w:pPr>
      <w:r>
        <w:rPr>
          <w:rFonts w:ascii="Times New Roman" w:hAnsi="Times New Roman" w:cs="Times New Roman" w:eastAsia="Times New Roman" w:hint="default"/>
        </w:rPr>
        <w:t>0.30 </w:t>
      </w:r>
      <w:r>
        <w:rPr/>
        <w:t>万元。</w:t>
      </w:r>
    </w:p>
    <w:p>
      <w:pPr>
        <w:pStyle w:val="BodyText"/>
        <w:spacing w:line="240" w:lineRule="auto" w:before="135"/>
        <w:ind w:left="669" w:right="0"/>
        <w:jc w:val="left"/>
      </w:pPr>
      <w:r>
        <w:rPr>
          <w:rFonts w:ascii="Times New Roman" w:hAnsi="Times New Roman" w:cs="Times New Roman" w:eastAsia="Times New Roman" w:hint="default"/>
          <w:spacing w:val="-4"/>
        </w:rPr>
        <w:t>53</w:t>
      </w:r>
      <w:r>
        <w:rPr>
          <w:spacing w:val="-4"/>
        </w:rPr>
        <w:t>、</w:t>
      </w:r>
      <w:r>
        <w:rPr>
          <w:rFonts w:ascii="Times New Roman" w:hAnsi="Times New Roman" w:cs="Times New Roman" w:eastAsia="Times New Roman" w:hint="default"/>
          <w:spacing w:val="-4"/>
        </w:rPr>
        <w:t>2007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日，公司控股子公司－新疆苏宁电器有限公司与江苏苏宁</w:t>
      </w:r>
    </w:p>
    <w:p>
      <w:pPr>
        <w:pStyle w:val="BodyText"/>
        <w:spacing w:line="338" w:lineRule="auto" w:before="135"/>
        <w:ind w:right="114"/>
        <w:jc w:val="both"/>
      </w:pPr>
      <w:r>
        <w:rPr>
          <w:spacing w:val="-4"/>
        </w:rPr>
        <w:t>地铁商业管理有限公司共同出资组建哈密至诚苏宁电器有限责任公司，注册资本</w:t>
      </w:r>
      <w:r>
        <w:rPr>
          <w:spacing w:val="-43"/>
        </w:rPr>
        <w:t> </w:t>
      </w:r>
      <w:r>
        <w:rPr>
          <w:rFonts w:ascii="Times New Roman" w:hAnsi="Times New Roman" w:cs="Times New Roman" w:eastAsia="Times New Roman" w:hint="default"/>
        </w:rPr>
        <w:t>500</w:t>
      </w:r>
      <w:r>
        <w:rPr>
          <w:rFonts w:ascii="Times New Roman" w:hAnsi="Times New Roman" w:cs="Times New Roman" w:eastAsia="Times New Roman" w:hint="default"/>
          <w:spacing w:val="-57"/>
        </w:rPr>
        <w:t> </w:t>
      </w:r>
      <w:r>
        <w:rPr/>
        <w:t>万元，其中新疆苏宁电器有限公司出资 </w:t>
      </w:r>
      <w:r>
        <w:rPr>
          <w:rFonts w:ascii="Times New Roman" w:hAnsi="Times New Roman" w:cs="Times New Roman" w:eastAsia="Times New Roman" w:hint="default"/>
        </w:rPr>
        <w:t>350 </w:t>
      </w:r>
      <w:r>
        <w:rPr/>
        <w:t>万元，占注册资本的</w:t>
      </w:r>
      <w:r>
        <w:rPr>
          <w:spacing w:val="-78"/>
        </w:rPr>
        <w:t> </w:t>
      </w:r>
      <w:r>
        <w:rPr>
          <w:rFonts w:ascii="Times New Roman" w:hAnsi="Times New Roman" w:cs="Times New Roman" w:eastAsia="Times New Roman" w:hint="default"/>
        </w:rPr>
        <w:t>70%</w:t>
      </w:r>
      <w:r>
        <w:rPr/>
        <w:t>；江苏苏宁地 铁商业管理有限公司出资 </w:t>
      </w:r>
      <w:r>
        <w:rPr>
          <w:rFonts w:ascii="Times New Roman" w:hAnsi="Times New Roman" w:cs="Times New Roman" w:eastAsia="Times New Roman" w:hint="default"/>
        </w:rPr>
        <w:t>150 </w:t>
      </w:r>
      <w:r>
        <w:rPr/>
        <w:t>万元，占注册资本的</w:t>
      </w:r>
      <w:r>
        <w:rPr>
          <w:spacing w:val="-78"/>
        </w:rPr>
        <w:t> </w:t>
      </w:r>
      <w:r>
        <w:rPr>
          <w:rFonts w:ascii="Times New Roman" w:hAnsi="Times New Roman" w:cs="Times New Roman" w:eastAsia="Times New Roman" w:hint="default"/>
        </w:rPr>
        <w:t>30%</w:t>
      </w:r>
      <w:r>
        <w:rPr/>
        <w:t>。该公司截至本报告期末尚 未运营。</w:t>
      </w:r>
    </w:p>
    <w:p>
      <w:pPr>
        <w:pStyle w:val="BodyText"/>
        <w:spacing w:line="338" w:lineRule="auto" w:before="55"/>
        <w:ind w:right="178" w:firstLine="480"/>
        <w:jc w:val="both"/>
      </w:pPr>
      <w:r>
        <w:rPr>
          <w:rFonts w:ascii="Times New Roman" w:hAnsi="Times New Roman" w:cs="Times New Roman" w:eastAsia="Times New Roman" w:hint="default"/>
          <w:spacing w:val="-1"/>
        </w:rPr>
        <w:t>54</w:t>
      </w:r>
      <w:r>
        <w:rPr>
          <w:spacing w:val="-1"/>
        </w:rPr>
        <w:t>、</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5</w:t>
      </w:r>
      <w:r>
        <w:rPr>
          <w:spacing w:val="-1"/>
        </w:rPr>
        <w:t>日，公司控股子公司－广东苏宁电器有限公司出资组建广州苏</w:t>
      </w:r>
      <w:r>
        <w:rPr/>
        <w:t> 宁电器售后服务有限公司，注册资本</w:t>
      </w:r>
      <w:r>
        <w:rPr>
          <w:rFonts w:ascii="Times New Roman" w:hAnsi="Times New Roman" w:cs="Times New Roman" w:eastAsia="Times New Roman" w:hint="default"/>
        </w:rPr>
        <w:t>50</w:t>
      </w:r>
      <w:r>
        <w:rPr/>
        <w:t>万元，广东苏宁电器有限公司出资</w:t>
      </w:r>
      <w:r>
        <w:rPr>
          <w:rFonts w:ascii="Times New Roman" w:hAnsi="Times New Roman" w:cs="Times New Roman" w:eastAsia="Times New Roman" w:hint="default"/>
        </w:rPr>
        <w:t>50</w:t>
      </w:r>
      <w:r>
        <w:rPr/>
        <w:t>万元， 占注册资本的</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222.39</w:t>
      </w:r>
      <w:r>
        <w:rPr/>
        <w:t>万元。</w:t>
      </w:r>
    </w:p>
    <w:p>
      <w:pPr>
        <w:pStyle w:val="BodyText"/>
        <w:spacing w:line="240" w:lineRule="auto" w:before="27"/>
        <w:ind w:left="624" w:right="0"/>
        <w:jc w:val="left"/>
      </w:pPr>
      <w:r>
        <w:rPr>
          <w:rFonts w:ascii="Times New Roman" w:hAnsi="Times New Roman" w:cs="Times New Roman" w:eastAsia="Times New Roman" w:hint="default"/>
        </w:rPr>
        <w:t>55</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日，公司控股子公司－衡阳苏宁电器有限公司出资组建衡</w:t>
      </w:r>
    </w:p>
    <w:p>
      <w:pPr>
        <w:pStyle w:val="BodyText"/>
        <w:spacing w:line="240" w:lineRule="auto" w:before="135"/>
        <w:ind w:left="144" w:right="0"/>
        <w:jc w:val="both"/>
        <w:rPr>
          <w:rFonts w:ascii="Times New Roman" w:hAnsi="Times New Roman" w:cs="Times New Roman" w:eastAsia="Times New Roman" w:hint="default"/>
        </w:rPr>
      </w:pPr>
      <w:r>
        <w:rPr/>
        <w:t>阳苏宁电器售后服务有限公司，注册资本 </w:t>
      </w:r>
      <w:r>
        <w:rPr>
          <w:rFonts w:ascii="Times New Roman" w:hAnsi="Times New Roman" w:cs="Times New Roman" w:eastAsia="Times New Roman" w:hint="default"/>
        </w:rPr>
        <w:t>10 </w:t>
      </w:r>
      <w:r>
        <w:rPr/>
        <w:t>万元，衡阳苏宁电器有限公司出资</w:t>
      </w:r>
      <w:r>
        <w:rPr>
          <w:spacing w:val="-82"/>
        </w:rPr>
        <w:t> </w:t>
      </w:r>
      <w:r>
        <w:rPr>
          <w:rFonts w:ascii="Times New Roman" w:hAnsi="Times New Roman" w:cs="Times New Roman" w:eastAsia="Times New Roman" w:hint="default"/>
        </w:rPr>
        <w:t>10</w:t>
      </w:r>
    </w:p>
    <w:p>
      <w:pPr>
        <w:pStyle w:val="BodyText"/>
        <w:spacing w:line="240" w:lineRule="auto" w:before="135"/>
        <w:ind w:left="144" w:right="0"/>
        <w:jc w:val="both"/>
      </w:pPr>
      <w:r>
        <w:rPr/>
        <w:t>万元，占注册资本的</w:t>
      </w:r>
      <w:r>
        <w:rPr>
          <w:spacing w:val="-60"/>
        </w:rPr>
        <w:t> </w:t>
      </w:r>
      <w:r>
        <w:rPr>
          <w:rFonts w:ascii="Times New Roman" w:hAnsi="Times New Roman" w:cs="Times New Roman" w:eastAsia="Times New Roman" w:hint="default"/>
        </w:rPr>
        <w:t>100%</w:t>
      </w:r>
      <w:r>
        <w:rPr/>
        <w:t>。该公司本报告实现净利润</w:t>
      </w:r>
      <w:r>
        <w:rPr>
          <w:spacing w:val="-60"/>
        </w:rPr>
        <w:t> </w:t>
      </w:r>
      <w:r>
        <w:rPr>
          <w:rFonts w:ascii="Times New Roman" w:hAnsi="Times New Roman" w:cs="Times New Roman" w:eastAsia="Times New Roman" w:hint="default"/>
        </w:rPr>
        <w:t>1.43 </w:t>
      </w:r>
      <w:r>
        <w:rPr/>
        <w:t>万元。</w:t>
      </w:r>
    </w:p>
    <w:p>
      <w:pPr>
        <w:pStyle w:val="BodyText"/>
        <w:spacing w:line="240" w:lineRule="auto" w:before="135"/>
        <w:ind w:left="624" w:right="0"/>
        <w:jc w:val="left"/>
      </w:pPr>
      <w:r>
        <w:rPr>
          <w:rFonts w:ascii="Times New Roman" w:hAnsi="Times New Roman" w:cs="Times New Roman" w:eastAsia="Times New Roman" w:hint="default"/>
        </w:rPr>
        <w:t>56</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日，公司控股子公司－包头苏宁电器有限公司出资组建包</w:t>
      </w:r>
    </w:p>
    <w:p>
      <w:pPr>
        <w:pStyle w:val="BodyText"/>
        <w:spacing w:line="338" w:lineRule="auto" w:before="135"/>
        <w:ind w:left="144" w:right="182"/>
        <w:jc w:val="left"/>
      </w:pPr>
      <w:r>
        <w:rPr/>
        <w:t>头苏宁电器售后服务有限责任公司，注册资本 </w:t>
      </w:r>
      <w:r>
        <w:rPr>
          <w:rFonts w:ascii="Times New Roman" w:hAnsi="Times New Roman" w:cs="Times New Roman" w:eastAsia="Times New Roman" w:hint="default"/>
        </w:rPr>
        <w:t>50</w:t>
      </w:r>
      <w:r>
        <w:rPr>
          <w:rFonts w:ascii="Times New Roman" w:hAnsi="Times New Roman" w:cs="Times New Roman" w:eastAsia="Times New Roman" w:hint="default"/>
          <w:spacing w:val="38"/>
        </w:rPr>
        <w:t> </w:t>
      </w:r>
      <w:r>
        <w:rPr/>
        <w:t>万元，包头苏宁电器有限公司出 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100%</w:t>
      </w:r>
      <w:r>
        <w:rPr/>
        <w:t>。该公司本报告实现净利润</w:t>
      </w:r>
      <w:r>
        <w:rPr>
          <w:rFonts w:ascii="Times New Roman" w:hAnsi="Times New Roman" w:cs="Times New Roman" w:eastAsia="Times New Roman" w:hint="default"/>
        </w:rPr>
        <w:t>-3.30 </w:t>
      </w:r>
      <w:r>
        <w:rPr/>
        <w:t>万元。</w:t>
      </w:r>
    </w:p>
    <w:p>
      <w:pPr>
        <w:spacing w:line="240" w:lineRule="auto" w:before="0"/>
        <w:rPr>
          <w:rFonts w:ascii="宋体" w:hAnsi="宋体" w:cs="宋体" w:eastAsia="宋体" w:hint="default"/>
          <w:sz w:val="24"/>
          <w:szCs w:val="24"/>
        </w:rPr>
      </w:pPr>
    </w:p>
    <w:p>
      <w:pPr>
        <w:pStyle w:val="BodyText"/>
        <w:spacing w:line="240" w:lineRule="auto" w:before="180"/>
        <w:ind w:left="623" w:right="0"/>
        <w:jc w:val="left"/>
      </w:pPr>
      <w:r>
        <w:rPr/>
        <w:t>六、关于对前期会计调整情况的说明</w:t>
      </w:r>
    </w:p>
    <w:p>
      <w:pPr>
        <w:pStyle w:val="BodyText"/>
        <w:spacing w:line="357" w:lineRule="auto" w:before="154"/>
        <w:ind w:left="623" w:right="191"/>
        <w:jc w:val="left"/>
      </w:pPr>
      <w:r>
        <w:rPr/>
        <w:t>（一）前期会计调整事项及其原因 公司基于家电连锁零售行业及业务的发展变化，在公司 </w:t>
      </w:r>
      <w:r>
        <w:rPr>
          <w:rFonts w:ascii="Times New Roman" w:hAnsi="Times New Roman" w:cs="Times New Roman" w:eastAsia="Times New Roman" w:hint="default"/>
        </w:rPr>
        <w:t>SAP/ERP</w:t>
      </w:r>
      <w:r>
        <w:rPr>
          <w:rFonts w:ascii="Times New Roman" w:hAnsi="Times New Roman" w:cs="Times New Roman" w:eastAsia="Times New Roman" w:hint="default"/>
          <w:spacing w:val="43"/>
        </w:rPr>
        <w:t> </w:t>
      </w:r>
      <w:r>
        <w:rPr/>
        <w:t>系统成功上</w:t>
      </w:r>
    </w:p>
    <w:p>
      <w:pPr>
        <w:pStyle w:val="BodyText"/>
        <w:spacing w:line="357" w:lineRule="auto" w:before="5"/>
        <w:ind w:left="144" w:right="196"/>
        <w:jc w:val="left"/>
      </w:pPr>
      <w:r>
        <w:rPr>
          <w:spacing w:val="-1"/>
        </w:rPr>
        <w:t>线并良好运行的基础上，从加强业务管理、完善会计核算的需要出发，为向投资者</w:t>
      </w:r>
      <w:r>
        <w:rPr>
          <w:spacing w:val="-108"/>
        </w:rPr>
        <w:t> </w:t>
      </w:r>
      <w:r>
        <w:rPr>
          <w:spacing w:val="-108"/>
        </w:rPr>
      </w:r>
      <w:r>
        <w:rPr/>
        <w:t>提供更可靠、更相关的会计信息，对下列前期会计事项进行调整。</w:t>
      </w:r>
    </w:p>
    <w:p>
      <w:pPr>
        <w:pStyle w:val="BodyText"/>
        <w:spacing w:line="240" w:lineRule="auto" w:before="36"/>
        <w:ind w:left="624" w:right="0"/>
        <w:jc w:val="left"/>
      </w:pPr>
      <w:r>
        <w:rPr>
          <w:rFonts w:ascii="Times New Roman" w:hAnsi="Times New Roman" w:cs="Times New Roman" w:eastAsia="Times New Roman" w:hint="default"/>
        </w:rPr>
        <w:t>1</w:t>
      </w:r>
      <w:r>
        <w:rPr/>
        <w:t>、供应商提供的商业折扣</w:t>
      </w:r>
    </w:p>
    <w:p>
      <w:pPr>
        <w:spacing w:after="0" w:line="240" w:lineRule="auto"/>
        <w:jc w:val="left"/>
        <w:sectPr>
          <w:pgSz w:w="11910" w:h="16840"/>
          <w:pgMar w:header="879" w:footer="982" w:top="1100" w:bottom="1180" w:left="1500" w:right="1440"/>
        </w:sectPr>
      </w:pPr>
    </w:p>
    <w:p>
      <w:pPr>
        <w:spacing w:line="240" w:lineRule="auto" w:before="10"/>
        <w:rPr>
          <w:rFonts w:ascii="宋体" w:hAnsi="宋体" w:cs="宋体" w:eastAsia="宋体" w:hint="default"/>
          <w:sz w:val="10"/>
          <w:szCs w:val="10"/>
        </w:rPr>
      </w:pPr>
    </w:p>
    <w:p>
      <w:pPr>
        <w:pStyle w:val="BodyText"/>
        <w:spacing w:line="357" w:lineRule="auto" w:before="26"/>
        <w:ind w:right="180" w:firstLine="480"/>
        <w:jc w:val="both"/>
      </w:pPr>
      <w:r>
        <w:rPr>
          <w:spacing w:val="-2"/>
        </w:rPr>
        <w:t>供应商提供的商业折扣（又称“返利”）是家电连锁零售行业中零售商和供应</w:t>
      </w:r>
      <w:r>
        <w:rPr>
          <w:spacing w:val="3"/>
        </w:rPr>
        <w:t> </w:t>
      </w:r>
      <w:r>
        <w:rPr>
          <w:spacing w:val="-1"/>
        </w:rPr>
        <w:t>商长期合作过程中形成的一种特定的操作模式。其类型和以前年度相应的会计处理</w:t>
      </w:r>
      <w:r>
        <w:rPr>
          <w:spacing w:val="-106"/>
        </w:rPr>
        <w:t> </w:t>
      </w:r>
      <w:r>
        <w:rPr>
          <w:spacing w:val="-106"/>
        </w:rPr>
      </w:r>
      <w:r>
        <w:rPr/>
        <w:t>如下：</w:t>
      </w:r>
    </w:p>
    <w:p>
      <w:pPr>
        <w:pStyle w:val="BodyText"/>
        <w:spacing w:line="338" w:lineRule="auto" w:before="36"/>
        <w:ind w:right="179" w:firstLine="480"/>
        <w:jc w:val="both"/>
      </w:pPr>
      <w:r>
        <w:rPr>
          <w:spacing w:val="-5"/>
        </w:rPr>
        <w:t>（</w:t>
      </w:r>
      <w:r>
        <w:rPr>
          <w:rFonts w:ascii="Times New Roman" w:hAnsi="Times New Roman" w:cs="Times New Roman" w:eastAsia="Times New Roman" w:hint="default"/>
          <w:spacing w:val="-5"/>
        </w:rPr>
        <w:t>1</w:t>
      </w:r>
      <w:r>
        <w:rPr>
          <w:spacing w:val="-5"/>
        </w:rPr>
        <w:t>）采购时在发票上直接列明的折扣（又称“规则折扣”），减记该批次商品</w:t>
      </w:r>
      <w:r>
        <w:rPr>
          <w:spacing w:val="2"/>
        </w:rPr>
        <w:t> </w:t>
      </w:r>
      <w:r>
        <w:rPr/>
        <w:t>的采购成本；</w:t>
      </w:r>
    </w:p>
    <w:p>
      <w:pPr>
        <w:pStyle w:val="BodyText"/>
        <w:spacing w:line="355" w:lineRule="auto" w:before="55"/>
        <w:ind w:right="178" w:firstLine="480"/>
        <w:jc w:val="both"/>
      </w:pPr>
      <w:r>
        <w:rPr>
          <w:spacing w:val="2"/>
        </w:rPr>
        <w:t>（</w:t>
      </w:r>
      <w:r>
        <w:rPr>
          <w:rFonts w:ascii="Times New Roman" w:hAnsi="Times New Roman" w:cs="Times New Roman" w:eastAsia="Times New Roman" w:hint="default"/>
          <w:spacing w:val="2"/>
        </w:rPr>
        <w:t>2</w:t>
      </w:r>
      <w:r>
        <w:rPr>
          <w:spacing w:val="2"/>
        </w:rPr>
        <w:t>）在以后的采购发票上体现或公司开具发票收取的折扣（又称“不规则折</w:t>
      </w:r>
      <w:r>
        <w:rPr>
          <w:spacing w:val="3"/>
        </w:rPr>
        <w:t> </w:t>
      </w:r>
      <w:r>
        <w:rPr>
          <w:spacing w:val="-8"/>
        </w:rPr>
        <w:t>扣”），在收到采购发票或公司开具发票时，予以确认损益。之所以采取这种处理方</w:t>
      </w:r>
      <w:r>
        <w:rPr>
          <w:spacing w:val="-88"/>
        </w:rPr>
        <w:t> </w:t>
      </w:r>
      <w:r>
        <w:rPr>
          <w:spacing w:val="-88"/>
        </w:rPr>
      </w:r>
      <w:r>
        <w:rPr>
          <w:spacing w:val="-1"/>
        </w:rPr>
        <w:t>式，是因为在以前年度特别是早期的业务操作中，公司和供应商之间对于不规则折</w:t>
      </w:r>
      <w:r>
        <w:rPr>
          <w:spacing w:val="-106"/>
        </w:rPr>
        <w:t> </w:t>
      </w:r>
      <w:r>
        <w:rPr>
          <w:spacing w:val="-106"/>
        </w:rPr>
      </w:r>
      <w:r>
        <w:rPr>
          <w:spacing w:val="-1"/>
        </w:rPr>
        <w:t>扣的产生、确认和结算没有形成相对固定和统一的操作方法，合同中对于商业折扣</w:t>
      </w:r>
      <w:r>
        <w:rPr>
          <w:spacing w:val="-106"/>
        </w:rPr>
        <w:t> </w:t>
      </w:r>
      <w:r>
        <w:rPr>
          <w:spacing w:val="-106"/>
        </w:rPr>
      </w:r>
      <w:r>
        <w:rPr>
          <w:spacing w:val="-1"/>
        </w:rPr>
        <w:t>的约定条款也不一致，使得不规则折扣的金额和能否收到存在一定的不确定性，结</w:t>
      </w:r>
      <w:r>
        <w:rPr>
          <w:spacing w:val="-106"/>
        </w:rPr>
        <w:t> </w:t>
      </w:r>
      <w:r>
        <w:rPr>
          <w:spacing w:val="-106"/>
        </w:rPr>
      </w:r>
      <w:r>
        <w:rPr>
          <w:spacing w:val="-1"/>
        </w:rPr>
        <w:t>算时间也相对滞后。因此，公司基于谨慎的原则，采取了在收到采购发票或公司开</w:t>
      </w:r>
      <w:r>
        <w:rPr>
          <w:spacing w:val="-108"/>
        </w:rPr>
        <w:t> </w:t>
      </w:r>
      <w:r>
        <w:rPr>
          <w:spacing w:val="-108"/>
        </w:rPr>
      </w:r>
      <w:r>
        <w:rPr/>
        <w:t>具发票时，当期确认损益。</w:t>
      </w:r>
    </w:p>
    <w:p>
      <w:pPr>
        <w:pStyle w:val="BodyText"/>
        <w:spacing w:line="345" w:lineRule="auto" w:before="38"/>
        <w:ind w:right="177" w:firstLine="480"/>
        <w:jc w:val="both"/>
      </w:pPr>
      <w:r>
        <w:rPr>
          <w:spacing w:val="-1"/>
        </w:rPr>
        <w:t>近年来，随着家电连锁零售行业的发展变化，公司和供应商之间的业务操作模</w:t>
      </w:r>
      <w:r>
        <w:rPr/>
        <w:t> </w:t>
      </w:r>
      <w:r>
        <w:rPr>
          <w:spacing w:val="-1"/>
        </w:rPr>
        <w:t>式不断固化和简化，合同条款也逐步统一，返利结算的确定性相应提高，结算风险</w:t>
      </w:r>
      <w:r>
        <w:rPr>
          <w:spacing w:val="-108"/>
        </w:rPr>
        <w:t> </w:t>
      </w:r>
      <w:r>
        <w:rPr>
          <w:spacing w:val="-108"/>
        </w:rPr>
      </w:r>
      <w:r>
        <w:rPr/>
        <w:t>下降。加之</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月公司</w:t>
      </w:r>
      <w:r>
        <w:rPr>
          <w:spacing w:val="-63"/>
        </w:rPr>
        <w:t> </w:t>
      </w:r>
      <w:r>
        <w:rPr>
          <w:rFonts w:ascii="Times New Roman" w:hAnsi="Times New Roman" w:cs="Times New Roman" w:eastAsia="Times New Roman" w:hint="default"/>
        </w:rPr>
        <w:t>SAP/ERP</w:t>
      </w:r>
      <w:r>
        <w:rPr>
          <w:rFonts w:ascii="Times New Roman" w:hAnsi="Times New Roman" w:cs="Times New Roman" w:eastAsia="Times New Roman" w:hint="default"/>
          <w:spacing w:val="-4"/>
        </w:rPr>
        <w:t> </w:t>
      </w:r>
      <w:r>
        <w:rPr/>
        <w:t>系统上线后，能够准确地记录、追索和查询 供应商折扣产生、确认和结算等信息流。因此，公司于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年度完善了供应商商 业折扣的会计处理方法：基于供应商合同</w:t>
      </w:r>
      <w:r>
        <w:rPr>
          <w:rFonts w:ascii="Times New Roman" w:hAnsi="Times New Roman" w:cs="Times New Roman" w:eastAsia="Times New Roman" w:hint="default"/>
        </w:rPr>
        <w:t>/</w:t>
      </w:r>
      <w:r>
        <w:rPr/>
        <w:t>协议</w:t>
      </w:r>
      <w:r>
        <w:rPr>
          <w:rFonts w:ascii="Times New Roman" w:hAnsi="Times New Roman" w:cs="Times New Roman" w:eastAsia="Times New Roman" w:hint="default"/>
        </w:rPr>
        <w:t>/</w:t>
      </w:r>
      <w:r>
        <w:rPr/>
        <w:t>确认函等明确依据，合理计算应确</w:t>
      </w:r>
      <w:r>
        <w:rPr>
          <w:spacing w:val="-48"/>
        </w:rPr>
        <w:t> </w:t>
      </w:r>
      <w:r>
        <w:rPr/>
        <w:t>认的供应商折扣，在已销商品和库存商品中予以配比确认，并追溯调整 </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年财 </w:t>
      </w:r>
      <w:r>
        <w:rPr>
          <w:spacing w:val="-1"/>
        </w:rPr>
        <w:t>务报表。公司认为，此项会计调整在遵循谨慎原则的前提下，兼顾了供应商折扣确</w:t>
      </w:r>
      <w:r>
        <w:rPr>
          <w:spacing w:val="-108"/>
        </w:rPr>
        <w:t> </w:t>
      </w:r>
      <w:r>
        <w:rPr>
          <w:spacing w:val="-108"/>
        </w:rPr>
      </w:r>
      <w:r>
        <w:rPr/>
        <w:t>认的配比性。</w:t>
      </w:r>
    </w:p>
    <w:p>
      <w:pPr>
        <w:pStyle w:val="BodyText"/>
        <w:spacing w:line="338" w:lineRule="auto" w:before="48"/>
        <w:ind w:left="144" w:right="178" w:firstLine="480"/>
        <w:jc w:val="both"/>
      </w:pPr>
      <w:r>
        <w:rPr>
          <w:spacing w:val="10"/>
        </w:rPr>
        <w:t>由于供应商提供的商业折扣涉及的供应商及数据量庞大，且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47"/>
        </w:rPr>
        <w:t> </w:t>
      </w:r>
      <w:r>
        <w:rPr/>
        <w:t>月 </w:t>
      </w:r>
      <w:r>
        <w:rPr>
          <w:rFonts w:ascii="Times New Roman" w:hAnsi="Times New Roman" w:cs="Times New Roman" w:eastAsia="Times New Roman" w:hint="default"/>
        </w:rPr>
        <w:t>SAP/ERP</w:t>
      </w:r>
      <w:r>
        <w:rPr>
          <w:rFonts w:ascii="Times New Roman" w:hAnsi="Times New Roman" w:cs="Times New Roman" w:eastAsia="Times New Roman" w:hint="default"/>
          <w:spacing w:val="16"/>
        </w:rPr>
        <w:t> </w:t>
      </w:r>
      <w:r>
        <w:rPr>
          <w:spacing w:val="-3"/>
        </w:rPr>
        <w:t>系统建立之前，公司未记录供应商提供的各项商业折扣的产生、确认和结</w:t>
      </w:r>
      <w:r>
        <w:rPr>
          <w:spacing w:val="-116"/>
        </w:rPr>
        <w:t> </w:t>
      </w:r>
      <w:r>
        <w:rPr>
          <w:spacing w:val="-116"/>
        </w:rPr>
      </w:r>
      <w:r>
        <w:rPr/>
        <w:t>算过程。因此，公司确定</w:t>
      </w:r>
      <w:r>
        <w:rPr>
          <w:spacing w:val="-4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日的影响数不切实可行，上述追溯调整自</w:t>
      </w:r>
    </w:p>
    <w:p>
      <w:pPr>
        <w:pStyle w:val="BodyText"/>
        <w:spacing w:line="240" w:lineRule="auto" w:before="27"/>
        <w:ind w:right="179"/>
        <w:jc w:val="left"/>
      </w:pP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4 </w:t>
      </w:r>
      <w:r>
        <w:rPr/>
        <w:t>月开始。</w:t>
      </w:r>
    </w:p>
    <w:p>
      <w:pPr>
        <w:pStyle w:val="BodyText"/>
        <w:spacing w:line="338" w:lineRule="auto" w:before="135"/>
        <w:ind w:left="623" w:right="179"/>
        <w:jc w:val="left"/>
      </w:pPr>
      <w:r>
        <w:rPr>
          <w:rFonts w:ascii="Times New Roman" w:hAnsi="Times New Roman" w:cs="Times New Roman" w:eastAsia="Times New Roman" w:hint="default"/>
        </w:rPr>
        <w:t>2</w:t>
      </w:r>
      <w:r>
        <w:rPr/>
        <w:t>、供应商提供的广告位使用费收入 </w:t>
      </w:r>
      <w:r>
        <w:rPr>
          <w:spacing w:val="-3"/>
        </w:rPr>
        <w:t>于以前年度，公司在实际收到广告位使用费的时候，由于大部分合同</w:t>
      </w:r>
      <w:r>
        <w:rPr>
          <w:rFonts w:ascii="Times New Roman" w:hAnsi="Times New Roman" w:cs="Times New Roman" w:eastAsia="Times New Roman" w:hint="default"/>
          <w:spacing w:val="-3"/>
        </w:rPr>
        <w:t>/</w:t>
      </w:r>
      <w:r>
        <w:rPr>
          <w:spacing w:val="-3"/>
        </w:rPr>
        <w:t>协议文本</w:t>
      </w:r>
    </w:p>
    <w:p>
      <w:pPr>
        <w:pStyle w:val="BodyText"/>
        <w:spacing w:line="357" w:lineRule="auto" w:before="27"/>
        <w:ind w:right="177"/>
        <w:jc w:val="left"/>
      </w:pPr>
      <w:r>
        <w:rPr>
          <w:spacing w:val="-1"/>
        </w:rPr>
        <w:t>并不完备，也未约定明确的中止退款条款，因此公司在收到时全部计入当期营业收</w:t>
      </w:r>
      <w:r>
        <w:rPr>
          <w:spacing w:val="-106"/>
        </w:rPr>
        <w:t> </w:t>
      </w:r>
      <w:r>
        <w:rPr>
          <w:spacing w:val="-106"/>
        </w:rPr>
      </w:r>
      <w:r>
        <w:rPr/>
        <w:t>入。</w:t>
      </w:r>
    </w:p>
    <w:p>
      <w:pPr>
        <w:pStyle w:val="BodyText"/>
        <w:spacing w:line="338" w:lineRule="auto" w:before="36"/>
        <w:ind w:right="99" w:firstLine="480"/>
        <w:jc w:val="both"/>
      </w:pPr>
      <w:r>
        <w:rPr/>
        <w:t>自</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月起，公司对广告费使用费的合同</w:t>
      </w:r>
      <w:r>
        <w:rPr>
          <w:rFonts w:ascii="Times New Roman" w:hAnsi="Times New Roman" w:cs="Times New Roman" w:eastAsia="Times New Roman" w:hint="default"/>
        </w:rPr>
        <w:t>/</w:t>
      </w:r>
      <w:r>
        <w:rPr/>
        <w:t>协议文本进行了规范和统一， 明确了广告位使用期限及中止退款条款，因此，苏宁电器采用对收到的广告位使用</w:t>
      </w:r>
    </w:p>
    <w:p>
      <w:pPr>
        <w:spacing w:after="0" w:line="338" w:lineRule="auto"/>
        <w:jc w:val="both"/>
        <w:sectPr>
          <w:pgSz w:w="11910" w:h="16840"/>
          <w:pgMar w:header="879" w:footer="982" w:top="1100" w:bottom="1180" w:left="1500" w:right="1460"/>
        </w:sectPr>
      </w:pPr>
    </w:p>
    <w:p>
      <w:pPr>
        <w:spacing w:line="240" w:lineRule="auto" w:before="10"/>
        <w:rPr>
          <w:rFonts w:ascii="宋体" w:hAnsi="宋体" w:cs="宋体" w:eastAsia="宋体" w:hint="default"/>
          <w:sz w:val="10"/>
          <w:szCs w:val="10"/>
        </w:rPr>
      </w:pPr>
    </w:p>
    <w:p>
      <w:pPr>
        <w:pStyle w:val="BodyText"/>
        <w:spacing w:line="240" w:lineRule="auto" w:before="26"/>
        <w:ind w:left="144" w:right="0"/>
        <w:jc w:val="both"/>
      </w:pPr>
      <w:r>
        <w:rPr/>
        <w:t>费收入在合同规定的广告位使用期间内分期确认，并追溯调整</w:t>
      </w:r>
      <w:r>
        <w:rPr>
          <w:spacing w:val="-60"/>
        </w:rPr>
        <w:t> </w:t>
      </w:r>
      <w:r>
        <w:rPr>
          <w:rFonts w:ascii="Times New Roman" w:hAnsi="Times New Roman" w:cs="Times New Roman" w:eastAsia="Times New Roman" w:hint="default"/>
        </w:rPr>
        <w:t>2006 </w:t>
      </w:r>
      <w:r>
        <w:rPr/>
        <w:t>年财务报表。</w:t>
      </w:r>
    </w:p>
    <w:p>
      <w:pPr>
        <w:pStyle w:val="BodyText"/>
        <w:spacing w:line="348" w:lineRule="auto" w:before="135"/>
        <w:ind w:left="144" w:right="138" w:firstLine="480"/>
        <w:jc w:val="both"/>
      </w:pPr>
      <w:r>
        <w:rPr/>
        <w:t>由于广告位使用费收入涉及的供应商及数据量庞大，且</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SAP/ERP</w:t>
      </w:r>
      <w:r>
        <w:rPr>
          <w:rFonts w:ascii="Times New Roman" w:hAnsi="Times New Roman" w:cs="Times New Roman" w:eastAsia="Times New Roman" w:hint="default"/>
          <w:w w:val="99"/>
        </w:rPr>
        <w:t> </w:t>
      </w:r>
      <w:r>
        <w:rPr>
          <w:spacing w:val="-1"/>
        </w:rPr>
        <w:t>系统建立之前，公司未记录广告位使用费收入的产生、确认和结算过程。因此，公</w:t>
      </w:r>
      <w:r>
        <w:rPr>
          <w:spacing w:val="-107"/>
        </w:rPr>
        <w:t> </w:t>
      </w:r>
      <w:r>
        <w:rPr>
          <w:spacing w:val="-107"/>
        </w:rPr>
      </w:r>
      <w:r>
        <w:rPr/>
        <w:t>司确定</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日的影响数不切实可行，上述追溯调整自</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4 </w:t>
      </w:r>
      <w:r>
        <w:rPr/>
        <w:t>月开始。</w:t>
      </w:r>
    </w:p>
    <w:p>
      <w:pPr>
        <w:pStyle w:val="BodyText"/>
        <w:spacing w:line="338" w:lineRule="auto" w:before="16"/>
        <w:ind w:left="624" w:right="0"/>
        <w:jc w:val="left"/>
      </w:pPr>
      <w:r>
        <w:rPr>
          <w:rFonts w:ascii="Times New Roman" w:hAnsi="Times New Roman" w:cs="Times New Roman" w:eastAsia="Times New Roman" w:hint="default"/>
        </w:rPr>
        <w:t>3</w:t>
      </w:r>
      <w:r>
        <w:rPr/>
        <w:t>、重分类调整 于以往年度，对于供应商给予公司预付款项的奖励</w:t>
      </w:r>
      <w:r>
        <w:rPr>
          <w:rFonts w:ascii="Times New Roman" w:hAnsi="Times New Roman" w:cs="Times New Roman" w:eastAsia="Times New Roman" w:hint="default"/>
        </w:rPr>
        <w:t>(</w:t>
      </w:r>
      <w:r>
        <w:rPr/>
        <w:t>名为投款折让</w:t>
      </w:r>
      <w:r>
        <w:rPr>
          <w:rFonts w:ascii="Times New Roman" w:hAnsi="Times New Roman" w:cs="Times New Roman" w:eastAsia="Times New Roman" w:hint="default"/>
        </w:rPr>
        <w:t>)</w:t>
      </w:r>
      <w:r>
        <w:rPr/>
        <w:t>，由于通过</w:t>
      </w:r>
    </w:p>
    <w:p>
      <w:pPr>
        <w:pStyle w:val="BodyText"/>
        <w:spacing w:line="348" w:lineRule="auto" w:before="27"/>
        <w:ind w:left="144" w:right="161"/>
        <w:jc w:val="both"/>
      </w:pPr>
      <w:r>
        <w:rPr/>
        <w:t>商业折扣的方式体现，公司在收到时减计当期营业成本。于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年度，公司从实 </w:t>
      </w:r>
      <w:r>
        <w:rPr>
          <w:spacing w:val="-1"/>
        </w:rPr>
        <w:t>质重于形式的角度考虑，认为供应商提供的投款折让实质属于现金折扣。因此，将</w:t>
      </w:r>
      <w:r>
        <w:rPr>
          <w:spacing w:val="-108"/>
        </w:rPr>
        <w:t> </w:t>
      </w:r>
      <w:r>
        <w:rPr>
          <w:spacing w:val="-108"/>
        </w:rPr>
      </w:r>
      <w:r>
        <w:rPr/>
        <w:t>其重分类至财务收入，并相应调整</w:t>
      </w:r>
      <w:r>
        <w:rPr>
          <w:spacing w:val="-60"/>
        </w:rPr>
        <w:t> </w:t>
      </w:r>
      <w:r>
        <w:rPr>
          <w:rFonts w:ascii="Times New Roman" w:hAnsi="Times New Roman" w:cs="Times New Roman" w:eastAsia="Times New Roman" w:hint="default"/>
        </w:rPr>
        <w:t>2006 </w:t>
      </w:r>
      <w:r>
        <w:rPr/>
        <w:t>年度的比较数据。</w:t>
      </w:r>
    </w:p>
    <w:p>
      <w:pPr>
        <w:pStyle w:val="BodyText"/>
        <w:spacing w:line="357" w:lineRule="auto" w:before="16"/>
        <w:ind w:left="144" w:right="161" w:firstLine="480"/>
        <w:jc w:val="both"/>
      </w:pPr>
      <w:r>
        <w:rPr>
          <w:spacing w:val="-1"/>
        </w:rPr>
        <w:t>于以往年度，对于售后服务业务发生的人工成本，公司在业务发生时计入当期</w:t>
      </w:r>
      <w:r>
        <w:rPr/>
        <w:t> 营业费用。于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年度，公司认为售后服务人员的人工成本属于营业成本范畴。</w:t>
      </w:r>
    </w:p>
    <w:p>
      <w:pPr>
        <w:pStyle w:val="BodyText"/>
        <w:spacing w:line="240" w:lineRule="auto" w:before="5"/>
        <w:ind w:left="144" w:right="0"/>
        <w:jc w:val="both"/>
      </w:pPr>
      <w:r>
        <w:rPr/>
        <w:t>因此将其重分类至营业成本，并相应调整</w:t>
      </w:r>
      <w:r>
        <w:rPr>
          <w:spacing w:val="-60"/>
        </w:rPr>
        <w:t> </w:t>
      </w:r>
      <w:r>
        <w:rPr>
          <w:rFonts w:ascii="Times New Roman" w:hAnsi="Times New Roman" w:cs="Times New Roman" w:eastAsia="Times New Roman" w:hint="default"/>
        </w:rPr>
        <w:t>2006 </w:t>
      </w:r>
      <w:r>
        <w:rPr/>
        <w:t>年度的比较数据。</w:t>
      </w:r>
    </w:p>
    <w:p>
      <w:pPr>
        <w:pStyle w:val="BodyText"/>
        <w:spacing w:line="240" w:lineRule="auto" w:before="135"/>
        <w:ind w:left="624" w:right="2428"/>
        <w:jc w:val="left"/>
      </w:pPr>
      <w:r>
        <w:rPr/>
        <w:t>（二）调整事项对公司财务状况和经营成果的影响</w:t>
      </w:r>
    </w:p>
    <w:p>
      <w:pPr>
        <w:pStyle w:val="BodyText"/>
        <w:spacing w:line="240" w:lineRule="auto" w:before="154"/>
        <w:ind w:left="624" w:right="0"/>
        <w:jc w:val="left"/>
      </w:pPr>
      <w:r>
        <w:rPr/>
        <w:t>上述第</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项调整事项合并影响为调增公司</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年净利润</w:t>
      </w:r>
      <w:r>
        <w:rPr>
          <w:spacing w:val="-54"/>
        </w:rPr>
        <w:t> </w:t>
      </w:r>
      <w:r>
        <w:rPr>
          <w:rFonts w:ascii="Times New Roman" w:hAnsi="Times New Roman" w:cs="Times New Roman" w:eastAsia="Times New Roman" w:hint="default"/>
        </w:rPr>
        <w:t>1,708</w:t>
      </w:r>
      <w:r>
        <w:rPr>
          <w:rFonts w:ascii="Times New Roman" w:hAnsi="Times New Roman" w:cs="Times New Roman" w:eastAsia="Times New Roman" w:hint="default"/>
          <w:spacing w:val="6"/>
        </w:rPr>
        <w:t> </w:t>
      </w:r>
      <w:r>
        <w:rPr/>
        <w:t>万元，仅占</w:t>
      </w:r>
    </w:p>
    <w:p>
      <w:pPr>
        <w:pStyle w:val="BodyText"/>
        <w:spacing w:line="240" w:lineRule="auto" w:before="135"/>
        <w:ind w:left="144" w:right="0"/>
        <w:jc w:val="both"/>
      </w:pPr>
      <w:r>
        <w:rPr>
          <w:rFonts w:ascii="Times New Roman" w:hAnsi="Times New Roman" w:cs="Times New Roman" w:eastAsia="Times New Roman" w:hint="default"/>
        </w:rPr>
        <w:t>2006 </w:t>
      </w:r>
      <w:r>
        <w:rPr/>
        <w:t>年度调整后净利润</w:t>
      </w:r>
      <w:r>
        <w:rPr>
          <w:spacing w:val="-60"/>
        </w:rPr>
        <w:t> </w:t>
      </w:r>
      <w:r>
        <w:rPr>
          <w:rFonts w:ascii="Times New Roman" w:hAnsi="Times New Roman" w:cs="Times New Roman" w:eastAsia="Times New Roman" w:hint="default"/>
        </w:rPr>
        <w:t>79,754 </w:t>
      </w:r>
      <w:r>
        <w:rPr/>
        <w:t>万元的</w:t>
      </w:r>
      <w:r>
        <w:rPr>
          <w:spacing w:val="-60"/>
        </w:rPr>
        <w:t> </w:t>
      </w:r>
      <w:r>
        <w:rPr>
          <w:rFonts w:ascii="Times New Roman" w:hAnsi="Times New Roman" w:cs="Times New Roman" w:eastAsia="Times New Roman" w:hint="default"/>
          <w:spacing w:val="-7"/>
        </w:rPr>
        <w:t>2.14%</w:t>
      </w:r>
      <w:r>
        <w:rPr>
          <w:spacing w:val="-7"/>
        </w:rPr>
        <w:t>，相对影响较小。上述第</w:t>
      </w:r>
      <w:r>
        <w:rPr>
          <w:spacing w:val="-61"/>
        </w:rPr>
        <w:t> </w:t>
      </w:r>
      <w:r>
        <w:rPr>
          <w:rFonts w:ascii="Times New Roman" w:hAnsi="Times New Roman" w:cs="Times New Roman" w:eastAsia="Times New Roman" w:hint="default"/>
        </w:rPr>
        <w:t>3 </w:t>
      </w:r>
      <w:r>
        <w:rPr/>
        <w:t>项重分类调</w:t>
      </w:r>
    </w:p>
    <w:p>
      <w:pPr>
        <w:pStyle w:val="BodyText"/>
        <w:spacing w:line="240" w:lineRule="auto" w:before="135"/>
        <w:ind w:left="144" w:right="0"/>
        <w:jc w:val="both"/>
      </w:pPr>
      <w:r>
        <w:rPr/>
        <w:t>整事项对公司</w:t>
      </w:r>
      <w:r>
        <w:rPr>
          <w:spacing w:val="-60"/>
        </w:rPr>
        <w:t> </w:t>
      </w:r>
      <w:r>
        <w:rPr>
          <w:rFonts w:ascii="Times New Roman" w:hAnsi="Times New Roman" w:cs="Times New Roman" w:eastAsia="Times New Roman" w:hint="default"/>
        </w:rPr>
        <w:t>2006 </w:t>
      </w:r>
      <w:r>
        <w:rPr/>
        <w:t>年净利润无影响。</w:t>
      </w:r>
    </w:p>
    <w:p>
      <w:pPr>
        <w:pStyle w:val="BodyText"/>
        <w:spacing w:line="357" w:lineRule="auto" w:before="135"/>
        <w:ind w:left="624" w:right="154"/>
        <w:jc w:val="left"/>
      </w:pPr>
      <w:r>
        <w:rPr/>
        <w:t>（三）董事会对本次前期会计调整的意见 </w:t>
      </w:r>
      <w:r>
        <w:rPr>
          <w:spacing w:val="-1"/>
        </w:rPr>
        <w:t>本次前期会计调整事项适应了家电连锁零售行业及业务的发展变化，符合相关</w:t>
      </w:r>
    </w:p>
    <w:p>
      <w:pPr>
        <w:pStyle w:val="BodyText"/>
        <w:spacing w:line="240" w:lineRule="auto" w:before="36"/>
        <w:ind w:left="144" w:right="0"/>
        <w:jc w:val="both"/>
      </w:pPr>
      <w:r>
        <w:rPr/>
        <w:t>法律法规的规定，有助于完善会计核算，提高公司会计信息质量。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ind w:left="624" w:right="2428"/>
        <w:jc w:val="left"/>
      </w:pPr>
      <w:r>
        <w:rPr/>
        <w:t>七、董事会日常工作情况：</w:t>
      </w:r>
    </w:p>
    <w:p>
      <w:pPr>
        <w:pStyle w:val="BodyText"/>
        <w:spacing w:line="345" w:lineRule="auto" w:before="154"/>
        <w:ind w:right="158" w:firstLine="480"/>
        <w:jc w:val="both"/>
      </w:pPr>
      <w:r>
        <w:rPr>
          <w:rFonts w:ascii="Times New Roman" w:hAnsi="Times New Roman" w:cs="Times New Roman" w:eastAsia="Times New Roman" w:hint="default"/>
          <w:spacing w:val="2"/>
        </w:rPr>
        <w:t>1</w:t>
      </w:r>
      <w:r>
        <w:rPr>
          <w:spacing w:val="2"/>
        </w:rPr>
        <w:t>、报告期内董事会认真履行工作职责，审慎行使公司《章程》和股东大会赋</w:t>
      </w:r>
      <w:r>
        <w:rPr>
          <w:spacing w:val="3"/>
        </w:rPr>
        <w:t> </w:t>
      </w:r>
      <w:r>
        <w:rPr/>
        <w:t>予的职权，结合公司经营需要，共召开 </w:t>
      </w:r>
      <w:r>
        <w:rPr>
          <w:rFonts w:ascii="Times New Roman" w:hAnsi="Times New Roman" w:cs="Times New Roman" w:eastAsia="Times New Roman" w:hint="default"/>
        </w:rPr>
        <w:t>23</w:t>
      </w:r>
      <w:r>
        <w:rPr>
          <w:rFonts w:ascii="Times New Roman" w:hAnsi="Times New Roman" w:cs="Times New Roman" w:eastAsia="Times New Roman" w:hint="default"/>
          <w:spacing w:val="38"/>
        </w:rPr>
        <w:t> </w:t>
      </w:r>
      <w:r>
        <w:rPr/>
        <w:t>次董事会会议，会议的通知、召开、表 </w:t>
      </w:r>
      <w:r>
        <w:rPr>
          <w:spacing w:val="-8"/>
        </w:rPr>
        <w:t>决程序符合《公司法》、公司《章程》、《董事会议事规则》等各项法律、法规及监</w:t>
      </w:r>
      <w:r>
        <w:rPr>
          <w:spacing w:val="-110"/>
        </w:rPr>
        <w:t> </w:t>
      </w:r>
      <w:r>
        <w:rPr>
          <w:spacing w:val="-110"/>
        </w:rPr>
      </w:r>
      <w:r>
        <w:rPr/>
        <w:t>管部门的要求，会议情况及决议内容如下：</w:t>
      </w:r>
    </w:p>
    <w:p>
      <w:pPr>
        <w:pStyle w:val="BodyText"/>
        <w:spacing w:line="338" w:lineRule="auto" w:before="48"/>
        <w:ind w:left="144" w:right="158" w:firstLine="480"/>
        <w:jc w:val="both"/>
      </w:pPr>
      <w:r>
        <w:rPr>
          <w:spacing w:val="-17"/>
        </w:rPr>
        <w:t>（</w:t>
      </w:r>
      <w:r>
        <w:rPr>
          <w:rFonts w:ascii="Times New Roman" w:hAnsi="Times New Roman" w:cs="Times New Roman" w:eastAsia="Times New Roman" w:hint="default"/>
          <w:spacing w:val="-17"/>
        </w:rPr>
        <w:t>1</w:t>
      </w:r>
      <w:r>
        <w:rPr>
          <w:spacing w:val="-17"/>
        </w:rPr>
        <w:t>）公司于</w:t>
      </w:r>
      <w:r>
        <w:rPr>
          <w:spacing w:val="-68"/>
        </w:rPr>
        <w:t> </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6"/>
        </w:rPr>
        <w:t> </w:t>
      </w:r>
      <w:r>
        <w:rPr/>
        <w:t>年</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15"/>
        </w:rPr>
        <w:t>日召开第二届董事会第三十五次会议，审议通过了《关</w:t>
      </w:r>
      <w:r>
        <w:rPr>
          <w:spacing w:val="-8"/>
        </w:rPr>
        <w:t> </w:t>
      </w:r>
      <w:r>
        <w:rPr>
          <w:spacing w:val="-12"/>
        </w:rPr>
        <w:t>于设立南京高淳连锁店的议案》，本次董事会决议报送深圳证券交易所备案；</w:t>
      </w:r>
      <w:r>
        <w:rPr/>
      </w:r>
    </w:p>
    <w:p>
      <w:pPr>
        <w:pStyle w:val="BodyText"/>
        <w:spacing w:line="348" w:lineRule="auto" w:before="55"/>
        <w:ind w:right="152" w:firstLine="480"/>
        <w:jc w:val="both"/>
      </w:pPr>
      <w:r>
        <w:rPr/>
        <w:t>（</w:t>
      </w:r>
      <w:r>
        <w:rPr>
          <w:rFonts w:ascii="Times New Roman" w:hAnsi="Times New Roman" w:cs="Times New Roman" w:eastAsia="Times New Roman" w:hint="default"/>
        </w:rPr>
        <w:t>2</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日召开第二届董事会第三十六次会议，审议通过</w:t>
      </w:r>
      <w:r>
        <w:rPr>
          <w:spacing w:val="-1"/>
        </w:rPr>
        <w:t> 了《苏宁电器股份有限公司股票期权激励计划（草案）》、《苏宁电器股份有限公</w:t>
      </w:r>
      <w:r>
        <w:rPr>
          <w:spacing w:val="-108"/>
        </w:rPr>
        <w:t> </w:t>
      </w:r>
      <w:r>
        <w:rPr>
          <w:spacing w:val="-108"/>
        </w:rPr>
      </w:r>
      <w:r>
        <w:rPr>
          <w:spacing w:val="-1"/>
        </w:rPr>
        <w:t>司股票期权激励计划实施考核办法》、《关于授权董事会办理股票期权相关事宜的</w:t>
      </w:r>
      <w:r>
        <w:rPr/>
      </w:r>
    </w:p>
    <w:p>
      <w:pPr>
        <w:spacing w:after="0" w:line="348" w:lineRule="auto"/>
        <w:jc w:val="both"/>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240" w:lineRule="auto" w:before="26"/>
        <w:ind w:left="144" w:right="0"/>
        <w:jc w:val="both"/>
      </w:pPr>
      <w:r>
        <w:rPr/>
        <w:t>议案</w:t>
      </w:r>
      <w:r>
        <w:rPr>
          <w:spacing w:val="-120"/>
        </w:rPr>
        <w:t>》</w:t>
      </w:r>
      <w:r>
        <w:rPr>
          <w:spacing w:val="-22"/>
        </w:rPr>
        <w:t>，</w:t>
      </w:r>
      <w:r>
        <w:rPr/>
        <w:t>本次董事会决议公告刊登在</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30 </w:t>
      </w:r>
      <w:r>
        <w:rPr/>
        <w:t>日的巨潮资讯网</w:t>
      </w:r>
      <w:r>
        <w:rPr>
          <w:spacing w:val="-120"/>
        </w:rPr>
        <w:t>、</w:t>
      </w:r>
      <w:r>
        <w:rPr/>
        <w:t>《证券时报</w:t>
      </w:r>
      <w:r>
        <w:rPr>
          <w:spacing w:val="-120"/>
        </w:rPr>
        <w:t>》</w:t>
      </w:r>
      <w:r>
        <w:rPr/>
        <w:t>、</w:t>
      </w:r>
    </w:p>
    <w:p>
      <w:pPr>
        <w:pStyle w:val="BodyText"/>
        <w:spacing w:line="240" w:lineRule="auto" w:before="135"/>
        <w:ind w:left="144" w:right="0"/>
        <w:jc w:val="both"/>
      </w:pPr>
      <w:r>
        <w:rPr/>
        <w:t>《中国证券报</w:t>
      </w:r>
      <w:r>
        <w:rPr>
          <w:spacing w:val="-120"/>
        </w:rPr>
        <w:t>》、</w:t>
      </w:r>
      <w:r>
        <w:rPr/>
        <w:t>《上海证券报</w:t>
      </w:r>
      <w:r>
        <w:rPr>
          <w:spacing w:val="-120"/>
        </w:rPr>
        <w:t>》、</w:t>
      </w:r>
      <w:r>
        <w:rPr/>
        <w:t>《证券日报》上；</w:t>
      </w:r>
    </w:p>
    <w:p>
      <w:pPr>
        <w:pStyle w:val="BodyText"/>
        <w:spacing w:line="240" w:lineRule="auto" w:before="154"/>
        <w:ind w:left="624" w:right="87"/>
        <w:jc w:val="left"/>
      </w:pPr>
      <w:r>
        <w:rPr/>
        <w:t>（</w:t>
      </w:r>
      <w:r>
        <w:rPr>
          <w:rFonts w:ascii="Times New Roman" w:hAnsi="Times New Roman" w:cs="Times New Roman" w:eastAsia="Times New Roman" w:hint="default"/>
        </w:rPr>
        <w:t>3</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日召开第二届董事会第三十七次会议，审议通过</w:t>
      </w:r>
    </w:p>
    <w:p>
      <w:pPr>
        <w:pStyle w:val="BodyText"/>
        <w:spacing w:line="240" w:lineRule="auto" w:before="135"/>
        <w:ind w:left="144" w:right="0"/>
        <w:jc w:val="both"/>
        <w:rPr>
          <w:rFonts w:ascii="Times New Roman" w:hAnsi="Times New Roman" w:cs="Times New Roman" w:eastAsia="Times New Roman" w:hint="default"/>
        </w:rPr>
      </w:pPr>
      <w:r>
        <w:rPr/>
        <w:t>《关于信息中心项目建设地点变更的议案</w:t>
      </w:r>
      <w:r>
        <w:rPr>
          <w:spacing w:val="-120"/>
        </w:rPr>
        <w:t>》</w:t>
      </w:r>
      <w:r>
        <w:rPr/>
        <w:t>，本次董事会决议公告刊登在</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2</w:t>
      </w:r>
    </w:p>
    <w:p>
      <w:pPr>
        <w:pStyle w:val="BodyText"/>
        <w:spacing w:line="338" w:lineRule="auto" w:before="135"/>
        <w:ind w:left="144" w:right="198"/>
        <w:jc w:val="both"/>
      </w:pP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spacing w:val="-23"/>
        </w:rPr>
        <w:t>日的巨潮资讯网、《证券时报》、《中国证券报》、《上海证券报》、《证券日报》</w:t>
      </w:r>
      <w:r>
        <w:rPr/>
        <w:t> 上；</w:t>
      </w:r>
    </w:p>
    <w:p>
      <w:pPr>
        <w:pStyle w:val="BodyText"/>
        <w:spacing w:line="240" w:lineRule="auto" w:before="55"/>
        <w:ind w:left="624" w:right="87"/>
        <w:jc w:val="left"/>
      </w:pPr>
      <w:r>
        <w:rPr/>
        <w:t>（</w:t>
      </w:r>
      <w:r>
        <w:rPr>
          <w:rFonts w:ascii="Times New Roman" w:hAnsi="Times New Roman" w:cs="Times New Roman" w:eastAsia="Times New Roman" w:hint="default"/>
        </w:rPr>
        <w:t>4</w:t>
      </w:r>
      <w:r>
        <w:rPr/>
        <w:t>）公司于</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日召开第二届董事会第三十八次会议，审议通过了</w:t>
      </w:r>
    </w:p>
    <w:p>
      <w:pPr>
        <w:pStyle w:val="BodyText"/>
        <w:spacing w:line="338" w:lineRule="auto" w:before="135"/>
        <w:ind w:left="144" w:right="218"/>
        <w:jc w:val="both"/>
      </w:pPr>
      <w:r>
        <w:rPr/>
        <w:t>《</w:t>
      </w:r>
      <w:r>
        <w:rPr>
          <w:rFonts w:ascii="Times New Roman" w:hAnsi="Times New Roman" w:cs="Times New Roman" w:eastAsia="Times New Roman" w:hint="default"/>
        </w:rPr>
        <w:t>2006 </w:t>
      </w:r>
      <w:r>
        <w:rPr/>
        <w:t>年度总裁工作报告》、《</w:t>
      </w:r>
      <w:r>
        <w:rPr>
          <w:rFonts w:ascii="Times New Roman" w:hAnsi="Times New Roman" w:cs="Times New Roman" w:eastAsia="Times New Roman" w:hint="default"/>
        </w:rPr>
        <w:t>2006 </w:t>
      </w:r>
      <w:r>
        <w:rPr/>
        <w:t>年度董事会工作报告》、《</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年度财务决 算报告》、《</w:t>
      </w:r>
      <w:r>
        <w:rPr>
          <w:rFonts w:ascii="Times New Roman" w:hAnsi="Times New Roman" w:cs="Times New Roman" w:eastAsia="Times New Roman" w:hint="default"/>
        </w:rPr>
        <w:t>2006 </w:t>
      </w:r>
      <w:r>
        <w:rPr/>
        <w:t>年度利润分配预案》、《</w:t>
      </w:r>
      <w:r>
        <w:rPr>
          <w:rFonts w:ascii="Times New Roman" w:hAnsi="Times New Roman" w:cs="Times New Roman" w:eastAsia="Times New Roman" w:hint="default"/>
        </w:rPr>
        <w:t>2006 </w:t>
      </w:r>
      <w:r>
        <w:rPr/>
        <w:t>年年度报告》及《</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年年度报 告摘要》、《关于公司 </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年度募集资金存放与使用情况的专项说明》、《关于</w:t>
      </w:r>
    </w:p>
    <w:p>
      <w:pPr>
        <w:pStyle w:val="BodyText"/>
        <w:spacing w:line="240" w:lineRule="auto" w:before="27"/>
        <w:ind w:left="144" w:right="0"/>
        <w:jc w:val="both"/>
      </w:pPr>
      <w:r>
        <w:rPr/>
        <w:t>公司 </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年度关联交易情况说明的议案》、《关于变更公司经营范围的议案》、</w:t>
      </w:r>
    </w:p>
    <w:p>
      <w:pPr>
        <w:pStyle w:val="BodyText"/>
        <w:spacing w:line="240" w:lineRule="auto" w:before="135"/>
        <w:ind w:left="144" w:right="0"/>
        <w:jc w:val="both"/>
      </w:pPr>
      <w:r>
        <w:rPr/>
        <w:t>《关于修改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的议案》、《股东大会议事规则》、《董事会议事规则》、</w:t>
      </w:r>
    </w:p>
    <w:p>
      <w:pPr>
        <w:pStyle w:val="BodyText"/>
        <w:spacing w:line="357" w:lineRule="auto" w:before="135"/>
        <w:ind w:left="144" w:right="202"/>
        <w:jc w:val="left"/>
      </w:pPr>
      <w:r>
        <w:rPr>
          <w:spacing w:val="-1"/>
        </w:rPr>
        <w:t>《重大投资与财务决策制度》、《关于续聘会计师事务所的议案》、《关于公司日</w:t>
      </w:r>
      <w:r>
        <w:rPr>
          <w:spacing w:val="-106"/>
        </w:rPr>
        <w:t> </w:t>
      </w:r>
      <w:r>
        <w:rPr>
          <w:spacing w:val="-106"/>
        </w:rPr>
      </w:r>
      <w:r>
        <w:rPr/>
        <w:t>常关联交易的议案》、《关于调整独立董事津贴的议案》、《关于召开 </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年年</w:t>
      </w:r>
    </w:p>
    <w:p>
      <w:pPr>
        <w:pStyle w:val="BodyText"/>
        <w:spacing w:line="240" w:lineRule="auto" w:before="5"/>
        <w:ind w:left="144" w:right="0"/>
        <w:jc w:val="both"/>
      </w:pPr>
      <w:r>
        <w:rPr>
          <w:spacing w:val="-7"/>
        </w:rPr>
        <w:t>度股东大会的议案》，本次董事会决议公告刊登在</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日的巨潮资讯网、</w:t>
      </w:r>
    </w:p>
    <w:p>
      <w:pPr>
        <w:pStyle w:val="BodyText"/>
        <w:spacing w:line="240" w:lineRule="auto" w:before="135"/>
        <w:ind w:left="144" w:right="0"/>
        <w:jc w:val="both"/>
      </w:pPr>
      <w:r>
        <w:rPr/>
        <w:t>《证券时报</w:t>
      </w:r>
      <w:r>
        <w:rPr>
          <w:spacing w:val="-120"/>
        </w:rPr>
        <w:t>》、</w:t>
      </w:r>
      <w:r>
        <w:rPr/>
        <w:t>《中国证券报</w:t>
      </w:r>
      <w:r>
        <w:rPr>
          <w:spacing w:val="-120"/>
        </w:rPr>
        <w:t>》、</w:t>
      </w:r>
      <w:r>
        <w:rPr/>
        <w:t>《上海证券报</w:t>
      </w:r>
      <w:r>
        <w:rPr>
          <w:spacing w:val="-120"/>
        </w:rPr>
        <w:t>》、</w:t>
      </w:r>
      <w:r>
        <w:rPr/>
        <w:t>《证券日报》上；</w:t>
      </w:r>
    </w:p>
    <w:p>
      <w:pPr>
        <w:pStyle w:val="BodyText"/>
        <w:spacing w:line="345" w:lineRule="auto" w:before="154"/>
        <w:ind w:right="198" w:firstLine="480"/>
        <w:jc w:val="both"/>
      </w:pPr>
      <w:r>
        <w:rPr/>
        <w:t>（</w:t>
      </w:r>
      <w:r>
        <w:rPr>
          <w:rFonts w:ascii="Times New Roman" w:hAnsi="Times New Roman" w:cs="Times New Roman" w:eastAsia="Times New Roman" w:hint="default"/>
        </w:rPr>
        <w:t>5</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12"/>
        </w:rPr>
        <w:t> </w:t>
      </w:r>
      <w:r>
        <w:rPr/>
        <w:t>日召开第二届董事会第三十九次会议，审议通过</w:t>
      </w:r>
      <w:r>
        <w:rPr>
          <w:spacing w:val="-1"/>
        </w:rPr>
        <w:t> </w:t>
      </w:r>
      <w:r>
        <w:rPr/>
        <w:t>了《关于为北京、上海、武汉、湖南、广东、陕西控股子公司提供担保的议案》，</w:t>
      </w:r>
      <w:r>
        <w:rPr/>
        <w:t> 本次董事会决议公告刊登在</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15"/>
        </w:rPr>
        <w:t> </w:t>
      </w:r>
      <w:r>
        <w:rPr>
          <w:spacing w:val="-20"/>
        </w:rPr>
        <w:t>日的巨潮资讯网、《证券时报》、《中国</w:t>
      </w:r>
      <w:r>
        <w:rPr/>
        <w:t> </w:t>
      </w:r>
      <w:r>
        <w:rPr>
          <w:spacing w:val="-23"/>
        </w:rPr>
        <w:t>证券报》、《上海证券报》、《证券日报》上；</w:t>
      </w:r>
    </w:p>
    <w:p>
      <w:pPr>
        <w:pStyle w:val="BodyText"/>
        <w:spacing w:line="348" w:lineRule="auto" w:before="48"/>
        <w:ind w:right="198" w:firstLine="480"/>
        <w:jc w:val="both"/>
      </w:pPr>
      <w:r>
        <w:rPr>
          <w:spacing w:val="-15"/>
        </w:rPr>
        <w:t>（</w:t>
      </w:r>
      <w:r>
        <w:rPr>
          <w:rFonts w:ascii="Times New Roman" w:hAnsi="Times New Roman" w:cs="Times New Roman" w:eastAsia="Times New Roman" w:hint="default"/>
          <w:spacing w:val="-15"/>
        </w:rPr>
        <w:t>6</w:t>
      </w:r>
      <w:r>
        <w:rPr>
          <w:spacing w:val="-15"/>
        </w:rPr>
        <w:t>）公司于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8"/>
        </w:rPr>
        <w:t>日召开第二届董事会第四十次会议，审议通过了《苏</w:t>
      </w:r>
      <w:r>
        <w:rPr/>
        <w:t> </w:t>
      </w:r>
      <w:r>
        <w:rPr>
          <w:spacing w:val="-1"/>
        </w:rPr>
        <w:t>宁电器股份有限公司关于“加强上市公司治理专项活动”的自查报告》，本次董事</w:t>
      </w:r>
      <w:r>
        <w:rPr>
          <w:spacing w:val="-108"/>
        </w:rPr>
        <w:t> </w:t>
      </w:r>
      <w:r>
        <w:rPr>
          <w:spacing w:val="-108"/>
        </w:rPr>
      </w:r>
      <w:r>
        <w:rPr/>
        <w:t>会决议公告刊登在</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6"/>
        </w:rPr>
        <w:t>日的巨潮资讯网、《证券时报》、《中国证券报》、</w:t>
      </w:r>
    </w:p>
    <w:p>
      <w:pPr>
        <w:pStyle w:val="BodyText"/>
        <w:spacing w:line="240" w:lineRule="auto" w:before="16"/>
        <w:ind w:right="0"/>
        <w:jc w:val="both"/>
      </w:pPr>
      <w:r>
        <w:rPr/>
        <w:t>《上海证券报</w:t>
      </w:r>
      <w:r>
        <w:rPr>
          <w:spacing w:val="-120"/>
        </w:rPr>
        <w:t>》、</w:t>
      </w:r>
      <w:r>
        <w:rPr/>
        <w:t>《证券日报》上；</w:t>
      </w:r>
    </w:p>
    <w:p>
      <w:pPr>
        <w:pStyle w:val="BodyText"/>
        <w:spacing w:line="338" w:lineRule="auto" w:before="154"/>
        <w:ind w:left="144" w:right="214" w:firstLine="480"/>
        <w:jc w:val="both"/>
      </w:pPr>
      <w:r>
        <w:rPr/>
        <w:t>（</w:t>
      </w:r>
      <w:r>
        <w:rPr>
          <w:rFonts w:ascii="Times New Roman" w:hAnsi="Times New Roman" w:cs="Times New Roman" w:eastAsia="Times New Roman" w:hint="default"/>
        </w:rPr>
        <w:t>7</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日召开第二届董事会第四十一次会议，审议通过</w:t>
      </w:r>
      <w:r>
        <w:rPr>
          <w:spacing w:val="-1"/>
        </w:rPr>
        <w:t> </w:t>
      </w:r>
      <w:r>
        <w:rPr>
          <w:spacing w:val="-2"/>
        </w:rPr>
        <w:t>了《关于修改公司</w:t>
      </w:r>
      <w:r>
        <w:rPr>
          <w:rFonts w:ascii="Times New Roman" w:hAnsi="Times New Roman" w:cs="Times New Roman" w:eastAsia="Times New Roman" w:hint="default"/>
          <w:spacing w:val="-2"/>
        </w:rPr>
        <w:t>&lt;</w:t>
      </w:r>
      <w:r>
        <w:rPr>
          <w:spacing w:val="-2"/>
        </w:rPr>
        <w:t>章程</w:t>
      </w:r>
      <w:r>
        <w:rPr>
          <w:rFonts w:ascii="Times New Roman" w:hAnsi="Times New Roman" w:cs="Times New Roman" w:eastAsia="Times New Roman" w:hint="default"/>
          <w:spacing w:val="-2"/>
        </w:rPr>
        <w:t>&gt;</w:t>
      </w:r>
      <w:r>
        <w:rPr>
          <w:spacing w:val="-2"/>
        </w:rPr>
        <w:t>的议案》、《关于向银河国际购物广场租赁部分楼层的议</w:t>
      </w:r>
      <w:r>
        <w:rPr>
          <w:spacing w:val="-103"/>
        </w:rPr>
        <w:t> </w:t>
      </w:r>
      <w:r>
        <w:rPr>
          <w:spacing w:val="-103"/>
        </w:rPr>
      </w:r>
      <w:r>
        <w:rPr>
          <w:spacing w:val="-12"/>
        </w:rPr>
        <w:t>案》、《关于设立南京商茂连锁店的议案》，本次董事会决议公告刊登在</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p>
    <w:p>
      <w:pPr>
        <w:pStyle w:val="BodyText"/>
        <w:spacing w:line="240" w:lineRule="auto" w:before="27"/>
        <w:ind w:left="144" w:right="0"/>
        <w:jc w:val="both"/>
      </w:pPr>
      <w:r>
        <w:rPr>
          <w:rFonts w:ascii="Times New Roman" w:hAnsi="Times New Roman" w:cs="Times New Roman" w:eastAsia="Times New Roman" w:hint="default"/>
        </w:rPr>
        <w:t>19 </w:t>
      </w:r>
      <w:r>
        <w:rPr/>
        <w:t>日的巨潮资讯网</w:t>
      </w:r>
      <w:r>
        <w:rPr>
          <w:spacing w:val="-135"/>
        </w:rPr>
        <w:t>、</w:t>
      </w:r>
      <w:r>
        <w:rPr/>
        <w:t>《证券时报</w:t>
      </w:r>
      <w:r>
        <w:rPr>
          <w:spacing w:val="-120"/>
        </w:rPr>
        <w:t>》、</w:t>
      </w:r>
      <w:r>
        <w:rPr/>
        <w:t>《中国证券报</w:t>
      </w:r>
      <w:r>
        <w:rPr>
          <w:spacing w:val="-120"/>
        </w:rPr>
        <w:t>》、</w:t>
      </w:r>
      <w:r>
        <w:rPr/>
        <w:t>《上海证券报</w:t>
      </w:r>
      <w:r>
        <w:rPr>
          <w:spacing w:val="-120"/>
        </w:rPr>
        <w:t>》、</w:t>
      </w:r>
      <w:r>
        <w:rPr/>
        <w:t>《证券日报</w:t>
      </w:r>
      <w:r>
        <w:rPr>
          <w:spacing w:val="-68"/>
        </w:rPr>
        <w:t>》</w:t>
      </w:r>
      <w:r>
        <w:rPr/>
        <w:t>上；</w:t>
      </w:r>
    </w:p>
    <w:p>
      <w:pPr>
        <w:pStyle w:val="BodyText"/>
        <w:spacing w:line="338" w:lineRule="auto" w:before="135"/>
        <w:ind w:left="144" w:right="219" w:firstLine="480"/>
        <w:jc w:val="both"/>
      </w:pPr>
      <w:r>
        <w:rPr/>
        <w:t>（</w:t>
      </w:r>
      <w:r>
        <w:rPr>
          <w:rFonts w:ascii="Times New Roman" w:hAnsi="Times New Roman" w:cs="Times New Roman" w:eastAsia="Times New Roman" w:hint="default"/>
        </w:rPr>
        <w:t>8</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日召开第二届董事会第四十二次会议，审议通过</w:t>
      </w:r>
      <w:r>
        <w:rPr>
          <w:spacing w:val="-1"/>
        </w:rPr>
        <w:t> 了《关于部分连锁店发展项目实施地点变更的议案》、《关于公司符合非公开发行</w:t>
      </w:r>
    </w:p>
    <w:p>
      <w:pPr>
        <w:spacing w:after="0" w:line="338"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50" w:lineRule="auto" w:before="26"/>
        <w:ind w:right="221"/>
        <w:jc w:val="both"/>
      </w:pPr>
      <w:r>
        <w:rPr/>
        <w:t>股票条件的议案》、《关于公司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年非公开发行股票方案的议案》、《关于本 </w:t>
      </w:r>
      <w:r>
        <w:rPr>
          <w:spacing w:val="-1"/>
        </w:rPr>
        <w:t>次非公开发行股票募集资金使用的可行性报告的议案》、《关于前次募集资金使用</w:t>
      </w:r>
      <w:r>
        <w:rPr>
          <w:spacing w:val="-106"/>
        </w:rPr>
        <w:t> </w:t>
      </w:r>
      <w:r>
        <w:rPr>
          <w:spacing w:val="-106"/>
        </w:rPr>
      </w:r>
      <w:r>
        <w:rPr>
          <w:spacing w:val="-1"/>
        </w:rPr>
        <w:t>情况说明的议案》、《关于提请股东大会授权董事会全权办理本次非公开发行股票</w:t>
      </w:r>
      <w:r>
        <w:rPr>
          <w:spacing w:val="-106"/>
        </w:rPr>
        <w:t> </w:t>
      </w:r>
      <w:r>
        <w:rPr>
          <w:spacing w:val="-106"/>
        </w:rPr>
      </w:r>
      <w:r>
        <w:rPr/>
        <w:t>相关事宜的议案》、《关于召开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年第一次临时股东大会的议案》，本次董事</w:t>
      </w:r>
    </w:p>
    <w:p>
      <w:pPr>
        <w:pStyle w:val="BodyText"/>
        <w:spacing w:line="240" w:lineRule="auto" w:before="13"/>
        <w:ind w:right="0"/>
        <w:jc w:val="both"/>
      </w:pPr>
      <w:r>
        <w:rPr/>
        <w:t>会决议公告刊登在</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21 </w:t>
      </w:r>
      <w:r>
        <w:rPr/>
        <w:t>日的巨潮资讯网</w:t>
      </w:r>
      <w:r>
        <w:rPr>
          <w:spacing w:val="-120"/>
        </w:rPr>
        <w:t>、</w:t>
      </w:r>
      <w:r>
        <w:rPr/>
        <w:t>《证券时报</w:t>
      </w:r>
      <w:r>
        <w:rPr>
          <w:spacing w:val="-120"/>
        </w:rPr>
        <w:t>》、</w:t>
      </w:r>
      <w:r>
        <w:rPr/>
        <w:t>《中国证券报</w:t>
      </w:r>
      <w:r>
        <w:rPr>
          <w:spacing w:val="-120"/>
        </w:rPr>
        <w:t>》</w:t>
      </w:r>
      <w:r>
        <w:rPr/>
        <w:t>、</w:t>
      </w:r>
    </w:p>
    <w:p>
      <w:pPr>
        <w:pStyle w:val="BodyText"/>
        <w:spacing w:line="240" w:lineRule="auto" w:before="135"/>
        <w:ind w:right="0"/>
        <w:jc w:val="both"/>
      </w:pPr>
      <w:r>
        <w:rPr/>
        <w:t>《上海证券报</w:t>
      </w:r>
      <w:r>
        <w:rPr>
          <w:spacing w:val="-120"/>
        </w:rPr>
        <w:t>》、</w:t>
      </w:r>
      <w:r>
        <w:rPr/>
        <w:t>《证券日报》上；</w:t>
      </w:r>
    </w:p>
    <w:p>
      <w:pPr>
        <w:pStyle w:val="BodyText"/>
        <w:spacing w:line="345" w:lineRule="auto" w:before="154"/>
        <w:ind w:left="144" w:right="219" w:firstLine="480"/>
        <w:jc w:val="both"/>
      </w:pPr>
      <w:r>
        <w:rPr/>
        <w:t>（</w:t>
      </w:r>
      <w:r>
        <w:rPr>
          <w:rFonts w:ascii="Times New Roman" w:hAnsi="Times New Roman" w:cs="Times New Roman" w:eastAsia="Times New Roman" w:hint="default"/>
        </w:rPr>
        <w:t>9</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t>日召开第二届董事会第四十三次会议，审议通过</w:t>
      </w:r>
      <w:r>
        <w:rPr>
          <w:spacing w:val="-1"/>
        </w:rPr>
        <w:t> 了《关于为上海、武汉控股子公司提供担保的议案》，本次董事会决议公告刊登在</w:t>
      </w:r>
      <w:r>
        <w:rPr>
          <w:spacing w:val="-107"/>
        </w:rPr>
        <w:t> </w:t>
      </w:r>
      <w:r>
        <w:rPr>
          <w:spacing w:val="-107"/>
        </w:rPr>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74"/>
        </w:rPr>
        <w:t> </w:t>
      </w:r>
      <w:r>
        <w:rPr>
          <w:rFonts w:ascii="Times New Roman" w:hAnsi="Times New Roman" w:cs="Times New Roman" w:eastAsia="Times New Roman" w:hint="default"/>
        </w:rPr>
        <w:t>25</w:t>
      </w:r>
      <w:r>
        <w:rPr>
          <w:rFonts w:ascii="Times New Roman" w:hAnsi="Times New Roman" w:cs="Times New Roman" w:eastAsia="Times New Roman" w:hint="default"/>
          <w:spacing w:val="-14"/>
        </w:rPr>
        <w:t> </w:t>
      </w:r>
      <w:r>
        <w:rPr>
          <w:spacing w:val="-26"/>
        </w:rPr>
        <w:t>日的巨潮资讯网、《证券时报》、《中国证券报》、《上海证券报》、《证</w:t>
      </w:r>
      <w:r>
        <w:rPr/>
        <w:t> 券日报》上；</w:t>
      </w:r>
    </w:p>
    <w:p>
      <w:pPr>
        <w:pStyle w:val="BodyText"/>
        <w:spacing w:line="240" w:lineRule="auto" w:before="48"/>
        <w:ind w:left="624" w:right="87"/>
        <w:jc w:val="left"/>
      </w:pPr>
      <w:r>
        <w:rPr/>
        <w:t>（</w:t>
      </w:r>
      <w:r>
        <w:rPr>
          <w:rFonts w:ascii="Times New Roman" w:hAnsi="Times New Roman" w:cs="Times New Roman" w:eastAsia="Times New Roman" w:hint="default"/>
        </w:rPr>
        <w:t>10</w:t>
      </w:r>
      <w:r>
        <w:rPr/>
        <w:t>）公司于</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日召开第二届董事会第四十四次会议，审议通过</w:t>
      </w:r>
    </w:p>
    <w:p>
      <w:pPr>
        <w:pStyle w:val="BodyText"/>
        <w:spacing w:line="338" w:lineRule="auto" w:before="135"/>
        <w:ind w:left="144" w:right="221"/>
        <w:jc w:val="both"/>
      </w:pPr>
      <w:r>
        <w:rPr/>
        <w:t>了《苏宁电器股份有限公司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年第一季度报告》、《苏宁电器股份有限公司会 计政策与会计估计》（</w:t>
      </w:r>
      <w:r>
        <w:rPr>
          <w:rFonts w:ascii="Times New Roman" w:hAnsi="Times New Roman" w:cs="Times New Roman" w:eastAsia="Times New Roman" w:hint="default"/>
        </w:rPr>
        <w:t>2007  </w:t>
      </w:r>
      <w:r>
        <w:rPr>
          <w:rFonts w:ascii="Times New Roman" w:hAnsi="Times New Roman" w:cs="Times New Roman" w:eastAsia="Times New Roman" w:hint="default"/>
          <w:spacing w:val="8"/>
        </w:rPr>
        <w:t> </w:t>
      </w:r>
      <w:r>
        <w:rPr/>
        <w:t>年修订）、《苏宁电器股份有限公司总裁工作细则》</w:t>
      </w:r>
    </w:p>
    <w:p>
      <w:pPr>
        <w:pStyle w:val="BodyText"/>
        <w:spacing w:line="240" w:lineRule="auto" w:before="27"/>
        <w:ind w:left="144" w:right="0"/>
        <w:jc w:val="both"/>
      </w:pPr>
      <w:r>
        <w:rPr/>
        <w:t>（</w:t>
      </w:r>
      <w:r>
        <w:rPr>
          <w:rFonts w:ascii="Times New Roman" w:hAnsi="Times New Roman" w:cs="Times New Roman" w:eastAsia="Times New Roman" w:hint="default"/>
        </w:rPr>
        <w:t>2007 </w:t>
      </w:r>
      <w:r>
        <w:rPr>
          <w:spacing w:val="-7"/>
        </w:rPr>
        <w:t>年修订）、《苏宁电器股份有限公司董事会秘书工作细则》（</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23"/>
        </w:rPr>
        <w:t> </w:t>
      </w:r>
      <w:r>
        <w:rPr>
          <w:spacing w:val="-14"/>
        </w:rPr>
        <w:t>年修订）、</w:t>
      </w:r>
    </w:p>
    <w:p>
      <w:pPr>
        <w:pStyle w:val="BodyText"/>
        <w:spacing w:line="338" w:lineRule="auto" w:before="135"/>
        <w:ind w:right="221"/>
        <w:jc w:val="both"/>
      </w:pPr>
      <w:r>
        <w:rPr/>
        <w:t>《苏宁电器股份有限公司信息披露管理制度》（</w:t>
      </w:r>
      <w:r>
        <w:rPr>
          <w:rFonts w:ascii="Times New Roman" w:hAnsi="Times New Roman" w:cs="Times New Roman" w:eastAsia="Times New Roman" w:hint="default"/>
        </w:rPr>
        <w:t>2007</w:t>
      </w:r>
      <w:r>
        <w:rPr>
          <w:rFonts w:ascii="Times New Roman" w:hAnsi="Times New Roman" w:cs="Times New Roman" w:eastAsia="Times New Roman" w:hint="default"/>
          <w:spacing w:val="-17"/>
        </w:rPr>
        <w:t> </w:t>
      </w:r>
      <w:r>
        <w:rPr>
          <w:spacing w:val="-5"/>
        </w:rPr>
        <w:t>年修订），本次董事会决议公</w:t>
      </w:r>
      <w:r>
        <w:rPr/>
        <w:t> 告刊登在</w:t>
      </w:r>
      <w:r>
        <w:rPr>
          <w:spacing w:val="-4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18"/>
        </w:rPr>
        <w:t> </w:t>
      </w:r>
      <w:r>
        <w:rPr>
          <w:spacing w:val="-23"/>
        </w:rPr>
        <w:t>日的巨潮资讯网、《证券时报》、《中国证券报》、《上海证</w:t>
      </w:r>
      <w:r>
        <w:rPr/>
        <w:t> </w:t>
      </w:r>
      <w:r>
        <w:rPr>
          <w:spacing w:val="-20"/>
        </w:rPr>
        <w:t>券报》、《证券日报》上；</w:t>
      </w:r>
    </w:p>
    <w:p>
      <w:pPr>
        <w:pStyle w:val="BodyText"/>
        <w:spacing w:line="348" w:lineRule="auto" w:before="55"/>
        <w:ind w:right="221" w:firstLine="480"/>
        <w:jc w:val="both"/>
      </w:pPr>
      <w:r>
        <w:rPr>
          <w:spacing w:val="-6"/>
        </w:rPr>
        <w:t>（</w:t>
      </w:r>
      <w:r>
        <w:rPr>
          <w:rFonts w:ascii="Times New Roman" w:hAnsi="Times New Roman" w:cs="Times New Roman" w:eastAsia="Times New Roman" w:hint="default"/>
          <w:spacing w:val="-6"/>
        </w:rPr>
        <w:t>11</w:t>
      </w:r>
      <w:r>
        <w:rPr>
          <w:spacing w:val="-6"/>
        </w:rPr>
        <w:t>）公司于</w:t>
      </w:r>
      <w:r>
        <w:rPr>
          <w:spacing w:val="-6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12"/>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日召开第二届董事会第四十五次会议，审议通过 </w:t>
      </w:r>
      <w:r>
        <w:rPr>
          <w:spacing w:val="-1"/>
        </w:rPr>
        <w:t>了《苏宁电器股份有限公司关于“加强上市公司治理专项活动”的自查报告和整改</w:t>
      </w:r>
      <w:r>
        <w:rPr>
          <w:spacing w:val="-108"/>
        </w:rPr>
        <w:t> </w:t>
      </w:r>
      <w:r>
        <w:rPr>
          <w:spacing w:val="-108"/>
        </w:rPr>
      </w:r>
      <w:r>
        <w:rPr/>
        <w:t>计划》，本次董事会决议报送深圳证券交易所备案；</w:t>
      </w:r>
    </w:p>
    <w:p>
      <w:pPr>
        <w:pStyle w:val="BodyText"/>
        <w:spacing w:line="338" w:lineRule="auto" w:before="46"/>
        <w:ind w:right="221" w:firstLine="480"/>
        <w:jc w:val="both"/>
      </w:pPr>
      <w:r>
        <w:rPr/>
        <w:t>（</w:t>
      </w:r>
      <w:r>
        <w:rPr>
          <w:rFonts w:ascii="Times New Roman" w:hAnsi="Times New Roman" w:cs="Times New Roman" w:eastAsia="Times New Roman" w:hint="default"/>
        </w:rPr>
        <w:t>12</w:t>
      </w:r>
      <w:r>
        <w:rPr/>
        <w:t>）公司于</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日召开第二届董事会第四十六次会议，审议通过 了《苏宁电器股份有限公司关联交易决策制度》（</w:t>
      </w:r>
      <w:r>
        <w:rPr>
          <w:rFonts w:ascii="Times New Roman" w:hAnsi="Times New Roman" w:cs="Times New Roman" w:eastAsia="Times New Roman" w:hint="default"/>
        </w:rPr>
        <w:t>2007</w:t>
      </w:r>
      <w:r>
        <w:rPr>
          <w:rFonts w:ascii="Times New Roman" w:hAnsi="Times New Roman" w:cs="Times New Roman" w:eastAsia="Times New Roman" w:hint="default"/>
          <w:spacing w:val="-31"/>
        </w:rPr>
        <w:t> </w:t>
      </w:r>
      <w:r>
        <w:rPr>
          <w:spacing w:val="-4"/>
        </w:rPr>
        <w:t>年修订），本次董事会决议</w:t>
      </w:r>
      <w:r>
        <w:rPr/>
        <w:t> 公告刊登在</w:t>
      </w:r>
      <w:r>
        <w:rPr>
          <w:spacing w:val="-4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8"/>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18"/>
        </w:rPr>
        <w:t> </w:t>
      </w:r>
      <w:r>
        <w:rPr>
          <w:spacing w:val="-24"/>
        </w:rPr>
        <w:t>日的巨潮资讯网、《证券时报》、《中国证券报》、《上海</w:t>
      </w:r>
      <w:r>
        <w:rPr/>
        <w:t> </w:t>
      </w:r>
      <w:r>
        <w:rPr>
          <w:spacing w:val="-19"/>
        </w:rPr>
        <w:t>证券报》、《证券日报》上；</w:t>
      </w:r>
    </w:p>
    <w:p>
      <w:pPr>
        <w:pStyle w:val="BodyText"/>
        <w:spacing w:line="343" w:lineRule="auto" w:before="55"/>
        <w:ind w:left="144" w:right="101" w:firstLine="480"/>
        <w:jc w:val="both"/>
      </w:pPr>
      <w:r>
        <w:rPr/>
        <w:t>（</w:t>
      </w:r>
      <w:r>
        <w:rPr>
          <w:rFonts w:ascii="Times New Roman" w:hAnsi="Times New Roman" w:cs="Times New Roman" w:eastAsia="Times New Roman" w:hint="default"/>
        </w:rPr>
        <w:t>13</w:t>
      </w:r>
      <w:r>
        <w:rPr/>
        <w:t>）公司于</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日召开第二届董事会第四十七次会议，审议通过 了《关于为上海、佛山、安徽控股子公司提供担保的议案》、《苏宁电器股份有限 公司募集资金管理制度》（</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3"/>
        </w:rPr>
        <w:t>月修订）、《苏宁电器股份有限公司总裁工作</w:t>
      </w:r>
      <w:r>
        <w:rPr/>
        <w:t> </w:t>
      </w:r>
      <w:r>
        <w:rPr>
          <w:spacing w:val="-3"/>
        </w:rPr>
        <w:t>细则》（</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3"/>
        </w:rPr>
        <w:t>月修订）、《苏宁电器股份有限公司信息披露管理制度》（</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48"/>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2"/>
        </w:rPr>
        <w:t>月修订），本次董事会决议公告刊登在</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spacing w:val="-16"/>
        </w:rPr>
        <w:t>日的巨潮资讯网、《证券时报》、</w:t>
      </w:r>
    </w:p>
    <w:p>
      <w:pPr>
        <w:pStyle w:val="BodyText"/>
        <w:spacing w:line="240" w:lineRule="auto" w:before="21"/>
        <w:ind w:left="144" w:right="0"/>
        <w:jc w:val="both"/>
      </w:pPr>
      <w:r>
        <w:rPr/>
        <w:t>《中国证券报</w:t>
      </w:r>
      <w:r>
        <w:rPr>
          <w:spacing w:val="-120"/>
        </w:rPr>
        <w:t>》、</w:t>
      </w:r>
      <w:r>
        <w:rPr/>
        <w:t>《上海证券报</w:t>
      </w:r>
      <w:r>
        <w:rPr>
          <w:spacing w:val="-120"/>
        </w:rPr>
        <w:t>》、</w:t>
      </w:r>
      <w:r>
        <w:rPr/>
        <w:t>《证券日报》上；</w:t>
      </w:r>
    </w:p>
    <w:p>
      <w:pPr>
        <w:spacing w:after="0" w:line="240"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52" w:lineRule="auto" w:before="26"/>
        <w:ind w:right="101" w:firstLine="480"/>
        <w:jc w:val="both"/>
      </w:pPr>
      <w:r>
        <w:rPr/>
        <w:t>（</w:t>
      </w:r>
      <w:r>
        <w:rPr>
          <w:rFonts w:ascii="Times New Roman" w:hAnsi="Times New Roman" w:cs="Times New Roman" w:eastAsia="Times New Roman" w:hint="default"/>
        </w:rPr>
        <w:t>14</w:t>
      </w:r>
      <w:r>
        <w:rPr/>
        <w:t>）公司于</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日召开第二届董事会第四十八次会议，审议通过 了《苏宁电器股份有限公司对外捐赠制度（草案）》、《关于增加公司经营范围的 议案》、《苏宁电器股份有限公司章程（草案）》、《关于公司董事会换届选举的 议案》、《关于设立公司第三届董事会专门委员会的议案》、《关于调整公司外部 董事津贴的议案》、《苏宁电器关于召开</w:t>
      </w:r>
      <w:r>
        <w:rPr>
          <w:spacing w:val="-7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年度第二次临时股东大会的议案》，</w:t>
      </w:r>
    </w:p>
    <w:p>
      <w:pPr>
        <w:pStyle w:val="BodyText"/>
        <w:spacing w:line="338" w:lineRule="auto" w:before="11"/>
        <w:ind w:right="209"/>
        <w:jc w:val="left"/>
      </w:pPr>
      <w:r>
        <w:rPr/>
        <w:t>本次董事会决议公告刊登在</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日的巨潮资讯网</w:t>
      </w:r>
      <w:r>
        <w:rPr>
          <w:spacing w:val="-120"/>
        </w:rPr>
        <w:t>、</w:t>
      </w:r>
      <w:r>
        <w:rPr/>
        <w:t>《证券时报</w:t>
      </w:r>
      <w:r>
        <w:rPr>
          <w:spacing w:val="-120"/>
        </w:rPr>
        <w:t>》、</w:t>
      </w:r>
      <w:r>
        <w:rPr/>
        <w:t>《中国</w:t>
      </w:r>
      <w:r>
        <w:rPr/>
        <w:t> 证券报</w:t>
      </w:r>
      <w:r>
        <w:rPr>
          <w:spacing w:val="-120"/>
        </w:rPr>
        <w:t>》、</w:t>
      </w:r>
      <w:r>
        <w:rPr/>
        <w:t>《上海证券报</w:t>
      </w:r>
      <w:r>
        <w:rPr>
          <w:spacing w:val="-120"/>
        </w:rPr>
        <w:t>》、</w:t>
      </w:r>
      <w:r>
        <w:rPr/>
        <w:t>《证券日报》上；</w:t>
      </w:r>
    </w:p>
    <w:p>
      <w:pPr>
        <w:pStyle w:val="BodyText"/>
        <w:spacing w:line="348" w:lineRule="auto" w:before="55"/>
        <w:ind w:right="214" w:firstLine="480"/>
        <w:jc w:val="both"/>
      </w:pPr>
      <w:r>
        <w:rPr>
          <w:spacing w:val="-13"/>
        </w:rPr>
        <w:t>（</w:t>
      </w:r>
      <w:r>
        <w:rPr>
          <w:rFonts w:ascii="Times New Roman" w:hAnsi="Times New Roman" w:cs="Times New Roman" w:eastAsia="Times New Roman" w:hint="default"/>
          <w:spacing w:val="-13"/>
        </w:rPr>
        <w:t>15</w:t>
      </w:r>
      <w:r>
        <w:rPr>
          <w:spacing w:val="-13"/>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spacing w:val="-8"/>
        </w:rPr>
        <w:t>日召开第三届董事会第一次会议，审议通过了《关</w:t>
      </w:r>
      <w:r>
        <w:rPr/>
        <w:t> </w:t>
      </w:r>
      <w:r>
        <w:rPr>
          <w:spacing w:val="-7"/>
        </w:rPr>
        <w:t>于选举公司董事长的议案》、《关于聘任公司总裁的议案》、《关于聘任公司副总裁</w:t>
      </w:r>
      <w:r>
        <w:rPr>
          <w:spacing w:val="6"/>
        </w:rPr>
        <w:t> </w:t>
      </w:r>
      <w:r>
        <w:rPr>
          <w:spacing w:val="-7"/>
        </w:rPr>
        <w:t>的议案》、《关于聘任公司财务负责人的议案》、《关于聘任公司内部审计部门负责</w:t>
      </w:r>
      <w:r>
        <w:rPr>
          <w:spacing w:val="6"/>
        </w:rPr>
        <w:t> </w:t>
      </w:r>
      <w:r>
        <w:rPr>
          <w:spacing w:val="-8"/>
        </w:rPr>
        <w:t>人的议案》，本次董事会决议公告刊登在</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14 </w:t>
      </w:r>
      <w:r>
        <w:rPr>
          <w:spacing w:val="-10"/>
        </w:rPr>
        <w:t>日的巨潮资讯网、《证券时</w:t>
      </w:r>
      <w:r>
        <w:rPr/>
        <w:t> </w:t>
      </w:r>
      <w:r>
        <w:rPr>
          <w:spacing w:val="-27"/>
        </w:rPr>
        <w:t>报》、《中国证券报》、《上海证券报》、《证券日报》上；</w:t>
      </w:r>
    </w:p>
    <w:p>
      <w:pPr>
        <w:pStyle w:val="BodyText"/>
        <w:spacing w:line="345" w:lineRule="auto" w:before="46"/>
        <w:ind w:right="101" w:firstLine="480"/>
        <w:jc w:val="both"/>
      </w:pPr>
      <w:r>
        <w:rPr>
          <w:spacing w:val="-13"/>
        </w:rPr>
        <w:t>（</w:t>
      </w:r>
      <w:r>
        <w:rPr>
          <w:rFonts w:ascii="Times New Roman" w:hAnsi="Times New Roman" w:cs="Times New Roman" w:eastAsia="Times New Roman" w:hint="default"/>
          <w:spacing w:val="-13"/>
        </w:rPr>
        <w:t>16</w:t>
      </w:r>
      <w:r>
        <w:rPr>
          <w:spacing w:val="-13"/>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17 </w:t>
      </w:r>
      <w:r>
        <w:rPr>
          <w:spacing w:val="-8"/>
        </w:rPr>
        <w:t>日召开第三届董事会第二次会议，审议通过了《关</w:t>
      </w:r>
      <w:r>
        <w:rPr/>
        <w:t> 于修改公司</w:t>
      </w:r>
      <w:r>
        <w:rPr>
          <w:rFonts w:ascii="Times New Roman" w:hAnsi="Times New Roman" w:cs="Times New Roman" w:eastAsia="Times New Roman" w:hint="default"/>
        </w:rPr>
        <w:t>&lt;</w:t>
      </w:r>
      <w:r>
        <w:rPr/>
        <w:t>章程</w:t>
      </w:r>
      <w:r>
        <w:rPr>
          <w:rFonts w:ascii="Times New Roman" w:hAnsi="Times New Roman" w:cs="Times New Roman" w:eastAsia="Times New Roman" w:hint="default"/>
        </w:rPr>
        <w:t>&gt;</w:t>
      </w:r>
      <w:r>
        <w:rPr/>
        <w:t>的议案》、《关于增加苏宁电器股份有限公司北京采购中心经营 范围的议案》、《苏宁电器股份有限公司董事、监事和高级管理人员所持公司股份 </w:t>
      </w:r>
      <w:r>
        <w:rPr>
          <w:spacing w:val="-7"/>
        </w:rPr>
        <w:t>及其变动管理规则》，本次董事会决议公告刊登在</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日的巨潮资讯网、</w:t>
      </w:r>
    </w:p>
    <w:p>
      <w:pPr>
        <w:pStyle w:val="BodyText"/>
        <w:spacing w:line="240" w:lineRule="auto" w:before="19"/>
        <w:ind w:right="87"/>
        <w:jc w:val="left"/>
      </w:pPr>
      <w:r>
        <w:rPr/>
        <w:t>《证券时报</w:t>
      </w:r>
      <w:r>
        <w:rPr>
          <w:spacing w:val="-120"/>
        </w:rPr>
        <w:t>》、</w:t>
      </w:r>
      <w:r>
        <w:rPr/>
        <w:t>《中国证券报</w:t>
      </w:r>
      <w:r>
        <w:rPr>
          <w:spacing w:val="-120"/>
        </w:rPr>
        <w:t>》、</w:t>
      </w:r>
      <w:r>
        <w:rPr/>
        <w:t>《上海证券报</w:t>
      </w:r>
      <w:r>
        <w:rPr>
          <w:spacing w:val="-120"/>
        </w:rPr>
        <w:t>》、</w:t>
      </w:r>
      <w:r>
        <w:rPr/>
        <w:t>《证券日报》上；</w:t>
      </w:r>
    </w:p>
    <w:p>
      <w:pPr>
        <w:pStyle w:val="BodyText"/>
        <w:spacing w:line="240" w:lineRule="auto" w:before="154"/>
        <w:ind w:left="623" w:right="87"/>
        <w:jc w:val="left"/>
      </w:pPr>
      <w:r>
        <w:rPr>
          <w:spacing w:val="-13"/>
        </w:rPr>
        <w:t>（</w:t>
      </w:r>
      <w:r>
        <w:rPr>
          <w:rFonts w:ascii="Times New Roman" w:hAnsi="Times New Roman" w:cs="Times New Roman" w:eastAsia="Times New Roman" w:hint="default"/>
          <w:spacing w:val="-13"/>
        </w:rPr>
        <w:t>17</w:t>
      </w:r>
      <w:r>
        <w:rPr>
          <w:spacing w:val="-13"/>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29 </w:t>
      </w:r>
      <w:r>
        <w:rPr>
          <w:spacing w:val="-8"/>
        </w:rPr>
        <w:t>日召开第三届董事会第三次会议，审议通过了《苏</w:t>
      </w:r>
    </w:p>
    <w:p>
      <w:pPr>
        <w:pStyle w:val="BodyText"/>
        <w:spacing w:line="240" w:lineRule="auto" w:before="135"/>
        <w:ind w:right="87"/>
        <w:jc w:val="left"/>
      </w:pPr>
      <w:r>
        <w:rPr/>
        <w:t>宁电器股份有限公司</w:t>
      </w:r>
      <w:r>
        <w:rPr>
          <w:spacing w:val="-6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年半年度报告报告》及《苏宁电器股份有限公司</w:t>
      </w:r>
      <w:r>
        <w:rPr>
          <w:spacing w:val="-6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p>
    <w:p>
      <w:pPr>
        <w:pStyle w:val="BodyText"/>
        <w:spacing w:line="338" w:lineRule="auto" w:before="135"/>
        <w:ind w:left="144" w:right="204"/>
        <w:jc w:val="left"/>
      </w:pPr>
      <w:r>
        <w:rPr/>
        <w:t>半年度报告报告摘要》，本次董事会决议公告刊登在</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日的巨潮资讯 </w:t>
      </w:r>
      <w:r>
        <w:rPr>
          <w:spacing w:val="-26"/>
        </w:rPr>
        <w:t>网、《证券时报》、《中国证券报》、《上海证券报》、《证券日报》上；</w:t>
      </w:r>
    </w:p>
    <w:p>
      <w:pPr>
        <w:pStyle w:val="BodyText"/>
        <w:spacing w:line="338" w:lineRule="auto" w:before="55"/>
        <w:ind w:left="144" w:right="221" w:firstLine="480"/>
        <w:jc w:val="both"/>
      </w:pPr>
      <w:r>
        <w:rPr>
          <w:spacing w:val="-13"/>
        </w:rPr>
        <w:t>（</w:t>
      </w:r>
      <w:r>
        <w:rPr>
          <w:rFonts w:ascii="Times New Roman" w:hAnsi="Times New Roman" w:cs="Times New Roman" w:eastAsia="Times New Roman" w:hint="default"/>
          <w:spacing w:val="-13"/>
        </w:rPr>
        <w:t>18</w:t>
      </w:r>
      <w:r>
        <w:rPr>
          <w:spacing w:val="-13"/>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spacing w:val="-8"/>
        </w:rPr>
        <w:t>日召开第三届董事会第四次会议，审议通过了《关</w:t>
      </w:r>
      <w:r>
        <w:rPr/>
        <w:t> 于设立南京龙江连锁店的议案》，本次董事会决议报送深圳证券交易所备案；</w:t>
      </w:r>
    </w:p>
    <w:p>
      <w:pPr>
        <w:pStyle w:val="BodyText"/>
        <w:spacing w:line="240" w:lineRule="auto" w:before="55"/>
        <w:ind w:left="624" w:right="87"/>
        <w:jc w:val="left"/>
      </w:pPr>
      <w:r>
        <w:rPr/>
        <w:t>（</w:t>
      </w:r>
      <w:r>
        <w:rPr>
          <w:rFonts w:ascii="Times New Roman" w:hAnsi="Times New Roman" w:cs="Times New Roman" w:eastAsia="Times New Roman" w:hint="default"/>
        </w:rPr>
        <w:t>19</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日召开第三届董事会第五次会议，审议通过了</w:t>
      </w:r>
    </w:p>
    <w:p>
      <w:pPr>
        <w:pStyle w:val="BodyText"/>
        <w:spacing w:line="240" w:lineRule="auto" w:before="135"/>
        <w:ind w:left="144" w:right="0"/>
        <w:jc w:val="left"/>
      </w:pPr>
      <w:r>
        <w:rPr/>
        <w:t>《苏宁电器股份有限公司</w:t>
      </w:r>
      <w:r>
        <w:rPr>
          <w:spacing w:val="-60"/>
        </w:rPr>
        <w:t> </w:t>
      </w:r>
      <w:r>
        <w:rPr>
          <w:rFonts w:ascii="Times New Roman" w:hAnsi="Times New Roman" w:cs="Times New Roman" w:eastAsia="Times New Roman" w:hint="default"/>
        </w:rPr>
        <w:t>2007 </w:t>
      </w:r>
      <w:r>
        <w:rPr/>
        <w:t>年第三季度报告</w:t>
      </w:r>
      <w:r>
        <w:rPr>
          <w:spacing w:val="-98"/>
        </w:rPr>
        <w:t>》、</w:t>
      </w:r>
      <w:r>
        <w:rPr>
          <w:spacing w:val="-1"/>
        </w:rPr>
        <w:t>《关于修改公司</w:t>
      </w:r>
      <w:r>
        <w:rPr>
          <w:rFonts w:ascii="Times New Roman" w:hAnsi="Times New Roman" w:cs="Times New Roman" w:eastAsia="Times New Roman" w:hint="default"/>
        </w:rPr>
        <w:t>&lt;</w:t>
      </w:r>
      <w:r>
        <w:rPr/>
        <w:t>章程</w:t>
      </w:r>
      <w:r>
        <w:rPr>
          <w:rFonts w:ascii="Times New Roman" w:hAnsi="Times New Roman" w:cs="Times New Roman" w:eastAsia="Times New Roman" w:hint="default"/>
        </w:rPr>
        <w:t>&gt;</w:t>
      </w:r>
      <w:r>
        <w:rPr/>
        <w:t>的议案</w:t>
      </w:r>
      <w:r>
        <w:rPr>
          <w:spacing w:val="-98"/>
        </w:rPr>
        <w:t>》</w:t>
      </w:r>
      <w:r>
        <w:rPr/>
        <w:t>、</w:t>
      </w:r>
    </w:p>
    <w:p>
      <w:pPr>
        <w:pStyle w:val="BodyText"/>
        <w:spacing w:line="338" w:lineRule="auto" w:before="135"/>
        <w:ind w:right="216"/>
        <w:jc w:val="left"/>
        <w:rPr>
          <w:rFonts w:ascii="Times New Roman" w:hAnsi="Times New Roman" w:cs="Times New Roman" w:eastAsia="Times New Roman" w:hint="default"/>
        </w:rPr>
      </w:pPr>
      <w:r>
        <w:rPr>
          <w:spacing w:val="-3"/>
        </w:rPr>
        <w:t>《关于修改</w:t>
      </w:r>
      <w:r>
        <w:rPr>
          <w:rFonts w:ascii="Times New Roman" w:hAnsi="Times New Roman" w:cs="Times New Roman" w:eastAsia="Times New Roman" w:hint="default"/>
          <w:spacing w:val="-3"/>
        </w:rPr>
        <w:t>&lt;</w:t>
      </w:r>
      <w:r>
        <w:rPr>
          <w:spacing w:val="-3"/>
        </w:rPr>
        <w:t>股东大会议事规则</w:t>
      </w:r>
      <w:r>
        <w:rPr>
          <w:rFonts w:ascii="Times New Roman" w:hAnsi="Times New Roman" w:cs="Times New Roman" w:eastAsia="Times New Roman" w:hint="default"/>
          <w:spacing w:val="-3"/>
        </w:rPr>
        <w:t>&gt;</w:t>
      </w:r>
      <w:r>
        <w:rPr>
          <w:spacing w:val="-3"/>
        </w:rPr>
        <w:t>的议案》、《关于修改</w:t>
      </w:r>
      <w:r>
        <w:rPr>
          <w:rFonts w:ascii="Times New Roman" w:hAnsi="Times New Roman" w:cs="Times New Roman" w:eastAsia="Times New Roman" w:hint="default"/>
          <w:spacing w:val="-3"/>
        </w:rPr>
        <w:t>&lt;</w:t>
      </w:r>
      <w:r>
        <w:rPr>
          <w:spacing w:val="-3"/>
        </w:rPr>
        <w:t>重大投资与财务决策制度</w:t>
      </w:r>
      <w:r>
        <w:rPr>
          <w:rFonts w:ascii="Times New Roman" w:hAnsi="Times New Roman" w:cs="Times New Roman" w:eastAsia="Times New Roman" w:hint="default"/>
          <w:spacing w:val="-3"/>
        </w:rPr>
        <w:t>&gt;</w:t>
      </w:r>
      <w:r>
        <w:rPr>
          <w:rFonts w:ascii="Times New Roman" w:hAnsi="Times New Roman" w:cs="Times New Roman" w:eastAsia="Times New Roman" w:hint="default"/>
          <w:spacing w:val="-30"/>
        </w:rPr>
        <w:t> </w:t>
      </w:r>
      <w:r>
        <w:rPr>
          <w:spacing w:val="-4"/>
        </w:rPr>
        <w:t>的议案》、《关于修改</w:t>
      </w:r>
      <w:r>
        <w:rPr>
          <w:rFonts w:ascii="Times New Roman" w:hAnsi="Times New Roman" w:cs="Times New Roman" w:eastAsia="Times New Roman" w:hint="default"/>
          <w:spacing w:val="-4"/>
        </w:rPr>
        <w:t>&lt;</w:t>
      </w:r>
      <w:r>
        <w:rPr>
          <w:spacing w:val="-4"/>
        </w:rPr>
        <w:t>总裁工作细则</w:t>
      </w:r>
      <w:r>
        <w:rPr>
          <w:rFonts w:ascii="Times New Roman" w:hAnsi="Times New Roman" w:cs="Times New Roman" w:eastAsia="Times New Roman" w:hint="default"/>
          <w:spacing w:val="-4"/>
        </w:rPr>
        <w:t>&gt;</w:t>
      </w:r>
      <w:r>
        <w:rPr>
          <w:spacing w:val="-4"/>
        </w:rPr>
        <w:t>的议案》，本次董事会决议公告刊登在</w:t>
      </w:r>
      <w:r>
        <w:rPr>
          <w:spacing w:val="-46"/>
        </w:rPr>
        <w:t> </w:t>
      </w:r>
      <w:r>
        <w:rPr>
          <w:rFonts w:ascii="Times New Roman" w:hAnsi="Times New Roman" w:cs="Times New Roman" w:eastAsia="Times New Roman" w:hint="default"/>
        </w:rPr>
        <w:t>2007</w:t>
      </w:r>
    </w:p>
    <w:p>
      <w:pPr>
        <w:pStyle w:val="BodyText"/>
        <w:spacing w:line="338" w:lineRule="auto" w:before="27"/>
        <w:ind w:right="205"/>
        <w:jc w:val="left"/>
      </w:pP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spacing w:val="-25"/>
        </w:rPr>
        <w:t>日的巨潮资讯网、《证券时报》、《中国证券报》、《上海证券报》、《证券</w:t>
      </w:r>
      <w:r>
        <w:rPr/>
        <w:t> 日报》上；</w:t>
      </w:r>
    </w:p>
    <w:p>
      <w:pPr>
        <w:pStyle w:val="BodyText"/>
        <w:spacing w:line="240" w:lineRule="auto" w:before="55"/>
        <w:ind w:left="623" w:right="87"/>
        <w:jc w:val="left"/>
      </w:pPr>
      <w:r>
        <w:rPr/>
        <w:t>（</w:t>
      </w:r>
      <w:r>
        <w:rPr>
          <w:rFonts w:ascii="Times New Roman" w:hAnsi="Times New Roman" w:cs="Times New Roman" w:eastAsia="Times New Roman" w:hint="default"/>
        </w:rPr>
        <w:t>20</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日召开第三届董事会第六次会议，审议通过了</w:t>
      </w:r>
    </w:p>
    <w:p>
      <w:pPr>
        <w:spacing w:after="0" w:line="240" w:lineRule="auto"/>
        <w:jc w:val="left"/>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48" w:lineRule="auto" w:before="26"/>
        <w:ind w:right="161"/>
        <w:jc w:val="both"/>
      </w:pPr>
      <w:r>
        <w:rPr>
          <w:spacing w:val="-1"/>
        </w:rPr>
        <w:t>《苏宁电器股份有限公司关于“加强上市公司治理专项活动”的整改报告》，本次</w:t>
      </w:r>
      <w:r>
        <w:rPr>
          <w:spacing w:val="-107"/>
        </w:rPr>
        <w:t> </w:t>
      </w:r>
      <w:r>
        <w:rPr>
          <w:spacing w:val="-107"/>
        </w:rPr>
      </w:r>
      <w:r>
        <w:rPr/>
        <w:t>董事会决议公告刊登在</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spacing w:val="-18"/>
        </w:rPr>
        <w:t>日的巨潮资讯网、《证券时报》、《中国证券</w:t>
      </w:r>
      <w:r>
        <w:rPr/>
        <w:t> </w:t>
      </w:r>
      <w:r>
        <w:rPr>
          <w:spacing w:val="-26"/>
        </w:rPr>
        <w:t>报》、《上海证券报》、《证券日报》上；</w:t>
      </w:r>
    </w:p>
    <w:p>
      <w:pPr>
        <w:pStyle w:val="BodyText"/>
        <w:spacing w:line="240" w:lineRule="auto" w:before="46"/>
        <w:ind w:left="623" w:right="0"/>
        <w:jc w:val="left"/>
      </w:pPr>
      <w:r>
        <w:rPr/>
        <w:t>（</w:t>
      </w:r>
      <w:r>
        <w:rPr>
          <w:rFonts w:ascii="Times New Roman" w:hAnsi="Times New Roman" w:cs="Times New Roman" w:eastAsia="Times New Roman" w:hint="default"/>
        </w:rPr>
        <w:t>21</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日召开第三届董事会第七次会议，审议通过了</w:t>
      </w:r>
    </w:p>
    <w:p>
      <w:pPr>
        <w:pStyle w:val="BodyText"/>
        <w:spacing w:line="240" w:lineRule="auto" w:before="135"/>
        <w:ind w:right="0"/>
        <w:jc w:val="both"/>
        <w:rPr>
          <w:rFonts w:ascii="Times New Roman" w:hAnsi="Times New Roman" w:cs="Times New Roman" w:eastAsia="Times New Roman" w:hint="default"/>
        </w:rPr>
      </w:pPr>
      <w:r>
        <w:rPr/>
        <w:t>《关于为上海</w:t>
      </w:r>
      <w:r>
        <w:rPr>
          <w:spacing w:val="-107"/>
        </w:rPr>
        <w:t>、</w:t>
      </w:r>
      <w:r>
        <w:rPr/>
        <w:t>浙江控股子公司提供担保的议案</w:t>
      </w:r>
      <w:r>
        <w:rPr>
          <w:spacing w:val="-107"/>
        </w:rPr>
        <w:t>》，</w:t>
      </w:r>
      <w:r>
        <w:rPr>
          <w:spacing w:val="-1"/>
        </w:rPr>
        <w:t>本次董事会决议公告刊登</w:t>
      </w:r>
      <w:r>
        <w:rPr/>
        <w:t>在</w:t>
      </w:r>
      <w:r>
        <w:rPr>
          <w:spacing w:val="-61"/>
        </w:rPr>
        <w:t> </w:t>
      </w:r>
      <w:r>
        <w:rPr>
          <w:rFonts w:ascii="Times New Roman" w:hAnsi="Times New Roman" w:cs="Times New Roman" w:eastAsia="Times New Roman" w:hint="default"/>
        </w:rPr>
        <w:t>2007</w:t>
      </w:r>
    </w:p>
    <w:p>
      <w:pPr>
        <w:pStyle w:val="BodyText"/>
        <w:spacing w:line="338" w:lineRule="auto" w:before="135"/>
        <w:ind w:right="161"/>
        <w:jc w:val="both"/>
      </w:pP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24"/>
        </w:rPr>
        <w:t>日的巨潮资讯网、《证券时报》、《中国证券报》、《上海证券报》、《证券日</w:t>
      </w:r>
      <w:r>
        <w:rPr/>
        <w:t> 报》上；</w:t>
      </w:r>
    </w:p>
    <w:p>
      <w:pPr>
        <w:pStyle w:val="BodyText"/>
        <w:spacing w:line="345" w:lineRule="auto" w:before="55"/>
        <w:ind w:right="158" w:firstLine="480"/>
        <w:jc w:val="both"/>
      </w:pPr>
      <w:r>
        <w:rPr>
          <w:spacing w:val="-13"/>
        </w:rPr>
        <w:t>（</w:t>
      </w:r>
      <w:r>
        <w:rPr>
          <w:rFonts w:ascii="Times New Roman" w:hAnsi="Times New Roman" w:cs="Times New Roman" w:eastAsia="Times New Roman" w:hint="default"/>
          <w:spacing w:val="-13"/>
        </w:rPr>
        <w:t>22</w:t>
      </w:r>
      <w:r>
        <w:rPr>
          <w:spacing w:val="-13"/>
        </w:rPr>
        <w:t>）公司于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4 </w:t>
      </w:r>
      <w:r>
        <w:rPr>
          <w:spacing w:val="-8"/>
        </w:rPr>
        <w:t>日召开第三届董事会第八次会议，审议通过了《关</w:t>
      </w:r>
      <w:r>
        <w:rPr/>
        <w:t> </w:t>
      </w:r>
      <w:r>
        <w:rPr>
          <w:spacing w:val="-2"/>
        </w:rPr>
        <w:t>于向江苏苏宁银河国际购物广场有限公司租赁楼层调整暨增租部分楼层的议案》，</w:t>
      </w:r>
      <w:r>
        <w:rPr>
          <w:spacing w:val="-99"/>
        </w:rPr>
        <w:t> </w:t>
      </w:r>
      <w:r>
        <w:rPr>
          <w:spacing w:val="-99"/>
        </w:rPr>
      </w:r>
      <w:r>
        <w:rPr/>
        <w:t>本次董事会决议公告刊登在</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spacing w:val="-20"/>
        </w:rPr>
        <w:t>日的巨潮资讯网、《证券时报》、《中国</w:t>
      </w:r>
      <w:r>
        <w:rPr/>
        <w:t> </w:t>
      </w:r>
      <w:r>
        <w:rPr>
          <w:spacing w:val="-23"/>
        </w:rPr>
        <w:t>证券报》、《上海证券报》、《证券日报》上；</w:t>
      </w:r>
    </w:p>
    <w:p>
      <w:pPr>
        <w:pStyle w:val="BodyText"/>
        <w:spacing w:line="240" w:lineRule="auto" w:before="48"/>
        <w:ind w:left="623" w:right="0"/>
        <w:jc w:val="left"/>
      </w:pPr>
      <w:r>
        <w:rPr/>
        <w:t>（</w:t>
      </w:r>
      <w:r>
        <w:rPr>
          <w:rFonts w:ascii="Times New Roman" w:hAnsi="Times New Roman" w:cs="Times New Roman" w:eastAsia="Times New Roman" w:hint="default"/>
        </w:rPr>
        <w:t>23</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日召开第三届董事会第九次会议，审议通过了</w:t>
      </w:r>
    </w:p>
    <w:p>
      <w:pPr>
        <w:pStyle w:val="BodyText"/>
        <w:spacing w:line="240" w:lineRule="auto" w:before="135"/>
        <w:ind w:right="0"/>
        <w:jc w:val="both"/>
      </w:pPr>
      <w:r>
        <w:rPr/>
        <w:t>《关于变更公司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年度财务审计机构的议案》、《苏宁电器股份有限公司关于</w:t>
      </w:r>
    </w:p>
    <w:p>
      <w:pPr>
        <w:pStyle w:val="BodyText"/>
        <w:spacing w:line="240" w:lineRule="auto" w:before="135"/>
        <w:ind w:right="0"/>
        <w:jc w:val="both"/>
        <w:rPr>
          <w:rFonts w:ascii="Times New Roman" w:hAnsi="Times New Roman" w:cs="Times New Roman" w:eastAsia="Times New Roman" w:hint="default"/>
        </w:rPr>
      </w:pPr>
      <w:r>
        <w:rPr/>
        <w:t>召开</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spacing w:val="-4"/>
        </w:rPr>
        <w:t>年第三次临时股东大会的议案》，本次董事会决议公告刊登在</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p>
    <w:p>
      <w:pPr>
        <w:pStyle w:val="BodyText"/>
        <w:spacing w:line="338" w:lineRule="auto" w:before="135"/>
        <w:ind w:right="138"/>
        <w:jc w:val="both"/>
      </w:pP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spacing w:val="-23"/>
        </w:rPr>
        <w:t>日的巨潮资讯网、《证券时报》、《中国证券报》、《上海证券报》、《证券日报》</w:t>
      </w:r>
      <w:r>
        <w:rPr/>
        <w:t> 上。</w:t>
      </w:r>
    </w:p>
    <w:p>
      <w:pPr>
        <w:pStyle w:val="BodyText"/>
        <w:spacing w:line="240" w:lineRule="auto" w:before="55"/>
        <w:ind w:left="623" w:right="2428"/>
        <w:jc w:val="left"/>
      </w:pPr>
      <w:r>
        <w:rPr>
          <w:rFonts w:ascii="Times New Roman" w:hAnsi="Times New Roman" w:cs="Times New Roman" w:eastAsia="Times New Roman" w:hint="default"/>
        </w:rPr>
        <w:t>2</w:t>
      </w:r>
      <w:r>
        <w:rPr/>
        <w:t>、董事会对股东大会决议的执行情况：</w:t>
      </w:r>
    </w:p>
    <w:p>
      <w:pPr>
        <w:pStyle w:val="BodyText"/>
        <w:spacing w:line="338" w:lineRule="auto" w:before="135"/>
        <w:ind w:left="144" w:right="161" w:firstLine="480"/>
        <w:jc w:val="both"/>
      </w:pPr>
      <w:r>
        <w:rPr/>
        <w:t>（</w:t>
      </w:r>
      <w:r>
        <w:rPr>
          <w:rFonts w:ascii="Times New Roman" w:hAnsi="Times New Roman" w:cs="Times New Roman" w:eastAsia="Times New Roman" w:hint="default"/>
        </w:rPr>
        <w:t>1</w:t>
      </w:r>
      <w:r>
        <w:rPr/>
        <w:t>）报告期内，公司董事会根据 </w:t>
      </w:r>
      <w:r>
        <w:rPr>
          <w:rFonts w:ascii="Times New Roman" w:hAnsi="Times New Roman" w:cs="Times New Roman" w:eastAsia="Times New Roman" w:hint="default"/>
        </w:rPr>
        <w:t>2006 </w:t>
      </w:r>
      <w:r>
        <w:rPr/>
        <w:t>年年度股东大会决议，执行了 </w:t>
      </w:r>
      <w:r>
        <w:rPr>
          <w:rFonts w:ascii="Times New Roman" w:hAnsi="Times New Roman" w:cs="Times New Roman" w:eastAsia="Times New Roman" w:hint="default"/>
        </w:rPr>
        <w:t>2006</w:t>
      </w:r>
      <w:r>
        <w:rPr>
          <w:rFonts w:ascii="Times New Roman" w:hAnsi="Times New Roman" w:cs="Times New Roman" w:eastAsia="Times New Roman" w:hint="default"/>
          <w:spacing w:val="-34"/>
        </w:rPr>
        <w:t> </w:t>
      </w:r>
      <w:r>
        <w:rPr/>
        <w:t>年 度利润分配方案，具体为：</w:t>
      </w:r>
    </w:p>
    <w:p>
      <w:pPr>
        <w:pStyle w:val="BodyText"/>
        <w:spacing w:line="240" w:lineRule="auto" w:before="55"/>
        <w:ind w:left="624" w:right="0"/>
        <w:jc w:val="left"/>
      </w:pPr>
      <w:r>
        <w:rPr/>
        <w:t>以</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日公司总股本</w:t>
      </w:r>
      <w:r>
        <w:rPr>
          <w:spacing w:val="-63"/>
        </w:rPr>
        <w:t> </w:t>
      </w:r>
      <w:r>
        <w:rPr>
          <w:rFonts w:ascii="Times New Roman" w:hAnsi="Times New Roman" w:cs="Times New Roman" w:eastAsia="Times New Roman" w:hint="default"/>
        </w:rPr>
        <w:t>720,752,000</w:t>
      </w:r>
      <w:r>
        <w:rPr>
          <w:rFonts w:ascii="Times New Roman" w:hAnsi="Times New Roman" w:cs="Times New Roman" w:eastAsia="Times New Roman" w:hint="default"/>
          <w:spacing w:val="-3"/>
        </w:rPr>
        <w:t> </w:t>
      </w:r>
      <w:r>
        <w:rPr/>
        <w:t>股为基数，以资本公积金转增股</w:t>
      </w:r>
    </w:p>
    <w:p>
      <w:pPr>
        <w:pStyle w:val="BodyText"/>
        <w:spacing w:line="240" w:lineRule="auto" w:before="135"/>
        <w:ind w:left="144" w:right="0"/>
        <w:jc w:val="both"/>
      </w:pPr>
      <w:r>
        <w:rPr/>
        <w:t>本方式向全体股东每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股转增</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股，转增后公司总股本由</w:t>
      </w:r>
      <w:r>
        <w:rPr>
          <w:spacing w:val="-45"/>
        </w:rPr>
        <w:t> </w:t>
      </w:r>
      <w:r>
        <w:rPr>
          <w:rFonts w:ascii="Times New Roman" w:hAnsi="Times New Roman" w:cs="Times New Roman" w:eastAsia="Times New Roman" w:hint="default"/>
        </w:rPr>
        <w:t>720,752,000</w:t>
      </w:r>
      <w:r>
        <w:rPr>
          <w:rFonts w:ascii="Times New Roman" w:hAnsi="Times New Roman" w:cs="Times New Roman" w:eastAsia="Times New Roman" w:hint="default"/>
          <w:spacing w:val="15"/>
        </w:rPr>
        <w:t> </w:t>
      </w:r>
      <w:r>
        <w:rPr/>
        <w:t>股增加至</w:t>
      </w:r>
    </w:p>
    <w:p>
      <w:pPr>
        <w:pStyle w:val="BodyText"/>
        <w:spacing w:line="240" w:lineRule="auto" w:before="135"/>
        <w:ind w:left="144" w:right="0"/>
        <w:jc w:val="both"/>
      </w:pPr>
      <w:r>
        <w:rPr>
          <w:rFonts w:ascii="Times New Roman" w:hAnsi="Times New Roman" w:cs="Times New Roman" w:eastAsia="Times New Roman" w:hint="default"/>
        </w:rPr>
        <w:t>1,441,504,000 </w:t>
      </w:r>
      <w:r>
        <w:rPr/>
        <w:t>股。</w:t>
      </w:r>
    </w:p>
    <w:p>
      <w:pPr>
        <w:pStyle w:val="BodyText"/>
        <w:spacing w:line="348" w:lineRule="auto" w:before="135"/>
        <w:ind w:left="144" w:right="138" w:firstLine="480"/>
        <w:jc w:val="both"/>
      </w:pPr>
      <w:r>
        <w:rPr/>
        <w:t>公司于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1"/>
        </w:rPr>
        <w:t>日在巨潮资讯网、《证券时报》、《中国证券报》、《上</w:t>
      </w:r>
      <w:r>
        <w:rPr/>
        <w:t> 海证券报》、《证券日报》上刊登此次公积金转增股本实施公告，股权登记日为： </w:t>
      </w:r>
      <w:r>
        <w:rPr>
          <w:rFonts w:ascii="Times New Roman" w:hAnsi="Times New Roman" w:cs="Times New Roman" w:eastAsia="Times New Roman" w:hint="default"/>
        </w:rPr>
        <w:t>2007</w:t>
      </w:r>
      <w:r>
        <w:rPr>
          <w:rFonts w:ascii="Times New Roman" w:hAnsi="Times New Roman" w:cs="Times New Roman" w:eastAsia="Times New Roman" w:hint="default"/>
          <w:spacing w:val="56"/>
        </w:rPr>
        <w:t> </w:t>
      </w:r>
      <w:r>
        <w:rPr/>
        <w:t>年</w:t>
      </w:r>
      <w:r>
        <w:rPr>
          <w:spacing w:val="-59"/>
        </w:rPr>
        <w:t> </w:t>
      </w:r>
      <w:r>
        <w:rPr>
          <w:rFonts w:ascii="Times New Roman" w:hAnsi="Times New Roman" w:cs="Times New Roman" w:eastAsia="Times New Roman" w:hint="default"/>
        </w:rPr>
        <w:t>4 </w:t>
      </w:r>
      <w:r>
        <w:rPr/>
        <w:t>月</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日，除权除息日为：</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日，新增无限售条件的流通股份</w:t>
      </w:r>
    </w:p>
    <w:p>
      <w:pPr>
        <w:pStyle w:val="BodyText"/>
        <w:spacing w:line="240" w:lineRule="auto" w:before="16"/>
        <w:ind w:left="144" w:right="0"/>
        <w:jc w:val="both"/>
      </w:pPr>
      <w:r>
        <w:rPr/>
        <w:t>上市日：</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6 </w:t>
      </w:r>
      <w:r>
        <w:rPr/>
        <w:t>日。</w:t>
      </w:r>
    </w:p>
    <w:p>
      <w:pPr>
        <w:pStyle w:val="BodyText"/>
        <w:spacing w:line="240" w:lineRule="auto" w:before="135"/>
        <w:ind w:left="624" w:right="0"/>
        <w:jc w:val="left"/>
      </w:pPr>
      <w:r>
        <w:rPr>
          <w:spacing w:val="-3"/>
        </w:rPr>
        <w:t>（</w:t>
      </w:r>
      <w:r>
        <w:rPr>
          <w:rFonts w:ascii="Times New Roman" w:hAnsi="Times New Roman" w:cs="Times New Roman" w:eastAsia="Times New Roman" w:hint="default"/>
          <w:spacing w:val="-3"/>
        </w:rPr>
        <w:t>2</w:t>
      </w:r>
      <w:r>
        <w:rPr>
          <w:spacing w:val="-3"/>
        </w:rPr>
        <w:t>）根据</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年第一次临时股东大会《关于提请股东大会授权董事会全权办</w:t>
      </w:r>
    </w:p>
    <w:p>
      <w:pPr>
        <w:pStyle w:val="BodyText"/>
        <w:spacing w:line="348" w:lineRule="auto" w:before="135"/>
        <w:ind w:left="144" w:right="155"/>
        <w:jc w:val="both"/>
      </w:pPr>
      <w:r>
        <w:rPr/>
        <w:t>理本次非公开发行股票相关事宜的议案》的决议，公司于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月配合保荐机 </w:t>
      </w:r>
      <w:r>
        <w:rPr>
          <w:spacing w:val="6"/>
        </w:rPr>
        <w:t>构办理非公开发行股票相关事宜并向中国证券监督管理委员会上报了非公开发行</w:t>
      </w:r>
      <w:r>
        <w:rPr>
          <w:spacing w:val="6"/>
        </w:rPr>
        <w:t> </w:t>
      </w:r>
      <w:r>
        <w:rPr/>
        <w:t>申请文件。</w:t>
      </w:r>
    </w:p>
    <w:p>
      <w:pPr>
        <w:spacing w:after="0" w:line="348" w:lineRule="auto"/>
        <w:jc w:val="both"/>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338" w:lineRule="auto" w:before="26"/>
        <w:ind w:left="144" w:right="218" w:firstLine="480"/>
        <w:jc w:val="both"/>
      </w:pPr>
      <w:r>
        <w:rPr>
          <w:spacing w:val="2"/>
        </w:rPr>
        <w:t>（</w:t>
      </w:r>
      <w:r>
        <w:rPr>
          <w:rFonts w:ascii="Times New Roman" w:hAnsi="Times New Roman" w:cs="Times New Roman" w:eastAsia="Times New Roman" w:hint="default"/>
          <w:spacing w:val="2"/>
        </w:rPr>
        <w:t>3</w:t>
      </w:r>
      <w:r>
        <w:rPr>
          <w:spacing w:val="2"/>
        </w:rPr>
        <w:t>）公司股东大会审议通过的修改《章程》及相关制度等议案，也均在报告</w:t>
      </w:r>
      <w:r>
        <w:rPr>
          <w:spacing w:val="3"/>
        </w:rPr>
        <w:t> </w:t>
      </w:r>
      <w:r>
        <w:rPr/>
        <w:t>期内执行完毕。</w:t>
      </w:r>
    </w:p>
    <w:p>
      <w:pPr>
        <w:pStyle w:val="BodyText"/>
        <w:spacing w:line="240" w:lineRule="auto" w:before="55"/>
        <w:ind w:left="624" w:right="87"/>
        <w:jc w:val="left"/>
      </w:pPr>
      <w:r>
        <w:rPr>
          <w:rFonts w:ascii="Times New Roman" w:hAnsi="Times New Roman" w:cs="Times New Roman" w:eastAsia="Times New Roman" w:hint="default"/>
        </w:rPr>
        <w:t>3</w:t>
      </w:r>
      <w:r>
        <w:rPr/>
        <w:t>、董事会审计委员会的履职情况汇总报告：</w:t>
      </w:r>
    </w:p>
    <w:p>
      <w:pPr>
        <w:pStyle w:val="BodyText"/>
        <w:spacing w:line="240" w:lineRule="auto" w:before="135"/>
        <w:ind w:left="624" w:right="87"/>
        <w:jc w:val="left"/>
      </w:pPr>
      <w:r>
        <w:rPr/>
        <w:t>（</w:t>
      </w:r>
      <w:r>
        <w:rPr>
          <w:rFonts w:ascii="Times New Roman" w:hAnsi="Times New Roman" w:cs="Times New Roman" w:eastAsia="Times New Roman" w:hint="default"/>
        </w:rPr>
        <w:t>1</w:t>
      </w:r>
      <w:r>
        <w:rPr/>
        <w:t>）第三届董事会审计委员会提名内部审计机构负责人的情况：</w:t>
      </w:r>
    </w:p>
    <w:p>
      <w:pPr>
        <w:pStyle w:val="BodyText"/>
        <w:spacing w:line="338" w:lineRule="auto" w:before="135"/>
        <w:ind w:left="144" w:right="219"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日，第三届董事会审计委员会提名陈礼先生担任公司内部审计 机构负责人。该提名经公司第三届董事会第一次会议审议通过。</w:t>
      </w:r>
    </w:p>
    <w:p>
      <w:pPr>
        <w:pStyle w:val="BodyText"/>
        <w:spacing w:line="338" w:lineRule="auto" w:before="55"/>
        <w:ind w:left="624" w:right="87"/>
        <w:jc w:val="left"/>
      </w:pPr>
      <w:r>
        <w:rPr/>
        <w:t>（</w:t>
      </w:r>
      <w:r>
        <w:rPr>
          <w:rFonts w:ascii="Times New Roman" w:hAnsi="Times New Roman" w:cs="Times New Roman" w:eastAsia="Times New Roman" w:hint="default"/>
        </w:rPr>
        <w:t>2</w:t>
      </w:r>
      <w:r>
        <w:rPr/>
        <w:t>）第三届董事会审计委员会对年度财务报告的审议工作情况： </w:t>
      </w:r>
      <w:r>
        <w:rPr>
          <w:spacing w:val="5"/>
        </w:rPr>
        <w:t>第三届董事会审计委员会在公司年审注册会计师进场前审阅了公司编制的财</w:t>
      </w:r>
      <w:r>
        <w:rPr/>
      </w:r>
    </w:p>
    <w:p>
      <w:pPr>
        <w:pStyle w:val="BodyText"/>
        <w:spacing w:line="357" w:lineRule="auto" w:before="55"/>
        <w:ind w:left="144" w:right="198"/>
        <w:jc w:val="both"/>
      </w:pPr>
      <w:r>
        <w:rPr>
          <w:spacing w:val="-1"/>
        </w:rPr>
        <w:t>务会计报表，认为财务会计报表基本能够反映公司的财务状况和经营成果。年审注</w:t>
      </w:r>
      <w:r>
        <w:rPr>
          <w:spacing w:val="-106"/>
        </w:rPr>
        <w:t> </w:t>
      </w:r>
      <w:r>
        <w:rPr>
          <w:spacing w:val="-106"/>
        </w:rPr>
      </w:r>
      <w:r>
        <w:rPr>
          <w:spacing w:val="-1"/>
        </w:rPr>
        <w:t>册会计师进场前，审计委员会与会计师事务所共同协商确定了公司本年度财务报告</w:t>
      </w:r>
      <w:r>
        <w:rPr>
          <w:spacing w:val="-106"/>
        </w:rPr>
        <w:t> </w:t>
      </w:r>
      <w:r>
        <w:rPr>
          <w:spacing w:val="-106"/>
        </w:rPr>
      </w:r>
      <w:r>
        <w:rPr>
          <w:spacing w:val="-1"/>
        </w:rPr>
        <w:t>审计工作的时间安排，并不断加强与年审会计师的沟通，督促其在约定时限内提交</w:t>
      </w:r>
      <w:r>
        <w:rPr>
          <w:spacing w:val="-106"/>
        </w:rPr>
        <w:t> </w:t>
      </w:r>
      <w:r>
        <w:rPr>
          <w:spacing w:val="-106"/>
        </w:rPr>
      </w:r>
      <w:r>
        <w:rPr>
          <w:spacing w:val="-1"/>
        </w:rPr>
        <w:t>审计报告。在年审注册会计师出具初步审计意见后审计委员会又一次审阅了公司财</w:t>
      </w:r>
      <w:r>
        <w:rPr>
          <w:spacing w:val="-106"/>
        </w:rPr>
        <w:t> </w:t>
      </w:r>
      <w:r>
        <w:rPr>
          <w:spacing w:val="-106"/>
        </w:rPr>
      </w:r>
      <w:r>
        <w:rPr/>
        <w:t>务会计报表，认为公司财务会计报表真实、准确、完整的反映了公司的财务状况、 现金流量和经营成果。</w:t>
      </w:r>
    </w:p>
    <w:p>
      <w:pPr>
        <w:pStyle w:val="BodyText"/>
        <w:spacing w:line="338" w:lineRule="auto" w:before="36"/>
        <w:ind w:right="221" w:firstLine="480"/>
        <w:jc w:val="both"/>
      </w:pPr>
      <w:r>
        <w:rPr/>
        <w:t>（</w:t>
      </w:r>
      <w:r>
        <w:rPr>
          <w:rFonts w:ascii="Times New Roman" w:hAnsi="Times New Roman" w:cs="Times New Roman" w:eastAsia="Times New Roman" w:hint="default"/>
        </w:rPr>
        <w:t>2</w:t>
      </w:r>
      <w:r>
        <w:rPr/>
        <w:t>） 审计委员会向董事会提交的会计师事务所从事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年度公司审计工作 的总结报告以及对</w:t>
      </w:r>
      <w:r>
        <w:rPr>
          <w:spacing w:val="-60"/>
        </w:rPr>
        <w:t> </w:t>
      </w:r>
      <w:r>
        <w:rPr>
          <w:rFonts w:ascii="Times New Roman" w:hAnsi="Times New Roman" w:cs="Times New Roman" w:eastAsia="Times New Roman" w:hint="default"/>
        </w:rPr>
        <w:t>2008 </w:t>
      </w:r>
      <w:r>
        <w:rPr/>
        <w:t>年度续聘或改聘会计师事务所的决议书：</w:t>
      </w:r>
    </w:p>
    <w:p>
      <w:pPr>
        <w:pStyle w:val="BodyText"/>
        <w:spacing w:line="240" w:lineRule="auto" w:before="27"/>
        <w:ind w:left="623" w:right="0"/>
        <w:jc w:val="left"/>
      </w:pPr>
      <w:r>
        <w:rPr/>
        <w:t>普华永道中天会计师事务所有限公司对本公司</w:t>
      </w:r>
      <w:r>
        <w:rPr>
          <w:spacing w:val="-7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年度财务报表的审计工作，</w:t>
      </w:r>
    </w:p>
    <w:p>
      <w:pPr>
        <w:pStyle w:val="BodyText"/>
        <w:spacing w:line="352" w:lineRule="auto" w:before="135"/>
        <w:ind w:right="198"/>
        <w:jc w:val="both"/>
      </w:pPr>
      <w:r>
        <w:rPr/>
        <w:t>内容主要是对</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日的公司及合并资产负债表，</w:t>
      </w:r>
      <w:r>
        <w:rPr>
          <w:spacing w:val="-82"/>
        </w:rPr>
        <w:t> </w:t>
      </w:r>
      <w:r>
        <w:rPr>
          <w:rFonts w:ascii="Times New Roman" w:hAnsi="Times New Roman" w:cs="Times New Roman" w:eastAsia="Times New Roman" w:hint="default"/>
        </w:rPr>
        <w:t>2007 </w:t>
      </w:r>
      <w:r>
        <w:rPr/>
        <w:t>年度的公司及合 </w:t>
      </w:r>
      <w:r>
        <w:rPr>
          <w:spacing w:val="-1"/>
        </w:rPr>
        <w:t>并利润表、公司及合并股东权益变动表和公司及合并现金流量表以及财务报表附注</w:t>
      </w:r>
      <w:r>
        <w:rPr>
          <w:spacing w:val="-106"/>
        </w:rPr>
        <w:t> </w:t>
      </w:r>
      <w:r>
        <w:rPr>
          <w:spacing w:val="-106"/>
        </w:rPr>
      </w:r>
      <w:r>
        <w:rPr/>
        <w:t>进行审计并发表审计意见，以及对募集资金的使用情况进行鉴证并发表鉴证意见。 </w:t>
      </w:r>
      <w:r>
        <w:rPr>
          <w:spacing w:val="-1"/>
        </w:rPr>
        <w:t>年度审计结束后，会计师事务所对公司的年度审计结论以书面方式出具了无保留意</w:t>
      </w:r>
      <w:r>
        <w:rPr>
          <w:spacing w:val="-106"/>
        </w:rPr>
        <w:t> </w:t>
      </w:r>
      <w:r>
        <w:rPr>
          <w:spacing w:val="-106"/>
        </w:rPr>
      </w:r>
      <w:r>
        <w:rPr/>
        <w:t>见的审计报告。审计委员会现将事务所本年度的审计情况作如下评价：</w:t>
      </w:r>
    </w:p>
    <w:p>
      <w:pPr>
        <w:pStyle w:val="BodyText"/>
        <w:tabs>
          <w:tab w:pos="1103" w:val="left" w:leader="none"/>
        </w:tabs>
        <w:spacing w:line="357" w:lineRule="auto" w:before="41"/>
        <w:ind w:left="623" w:right="221"/>
        <w:jc w:val="left"/>
      </w:pPr>
      <w:r>
        <w:rPr/>
        <w:t>①</w:t>
        <w:tab/>
        <w:t>基本情况： </w:t>
      </w:r>
      <w:r>
        <w:rPr>
          <w:spacing w:val="-1"/>
        </w:rPr>
        <w:t>普华永道中天会计师事务所有限公司与公司董事会、独立董事、监事会和高管</w:t>
      </w:r>
    </w:p>
    <w:p>
      <w:pPr>
        <w:pStyle w:val="BodyText"/>
        <w:spacing w:line="357" w:lineRule="auto" w:before="36"/>
        <w:ind w:right="221"/>
        <w:jc w:val="both"/>
      </w:pPr>
      <w:r>
        <w:rPr>
          <w:spacing w:val="-1"/>
        </w:rPr>
        <w:t>层进行了必要的沟通，通过对公司内部控制等情况的了解后会计师事务所已与公司</w:t>
      </w:r>
      <w:r>
        <w:rPr>
          <w:spacing w:val="-106"/>
        </w:rPr>
        <w:t> </w:t>
      </w:r>
      <w:r>
        <w:rPr>
          <w:spacing w:val="-106"/>
        </w:rPr>
      </w:r>
      <w:r>
        <w:rPr/>
        <w:t>签订了审计业务约定书。</w:t>
      </w:r>
    </w:p>
    <w:p>
      <w:pPr>
        <w:pStyle w:val="BodyText"/>
        <w:spacing w:line="345" w:lineRule="auto" w:before="36"/>
        <w:ind w:right="221" w:firstLine="480"/>
        <w:jc w:val="both"/>
      </w:pPr>
      <w:r>
        <w:rPr/>
        <w:t>普华永道中天会计师事务所有限公司于</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5"/>
        </w:rPr>
        <w:t> </w:t>
      </w:r>
      <w:r>
        <w:rPr/>
        <w:t>日成立审计小组由项 目负责人带队进入公司开始进行年度审计。 经过近 </w:t>
      </w: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个月的审计工作，审计小组 </w:t>
      </w:r>
      <w:r>
        <w:rPr>
          <w:spacing w:val="-1"/>
        </w:rPr>
        <w:t>完成了所有审计程序，取得了充分适当的审计证据，并向审计委员会提交了无保留</w:t>
      </w:r>
      <w:r>
        <w:rPr>
          <w:spacing w:val="-106"/>
        </w:rPr>
        <w:t> </w:t>
      </w:r>
      <w:r>
        <w:rPr>
          <w:spacing w:val="-106"/>
        </w:rPr>
      </w:r>
      <w:r>
        <w:rPr>
          <w:spacing w:val="-10"/>
        </w:rPr>
        <w:t>意见的审计报告（意见稿）。</w:t>
      </w:r>
    </w:p>
    <w:p>
      <w:pPr>
        <w:spacing w:after="0" w:line="345"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tabs>
          <w:tab w:pos="1103" w:val="left" w:leader="none"/>
        </w:tabs>
        <w:spacing w:line="357" w:lineRule="auto" w:before="26"/>
        <w:ind w:left="623" w:right="201"/>
        <w:jc w:val="left"/>
      </w:pPr>
      <w:r>
        <w:rPr/>
        <w:t>②</w:t>
        <w:tab/>
        <w:t>关于会计师事务所执行审计业务的工作评价： </w:t>
      </w:r>
      <w:r>
        <w:rPr>
          <w:spacing w:val="-1"/>
        </w:rPr>
        <w:t>ⅰ、独立性评价：普华永道中天会计师事务所有限公司所有职员未在本公司任</w:t>
      </w:r>
    </w:p>
    <w:p>
      <w:pPr>
        <w:pStyle w:val="BodyText"/>
        <w:spacing w:line="357" w:lineRule="auto" w:before="36"/>
        <w:ind w:right="195"/>
        <w:jc w:val="both"/>
      </w:pPr>
      <w:r>
        <w:rPr>
          <w:spacing w:val="-1"/>
        </w:rPr>
        <w:t>职并未获取除法定审计必要费用外的任何现金及其他任何形式经济利益；会计师事</w:t>
      </w:r>
      <w:r>
        <w:rPr>
          <w:spacing w:val="-106"/>
        </w:rPr>
        <w:t> </w:t>
      </w:r>
      <w:r>
        <w:rPr>
          <w:spacing w:val="-106"/>
        </w:rPr>
      </w:r>
      <w:r>
        <w:rPr>
          <w:spacing w:val="6"/>
        </w:rPr>
        <w:t>务所和本公司之间不存在直接或者间接的相互投资情况，也不存在密切的经营关</w:t>
      </w:r>
      <w:r>
        <w:rPr>
          <w:spacing w:val="6"/>
        </w:rPr>
        <w:t> </w:t>
      </w:r>
      <w:r>
        <w:rPr>
          <w:spacing w:val="-1"/>
        </w:rPr>
        <w:t>系；会计师事务所对公司的审计业务不存在自我评价，审计小组成员和本公司决策</w:t>
      </w:r>
      <w:r>
        <w:rPr>
          <w:spacing w:val="-106"/>
        </w:rPr>
        <w:t> </w:t>
      </w:r>
      <w:r>
        <w:rPr>
          <w:spacing w:val="-106"/>
        </w:rPr>
      </w:r>
      <w:r>
        <w:rPr>
          <w:spacing w:val="-1"/>
        </w:rPr>
        <w:t>层之间不存在关联关系。在本次审计工作中普华永道中天会计师事务所有限公司及</w:t>
      </w:r>
      <w:r>
        <w:rPr>
          <w:spacing w:val="-106"/>
        </w:rPr>
        <w:t> </w:t>
      </w:r>
      <w:r>
        <w:rPr>
          <w:spacing w:val="-106"/>
        </w:rPr>
      </w:r>
      <w:r>
        <w:rPr/>
        <w:t>审计成员始终保持了形式上和实质上的双重独立，</w:t>
      </w:r>
      <w:r>
        <w:rPr>
          <w:spacing w:val="55"/>
        </w:rPr>
        <w:t> </w:t>
      </w:r>
      <w:r>
        <w:rPr/>
        <w:t>遵守了职业道德基本原则中关</w:t>
      </w:r>
      <w:r>
        <w:rPr>
          <w:spacing w:val="-104"/>
        </w:rPr>
        <w:t> </w:t>
      </w:r>
      <w:r>
        <w:rPr>
          <w:spacing w:val="-104"/>
        </w:rPr>
      </w:r>
      <w:r>
        <w:rPr/>
        <w:t>于保持独立性的要求。</w:t>
      </w:r>
    </w:p>
    <w:p>
      <w:pPr>
        <w:pStyle w:val="BodyText"/>
        <w:spacing w:line="240" w:lineRule="auto" w:before="36"/>
        <w:ind w:left="624" w:right="0"/>
        <w:jc w:val="left"/>
        <w:rPr>
          <w:rFonts w:ascii="Times New Roman" w:hAnsi="Times New Roman" w:cs="Times New Roman" w:eastAsia="Times New Roman" w:hint="default"/>
        </w:rPr>
      </w:pPr>
      <w:r>
        <w:rPr/>
        <w:t>ⅱ、专业胜任能力评价：审计小组共由约 </w:t>
      </w:r>
      <w:r>
        <w:rPr>
          <w:rFonts w:ascii="Times New Roman" w:hAnsi="Times New Roman" w:cs="Times New Roman" w:eastAsia="Times New Roman" w:hint="default"/>
        </w:rPr>
        <w:t>150  </w:t>
      </w:r>
      <w:r>
        <w:rPr/>
        <w:t>人组成，其中核心小组成员</w:t>
      </w:r>
      <w:r>
        <w:rPr>
          <w:spacing w:val="-24"/>
        </w:rPr>
        <w:t> </w:t>
      </w:r>
      <w:r>
        <w:rPr>
          <w:rFonts w:ascii="Times New Roman" w:hAnsi="Times New Roman" w:cs="Times New Roman" w:eastAsia="Times New Roman" w:hint="default"/>
        </w:rPr>
        <w:t>20</w:t>
      </w:r>
    </w:p>
    <w:p>
      <w:pPr>
        <w:pStyle w:val="BodyText"/>
        <w:spacing w:line="348" w:lineRule="auto" w:before="135"/>
        <w:ind w:left="144" w:right="201"/>
        <w:jc w:val="both"/>
      </w:pPr>
      <w:r>
        <w:rPr/>
        <w:t>人，其中具有注册会计师资格的核心小组成员</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名。核心小组主要人员对零售业务 </w:t>
      </w:r>
      <w:r>
        <w:rPr>
          <w:spacing w:val="-1"/>
        </w:rPr>
        <w:t>较熟悉，组成人员具有承办本次审计业务所必需的专业知识和相关的职业证书，能</w:t>
      </w:r>
      <w:r>
        <w:rPr>
          <w:spacing w:val="-106"/>
        </w:rPr>
        <w:t> </w:t>
      </w:r>
      <w:r>
        <w:rPr>
          <w:spacing w:val="-106"/>
        </w:rPr>
      </w:r>
      <w:r>
        <w:rPr/>
        <w:t>够胜任本次审计工作。</w:t>
      </w:r>
    </w:p>
    <w:p>
      <w:pPr>
        <w:pStyle w:val="BodyText"/>
        <w:spacing w:line="357" w:lineRule="auto" w:before="46"/>
        <w:ind w:left="144" w:right="192" w:firstLine="480"/>
        <w:jc w:val="both"/>
      </w:pPr>
      <w:r>
        <w:rPr/>
        <w:t>③</w:t>
      </w:r>
      <w:r>
        <w:rPr>
          <w:spacing w:val="20"/>
        </w:rPr>
        <w:t> </w:t>
      </w:r>
      <w:r>
        <w:rPr>
          <w:spacing w:val="6"/>
        </w:rPr>
        <w:t>审计小组在本年度审计中按照中国注册会计师审计准则的要求执行了恰</w:t>
      </w:r>
      <w:r>
        <w:rPr>
          <w:spacing w:val="6"/>
        </w:rPr>
        <w:t> </w:t>
      </w:r>
      <w:r>
        <w:rPr>
          <w:spacing w:val="-1"/>
        </w:rPr>
        <w:t>当的审计程序，为发表审计意见获取了充分、适当的审计证据。事务所对财务报表</w:t>
      </w:r>
      <w:r>
        <w:rPr>
          <w:spacing w:val="-108"/>
        </w:rPr>
        <w:t> </w:t>
      </w:r>
      <w:r>
        <w:rPr>
          <w:spacing w:val="-108"/>
        </w:rPr>
      </w:r>
      <w:r>
        <w:rPr/>
        <w:t>发表的无保留审计意见是在获取充分、适当的审计证据的基础上做出的。</w:t>
      </w:r>
    </w:p>
    <w:p>
      <w:pPr>
        <w:pStyle w:val="BodyText"/>
        <w:spacing w:line="352" w:lineRule="auto" w:before="36"/>
        <w:ind w:left="144" w:right="195" w:firstLine="480"/>
        <w:jc w:val="both"/>
      </w:pPr>
      <w:r>
        <w:rPr/>
        <w:t>④</w:t>
      </w:r>
      <w:r>
        <w:rPr>
          <w:spacing w:val="99"/>
        </w:rPr>
        <w:t> </w:t>
      </w:r>
      <w:r>
        <w:rPr/>
        <w:t>关于对续聘或改聘会计师事务所的决议：第三届董事会审计委员会认为公</w:t>
      </w:r>
      <w:r>
        <w:rPr/>
        <w:t> 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年聘请的普华永道中天会计师事务所有限公司在为公司提供审计服务的工 </w:t>
      </w:r>
      <w:r>
        <w:rPr>
          <w:spacing w:val="-1"/>
        </w:rPr>
        <w:t>作中，恪尽职守，遵循独立、客观、公正的职业准则，较好的完成了公司委托的审</w:t>
      </w:r>
      <w:r>
        <w:rPr>
          <w:spacing w:val="-109"/>
        </w:rPr>
        <w:t> </w:t>
      </w:r>
      <w:r>
        <w:rPr>
          <w:spacing w:val="-109"/>
        </w:rPr>
      </w:r>
      <w:r>
        <w:rPr>
          <w:spacing w:val="6"/>
        </w:rPr>
        <w:t>计工作。因此，提请公司继续聘任普华永道中天会计师事务所有限公司作为公司</w:t>
      </w:r>
      <w:r>
        <w:rPr>
          <w:spacing w:val="6"/>
        </w:rPr>
        <w:t> </w:t>
      </w:r>
      <w:r>
        <w:rPr>
          <w:rFonts w:ascii="Times New Roman" w:hAnsi="Times New Roman" w:cs="Times New Roman" w:eastAsia="Times New Roman" w:hint="default"/>
        </w:rPr>
        <w:t>2008 </w:t>
      </w:r>
      <w:r>
        <w:rPr/>
        <w:t>年的审计机构。</w:t>
      </w:r>
    </w:p>
    <w:p>
      <w:pPr>
        <w:pStyle w:val="BodyText"/>
        <w:spacing w:line="338" w:lineRule="auto" w:before="11"/>
        <w:ind w:left="624" w:right="194"/>
        <w:jc w:val="left"/>
      </w:pPr>
      <w:r>
        <w:rPr>
          <w:rFonts w:ascii="Times New Roman" w:hAnsi="Times New Roman" w:cs="Times New Roman" w:eastAsia="Times New Roman" w:hint="default"/>
        </w:rPr>
        <w:t>4</w:t>
      </w:r>
      <w:r>
        <w:rPr/>
        <w:t>、董事会薪酬与考核委员会履职情况： </w:t>
      </w:r>
      <w:r>
        <w:rPr>
          <w:spacing w:val="-1"/>
        </w:rPr>
        <w:t>第三届董事会薪酬与考核委员会对公司董事、监事和高级管理人员所披露薪酬</w:t>
      </w:r>
    </w:p>
    <w:p>
      <w:pPr>
        <w:pStyle w:val="BodyText"/>
        <w:spacing w:line="240" w:lineRule="auto" w:before="55"/>
        <w:ind w:left="144" w:right="0"/>
        <w:jc w:val="both"/>
      </w:pPr>
      <w:r>
        <w:rPr/>
        <w:t>发表审核意见如下：</w:t>
      </w:r>
    </w:p>
    <w:p>
      <w:pPr>
        <w:pStyle w:val="BodyText"/>
        <w:spacing w:line="345" w:lineRule="auto" w:before="154"/>
        <w:ind w:left="144" w:right="201"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spacing w:val="-3"/>
        </w:rPr>
        <w:t>年公司在董事会的领导下，各位董事、监事、高级管理人员密切配合，带</w:t>
      </w:r>
      <w:r>
        <w:rPr/>
        <w:t> </w:t>
      </w:r>
      <w:r>
        <w:rPr>
          <w:spacing w:val="-3"/>
        </w:rPr>
        <w:t>领全体员工共同努力，取得了良好的经营业绩，实现了公司的稳步发展。</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20"/>
        </w:rPr>
        <w:t> </w:t>
      </w:r>
      <w:r>
        <w:rPr/>
        <w:t>年所</w:t>
      </w:r>
      <w:r>
        <w:rPr>
          <w:spacing w:val="-117"/>
        </w:rPr>
        <w:t> </w:t>
      </w:r>
      <w:r>
        <w:rPr>
          <w:spacing w:val="-1"/>
        </w:rPr>
        <w:t>披露的董事和高管薪酬是经公司董事会、股东大会审议通过的，相关决策程序符合</w:t>
      </w:r>
      <w:r>
        <w:rPr>
          <w:spacing w:val="-106"/>
        </w:rPr>
        <w:t> </w:t>
      </w:r>
      <w:r>
        <w:rPr>
          <w:spacing w:val="-106"/>
        </w:rPr>
      </w:r>
      <w:r>
        <w:rPr/>
        <w:t>法律法规的规定，披露的薪酬信息是真实和合理的。</w:t>
      </w:r>
    </w:p>
    <w:p>
      <w:pPr>
        <w:spacing w:line="240" w:lineRule="auto" w:before="0"/>
        <w:rPr>
          <w:rFonts w:ascii="宋体" w:hAnsi="宋体" w:cs="宋体" w:eastAsia="宋体" w:hint="default"/>
          <w:sz w:val="24"/>
          <w:szCs w:val="24"/>
        </w:rPr>
      </w:pPr>
    </w:p>
    <w:p>
      <w:pPr>
        <w:pStyle w:val="BodyText"/>
        <w:spacing w:line="240" w:lineRule="auto" w:before="202"/>
        <w:ind w:left="624" w:right="0"/>
        <w:jc w:val="left"/>
      </w:pPr>
      <w:r>
        <w:rPr/>
        <w:t>八、本年度利润分配预案</w:t>
      </w:r>
    </w:p>
    <w:p>
      <w:pPr>
        <w:pStyle w:val="BodyText"/>
        <w:spacing w:line="240" w:lineRule="auto" w:before="154"/>
        <w:ind w:left="669" w:right="0"/>
        <w:jc w:val="left"/>
      </w:pPr>
      <w:r>
        <w:rPr>
          <w:spacing w:val="15"/>
        </w:rPr>
        <w:t>经普华永道中天会计师事务所有限公司出具的普华永道中天审字</w:t>
      </w:r>
      <w:r>
        <w:rPr>
          <w:rFonts w:ascii="Times New Roman" w:hAnsi="Times New Roman" w:cs="Times New Roman" w:eastAsia="Times New Roman" w:hint="default"/>
          <w:spacing w:val="15"/>
        </w:rPr>
        <w:t>(2008)</w:t>
      </w:r>
      <w:r>
        <w:rPr>
          <w:rFonts w:ascii="Times New Roman" w:hAnsi="Times New Roman" w:cs="Times New Roman" w:eastAsia="Times New Roman" w:hint="default"/>
          <w:spacing w:val="-22"/>
        </w:rPr>
        <w:t> </w:t>
      </w:r>
      <w:r>
        <w:rPr/>
        <w:t>第</w:t>
      </w:r>
    </w:p>
    <w:p>
      <w:pPr>
        <w:spacing w:after="0" w:line="240" w:lineRule="auto"/>
        <w:jc w:val="left"/>
        <w:sectPr>
          <w:pgSz w:w="11910" w:h="16840"/>
          <w:pgMar w:header="879" w:footer="982" w:top="1100" w:bottom="1180" w:left="1500" w:right="1440"/>
        </w:sectPr>
      </w:pPr>
    </w:p>
    <w:p>
      <w:pPr>
        <w:spacing w:line="240" w:lineRule="auto" w:before="10"/>
        <w:rPr>
          <w:rFonts w:ascii="宋体" w:hAnsi="宋体" w:cs="宋体" w:eastAsia="宋体" w:hint="default"/>
          <w:sz w:val="10"/>
          <w:szCs w:val="10"/>
        </w:rPr>
      </w:pPr>
    </w:p>
    <w:p>
      <w:pPr>
        <w:pStyle w:val="BodyText"/>
        <w:spacing w:line="240" w:lineRule="auto" w:before="26"/>
        <w:ind w:left="144" w:right="87"/>
        <w:jc w:val="left"/>
      </w:pPr>
      <w:r>
        <w:rPr>
          <w:rFonts w:ascii="Times New Roman" w:hAnsi="Times New Roman" w:cs="Times New Roman" w:eastAsia="Times New Roman" w:hint="default"/>
        </w:rPr>
        <w:t>10016</w:t>
      </w:r>
      <w:r>
        <w:rPr>
          <w:rFonts w:ascii="Times New Roman" w:hAnsi="Times New Roman" w:cs="Times New Roman" w:eastAsia="Times New Roman" w:hint="default"/>
          <w:spacing w:val="2"/>
        </w:rPr>
        <w:t> </w:t>
      </w:r>
      <w:r>
        <w:rPr>
          <w:spacing w:val="-7"/>
        </w:rPr>
        <w:t>号《审计报告》确认，</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2"/>
        </w:rPr>
        <w:t> </w:t>
      </w:r>
      <w:r>
        <w:rPr/>
        <w:t>年公司母公司实现净利润</w:t>
      </w:r>
      <w:r>
        <w:rPr>
          <w:spacing w:val="-58"/>
        </w:rPr>
        <w:t> </w:t>
      </w:r>
      <w:r>
        <w:rPr>
          <w:rFonts w:ascii="Times New Roman" w:hAnsi="Times New Roman" w:cs="Times New Roman" w:eastAsia="Times New Roman" w:hint="default"/>
        </w:rPr>
        <w:t>928,520</w:t>
      </w:r>
      <w:r>
        <w:rPr>
          <w:rFonts w:ascii="Times New Roman" w:hAnsi="Times New Roman" w:cs="Times New Roman" w:eastAsia="Times New Roman" w:hint="default"/>
          <w:spacing w:val="2"/>
        </w:rPr>
        <w:t> </w:t>
      </w:r>
      <w:r>
        <w:rPr>
          <w:spacing w:val="-5"/>
        </w:rPr>
        <w:t>千元，按公司净</w:t>
      </w:r>
      <w:r>
        <w:rPr/>
      </w:r>
    </w:p>
    <w:p>
      <w:pPr>
        <w:pStyle w:val="BodyText"/>
        <w:spacing w:line="240" w:lineRule="auto" w:before="135"/>
        <w:ind w:right="87"/>
        <w:jc w:val="left"/>
        <w:rPr>
          <w:rFonts w:ascii="Times New Roman" w:hAnsi="Times New Roman" w:cs="Times New Roman" w:eastAsia="Times New Roman" w:hint="default"/>
        </w:rPr>
      </w:pPr>
      <w:r>
        <w:rPr/>
        <w:t>利润</w:t>
      </w:r>
      <w:r>
        <w:rPr>
          <w:spacing w:val="-65"/>
        </w:rPr>
        <w:t> </w:t>
      </w:r>
      <w:r>
        <w:rPr>
          <w:rFonts w:ascii="Times New Roman" w:hAnsi="Times New Roman" w:cs="Times New Roman" w:eastAsia="Times New Roman" w:hint="default"/>
        </w:rPr>
        <w:t>10%</w:t>
      </w:r>
      <w:r>
        <w:rPr/>
        <w:t>提取法定盈余公积金</w:t>
      </w:r>
      <w:r>
        <w:rPr>
          <w:spacing w:val="-65"/>
        </w:rPr>
        <w:t> </w:t>
      </w:r>
      <w:r>
        <w:rPr>
          <w:rFonts w:ascii="Times New Roman" w:hAnsi="Times New Roman" w:cs="Times New Roman" w:eastAsia="Times New Roman" w:hint="default"/>
        </w:rPr>
        <w:t>92,852</w:t>
      </w:r>
      <w:r>
        <w:rPr>
          <w:rFonts w:ascii="Times New Roman" w:hAnsi="Times New Roman" w:cs="Times New Roman" w:eastAsia="Times New Roman" w:hint="default"/>
          <w:spacing w:val="-5"/>
        </w:rPr>
        <w:t> </w:t>
      </w:r>
      <w:r>
        <w:rPr/>
        <w:t>千元</w:t>
      </w:r>
      <w:r>
        <w:rPr>
          <w:spacing w:val="-120"/>
        </w:rPr>
        <w:t>，</w:t>
      </w:r>
      <w:r>
        <w:rPr/>
        <w:t>提取法定盈余公积金后剩余利润</w:t>
      </w:r>
      <w:r>
        <w:rPr>
          <w:spacing w:val="-65"/>
        </w:rPr>
        <w:t> </w:t>
      </w:r>
      <w:r>
        <w:rPr>
          <w:rFonts w:ascii="Times New Roman" w:hAnsi="Times New Roman" w:cs="Times New Roman" w:eastAsia="Times New Roman" w:hint="default"/>
        </w:rPr>
        <w:t>835,668</w:t>
      </w:r>
    </w:p>
    <w:p>
      <w:pPr>
        <w:pStyle w:val="BodyText"/>
        <w:spacing w:line="240" w:lineRule="auto" w:before="135"/>
        <w:ind w:right="87"/>
        <w:jc w:val="left"/>
        <w:rPr>
          <w:rFonts w:ascii="Times New Roman" w:hAnsi="Times New Roman" w:cs="Times New Roman" w:eastAsia="Times New Roman" w:hint="default"/>
        </w:rPr>
      </w:pPr>
      <w:r>
        <w:rPr/>
        <w:t>千元，加年初未分配利润</w:t>
      </w:r>
      <w:r>
        <w:rPr>
          <w:spacing w:val="-59"/>
        </w:rPr>
        <w:t> </w:t>
      </w:r>
      <w:r>
        <w:rPr>
          <w:rFonts w:ascii="Times New Roman" w:hAnsi="Times New Roman" w:cs="Times New Roman" w:eastAsia="Times New Roman" w:hint="default"/>
        </w:rPr>
        <w:t>712,118 </w:t>
      </w:r>
      <w:r>
        <w:rPr/>
        <w:t>千元，</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年度可供股东分配的利润为</w:t>
      </w:r>
      <w:r>
        <w:rPr>
          <w:spacing w:val="-59"/>
        </w:rPr>
        <w:t> </w:t>
      </w:r>
      <w:r>
        <w:rPr>
          <w:rFonts w:ascii="Times New Roman" w:hAnsi="Times New Roman" w:cs="Times New Roman" w:eastAsia="Times New Roman" w:hint="default"/>
        </w:rPr>
        <w:t>1,547,786</w:t>
      </w:r>
    </w:p>
    <w:p>
      <w:pPr>
        <w:pStyle w:val="BodyText"/>
        <w:spacing w:line="240" w:lineRule="auto" w:before="135"/>
        <w:ind w:right="87"/>
        <w:jc w:val="left"/>
      </w:pPr>
      <w:r>
        <w:rPr/>
        <w:t>千元。</w:t>
      </w:r>
    </w:p>
    <w:p>
      <w:pPr>
        <w:pStyle w:val="BodyText"/>
        <w:spacing w:line="240" w:lineRule="auto" w:before="154"/>
        <w:ind w:left="623" w:right="87"/>
        <w:jc w:val="left"/>
      </w:pPr>
      <w:r>
        <w:rPr>
          <w:spacing w:val="-4"/>
        </w:rPr>
        <w:t>公司第三届董事会第十二次会议审议通过 </w:t>
      </w:r>
      <w:r>
        <w:rPr>
          <w:rFonts w:ascii="Times New Roman" w:hAnsi="Times New Roman" w:cs="Times New Roman" w:eastAsia="Times New Roman" w:hint="default"/>
        </w:rPr>
        <w:t>2007 </w:t>
      </w:r>
      <w:r>
        <w:rPr>
          <w:spacing w:val="-4"/>
        </w:rPr>
        <w:t>年度利润分配方案：以 </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15"/>
        </w:rPr>
        <w:t> </w:t>
      </w:r>
      <w:r>
        <w:rPr/>
        <w:t>年</w:t>
      </w:r>
    </w:p>
    <w:p>
      <w:pPr>
        <w:pStyle w:val="BodyText"/>
        <w:spacing w:line="240" w:lineRule="auto" w:before="135"/>
        <w:ind w:right="87"/>
        <w:jc w:val="left"/>
      </w:pPr>
      <w:r>
        <w:rPr>
          <w:spacing w:val="-4"/>
        </w:rPr>
        <w:t>末公司总股</w:t>
      </w:r>
      <w:r>
        <w:rPr/>
        <w:t>本</w:t>
      </w:r>
      <w:r>
        <w:rPr>
          <w:spacing w:val="-56"/>
        </w:rPr>
        <w:t> </w:t>
      </w:r>
      <w:r>
        <w:rPr>
          <w:rFonts w:ascii="Times New Roman" w:hAnsi="Times New Roman" w:cs="Times New Roman" w:eastAsia="Times New Roman" w:hint="default"/>
          <w:spacing w:val="-2"/>
        </w:rPr>
        <w:t>1,441,504,00</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spacing w:val="-5"/>
        </w:rPr>
        <w:t>股为基数，向全体股东</w:t>
      </w:r>
      <w:r>
        <w:rPr/>
        <w:t>每</w:t>
      </w:r>
      <w:r>
        <w:rPr>
          <w:spacing w:val="-56"/>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spacing w:val="-4"/>
        </w:rPr>
        <w:t>股派发现</w:t>
      </w:r>
      <w:r>
        <w:rPr/>
        <w:t>金</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4"/>
        </w:rPr>
        <w:t>元（含税</w:t>
      </w:r>
      <w:r>
        <w:rPr>
          <w:spacing w:val="-122"/>
        </w:rPr>
        <w:t>）</w:t>
      </w:r>
      <w:r>
        <w:rPr/>
        <w:t>，</w:t>
      </w:r>
    </w:p>
    <w:p>
      <w:pPr>
        <w:pStyle w:val="BodyText"/>
        <w:spacing w:line="240" w:lineRule="auto" w:before="135"/>
        <w:ind w:right="0"/>
        <w:jc w:val="left"/>
      </w:pPr>
      <w:r>
        <w:rPr>
          <w:spacing w:val="-3"/>
        </w:rPr>
        <w:t>共计</w:t>
      </w:r>
      <w:r>
        <w:rPr>
          <w:spacing w:val="-69"/>
        </w:rPr>
        <w:t> </w:t>
      </w:r>
      <w:r>
        <w:rPr>
          <w:rFonts w:ascii="Times New Roman" w:hAnsi="Times New Roman" w:cs="Times New Roman" w:eastAsia="Times New Roman" w:hint="default"/>
          <w:spacing w:val="-3"/>
        </w:rPr>
        <w:t>288,300.8</w:t>
      </w:r>
      <w:r>
        <w:rPr>
          <w:rFonts w:ascii="Times New Roman" w:hAnsi="Times New Roman" w:cs="Times New Roman" w:eastAsia="Times New Roman" w:hint="default"/>
          <w:spacing w:val="-7"/>
        </w:rPr>
        <w:t> </w:t>
      </w:r>
      <w:r>
        <w:rPr>
          <w:spacing w:val="-3"/>
        </w:rPr>
        <w:t>千元。公司剩余未分配利润</w:t>
      </w:r>
      <w:r>
        <w:rPr>
          <w:spacing w:val="-64"/>
        </w:rPr>
        <w:t> </w:t>
      </w:r>
      <w:r>
        <w:rPr>
          <w:rFonts w:ascii="Times New Roman" w:hAnsi="Times New Roman" w:cs="Times New Roman" w:eastAsia="Times New Roman" w:hint="default"/>
        </w:rPr>
        <w:t>1,259,485.2</w:t>
      </w:r>
      <w:r>
        <w:rPr>
          <w:rFonts w:ascii="Times New Roman" w:hAnsi="Times New Roman" w:cs="Times New Roman" w:eastAsia="Times New Roman" w:hint="default"/>
          <w:spacing w:val="-4"/>
        </w:rPr>
        <w:t> </w:t>
      </w:r>
      <w:r>
        <w:rPr/>
        <w:t>千元，转入下年未分配利润。</w:t>
      </w:r>
    </w:p>
    <w:p>
      <w:pPr>
        <w:pStyle w:val="BodyText"/>
        <w:spacing w:line="240" w:lineRule="auto" w:before="135"/>
        <w:ind w:left="623" w:right="87"/>
        <w:jc w:val="left"/>
      </w:pPr>
      <w:r>
        <w:rPr/>
        <w:t>本次利润分配预案须经</w:t>
      </w:r>
      <w:r>
        <w:rPr>
          <w:spacing w:val="-60"/>
        </w:rPr>
        <w:t> </w:t>
      </w:r>
      <w:r>
        <w:rPr>
          <w:rFonts w:ascii="Times New Roman" w:hAnsi="Times New Roman" w:cs="Times New Roman" w:eastAsia="Times New Roman" w:hint="default"/>
        </w:rPr>
        <w:t>2007 </w:t>
      </w:r>
      <w:r>
        <w:rPr/>
        <w:t>年年度股东大会审议批准后实施。</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57" w:lineRule="auto"/>
        <w:ind w:right="221" w:firstLine="480"/>
        <w:jc w:val="both"/>
      </w:pPr>
      <w:r>
        <w:rPr/>
        <w:t>九</w:t>
      </w:r>
      <w:r>
        <w:rPr>
          <w:spacing w:val="-8"/>
        </w:rPr>
        <w:t>、</w:t>
      </w:r>
      <w:r>
        <w:rPr/>
        <w:t>报告期内</w:t>
      </w:r>
      <w:r>
        <w:rPr>
          <w:spacing w:val="-8"/>
        </w:rPr>
        <w:t>，</w:t>
      </w:r>
      <w:r>
        <w:rPr/>
        <w:t>公司选定的信息披露报纸</w:t>
      </w:r>
      <w:r>
        <w:rPr>
          <w:spacing w:val="-8"/>
        </w:rPr>
        <w:t>为</w:t>
      </w:r>
      <w:r>
        <w:rPr/>
        <w:t>《证券时报</w:t>
      </w:r>
      <w:r>
        <w:rPr>
          <w:spacing w:val="-120"/>
        </w:rPr>
        <w:t>》、</w:t>
      </w:r>
      <w:r>
        <w:rPr/>
        <w:t>《中国证券报</w:t>
      </w:r>
      <w:r>
        <w:rPr>
          <w:spacing w:val="-120"/>
        </w:rPr>
        <w:t>》、</w:t>
      </w:r>
      <w:r>
        <w:rPr/>
        <w:t>《上</w:t>
      </w:r>
      <w:r>
        <w:rPr/>
        <w:t> 海证券报</w:t>
      </w:r>
      <w:r>
        <w:rPr>
          <w:spacing w:val="-120"/>
        </w:rPr>
        <w:t>》、</w:t>
      </w:r>
      <w:r>
        <w:rPr/>
        <w:t>《证券日报》，没有发生变更。</w:t>
      </w:r>
    </w:p>
    <w:p>
      <w:pPr>
        <w:spacing w:line="240" w:lineRule="auto" w:before="0"/>
        <w:rPr>
          <w:rFonts w:ascii="宋体" w:hAnsi="宋体" w:cs="宋体" w:eastAsia="宋体" w:hint="default"/>
          <w:sz w:val="24"/>
          <w:szCs w:val="24"/>
        </w:rPr>
      </w:pPr>
    </w:p>
    <w:p>
      <w:pPr>
        <w:pStyle w:val="BodyText"/>
        <w:spacing w:line="357" w:lineRule="auto" w:before="190"/>
        <w:ind w:left="623" w:right="215"/>
        <w:jc w:val="left"/>
      </w:pPr>
      <w:r>
        <w:rPr/>
        <w:t>十、公司执行内部审计制度的情况： </w:t>
      </w:r>
      <w:r>
        <w:rPr>
          <w:spacing w:val="-1"/>
        </w:rPr>
        <w:t>根据深圳证券交易所的要求和公司经营活动的实际需要，公司前期已经制订了</w:t>
      </w:r>
    </w:p>
    <w:p>
      <w:pPr>
        <w:pStyle w:val="BodyText"/>
        <w:spacing w:line="357" w:lineRule="auto" w:before="36"/>
        <w:ind w:right="217"/>
        <w:jc w:val="left"/>
      </w:pPr>
      <w:r>
        <w:rPr>
          <w:spacing w:val="-1"/>
        </w:rPr>
        <w:t>《内部审计制度》。公司设立审计办公室，独立于公司其他部门，接受董事会的监</w:t>
      </w:r>
      <w:r>
        <w:rPr>
          <w:spacing w:val="-107"/>
        </w:rPr>
        <w:t> </w:t>
      </w:r>
      <w:r>
        <w:rPr>
          <w:spacing w:val="-107"/>
        </w:rPr>
      </w:r>
      <w:r>
        <w:rPr/>
        <w:t>督与指导，严格按照《内部审计制度》开展日常审计工作。</w:t>
      </w:r>
    </w:p>
    <w:p>
      <w:pPr>
        <w:pStyle w:val="BodyText"/>
        <w:spacing w:line="357" w:lineRule="auto" w:before="36"/>
        <w:ind w:right="198" w:firstLine="480"/>
        <w:jc w:val="both"/>
      </w:pPr>
      <w:r>
        <w:rPr>
          <w:spacing w:val="-1"/>
        </w:rPr>
        <w:t>为进一步加强对公司各体系的检查和监督，报告期内，公司审计办公室在原有</w:t>
      </w:r>
      <w:r>
        <w:rPr/>
        <w:t> 财务审计部、工程审计部的基础上，将管理审计部进一步细分，增设营销审计部、 </w:t>
      </w:r>
      <w:r>
        <w:rPr>
          <w:spacing w:val="-1"/>
        </w:rPr>
        <w:t>服务审计部、连锁发展审计部、职能审计部、综合审计部，同时增设监察部，希望</w:t>
      </w:r>
      <w:r>
        <w:rPr>
          <w:spacing w:val="-109"/>
        </w:rPr>
        <w:t> </w:t>
      </w:r>
      <w:r>
        <w:rPr>
          <w:spacing w:val="-109"/>
        </w:rPr>
      </w:r>
      <w:r>
        <w:rPr/>
        <w:t>通过对公司总部各中心、各子公司及重大事项的例行审计、专项检查、专项审计， 进一步建立健全公司的监察和风险防范体系。</w:t>
      </w:r>
    </w:p>
    <w:p>
      <w:pPr>
        <w:pStyle w:val="BodyText"/>
        <w:spacing w:line="355" w:lineRule="auto" w:before="36"/>
        <w:ind w:right="198" w:firstLine="480"/>
        <w:jc w:val="both"/>
      </w:pPr>
      <w:r>
        <w:rPr/>
        <w:t>目前公司审计办公室拥有各类专业人员 </w:t>
      </w:r>
      <w:r>
        <w:rPr>
          <w:rFonts w:ascii="Times New Roman" w:hAnsi="Times New Roman" w:cs="Times New Roman" w:eastAsia="Times New Roman" w:hint="default"/>
        </w:rPr>
        <w:t>25</w:t>
      </w:r>
      <w:r>
        <w:rPr>
          <w:rFonts w:ascii="Times New Roman" w:hAnsi="Times New Roman" w:cs="Times New Roman" w:eastAsia="Times New Roman" w:hint="default"/>
          <w:spacing w:val="38"/>
        </w:rPr>
        <w:t> </w:t>
      </w:r>
      <w:r>
        <w:rPr/>
        <w:t>名，报告期内，主要开展了工程项 </w:t>
      </w:r>
      <w:r>
        <w:rPr>
          <w:spacing w:val="-1"/>
        </w:rPr>
        <w:t>目审计（物流建设项目、连锁店装饰装修项目）、财务常规性审计、离任专项审计</w:t>
      </w:r>
      <w:r>
        <w:rPr>
          <w:spacing w:val="-109"/>
        </w:rPr>
        <w:t> </w:t>
      </w:r>
      <w:r>
        <w:rPr>
          <w:spacing w:val="-109"/>
        </w:rPr>
      </w:r>
      <w:r>
        <w:rPr/>
        <w:t>及对外投资和募集资金的存放与使用审计、其他有必要深入的事项实施专项审计、 </w:t>
      </w:r>
      <w:r>
        <w:rPr>
          <w:spacing w:val="-1"/>
        </w:rPr>
        <w:t>各类招标项目的过程监督等。此外，对公司现金、银行账户等进行不定期抽查，对</w:t>
      </w:r>
      <w:r>
        <w:rPr>
          <w:spacing w:val="-107"/>
        </w:rPr>
        <w:t> </w:t>
      </w:r>
      <w:r>
        <w:rPr>
          <w:spacing w:val="-107"/>
        </w:rPr>
      </w:r>
      <w:r>
        <w:rPr>
          <w:spacing w:val="-1"/>
        </w:rPr>
        <w:t>设备、库存等组织人员进行不定期监盘，重大经济合同的审核。上述工作进一步加</w:t>
      </w:r>
      <w:r>
        <w:rPr>
          <w:spacing w:val="-108"/>
        </w:rPr>
        <w:t> </w:t>
      </w:r>
      <w:r>
        <w:rPr>
          <w:spacing w:val="-108"/>
        </w:rPr>
      </w:r>
      <w:r>
        <w:rPr>
          <w:spacing w:val="-1"/>
        </w:rPr>
        <w:t>强了公司的规范运作，完善公司的风险防范机制。同时，审计办公室作为公司内部</w:t>
      </w:r>
      <w:r>
        <w:rPr>
          <w:spacing w:val="-108"/>
        </w:rPr>
        <w:t> </w:t>
      </w:r>
      <w:r>
        <w:rPr>
          <w:spacing w:val="-108"/>
        </w:rPr>
      </w:r>
      <w:r>
        <w:rPr>
          <w:spacing w:val="-1"/>
        </w:rPr>
        <w:t>审计机构，能够按照相关规定对公司财务信息定期发表内部审计意见，为规范公司</w:t>
      </w:r>
      <w:r>
        <w:rPr>
          <w:spacing w:val="-106"/>
        </w:rPr>
        <w:t> </w:t>
      </w:r>
      <w:r>
        <w:rPr>
          <w:spacing w:val="-106"/>
        </w:rPr>
      </w:r>
      <w:r>
        <w:rPr/>
        <w:t>内部控制发挥了重要的监督作用。</w:t>
      </w:r>
    </w:p>
    <w:p>
      <w:pPr>
        <w:spacing w:after="0" w:line="355"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57" w:lineRule="auto" w:before="26"/>
        <w:ind w:left="623" w:right="215"/>
        <w:jc w:val="left"/>
      </w:pPr>
      <w:r>
        <w:rPr/>
        <w:t>十一、开展投资者关系管理的具体情况： </w:t>
      </w:r>
      <w:r>
        <w:rPr>
          <w:spacing w:val="-1"/>
        </w:rPr>
        <w:t>报告期内，公司严格按照《投资者关系管理制度》的要求，认真作好投资者关</w:t>
      </w:r>
    </w:p>
    <w:p>
      <w:pPr>
        <w:pStyle w:val="BodyText"/>
        <w:spacing w:line="240" w:lineRule="auto" w:before="36"/>
        <w:ind w:right="0"/>
        <w:jc w:val="both"/>
      </w:pPr>
      <w:r>
        <w:rPr/>
        <w:t>系管理工作：</w:t>
      </w:r>
    </w:p>
    <w:p>
      <w:pPr>
        <w:pStyle w:val="BodyText"/>
        <w:spacing w:line="240" w:lineRule="auto" w:before="154"/>
        <w:ind w:left="623" w:right="87"/>
        <w:jc w:val="left"/>
      </w:pPr>
      <w:r>
        <w:rPr>
          <w:rFonts w:ascii="Times New Roman" w:hAnsi="Times New Roman" w:cs="Times New Roman" w:eastAsia="Times New Roman" w:hint="default"/>
        </w:rPr>
        <w:t>1</w:t>
      </w:r>
      <w:r>
        <w:rPr/>
        <w:t>、日常工作</w:t>
      </w:r>
    </w:p>
    <w:p>
      <w:pPr>
        <w:pStyle w:val="BodyText"/>
        <w:spacing w:line="338" w:lineRule="auto" w:before="135"/>
        <w:ind w:right="21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指定董事会秘书作为投资者关系管理负责人，安排专人作好投资者来访接</w:t>
      </w:r>
      <w:r>
        <w:rPr>
          <w:spacing w:val="3"/>
        </w:rPr>
        <w:t> </w:t>
      </w:r>
      <w:r>
        <w:rPr>
          <w:spacing w:val="-1"/>
        </w:rPr>
        <w:t>待工作，并作好各次接待的资料存档工作。报告期内，公司共接待投资者来访</w:t>
      </w:r>
      <w:r>
        <w:rPr>
          <w:rFonts w:ascii="Times New Roman" w:hAnsi="Times New Roman" w:cs="Times New Roman" w:eastAsia="Times New Roman" w:hint="default"/>
          <w:spacing w:val="-1"/>
        </w:rPr>
        <w:t>90</w:t>
      </w:r>
      <w:r>
        <w:rPr>
          <w:spacing w:val="-1"/>
        </w:rPr>
        <w:t>人</w:t>
      </w:r>
      <w:r>
        <w:rPr>
          <w:spacing w:val="-107"/>
        </w:rPr>
        <w:t> </w:t>
      </w:r>
      <w:r>
        <w:rPr/>
        <w:t>次；</w:t>
      </w:r>
    </w:p>
    <w:p>
      <w:pPr>
        <w:pStyle w:val="BodyText"/>
        <w:spacing w:line="338" w:lineRule="auto" w:before="55"/>
        <w:ind w:right="217" w:firstLine="480"/>
        <w:jc w:val="both"/>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spacing w:val="2"/>
        </w:rPr>
        <w:t>通过公司网站、投资者关系管理电话、电子信箱、传真、中小企业板互动</w:t>
      </w:r>
      <w:r>
        <w:rPr>
          <w:spacing w:val="3"/>
        </w:rPr>
        <w:t> </w:t>
      </w:r>
      <w:r>
        <w:rPr/>
        <w:t>平台等多种渠道与投资者加强沟通，尽可能解答投资者的疑问；</w:t>
      </w:r>
    </w:p>
    <w:p>
      <w:pPr>
        <w:pStyle w:val="BodyText"/>
        <w:spacing w:line="240" w:lineRule="auto" w:before="55"/>
        <w:ind w:left="623" w:right="87"/>
        <w:jc w:val="left"/>
      </w:pPr>
      <w:r>
        <w:rPr>
          <w:rFonts w:ascii="Times New Roman" w:hAnsi="Times New Roman" w:cs="Times New Roman" w:eastAsia="Times New Roman" w:hint="default"/>
        </w:rPr>
        <w:t>2</w:t>
      </w:r>
      <w:r>
        <w:rPr/>
        <w:t>、互动交流</w:t>
      </w:r>
    </w:p>
    <w:p>
      <w:pPr>
        <w:pStyle w:val="BodyText"/>
        <w:spacing w:line="352" w:lineRule="auto" w:before="135"/>
        <w:ind w:left="144" w:right="198" w:firstLine="480"/>
        <w:jc w:val="both"/>
      </w:pPr>
      <w:r>
        <w:rPr>
          <w:rFonts w:ascii="Wingdings" w:hAnsi="Wingdings" w:cs="Wingdings" w:eastAsia="Wingdings" w:hint="default"/>
        </w:rPr>
        <w:t></w:t>
      </w:r>
      <w:r>
        <w:rPr>
          <w:rFonts w:ascii="Wingdings" w:hAnsi="Wingdings" w:cs="Wingdings" w:eastAsia="Wingdings" w:hint="default"/>
          <w:spacing w:val="-79"/>
        </w:rPr>
        <w:t></w:t>
      </w:r>
      <w:r>
        <w:rPr>
          <w:rFonts w:ascii="Times New Roman" w:hAnsi="Times New Roman" w:cs="Times New Roman" w:eastAsia="Times New Roman" w:hint="default"/>
          <w:spacing w:val="-79"/>
        </w:rPr>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日，公司通过全景网投资者关系互动平台举行了公司</w:t>
      </w:r>
      <w:r>
        <w:rPr>
          <w:rFonts w:ascii="Times New Roman" w:hAnsi="Times New Roman" w:cs="Times New Roman" w:eastAsia="Times New Roman" w:hint="default"/>
        </w:rPr>
        <w:t>2006</w:t>
      </w:r>
      <w:r>
        <w:rPr/>
        <w:t>年年 度业绩说明会，公司董事长张近东先生、总裁孙为民先生、董事会秘书任峻先生、 </w:t>
      </w:r>
      <w:r>
        <w:rPr>
          <w:spacing w:val="-1"/>
        </w:rPr>
        <w:t>财务负责人陈世清先生、独立董事黄丽洁女士以及保荐机构代表人朱峰先生、孙玉</w:t>
      </w:r>
      <w:r>
        <w:rPr>
          <w:spacing w:val="-106"/>
        </w:rPr>
        <w:t> </w:t>
      </w:r>
      <w:r>
        <w:rPr>
          <w:spacing w:val="-106"/>
        </w:rPr>
      </w:r>
      <w:r>
        <w:rPr>
          <w:spacing w:val="-1"/>
        </w:rPr>
        <w:t>龙先生参加了本次网上业绩说明会，并在线回答了投资者的咨询，与广大投资者进</w:t>
      </w:r>
      <w:r>
        <w:rPr>
          <w:spacing w:val="-106"/>
        </w:rPr>
        <w:t> </w:t>
      </w:r>
      <w:r>
        <w:rPr>
          <w:spacing w:val="-106"/>
        </w:rPr>
      </w:r>
      <w:r>
        <w:rPr/>
        <w:t>行坦诚的沟通和交流，使广大投资者更深入的了解公司的各项情况。</w:t>
      </w:r>
    </w:p>
    <w:p>
      <w:pPr>
        <w:pStyle w:val="BodyText"/>
        <w:spacing w:line="338" w:lineRule="auto" w:before="41"/>
        <w:ind w:left="144" w:right="84" w:firstLine="480"/>
        <w:jc w:val="left"/>
      </w:pPr>
      <w:r>
        <w:rPr>
          <w:rFonts w:ascii="Wingdings" w:hAnsi="Wingdings" w:cs="Wingdings" w:eastAsia="Wingdings" w:hint="default"/>
        </w:rPr>
        <w:t></w:t>
      </w:r>
      <w:r>
        <w:rPr>
          <w:rFonts w:ascii="Wingdings" w:hAnsi="Wingdings" w:cs="Wingdings" w:eastAsia="Wingdings" w:hint="default"/>
          <w:spacing w:val="-47"/>
        </w:rPr>
        <w:t></w:t>
      </w:r>
      <w:r>
        <w:rPr>
          <w:rFonts w:ascii="Times New Roman" w:hAnsi="Times New Roman" w:cs="Times New Roman" w:eastAsia="Times New Roman" w:hint="default"/>
          <w:spacing w:val="-47"/>
        </w:rPr>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26</w:t>
      </w:r>
      <w:r>
        <w:rPr>
          <w:spacing w:val="-4"/>
        </w:rPr>
        <w:t>日，公司在北京举行了</w:t>
      </w:r>
      <w:r>
        <w:rPr>
          <w:rFonts w:ascii="Times New Roman" w:hAnsi="Times New Roman" w:cs="Times New Roman" w:eastAsia="Times New Roman" w:hint="default"/>
          <w:spacing w:val="-4"/>
        </w:rPr>
        <w:t>2006</w:t>
      </w:r>
      <w:r>
        <w:rPr>
          <w:spacing w:val="-4"/>
        </w:rPr>
        <w:t>年度业绩交流会，就公司经营业绩、</w:t>
      </w:r>
      <w:r>
        <w:rPr/>
        <w:t> 发展动态与投资者进行了交流，加强了与投资者沟通的时效性。</w:t>
      </w:r>
    </w:p>
    <w:p>
      <w:pPr>
        <w:pStyle w:val="BodyText"/>
        <w:spacing w:line="348" w:lineRule="auto" w:before="55"/>
        <w:ind w:left="144" w:right="217" w:firstLine="480"/>
        <w:jc w:val="both"/>
      </w:pPr>
      <w:r>
        <w:rPr>
          <w:rFonts w:ascii="Wingdings" w:hAnsi="Wingdings" w:cs="Wingdings" w:eastAsia="Wingdings" w:hint="default"/>
        </w:rPr>
        <w:t></w:t>
      </w:r>
      <w:r>
        <w:rPr>
          <w:rFonts w:ascii="Wingdings" w:hAnsi="Wingdings" w:cs="Wingdings" w:eastAsia="Wingdings" w:hint="default"/>
          <w:spacing w:val="-32"/>
        </w:rPr>
        <w:t></w:t>
      </w:r>
      <w:r>
        <w:rPr>
          <w:rFonts w:ascii="Times New Roman" w:hAnsi="Times New Roman" w:cs="Times New Roman" w:eastAsia="Times New Roman" w:hint="default"/>
          <w:spacing w:val="-32"/>
        </w:rPr>
      </w:r>
      <w:r>
        <w:rPr>
          <w:spacing w:val="2"/>
        </w:rPr>
        <w:t>报告期内公司共召开了三次股东大会；会上，公司董事、监事、高级管理</w:t>
      </w:r>
      <w:r>
        <w:rPr>
          <w:spacing w:val="3"/>
        </w:rPr>
        <w:t> </w:t>
      </w:r>
      <w:r>
        <w:rPr>
          <w:spacing w:val="-1"/>
        </w:rPr>
        <w:t>人员认真听取了投资者的建议和意见，并就公司经营、未来发展等问题与广大投资</w:t>
      </w:r>
      <w:r>
        <w:rPr>
          <w:spacing w:val="-106"/>
        </w:rPr>
        <w:t> </w:t>
      </w:r>
      <w:r>
        <w:rPr>
          <w:spacing w:val="-106"/>
        </w:rPr>
      </w:r>
      <w:r>
        <w:rPr/>
        <w:t>者进行了深入的沟通和交流。</w:t>
      </w:r>
    </w:p>
    <w:p>
      <w:pPr>
        <w:pStyle w:val="BodyText"/>
        <w:spacing w:line="338" w:lineRule="auto" w:before="46"/>
        <w:ind w:left="624" w:right="214"/>
        <w:jc w:val="left"/>
      </w:pPr>
      <w:r>
        <w:rPr>
          <w:rFonts w:ascii="Times New Roman" w:hAnsi="Times New Roman" w:cs="Times New Roman" w:eastAsia="Times New Roman" w:hint="default"/>
        </w:rPr>
        <w:t>3</w:t>
      </w:r>
      <w:r>
        <w:rPr/>
        <w:t>、制度完善 </w:t>
      </w:r>
      <w:r>
        <w:rPr>
          <w:spacing w:val="-1"/>
        </w:rPr>
        <w:t>为确保投资者更加公平、公正、公开的了解公司信息，按照中国证券监督管理</w:t>
      </w:r>
    </w:p>
    <w:p>
      <w:pPr>
        <w:pStyle w:val="BodyText"/>
        <w:spacing w:line="357" w:lineRule="auto" w:before="55"/>
        <w:ind w:left="144" w:right="221"/>
        <w:jc w:val="both"/>
      </w:pPr>
      <w:r>
        <w:rPr>
          <w:spacing w:val="-8"/>
        </w:rPr>
        <w:t>委员会及深圳证券交易所的要求，报告期内公司对《董事会秘书工作细则》、《信息</w:t>
      </w:r>
      <w:r>
        <w:rPr>
          <w:spacing w:val="-88"/>
        </w:rPr>
        <w:t> </w:t>
      </w:r>
      <w:r>
        <w:rPr>
          <w:spacing w:val="-88"/>
        </w:rPr>
      </w:r>
      <w:r>
        <w:rPr>
          <w:spacing w:val="-1"/>
        </w:rPr>
        <w:t>披露管理制度》进行了修订，进一步规范了公司信息披露工作，明确了公司内部重</w:t>
      </w:r>
      <w:r>
        <w:rPr>
          <w:spacing w:val="-108"/>
        </w:rPr>
        <w:t> </w:t>
      </w:r>
      <w:r>
        <w:rPr>
          <w:spacing w:val="-108"/>
        </w:rPr>
      </w:r>
      <w:r>
        <w:rPr/>
        <w:t>大事项报告制度，完善了投资者接待流程。</w:t>
      </w:r>
    </w:p>
    <w:p>
      <w:pPr>
        <w:pStyle w:val="BodyText"/>
        <w:spacing w:line="240" w:lineRule="auto" w:before="36"/>
        <w:ind w:left="624" w:right="87"/>
        <w:jc w:val="left"/>
      </w:pPr>
      <w:r>
        <w:rPr>
          <w:rFonts w:ascii="Times New Roman" w:hAnsi="Times New Roman" w:cs="Times New Roman" w:eastAsia="Times New Roman" w:hint="default"/>
        </w:rPr>
        <w:t>4</w:t>
      </w:r>
      <w:r>
        <w:rPr/>
        <w:t>、信息披露</w:t>
      </w:r>
    </w:p>
    <w:p>
      <w:pPr>
        <w:pStyle w:val="BodyText"/>
        <w:spacing w:line="338" w:lineRule="auto" w:before="135"/>
        <w:ind w:left="144" w:right="216" w:firstLine="48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2007</w:t>
      </w:r>
      <w:r>
        <w:rPr>
          <w:spacing w:val="2"/>
        </w:rPr>
        <w:t>年，深圳证券交易所对中小企业板上市公司</w:t>
      </w:r>
      <w:r>
        <w:rPr>
          <w:rFonts w:ascii="Times New Roman" w:hAnsi="Times New Roman" w:cs="Times New Roman" w:eastAsia="Times New Roman" w:hint="default"/>
          <w:spacing w:val="2"/>
        </w:rPr>
        <w:t>2006</w:t>
      </w:r>
      <w:r>
        <w:rPr>
          <w:spacing w:val="2"/>
        </w:rPr>
        <w:t>年度信息披露工作</w:t>
      </w:r>
      <w:r>
        <w:rPr>
          <w:spacing w:val="3"/>
        </w:rPr>
        <w:t> </w:t>
      </w:r>
      <w:r>
        <w:rPr/>
        <w:t>进行了考核评比，经考核，公司获“优秀”评级。</w:t>
      </w:r>
    </w:p>
    <w:p>
      <w:pPr>
        <w:pStyle w:val="BodyText"/>
        <w:spacing w:line="338" w:lineRule="auto" w:before="55"/>
        <w:ind w:left="144" w:right="247" w:firstLine="480"/>
        <w:jc w:val="both"/>
      </w:pPr>
      <w:r>
        <w:rPr/>
        <w:t>（</w:t>
      </w:r>
      <w:r>
        <w:rPr>
          <w:rFonts w:ascii="Times New Roman" w:hAnsi="Times New Roman" w:cs="Times New Roman" w:eastAsia="Times New Roman" w:hint="default"/>
        </w:rPr>
        <w:t>2</w:t>
      </w:r>
      <w:r>
        <w:rPr/>
        <w:t>）公司还将进一步加强与深圳证券交易所的经常性联系和沟通，及时、主</w:t>
      </w:r>
      <w:r>
        <w:rPr>
          <w:spacing w:val="2"/>
        </w:rPr>
        <w:t> </w:t>
      </w:r>
      <w:r>
        <w:rPr>
          <w:spacing w:val="-2"/>
        </w:rPr>
        <w:t>动地报告公司的有关事项，从而准确地理解信息披露的规范要求，并不断适应新的</w:t>
      </w:r>
    </w:p>
    <w:p>
      <w:pPr>
        <w:spacing w:after="0" w:line="338"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240" w:lineRule="auto" w:before="26"/>
        <w:ind w:left="144" w:right="0"/>
        <w:jc w:val="both"/>
      </w:pPr>
      <w:r>
        <w:rPr/>
        <w:t>披露要求，使公司透明度和信息披露的质量进一步提高。</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ind w:left="623" w:right="87"/>
        <w:jc w:val="left"/>
      </w:pPr>
      <w:r>
        <w:rPr/>
        <w:t>十二、其他报告事项</w:t>
      </w:r>
    </w:p>
    <w:p>
      <w:pPr>
        <w:pStyle w:val="BodyText"/>
        <w:spacing w:line="357" w:lineRule="auto" w:before="154"/>
        <w:ind w:left="623" w:right="211"/>
        <w:jc w:val="left"/>
        <w:rPr>
          <w:rFonts w:ascii="Times New Roman" w:hAnsi="Times New Roman" w:cs="Times New Roman" w:eastAsia="Times New Roman" w:hint="default"/>
        </w:rPr>
      </w:pPr>
      <w:r>
        <w:rPr/>
        <w:t>（一）注册会计师对公司控股股东及其他关联方占用资金情况的说明： 普华永道中天会计师事务所有限公司出具了普华永道中天特审字</w:t>
      </w:r>
      <w:r>
        <w:rPr>
          <w:rFonts w:ascii="Times New Roman" w:hAnsi="Times New Roman" w:cs="Times New Roman" w:eastAsia="Times New Roman" w:hint="default"/>
        </w:rPr>
        <w:t>(2008)</w:t>
      </w:r>
      <w:r>
        <w:rPr/>
        <w:t>第</w:t>
      </w:r>
      <w:r>
        <w:rPr>
          <w:spacing w:val="50"/>
        </w:rPr>
        <w:t> </w:t>
      </w:r>
      <w:r>
        <w:rPr>
          <w:rFonts w:ascii="Times New Roman" w:hAnsi="Times New Roman" w:cs="Times New Roman" w:eastAsia="Times New Roman" w:hint="default"/>
        </w:rPr>
        <w:t>004</w:t>
      </w:r>
    </w:p>
    <w:p>
      <w:pPr>
        <w:pStyle w:val="BodyText"/>
        <w:spacing w:line="240" w:lineRule="auto" w:before="5"/>
        <w:ind w:left="144" w:right="0"/>
        <w:jc w:val="both"/>
      </w:pPr>
      <w:r>
        <w:rPr>
          <w:spacing w:val="-22"/>
        </w:rPr>
        <w:t>号</w:t>
      </w:r>
      <w:r>
        <w:rPr/>
        <w:t>《关于苏宁电器股份有限公司控股股东及其他关联方占用资金情况的专项说明</w:t>
      </w:r>
      <w:r>
        <w:rPr>
          <w:spacing w:val="-120"/>
        </w:rPr>
        <w:t>》</w:t>
      </w:r>
      <w:r>
        <w:rPr/>
        <w:t>。</w:t>
      </w:r>
    </w:p>
    <w:p>
      <w:pPr>
        <w:pStyle w:val="BodyText"/>
        <w:spacing w:line="357" w:lineRule="auto" w:before="154"/>
        <w:ind w:left="624" w:right="87"/>
        <w:jc w:val="left"/>
      </w:pPr>
      <w:r>
        <w:rPr/>
        <w:t>（二）公司独立董事对公司与关联方资金往来对外担保情况的专项说明： 根据中国证监会证监发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28"/>
        </w:rPr>
        <w:t> </w:t>
      </w:r>
      <w:r>
        <w:rPr/>
        <w:t>号《关于规范上市公司与关联方资金往来及上</w:t>
      </w:r>
    </w:p>
    <w:p>
      <w:pPr>
        <w:pStyle w:val="BodyText"/>
        <w:spacing w:line="350" w:lineRule="auto" w:before="5"/>
        <w:ind w:left="144" w:right="216"/>
        <w:jc w:val="both"/>
      </w:pPr>
      <w:r>
        <w:rPr>
          <w:spacing w:val="-5"/>
        </w:rPr>
        <w:t>市公司对外担保若干问题的通知》、证监发</w:t>
      </w:r>
      <w:r>
        <w:rPr>
          <w:rFonts w:ascii="Times New Roman" w:hAnsi="Times New Roman" w:cs="Times New Roman" w:eastAsia="Times New Roman" w:hint="default"/>
          <w:spacing w:val="-5"/>
        </w:rPr>
        <w:t>[2005]120</w:t>
      </w:r>
      <w:r>
        <w:rPr>
          <w:rFonts w:ascii="Times New Roman" w:hAnsi="Times New Roman" w:cs="Times New Roman" w:eastAsia="Times New Roman" w:hint="default"/>
        </w:rPr>
        <w:t> </w:t>
      </w:r>
      <w:r>
        <w:rPr/>
        <w:t>号《关于规范上市公司对外担</w:t>
      </w:r>
      <w:r>
        <w:rPr>
          <w:spacing w:val="-113"/>
        </w:rPr>
        <w:t> </w:t>
      </w:r>
      <w:r>
        <w:rPr>
          <w:spacing w:val="-2"/>
        </w:rPr>
        <w:t>保行为的通知》、深圳证券交易所《股票上市规则》和中国证监会江苏监管局苏证</w:t>
      </w:r>
      <w:r>
        <w:rPr>
          <w:spacing w:val="-97"/>
        </w:rPr>
        <w:t> </w:t>
      </w:r>
      <w:r>
        <w:rPr>
          <w:spacing w:val="-97"/>
        </w:rPr>
      </w:r>
      <w:r>
        <w:rPr/>
        <w:t>监公司字〔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38"/>
        </w:rPr>
        <w:t> </w:t>
      </w:r>
      <w:r>
        <w:rPr/>
        <w:t>号《关于规范独立董事对于担保事项专项说明和独立意见的通 </w:t>
      </w:r>
      <w:r>
        <w:rPr>
          <w:spacing w:val="-1"/>
        </w:rPr>
        <w:t>知》的要求，公司独立董事本着对公司、全体股东及投资者负责的态度，对公司与</w:t>
      </w:r>
      <w:r>
        <w:rPr>
          <w:spacing w:val="-108"/>
        </w:rPr>
        <w:t> </w:t>
      </w:r>
      <w:r>
        <w:rPr>
          <w:spacing w:val="-108"/>
        </w:rPr>
      </w:r>
      <w:r>
        <w:rPr>
          <w:spacing w:val="-1"/>
        </w:rPr>
        <w:t>关联方的资金往来和对外担保情况进行了仔细的核查，并发表以下专项说明和独立</w:t>
      </w:r>
      <w:r>
        <w:rPr>
          <w:spacing w:val="-106"/>
        </w:rPr>
        <w:t> </w:t>
      </w:r>
      <w:r>
        <w:rPr>
          <w:spacing w:val="-106"/>
        </w:rPr>
      </w:r>
      <w:r>
        <w:rPr/>
        <w:t>意见：</w:t>
      </w:r>
    </w:p>
    <w:p>
      <w:pPr>
        <w:pStyle w:val="BodyText"/>
        <w:spacing w:line="338" w:lineRule="auto" w:before="43"/>
        <w:ind w:right="221" w:firstLine="480"/>
        <w:jc w:val="both"/>
      </w:pPr>
      <w:r>
        <w:rPr>
          <w:spacing w:val="-5"/>
        </w:rPr>
        <w:t>“</w:t>
      </w:r>
      <w:r>
        <w:rPr>
          <w:rFonts w:ascii="Times New Roman" w:hAnsi="Times New Roman" w:cs="Times New Roman" w:eastAsia="Times New Roman" w:hint="default"/>
          <w:spacing w:val="-5"/>
        </w:rPr>
        <w:t>1</w:t>
      </w:r>
      <w:r>
        <w:rPr>
          <w:spacing w:val="-5"/>
        </w:rPr>
        <w:t>、公司控股股东不存在占用公司资金的情况，也不存在以前年度发生并累计 </w:t>
      </w:r>
      <w:r>
        <w:rPr/>
        <w:t>至</w:t>
      </w:r>
      <w:r>
        <w:rPr>
          <w:spacing w:val="-62"/>
        </w:rPr>
        <w:t> </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日的违规关联方占用资金情况。公司与江苏苏宁电器有限公司等</w:t>
      </w:r>
      <w:r>
        <w:rPr>
          <w:spacing w:val="-4"/>
        </w:rPr>
        <w:t> </w:t>
      </w:r>
      <w:r>
        <w:rPr>
          <w:spacing w:val="-5"/>
        </w:rPr>
        <w:t>公司发生的资金往来均为正常性资金往来。</w:t>
      </w:r>
      <w:r>
        <w:rPr/>
      </w:r>
    </w:p>
    <w:p>
      <w:pPr>
        <w:pStyle w:val="BodyText"/>
        <w:spacing w:line="338" w:lineRule="auto" w:before="55"/>
        <w:ind w:right="218" w:firstLine="480"/>
        <w:jc w:val="both"/>
      </w:pPr>
      <w:r>
        <w:rPr>
          <w:rFonts w:ascii="Times New Roman" w:hAnsi="Times New Roman" w:cs="Times New Roman" w:eastAsia="Times New Roman" w:hint="default"/>
          <w:spacing w:val="2"/>
        </w:rPr>
        <w:t>2</w:t>
      </w:r>
      <w:r>
        <w:rPr>
          <w:spacing w:val="2"/>
        </w:rPr>
        <w:t>、公司不存在为控股股东及其关联方提供担保的情况，也不存在直接或间接</w:t>
      </w:r>
      <w:r>
        <w:rPr>
          <w:spacing w:val="3"/>
        </w:rPr>
        <w:t> </w:t>
      </w:r>
      <w:r>
        <w:rPr/>
        <w:t>为资产负债率超过</w:t>
      </w:r>
      <w:r>
        <w:rPr>
          <w:spacing w:val="-60"/>
        </w:rPr>
        <w:t> </w:t>
      </w:r>
      <w:r>
        <w:rPr>
          <w:rFonts w:ascii="Times New Roman" w:hAnsi="Times New Roman" w:cs="Times New Roman" w:eastAsia="Times New Roman" w:hint="default"/>
        </w:rPr>
        <w:t>70</w:t>
      </w:r>
      <w:r>
        <w:rPr/>
        <w:t>％的被担保对象提供担保的情况；</w:t>
      </w:r>
    </w:p>
    <w:p>
      <w:pPr>
        <w:pStyle w:val="BodyText"/>
        <w:spacing w:line="240" w:lineRule="auto" w:before="27"/>
        <w:ind w:left="623" w:right="87"/>
        <w:jc w:val="left"/>
        <w:rPr>
          <w:rFonts w:ascii="Times New Roman" w:hAnsi="Times New Roman" w:cs="Times New Roman" w:eastAsia="Times New Roman" w:hint="default"/>
        </w:rPr>
      </w:pPr>
      <w:r>
        <w:rPr/>
        <w:t>截至</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日，公司实际提供的尚未履行完毕的担保总额为</w:t>
      </w:r>
      <w:r>
        <w:rPr>
          <w:spacing w:val="-64"/>
        </w:rPr>
        <w:t> </w:t>
      </w:r>
      <w:r>
        <w:rPr>
          <w:rFonts w:ascii="Times New Roman" w:hAnsi="Times New Roman" w:cs="Times New Roman" w:eastAsia="Times New Roman" w:hint="default"/>
        </w:rPr>
        <w:t>690,050</w:t>
      </w:r>
    </w:p>
    <w:p>
      <w:pPr>
        <w:pStyle w:val="BodyText"/>
        <w:spacing w:line="338" w:lineRule="auto" w:before="135"/>
        <w:ind w:left="144" w:right="221"/>
        <w:jc w:val="both"/>
      </w:pPr>
      <w:r>
        <w:rPr/>
        <w:t>千元，占公司</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日经审计净资产的</w:t>
      </w:r>
      <w:r>
        <w:rPr>
          <w:spacing w:val="-64"/>
        </w:rPr>
        <w:t> </w:t>
      </w:r>
      <w:r>
        <w:rPr>
          <w:rFonts w:ascii="Times New Roman" w:hAnsi="Times New Roman" w:cs="Times New Roman" w:eastAsia="Times New Roman" w:hint="default"/>
        </w:rPr>
        <w:t>14.92</w:t>
      </w:r>
      <w:r>
        <w:rPr/>
        <w:t>％，不存在对外担保总额超 过净资产</w:t>
      </w:r>
      <w:r>
        <w:rPr>
          <w:spacing w:val="-45"/>
        </w:rPr>
        <w:t> </w:t>
      </w:r>
      <w:r>
        <w:rPr>
          <w:rFonts w:ascii="Times New Roman" w:hAnsi="Times New Roman" w:cs="Times New Roman" w:eastAsia="Times New Roman" w:hint="default"/>
          <w:spacing w:val="-3"/>
        </w:rPr>
        <w:t>50</w:t>
      </w:r>
      <w:r>
        <w:rPr>
          <w:spacing w:val="-3"/>
        </w:rPr>
        <w:t>％的情况，且所有担保均为对控股子公司的担保，被担保方盈利状况良</w:t>
      </w:r>
      <w:r>
        <w:rPr/>
        <w:t> 好。</w:t>
      </w:r>
    </w:p>
    <w:p>
      <w:pPr>
        <w:pStyle w:val="BodyText"/>
        <w:spacing w:line="357" w:lineRule="auto" w:before="55"/>
        <w:ind w:left="144" w:right="221" w:firstLine="480"/>
        <w:jc w:val="both"/>
      </w:pPr>
      <w:r>
        <w:rPr>
          <w:spacing w:val="-14"/>
        </w:rPr>
        <w:t>公司在实施上述担保时均已严格按照《公司法》、《上市规则》、《公司章程》的</w:t>
      </w:r>
      <w:r>
        <w:rPr/>
        <w:t> </w:t>
      </w:r>
      <w:r>
        <w:rPr>
          <w:spacing w:val="-1"/>
        </w:rPr>
        <w:t>有关规定，执行对外担保的有关决策程序，履行对外担保情况的信息披露义务，如</w:t>
      </w:r>
      <w:r>
        <w:rPr>
          <w:spacing w:val="-108"/>
        </w:rPr>
        <w:t> </w:t>
      </w:r>
      <w:r>
        <w:rPr>
          <w:spacing w:val="-108"/>
        </w:rPr>
      </w:r>
      <w:r>
        <w:rPr/>
        <w:t>实提供了公司全部对外担保事项，信息披露准确、完整，担保风险已充分揭示。</w:t>
      </w:r>
    </w:p>
    <w:p>
      <w:pPr>
        <w:pStyle w:val="BodyText"/>
        <w:spacing w:line="348" w:lineRule="auto" w:before="36"/>
        <w:ind w:left="144" w:right="217" w:firstLine="480"/>
        <w:jc w:val="both"/>
      </w:pPr>
      <w:r>
        <w:rPr>
          <w:spacing w:val="-1"/>
        </w:rPr>
        <w:t>公司不存在违规对外担保事项，能够严格控制对外担保的风险，没有明显迹象</w:t>
      </w:r>
      <w:r>
        <w:rPr/>
        <w:t> 表明公司可能因对外担保承担连带清偿责任，不存在与‘证监发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7"/>
        </w:rPr>
        <w:t> </w:t>
      </w:r>
      <w:r>
        <w:rPr/>
        <w:t>号’文、 </w:t>
      </w:r>
      <w:r>
        <w:rPr>
          <w:spacing w:val="-1"/>
        </w:rPr>
        <w:t>‘证监发</w:t>
      </w:r>
      <w:r>
        <w:rPr>
          <w:rFonts w:ascii="Times New Roman" w:hAnsi="Times New Roman" w:cs="Times New Roman" w:eastAsia="Times New Roman" w:hint="default"/>
          <w:spacing w:val="-1"/>
        </w:rPr>
        <w:t>[2005]120</w:t>
      </w:r>
      <w:r>
        <w:rPr>
          <w:rFonts w:ascii="Times New Roman" w:hAnsi="Times New Roman" w:cs="Times New Roman" w:eastAsia="Times New Roman" w:hint="default"/>
          <w:spacing w:val="6"/>
        </w:rPr>
        <w:t> </w:t>
      </w:r>
      <w:r>
        <w:rPr>
          <w:spacing w:val="-11"/>
        </w:rPr>
        <w:t>号’文、《股票上市规则》规定相违背的情形。”</w:t>
      </w:r>
    </w:p>
    <w:p>
      <w:pPr>
        <w:spacing w:after="0" w:line="348" w:lineRule="auto"/>
        <w:jc w:val="both"/>
        <w:sectPr>
          <w:pgSz w:w="11910" w:h="16840"/>
          <w:pgMar w:header="879" w:footer="982" w:top="1100" w:bottom="1180" w:left="1500" w:right="1420"/>
        </w:sectPr>
      </w:pPr>
    </w:p>
    <w:p>
      <w:pPr>
        <w:spacing w:line="240" w:lineRule="auto" w:before="8"/>
        <w:rPr>
          <w:rFonts w:ascii="宋体" w:hAnsi="宋体" w:cs="宋体" w:eastAsia="宋体" w:hint="default"/>
          <w:sz w:val="13"/>
          <w:szCs w:val="13"/>
        </w:rPr>
      </w:pPr>
    </w:p>
    <w:p>
      <w:pPr>
        <w:pStyle w:val="Heading1"/>
        <w:tabs>
          <w:tab w:pos="1840" w:val="left" w:leader="none"/>
        </w:tabs>
        <w:spacing w:line="240" w:lineRule="auto"/>
        <w:ind w:left="560" w:right="0"/>
        <w:jc w:val="center"/>
        <w:rPr>
          <w:b w:val="0"/>
          <w:bCs w:val="0"/>
        </w:rPr>
      </w:pPr>
      <w:bookmarkStart w:name="_TOC_250003" w:id="8"/>
      <w:r>
        <w:rPr>
          <w:w w:val="95"/>
        </w:rPr>
        <w:t>第八节</w:t>
        <w:tab/>
      </w:r>
      <w:r>
        <w:rPr/>
        <w:t>监事会报告</w:t>
      </w:r>
      <w:bookmarkEnd w:id="8"/>
      <w:r>
        <w:rPr>
          <w:b w:val="0"/>
          <w:bCs w:val="0"/>
        </w:rPr>
      </w:r>
    </w:p>
    <w:p>
      <w:pPr>
        <w:pStyle w:val="BodyText"/>
        <w:spacing w:line="240" w:lineRule="auto" w:before="193"/>
        <w:ind w:left="624" w:right="87"/>
        <w:jc w:val="left"/>
      </w:pPr>
      <w:r>
        <w:rPr/>
        <w:t>一、监事会会议情况：</w:t>
      </w:r>
    </w:p>
    <w:p>
      <w:pPr>
        <w:pStyle w:val="BodyText"/>
        <w:spacing w:line="348" w:lineRule="auto" w:before="154"/>
        <w:ind w:right="221"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45"/>
        </w:rPr>
        <w:t> </w:t>
      </w:r>
      <w:r>
        <w:rPr>
          <w:spacing w:val="-4"/>
        </w:rPr>
        <w:t>年，公司监事会认真履行了《公司法》、公司《章程》及其他各项法律、</w:t>
      </w:r>
      <w:r>
        <w:rPr/>
        <w:t> </w:t>
      </w:r>
      <w:r>
        <w:rPr>
          <w:spacing w:val="-1"/>
        </w:rPr>
        <w:t>法规的要求，依法独立行使职权，以保证公司经营的正常进行，维护投资者特别是</w:t>
      </w:r>
      <w:r>
        <w:rPr>
          <w:spacing w:val="-108"/>
        </w:rPr>
        <w:t> </w:t>
      </w:r>
      <w:r>
        <w:rPr>
          <w:spacing w:val="-108"/>
        </w:rPr>
      </w:r>
      <w:r>
        <w:rPr/>
        <w:t>中小投资者的利益。报告期内，公司共召开八次监事会，具体内容如下：</w:t>
      </w:r>
    </w:p>
    <w:p>
      <w:pPr>
        <w:pStyle w:val="BodyText"/>
        <w:spacing w:line="345" w:lineRule="auto" w:before="46"/>
        <w:ind w:right="87" w:firstLine="480"/>
        <w:jc w:val="left"/>
      </w:pPr>
      <w:r>
        <w:rPr>
          <w:rFonts w:ascii="Times New Roman" w:hAnsi="Times New Roman" w:cs="Times New Roman" w:eastAsia="Times New Roman" w:hint="default"/>
        </w:rPr>
        <w:t>1</w:t>
      </w:r>
      <w:r>
        <w:rPr/>
        <w:t>、公司于</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3"/>
        </w:rPr>
        <w:t> </w:t>
      </w:r>
      <w:r>
        <w:rPr/>
        <w:t>日召开第二届监事会第十一次会议，会议审议通过</w:t>
      </w:r>
      <w:r>
        <w:rPr>
          <w:spacing w:val="-1"/>
        </w:rPr>
        <w:t> </w:t>
      </w:r>
      <w:r>
        <w:rPr>
          <w:spacing w:val="-8"/>
        </w:rPr>
        <w:t>了《苏宁电器股份有限公司股票期权激励计划（草案）》，本次监事会决议公告刊登</w:t>
      </w:r>
      <w:r>
        <w:rPr>
          <w:spacing w:val="-88"/>
        </w:rPr>
        <w:t> </w:t>
      </w:r>
      <w:r>
        <w:rPr>
          <w:spacing w:val="-88"/>
        </w:rPr>
      </w:r>
      <w:r>
        <w:rPr/>
        <w:t>在</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20"/>
        </w:rPr>
        <w:t>日的巨潮资讯网站、《证券时报》、《中国证券报》、《上海证券报》</w:t>
      </w:r>
      <w:r>
        <w:rPr/>
        <w:t> 和《证券日报》上；</w:t>
      </w:r>
    </w:p>
    <w:p>
      <w:pPr>
        <w:pStyle w:val="BodyText"/>
        <w:spacing w:line="240" w:lineRule="auto" w:before="48"/>
        <w:ind w:left="623" w:right="87"/>
        <w:jc w:val="left"/>
      </w:pPr>
      <w:r>
        <w:rPr>
          <w:rFonts w:ascii="Times New Roman" w:hAnsi="Times New Roman" w:cs="Times New Roman" w:eastAsia="Times New Roman" w:hint="default"/>
          <w:spacing w:val="-3"/>
        </w:rPr>
        <w:t>2</w:t>
      </w:r>
      <w:r>
        <w:rPr>
          <w:spacing w:val="-3"/>
        </w:rPr>
        <w:t>、公司于</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日召开第二届监事会第十二次会议，会议审议通过了</w:t>
      </w:r>
    </w:p>
    <w:p>
      <w:pPr>
        <w:pStyle w:val="BodyText"/>
        <w:spacing w:line="338" w:lineRule="auto" w:before="135"/>
        <w:ind w:right="198"/>
        <w:jc w:val="both"/>
      </w:pP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年度监事会工作报告</w:t>
      </w:r>
      <w:r>
        <w:rPr>
          <w:spacing w:val="-120"/>
        </w:rPr>
        <w:t>》、</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年度财务决算报告</w:t>
      </w:r>
      <w:r>
        <w:rPr>
          <w:spacing w:val="-120"/>
        </w:rPr>
        <w:t>》、</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年度利润分配预 案</w:t>
      </w:r>
      <w:r>
        <w:rPr>
          <w:spacing w:val="-120"/>
        </w:rPr>
        <w:t>》、</w:t>
      </w:r>
      <w:r>
        <w:rPr/>
        <w:t>《</w:t>
      </w:r>
      <w:r>
        <w:rPr>
          <w:rFonts w:ascii="Times New Roman" w:hAnsi="Times New Roman" w:cs="Times New Roman" w:eastAsia="Times New Roman" w:hint="default"/>
        </w:rPr>
        <w:t>2006 </w:t>
      </w:r>
      <w:r>
        <w:rPr/>
        <w:t>年年度报告</w:t>
      </w:r>
      <w:r>
        <w:rPr>
          <w:spacing w:val="-11"/>
        </w:rPr>
        <w:t>》及</w:t>
      </w:r>
      <w:r>
        <w:rPr/>
        <w:t>《</w:t>
      </w:r>
      <w:r>
        <w:rPr>
          <w:rFonts w:ascii="Times New Roman" w:hAnsi="Times New Roman" w:cs="Times New Roman" w:eastAsia="Times New Roman" w:hint="default"/>
        </w:rPr>
        <w:t>2006 </w:t>
      </w:r>
      <w:r>
        <w:rPr/>
        <w:t>年年度报告摘要</w:t>
      </w:r>
      <w:r>
        <w:rPr>
          <w:spacing w:val="-120"/>
        </w:rPr>
        <w:t>》、</w:t>
      </w:r>
      <w:r>
        <w:rPr/>
        <w:t>《关于公司</w:t>
      </w:r>
      <w:r>
        <w:rPr>
          <w:spacing w:val="-60"/>
        </w:rPr>
        <w:t> </w:t>
      </w:r>
      <w:r>
        <w:rPr>
          <w:rFonts w:ascii="Times New Roman" w:hAnsi="Times New Roman" w:cs="Times New Roman" w:eastAsia="Times New Roman" w:hint="default"/>
        </w:rPr>
        <w:t>2006 </w:t>
      </w:r>
      <w:r>
        <w:rPr/>
        <w:t>年度募集资 金存放及使用情况的专项说明</w:t>
      </w:r>
      <w:r>
        <w:rPr>
          <w:spacing w:val="-120"/>
        </w:rPr>
        <w:t>》、</w:t>
      </w:r>
      <w:r>
        <w:rPr/>
        <w:t>《关于公司</w:t>
      </w:r>
      <w:r>
        <w:rPr>
          <w:spacing w:val="-60"/>
        </w:rPr>
        <w:t> </w:t>
      </w:r>
      <w:r>
        <w:rPr>
          <w:rFonts w:ascii="Times New Roman" w:hAnsi="Times New Roman" w:cs="Times New Roman" w:eastAsia="Times New Roman" w:hint="default"/>
        </w:rPr>
        <w:t>2006 </w:t>
      </w:r>
      <w:r>
        <w:rPr/>
        <w:t>年度关联交易情况说明的议案</w:t>
      </w:r>
      <w:r>
        <w:rPr>
          <w:spacing w:val="-120"/>
        </w:rPr>
        <w:t>》</w:t>
      </w:r>
      <w:r>
        <w:rPr/>
        <w:t>、</w:t>
      </w:r>
    </w:p>
    <w:p>
      <w:pPr>
        <w:pStyle w:val="BodyText"/>
        <w:spacing w:line="240" w:lineRule="auto" w:before="27"/>
        <w:ind w:right="0"/>
        <w:jc w:val="both"/>
      </w:pPr>
      <w:r>
        <w:rPr/>
        <w:t>《监事会议事规则</w:t>
      </w:r>
      <w:r>
        <w:rPr>
          <w:spacing w:val="-120"/>
        </w:rPr>
        <w:t>》</w:t>
      </w:r>
      <w:r>
        <w:rPr/>
        <w:t>（</w:t>
      </w:r>
      <w:r>
        <w:rPr>
          <w:rFonts w:ascii="Times New Roman" w:hAnsi="Times New Roman" w:cs="Times New Roman" w:eastAsia="Times New Roman" w:hint="default"/>
        </w:rPr>
        <w:t>2007 </w:t>
      </w:r>
      <w:r>
        <w:rPr/>
        <w:t>年修订</w:t>
      </w:r>
      <w:r>
        <w:rPr>
          <w:spacing w:val="-120"/>
        </w:rPr>
        <w:t>）、</w:t>
      </w:r>
      <w:r>
        <w:rPr/>
        <w:t>《重大投资与财务决策制度</w:t>
      </w:r>
      <w:r>
        <w:rPr>
          <w:spacing w:val="-120"/>
        </w:rPr>
        <w:t>》</w:t>
      </w:r>
      <w:r>
        <w:rPr/>
        <w:t>（</w:t>
      </w:r>
      <w:r>
        <w:rPr>
          <w:rFonts w:ascii="Times New Roman" w:hAnsi="Times New Roman" w:cs="Times New Roman" w:eastAsia="Times New Roman" w:hint="default"/>
        </w:rPr>
        <w:t>2007 </w:t>
      </w:r>
      <w:r>
        <w:rPr/>
        <w:t>年修订</w:t>
      </w:r>
      <w:r>
        <w:rPr>
          <w:spacing w:val="-120"/>
        </w:rPr>
        <w:t>）</w:t>
      </w:r>
      <w:r>
        <w:rPr/>
        <w:t>、</w:t>
      </w:r>
    </w:p>
    <w:p>
      <w:pPr>
        <w:pStyle w:val="BodyText"/>
        <w:spacing w:line="357" w:lineRule="auto" w:before="135"/>
        <w:ind w:right="198"/>
        <w:jc w:val="both"/>
      </w:pPr>
      <w:r>
        <w:rPr>
          <w:spacing w:val="2"/>
        </w:rPr>
        <w:t>《关于续聘会计师事务所的议案</w:t>
      </w:r>
      <w:r>
        <w:rPr>
          <w:spacing w:val="-117"/>
        </w:rPr>
        <w:t>》、</w:t>
      </w:r>
      <w:r>
        <w:rPr>
          <w:spacing w:val="2"/>
        </w:rPr>
        <w:t>《关于公司日常关联交易的议案</w:t>
      </w:r>
      <w:r>
        <w:rPr>
          <w:spacing w:val="-117"/>
        </w:rPr>
        <w:t>》</w:t>
      </w:r>
      <w:r>
        <w:rPr>
          <w:spacing w:val="2"/>
        </w:rPr>
        <w:t>，本次监</w:t>
      </w:r>
      <w:r>
        <w:rPr>
          <w:spacing w:val="4"/>
        </w:rPr>
        <w:t>事</w:t>
      </w:r>
      <w:r>
        <w:rPr/>
        <w:t>会</w:t>
      </w:r>
      <w:r>
        <w:rPr/>
        <w:t> 决议公告刊登在</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10 </w:t>
      </w:r>
      <w:r>
        <w:rPr/>
        <w:t>日的巨潮资讯网站</w:t>
      </w:r>
      <w:r>
        <w:rPr>
          <w:spacing w:val="-120"/>
        </w:rPr>
        <w:t>、</w:t>
      </w:r>
      <w:r>
        <w:rPr/>
        <w:t>《证券时报</w:t>
      </w:r>
      <w:r>
        <w:rPr>
          <w:spacing w:val="-120"/>
        </w:rPr>
        <w:t>》、</w:t>
      </w:r>
      <w:r>
        <w:rPr/>
        <w:t>《中国证券报</w:t>
      </w:r>
      <w:r>
        <w:rPr>
          <w:spacing w:val="-120"/>
        </w:rPr>
        <w:t>》</w:t>
      </w:r>
      <w:r>
        <w:rPr/>
        <w:t>、</w:t>
      </w:r>
    </w:p>
    <w:p>
      <w:pPr>
        <w:pStyle w:val="BodyText"/>
        <w:spacing w:line="240" w:lineRule="auto" w:before="5"/>
        <w:ind w:right="0"/>
        <w:jc w:val="both"/>
      </w:pPr>
      <w:r>
        <w:rPr/>
        <w:t>《上海证券报》和《证券日报》上；</w:t>
      </w:r>
    </w:p>
    <w:p>
      <w:pPr>
        <w:pStyle w:val="BodyText"/>
        <w:spacing w:line="240" w:lineRule="auto" w:before="154"/>
        <w:ind w:left="623" w:right="87"/>
        <w:jc w:val="left"/>
      </w:pPr>
      <w:r>
        <w:rPr>
          <w:rFonts w:ascii="Times New Roman" w:hAnsi="Times New Roman" w:cs="Times New Roman" w:eastAsia="Times New Roman" w:hint="default"/>
        </w:rPr>
        <w:t>3</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日召开第二届监事会第十三次会议，会议审议通过</w:t>
      </w:r>
    </w:p>
    <w:p>
      <w:pPr>
        <w:pStyle w:val="BodyText"/>
        <w:spacing w:line="240" w:lineRule="auto" w:before="135"/>
        <w:ind w:left="144" w:right="0"/>
        <w:jc w:val="both"/>
      </w:pPr>
      <w:r>
        <w:rPr/>
        <w:t>了《苏宁电器股份有限公司</w:t>
      </w:r>
      <w:r>
        <w:rPr>
          <w:spacing w:val="-11"/>
        </w:rPr>
        <w:t> </w:t>
      </w:r>
      <w:r>
        <w:rPr>
          <w:rFonts w:ascii="Times New Roman" w:hAnsi="Times New Roman" w:cs="Times New Roman" w:eastAsia="Times New Roman" w:hint="default"/>
        </w:rPr>
        <w:t>2007 </w:t>
      </w:r>
      <w:r>
        <w:rPr>
          <w:rFonts w:ascii="Times New Roman" w:hAnsi="Times New Roman" w:cs="Times New Roman" w:eastAsia="Times New Roman" w:hint="default"/>
          <w:spacing w:val="-11"/>
        </w:rPr>
        <w:t> </w:t>
      </w:r>
      <w:r>
        <w:rPr/>
        <w:t>年第一季度报告</w:t>
      </w:r>
      <w:r>
        <w:rPr>
          <w:spacing w:val="-120"/>
        </w:rPr>
        <w:t>》、</w:t>
      </w:r>
      <w:r>
        <w:rPr/>
        <w:t>《苏宁电器股份有限公司会计</w:t>
      </w:r>
    </w:p>
    <w:p>
      <w:pPr>
        <w:pStyle w:val="BodyText"/>
        <w:spacing w:line="338" w:lineRule="auto" w:before="135"/>
        <w:ind w:left="144" w:right="221"/>
        <w:jc w:val="both"/>
      </w:pPr>
      <w:r>
        <w:rPr/>
        <w:t>政策与会计估计</w:t>
      </w:r>
      <w:r>
        <w:rPr>
          <w:spacing w:val="-120"/>
        </w:rPr>
        <w:t>》</w:t>
      </w:r>
      <w:r>
        <w:rPr/>
        <w:t>（</w:t>
      </w:r>
      <w:r>
        <w:rPr>
          <w:rFonts w:ascii="Times New Roman" w:hAnsi="Times New Roman" w:cs="Times New Roman" w:eastAsia="Times New Roman" w:hint="default"/>
        </w:rPr>
        <w:t>2007 </w:t>
      </w:r>
      <w:r>
        <w:rPr/>
        <w:t>年修订</w:t>
      </w:r>
      <w:r>
        <w:rPr>
          <w:spacing w:val="-120"/>
        </w:rPr>
        <w:t>）</w:t>
      </w:r>
      <w:r>
        <w:rPr>
          <w:spacing w:val="-82"/>
        </w:rPr>
        <w:t>，</w:t>
      </w:r>
      <w:r>
        <w:rPr/>
        <w:t>本次监事会决议公告刊登在</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28 </w:t>
      </w:r>
      <w:r>
        <w:rPr/>
        <w:t>日的 巨潮资讯网站</w:t>
      </w:r>
      <w:r>
        <w:rPr>
          <w:spacing w:val="-120"/>
        </w:rPr>
        <w:t>、</w:t>
      </w:r>
      <w:r>
        <w:rPr/>
        <w:t>《证券时报</w:t>
      </w:r>
      <w:r>
        <w:rPr>
          <w:spacing w:val="-120"/>
        </w:rPr>
        <w:t>》、</w:t>
      </w:r>
      <w:r>
        <w:rPr/>
        <w:t>《中国证券报</w:t>
      </w:r>
      <w:r>
        <w:rPr>
          <w:spacing w:val="-120"/>
        </w:rPr>
        <w:t>》、</w:t>
      </w:r>
      <w:r>
        <w:rPr/>
        <w:t>《上海证券报》和《证券日报》上；</w:t>
      </w:r>
    </w:p>
    <w:p>
      <w:pPr>
        <w:pStyle w:val="BodyText"/>
        <w:spacing w:line="348" w:lineRule="auto" w:before="55"/>
        <w:ind w:left="144" w:right="198" w:firstLine="480"/>
        <w:jc w:val="both"/>
      </w:pPr>
      <w:r>
        <w:rPr>
          <w:rFonts w:ascii="Times New Roman" w:hAnsi="Times New Roman" w:cs="Times New Roman" w:eastAsia="Times New Roman" w:hint="default"/>
        </w:rPr>
        <w:t>4</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日召开第二届监事会第十四次会议，会议审议通过</w:t>
      </w:r>
      <w:r>
        <w:rPr>
          <w:spacing w:val="-1"/>
        </w:rPr>
        <w:t> </w:t>
      </w:r>
      <w:r>
        <w:rPr>
          <w:spacing w:val="-8"/>
        </w:rPr>
        <w:t>了《关于公司监事会换届选举的议案》、《关于确定监事薪资的议案》，本次监事会</w:t>
      </w:r>
      <w:r>
        <w:rPr>
          <w:spacing w:val="-110"/>
        </w:rPr>
        <w:t> </w:t>
      </w:r>
      <w:r>
        <w:rPr>
          <w:spacing w:val="-110"/>
        </w:rPr>
      </w:r>
      <w:r>
        <w:rPr/>
        <w:t>决议公告刊登在</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28 </w:t>
      </w:r>
      <w:r>
        <w:rPr>
          <w:spacing w:val="-20"/>
        </w:rPr>
        <w:t>日的巨潮资讯网站、《证券时报》、《中国证券报》、</w:t>
      </w:r>
    </w:p>
    <w:p>
      <w:pPr>
        <w:pStyle w:val="BodyText"/>
        <w:spacing w:line="240" w:lineRule="auto" w:before="16"/>
        <w:ind w:left="144" w:right="0"/>
        <w:jc w:val="both"/>
      </w:pPr>
      <w:r>
        <w:rPr/>
        <w:t>《上海证券报》和《证券日报》上；</w:t>
      </w:r>
    </w:p>
    <w:p>
      <w:pPr>
        <w:pStyle w:val="BodyText"/>
        <w:spacing w:line="240" w:lineRule="auto" w:before="154"/>
        <w:ind w:left="624" w:right="87"/>
        <w:jc w:val="left"/>
      </w:pPr>
      <w:r>
        <w:rPr>
          <w:rFonts w:ascii="Times New Roman" w:hAnsi="Times New Roman" w:cs="Times New Roman" w:eastAsia="Times New Roman" w:hint="default"/>
        </w:rPr>
        <w:t>5</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日召开第三届监事会第一次会议，会议审议通过了</w:t>
      </w:r>
    </w:p>
    <w:p>
      <w:pPr>
        <w:pStyle w:val="BodyText"/>
        <w:spacing w:line="348" w:lineRule="auto" w:before="135"/>
        <w:ind w:left="144" w:right="218"/>
        <w:jc w:val="both"/>
      </w:pPr>
      <w:r>
        <w:rPr>
          <w:spacing w:val="-5"/>
        </w:rPr>
        <w:t>《关于选决公司监事会主席的议案》，本次监事会决议公告刊登在</w:t>
      </w:r>
      <w:r>
        <w:rPr/>
        <w:t>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14 </w:t>
      </w:r>
      <w:r>
        <w:rPr>
          <w:spacing w:val="-14"/>
        </w:rPr>
        <w:t>日的巨潮资讯网站、《证券时报》、《中国证券报》、《上海证券报》和《证券日报》</w:t>
      </w:r>
      <w:r>
        <w:rPr>
          <w:spacing w:val="-112"/>
        </w:rPr>
        <w:t> </w:t>
      </w:r>
      <w:r>
        <w:rPr>
          <w:spacing w:val="-112"/>
        </w:rPr>
      </w:r>
      <w:r>
        <w:rPr/>
        <w:t>上；</w:t>
      </w:r>
    </w:p>
    <w:p>
      <w:pPr>
        <w:pStyle w:val="BodyText"/>
        <w:spacing w:line="240" w:lineRule="auto" w:before="46"/>
        <w:ind w:left="624" w:right="87"/>
        <w:jc w:val="left"/>
      </w:pPr>
      <w:r>
        <w:rPr>
          <w:rFonts w:ascii="Times New Roman" w:hAnsi="Times New Roman" w:cs="Times New Roman" w:eastAsia="Times New Roman" w:hint="default"/>
        </w:rPr>
        <w:t>6</w:t>
      </w:r>
      <w:r>
        <w:rPr/>
        <w:t>、公司于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日召开第三届监事会第二次会议，会议审议通过了</w:t>
      </w:r>
    </w:p>
    <w:p>
      <w:pPr>
        <w:spacing w:after="0" w:line="240" w:lineRule="auto"/>
        <w:jc w:val="left"/>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240" w:lineRule="auto" w:before="26"/>
        <w:ind w:left="144" w:right="87"/>
        <w:jc w:val="left"/>
      </w:pPr>
      <w:r>
        <w:rPr/>
        <w:t>《苏宁电器股份有限公司</w:t>
      </w:r>
      <w:r>
        <w:rPr>
          <w:spacing w:val="-6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年半年度报告》及《苏宁电器股份有限公司</w:t>
      </w:r>
      <w:r>
        <w:rPr>
          <w:spacing w:val="-6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p>
    <w:p>
      <w:pPr>
        <w:pStyle w:val="BodyText"/>
        <w:spacing w:line="240" w:lineRule="auto" w:before="135"/>
        <w:ind w:left="144" w:right="0"/>
        <w:jc w:val="left"/>
      </w:pPr>
      <w:r>
        <w:rPr/>
        <w:t>半年度报告报告摘要</w:t>
      </w:r>
      <w:r>
        <w:rPr>
          <w:spacing w:val="-120"/>
        </w:rPr>
        <w:t>》</w:t>
      </w:r>
      <w:r>
        <w:rPr>
          <w:spacing w:val="-22"/>
        </w:rPr>
        <w:t>，</w:t>
      </w:r>
      <w:r>
        <w:rPr/>
        <w:t>本次监事会决议刊登在</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30 </w:t>
      </w:r>
      <w:r>
        <w:rPr/>
        <w:t>日的巨潮资讯网站、</w:t>
      </w:r>
    </w:p>
    <w:p>
      <w:pPr>
        <w:pStyle w:val="BodyText"/>
        <w:spacing w:line="240" w:lineRule="auto" w:before="135"/>
        <w:ind w:left="144" w:right="87"/>
        <w:jc w:val="left"/>
      </w:pPr>
      <w:r>
        <w:rPr/>
        <w:t>《证券时报</w:t>
      </w:r>
      <w:r>
        <w:rPr>
          <w:spacing w:val="-120"/>
        </w:rPr>
        <w:t>》、</w:t>
      </w:r>
      <w:r>
        <w:rPr/>
        <w:t>《中国证券报</w:t>
      </w:r>
      <w:r>
        <w:rPr>
          <w:spacing w:val="-120"/>
        </w:rPr>
        <w:t>》、</w:t>
      </w:r>
      <w:r>
        <w:rPr/>
        <w:t>《上海证券报》和《证券日报》上；</w:t>
      </w:r>
    </w:p>
    <w:p>
      <w:pPr>
        <w:pStyle w:val="BodyText"/>
        <w:spacing w:line="240" w:lineRule="auto" w:before="154"/>
        <w:ind w:left="624" w:right="87"/>
        <w:jc w:val="left"/>
      </w:pPr>
      <w:r>
        <w:rPr>
          <w:rFonts w:ascii="Times New Roman" w:hAnsi="Times New Roman" w:cs="Times New Roman" w:eastAsia="Times New Roman" w:hint="default"/>
          <w:spacing w:val="-3"/>
        </w:rPr>
        <w:t>7</w:t>
      </w:r>
      <w:r>
        <w:rPr>
          <w:spacing w:val="-3"/>
        </w:rPr>
        <w:t>、公司于</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日召开第三届监事会第三次会议，会议审议通过了</w:t>
      </w:r>
    </w:p>
    <w:p>
      <w:pPr>
        <w:pStyle w:val="BodyText"/>
        <w:spacing w:line="240" w:lineRule="auto" w:before="135"/>
        <w:ind w:left="144" w:right="87"/>
        <w:jc w:val="left"/>
        <w:rPr>
          <w:rFonts w:ascii="Times New Roman" w:hAnsi="Times New Roman" w:cs="Times New Roman" w:eastAsia="Times New Roman" w:hint="default"/>
        </w:rPr>
      </w:pPr>
      <w:r>
        <w:rPr/>
        <w:t>《苏宁电器股份</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年度第三季度报告</w:t>
      </w:r>
      <w:r>
        <w:rPr>
          <w:spacing w:val="-120"/>
        </w:rPr>
        <w:t>》</w:t>
      </w:r>
      <w:r>
        <w:rPr/>
        <w:t>，本次监事会决议公告刊登在</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10</w:t>
      </w:r>
    </w:p>
    <w:p>
      <w:pPr>
        <w:pStyle w:val="BodyText"/>
        <w:spacing w:line="338" w:lineRule="auto" w:before="135"/>
        <w:ind w:left="144" w:right="204"/>
        <w:jc w:val="left"/>
      </w:pP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36"/>
        </w:rPr>
        <w:t> </w:t>
      </w:r>
      <w:r>
        <w:rPr>
          <w:spacing w:val="-18"/>
        </w:rPr>
        <w:t>日的巨潮资讯网站、《证券时报》、《中国证券报》、《上海证券报》和《证券日</w:t>
      </w:r>
      <w:r>
        <w:rPr/>
        <w:t> 报》上；</w:t>
      </w:r>
    </w:p>
    <w:p>
      <w:pPr>
        <w:pStyle w:val="BodyText"/>
        <w:spacing w:line="240" w:lineRule="auto" w:before="55"/>
        <w:ind w:left="624" w:right="87"/>
        <w:jc w:val="left"/>
      </w:pPr>
      <w:r>
        <w:rPr>
          <w:rFonts w:ascii="Times New Roman" w:hAnsi="Times New Roman" w:cs="Times New Roman" w:eastAsia="Times New Roman" w:hint="default"/>
          <w:spacing w:val="-3"/>
        </w:rPr>
        <w:t>8</w:t>
      </w:r>
      <w:r>
        <w:rPr>
          <w:spacing w:val="-3"/>
        </w:rPr>
        <w:t>、公司于</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日召开第三届监事会第四次会议，会议审议通过了</w:t>
      </w:r>
    </w:p>
    <w:p>
      <w:pPr>
        <w:pStyle w:val="BodyText"/>
        <w:spacing w:line="240" w:lineRule="auto" w:before="135"/>
        <w:ind w:left="144" w:right="87"/>
        <w:jc w:val="left"/>
        <w:rPr>
          <w:rFonts w:ascii="Times New Roman" w:hAnsi="Times New Roman" w:cs="Times New Roman" w:eastAsia="Times New Roman" w:hint="default"/>
        </w:rPr>
      </w:pPr>
      <w:r>
        <w:rPr/>
        <w:t>《关于变更公司</w:t>
      </w:r>
      <w:r>
        <w:rPr>
          <w:spacing w:val="-60"/>
        </w:rPr>
        <w:t> </w:t>
      </w:r>
      <w:r>
        <w:rPr>
          <w:rFonts w:ascii="Times New Roman" w:hAnsi="Times New Roman" w:cs="Times New Roman" w:eastAsia="Times New Roman" w:hint="default"/>
        </w:rPr>
        <w:t>2007 </w:t>
      </w:r>
      <w:r>
        <w:rPr/>
        <w:t>年度财务审计机构的议案</w:t>
      </w:r>
      <w:r>
        <w:rPr>
          <w:spacing w:val="-120"/>
        </w:rPr>
        <w:t>》</w:t>
      </w:r>
      <w:r>
        <w:rPr>
          <w:spacing w:val="-82"/>
        </w:rPr>
        <w:t>，</w:t>
      </w:r>
      <w:r>
        <w:rPr/>
        <w:t>本次监事会决议公告刊登在</w:t>
      </w:r>
      <w:r>
        <w:rPr>
          <w:spacing w:val="-60"/>
        </w:rPr>
        <w:t> </w:t>
      </w:r>
      <w:r>
        <w:rPr>
          <w:rFonts w:ascii="Times New Roman" w:hAnsi="Times New Roman" w:cs="Times New Roman" w:eastAsia="Times New Roman" w:hint="default"/>
        </w:rPr>
        <w:t>2007</w:t>
      </w:r>
    </w:p>
    <w:p>
      <w:pPr>
        <w:pStyle w:val="BodyText"/>
        <w:spacing w:line="338" w:lineRule="auto" w:before="135"/>
        <w:ind w:left="144" w:right="204"/>
        <w:jc w:val="left"/>
      </w:pP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22"/>
        </w:rPr>
        <w:t>日的巨潮资讯网站、《证券时报》、《中国证券报》、《上海证券报》和《证</w:t>
      </w:r>
      <w:r>
        <w:rPr/>
        <w:t> 券日报》上。</w:t>
      </w:r>
    </w:p>
    <w:p>
      <w:pPr>
        <w:spacing w:line="240" w:lineRule="auto" w:before="0"/>
        <w:rPr>
          <w:rFonts w:ascii="宋体" w:hAnsi="宋体" w:cs="宋体" w:eastAsia="宋体" w:hint="default"/>
          <w:sz w:val="24"/>
          <w:szCs w:val="24"/>
        </w:rPr>
      </w:pPr>
    </w:p>
    <w:p>
      <w:pPr>
        <w:pStyle w:val="BodyText"/>
        <w:spacing w:line="240" w:lineRule="auto" w:before="209"/>
        <w:ind w:left="624" w:right="87"/>
        <w:jc w:val="left"/>
      </w:pPr>
      <w:r>
        <w:rPr/>
        <w:t>二、监事会对以下事项发表的独立意见</w:t>
      </w:r>
    </w:p>
    <w:p>
      <w:pPr>
        <w:pStyle w:val="BodyText"/>
        <w:spacing w:line="338" w:lineRule="auto" w:before="154"/>
        <w:ind w:left="624" w:right="87"/>
        <w:jc w:val="left"/>
      </w:pPr>
      <w:r>
        <w:rPr>
          <w:rFonts w:ascii="Times New Roman" w:hAnsi="Times New Roman" w:cs="Times New Roman" w:eastAsia="Times New Roman" w:hint="default"/>
        </w:rPr>
        <w:t>1</w:t>
      </w:r>
      <w:r>
        <w:rPr/>
        <w:t>、公司依法运作情况： </w:t>
      </w:r>
      <w:r>
        <w:rPr>
          <w:spacing w:val="-9"/>
        </w:rPr>
        <w:t>根据《公司法》、《证券法》、公司《章程》等各项法律法规的要求，监事会通</w:t>
      </w:r>
      <w:r>
        <w:rPr/>
      </w:r>
    </w:p>
    <w:p>
      <w:pPr>
        <w:pStyle w:val="BodyText"/>
        <w:spacing w:line="240" w:lineRule="auto" w:before="55"/>
        <w:ind w:left="144" w:right="87"/>
        <w:jc w:val="left"/>
      </w:pPr>
      <w:r>
        <w:rPr/>
        <w:t>过召开八次会议，列席报告期内历次董事会会议，参加公司 </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年年度股东大会</w:t>
      </w:r>
    </w:p>
    <w:p>
      <w:pPr>
        <w:pStyle w:val="BodyText"/>
        <w:spacing w:line="352" w:lineRule="auto" w:before="135"/>
        <w:ind w:left="144" w:right="84"/>
        <w:jc w:val="left"/>
      </w:pPr>
      <w:r>
        <w:rPr/>
        <w:t>和</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spacing w:val="-6"/>
        </w:rPr>
        <w:t>年两次临时股东大会，对公司经营运作的情况进行了监督，认为</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 </w:t>
      </w:r>
      <w:r>
        <w:rPr>
          <w:spacing w:val="-11"/>
        </w:rPr>
        <w:t>公司所有重大决策程序符合《公司法》、《证券法》、公司《章程》等规定规范运作，</w:t>
      </w:r>
      <w:r>
        <w:rPr>
          <w:spacing w:val="-86"/>
        </w:rPr>
        <w:t> </w:t>
      </w:r>
      <w:r>
        <w:rPr>
          <w:spacing w:val="-86"/>
        </w:rPr>
      </w:r>
      <w:r>
        <w:rPr/>
        <w:t>建立了较为完善的内部控制制度。信息披露及时、准确。公司董事、高级管理人员</w:t>
      </w:r>
      <w:r>
        <w:rPr/>
        <w:t> 在执行公司职务时，不存在违反法律、法规、公司《章程》或有损于公司和股东利 益的行为。</w:t>
      </w:r>
    </w:p>
    <w:p>
      <w:pPr>
        <w:pStyle w:val="BodyText"/>
        <w:spacing w:line="240" w:lineRule="auto" w:before="41"/>
        <w:ind w:left="624" w:right="87"/>
        <w:jc w:val="left"/>
      </w:pPr>
      <w:r>
        <w:rPr>
          <w:rFonts w:ascii="Times New Roman" w:hAnsi="Times New Roman" w:cs="Times New Roman" w:eastAsia="Times New Roman" w:hint="default"/>
        </w:rPr>
        <w:t>2</w:t>
      </w:r>
      <w:r>
        <w:rPr/>
        <w:t>、检查公司财务的情况：</w:t>
      </w:r>
    </w:p>
    <w:p>
      <w:pPr>
        <w:pStyle w:val="BodyText"/>
        <w:spacing w:line="348" w:lineRule="auto" w:before="135"/>
        <w:ind w:right="198" w:firstLine="480"/>
        <w:jc w:val="both"/>
      </w:pPr>
      <w:r>
        <w:rPr/>
        <w:t>监事会对公司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年的财务状况、财务管理等进行了认真、细致的检查和审 </w:t>
      </w:r>
      <w:r>
        <w:rPr>
          <w:spacing w:val="-7"/>
        </w:rPr>
        <w:t>核，检查认为，公司财务制度健全、运作规范，执行《会计法》、《企业会计准则》</w:t>
      </w:r>
      <w:r>
        <w:rPr>
          <w:spacing w:val="-101"/>
        </w:rPr>
        <w:t> </w:t>
      </w:r>
      <w:r>
        <w:rPr>
          <w:spacing w:val="-101"/>
        </w:rPr>
      </w:r>
      <w:r>
        <w:rPr>
          <w:spacing w:val="-1"/>
        </w:rPr>
        <w:t>等法律法规的情况良好。报告期内的财务报告真实、准确的反映了公司的财务状况</w:t>
      </w:r>
      <w:r>
        <w:rPr>
          <w:spacing w:val="-106"/>
        </w:rPr>
        <w:t> </w:t>
      </w:r>
      <w:r>
        <w:rPr>
          <w:spacing w:val="-106"/>
        </w:rPr>
      </w:r>
      <w:r>
        <w:rPr/>
        <w:t>和经营成果。公司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年财务报告经普华永道中天会计师事务所有限公司出具了 无保留意见的审计报告。</w:t>
      </w:r>
    </w:p>
    <w:p>
      <w:pPr>
        <w:spacing w:line="240" w:lineRule="auto" w:before="0"/>
        <w:rPr>
          <w:rFonts w:ascii="宋体" w:hAnsi="宋体" w:cs="宋体" w:eastAsia="宋体" w:hint="default"/>
          <w:sz w:val="24"/>
          <w:szCs w:val="24"/>
        </w:rPr>
      </w:pPr>
    </w:p>
    <w:p>
      <w:pPr>
        <w:pStyle w:val="BodyText"/>
        <w:spacing w:line="338" w:lineRule="auto" w:before="200"/>
        <w:ind w:left="623" w:right="181"/>
        <w:jc w:val="left"/>
      </w:pPr>
      <w:r>
        <w:rPr>
          <w:rFonts w:ascii="Times New Roman" w:hAnsi="Times New Roman" w:cs="Times New Roman" w:eastAsia="Times New Roman" w:hint="default"/>
        </w:rPr>
        <w:t>3</w:t>
      </w:r>
      <w:r>
        <w:rPr/>
        <w:t>、募集资金使用情况： 报告期内，公司募集资金的存放和使用管理严格遵循了《募集资金管理办法》</w:t>
      </w:r>
    </w:p>
    <w:p>
      <w:pPr>
        <w:spacing w:after="0" w:line="338" w:lineRule="auto"/>
        <w:jc w:val="left"/>
        <w:sectPr>
          <w:footerReference w:type="default" r:id="rId21"/>
          <w:pgSz w:w="11910" w:h="16840"/>
          <w:pgMar w:footer="982" w:header="879" w:top="1100" w:bottom="1180" w:left="1500" w:right="1420"/>
          <w:pgNumType w:start="73"/>
        </w:sectPr>
      </w:pPr>
    </w:p>
    <w:p>
      <w:pPr>
        <w:spacing w:line="240" w:lineRule="auto" w:before="10"/>
        <w:rPr>
          <w:rFonts w:ascii="宋体" w:hAnsi="宋体" w:cs="宋体" w:eastAsia="宋体" w:hint="default"/>
          <w:sz w:val="10"/>
          <w:szCs w:val="10"/>
        </w:rPr>
      </w:pPr>
    </w:p>
    <w:p>
      <w:pPr>
        <w:pStyle w:val="BodyText"/>
        <w:spacing w:line="240" w:lineRule="auto" w:before="26"/>
        <w:ind w:left="144" w:right="87"/>
        <w:jc w:val="left"/>
      </w:pPr>
      <w:r>
        <w:rPr/>
        <w:t>的规定，募集资金实际投入项目与承诺投入项目一致，没有变更募集资金的投向。</w:t>
      </w:r>
    </w:p>
    <w:p>
      <w:pPr>
        <w:pStyle w:val="BodyText"/>
        <w:spacing w:line="240" w:lineRule="auto" w:before="154"/>
        <w:ind w:left="624" w:right="87"/>
        <w:jc w:val="left"/>
      </w:pPr>
      <w:r>
        <w:rPr>
          <w:rFonts w:ascii="Times New Roman" w:hAnsi="Times New Roman" w:cs="Times New Roman" w:eastAsia="Times New Roman" w:hint="default"/>
        </w:rPr>
        <w:t>4</w:t>
      </w:r>
      <w:r>
        <w:rPr/>
        <w:t>、公司收购、出售资产情况：</w:t>
      </w:r>
    </w:p>
    <w:p>
      <w:pPr>
        <w:pStyle w:val="BodyText"/>
        <w:spacing w:line="350" w:lineRule="auto" w:before="135"/>
        <w:ind w:left="144" w:right="221"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spacing w:val="-3"/>
        </w:rPr>
        <w:t>年，公司不存在重大收购和出售资产的情况。所购置的物业，均为连锁店</w:t>
      </w:r>
      <w:r>
        <w:rPr/>
        <w:t> </w:t>
      </w:r>
      <w:r>
        <w:rPr>
          <w:spacing w:val="-1"/>
        </w:rPr>
        <w:t>或办公用房；所购置的土地，均为物流用地；上述资产购置行为，均与公司主营业</w:t>
      </w:r>
      <w:r>
        <w:rPr>
          <w:spacing w:val="-108"/>
        </w:rPr>
        <w:t> </w:t>
      </w:r>
      <w:r>
        <w:rPr>
          <w:spacing w:val="-108"/>
        </w:rPr>
      </w:r>
      <w:r>
        <w:rPr>
          <w:spacing w:val="-1"/>
        </w:rPr>
        <w:t>务配套相关，且遵循市场原则进行，交易价格合理，没有发现内幕交易及损害部分</w:t>
      </w:r>
      <w:r>
        <w:rPr>
          <w:spacing w:val="-108"/>
        </w:rPr>
        <w:t> </w:t>
      </w:r>
      <w:r>
        <w:rPr>
          <w:spacing w:val="-108"/>
        </w:rPr>
      </w:r>
      <w:r>
        <w:rPr/>
        <w:t>股东的权益或造成公司资产流失的情况。</w:t>
      </w:r>
    </w:p>
    <w:p>
      <w:pPr>
        <w:pStyle w:val="BodyText"/>
        <w:spacing w:line="240" w:lineRule="auto" w:before="43"/>
        <w:ind w:left="624" w:right="87"/>
        <w:jc w:val="left"/>
      </w:pPr>
      <w:r>
        <w:rPr>
          <w:rFonts w:ascii="Times New Roman" w:hAnsi="Times New Roman" w:cs="Times New Roman" w:eastAsia="Times New Roman" w:hint="default"/>
        </w:rPr>
        <w:t>5</w:t>
      </w:r>
      <w:r>
        <w:rPr/>
        <w:t>、公司关联交易情况：</w:t>
      </w:r>
    </w:p>
    <w:p>
      <w:pPr>
        <w:pStyle w:val="BodyText"/>
        <w:spacing w:line="350" w:lineRule="auto" w:before="135"/>
        <w:ind w:left="144" w:right="86" w:firstLine="480"/>
        <w:jc w:val="left"/>
      </w:pPr>
      <w:r>
        <w:rPr/>
        <w:t>经对公司</w:t>
      </w:r>
      <w:r>
        <w:rPr>
          <w:spacing w:val="-6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spacing w:val="-9"/>
        </w:rPr>
        <w:t>年度关联交易的核查，认为公司</w:t>
      </w:r>
      <w:r>
        <w:rPr>
          <w:spacing w:val="-6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年度关联交易遵循了客观、 </w:t>
      </w:r>
      <w:r>
        <w:rPr>
          <w:spacing w:val="-8"/>
        </w:rPr>
        <w:t>公正、公平的交易原则，根据市场原则进行，不存在任何内部交易，严格执行了《股</w:t>
      </w:r>
      <w:r>
        <w:rPr>
          <w:spacing w:val="-89"/>
        </w:rPr>
        <w:t> </w:t>
      </w:r>
      <w:r>
        <w:rPr>
          <w:spacing w:val="-89"/>
        </w:rPr>
      </w:r>
      <w:r>
        <w:rPr/>
        <w:t>票上市规则》及《公司法》的各项规定，履行了相应的法定程序，并在关联方回避</w:t>
      </w:r>
      <w:r>
        <w:rPr/>
        <w:t> 的情况下表决通过，因而没有损害到公司和其他非关联方股东的利益。</w:t>
      </w:r>
    </w:p>
    <w:p>
      <w:pPr>
        <w:pStyle w:val="BodyText"/>
        <w:spacing w:line="240" w:lineRule="auto" w:before="43"/>
        <w:ind w:left="624" w:right="87"/>
        <w:jc w:val="left"/>
      </w:pPr>
      <w:r>
        <w:rPr>
          <w:rFonts w:ascii="Times New Roman" w:hAnsi="Times New Roman" w:cs="Times New Roman" w:eastAsia="Times New Roman" w:hint="default"/>
        </w:rPr>
        <w:t>6</w:t>
      </w:r>
      <w:r>
        <w:rPr/>
        <w:t>、公司对外担保及股权、资产置换情况：</w:t>
      </w:r>
    </w:p>
    <w:p>
      <w:pPr>
        <w:pStyle w:val="BodyText"/>
        <w:spacing w:line="338" w:lineRule="auto" w:before="135"/>
        <w:ind w:left="144" w:right="204" w:firstLine="48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spacing w:val="-3"/>
        </w:rPr>
        <w:t>年度公司未发生违规对外担保，未发生债务重组、非货币性交易事项及资</w:t>
      </w:r>
      <w:r>
        <w:rPr/>
        <w:t> 产置换，也未发生其他损害公司股东利益或造成公司资产流失的情况。</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8"/>
          <w:szCs w:val="28"/>
        </w:rPr>
      </w:pPr>
    </w:p>
    <w:p>
      <w:pPr>
        <w:pStyle w:val="Heading1"/>
        <w:tabs>
          <w:tab w:pos="1841" w:val="left" w:leader="none"/>
        </w:tabs>
        <w:spacing w:line="240" w:lineRule="auto" w:before="0"/>
        <w:ind w:right="0"/>
        <w:jc w:val="center"/>
        <w:rPr>
          <w:b w:val="0"/>
          <w:bCs w:val="0"/>
        </w:rPr>
      </w:pPr>
      <w:bookmarkStart w:name="_TOC_250002" w:id="9"/>
      <w:r>
        <w:rPr>
          <w:w w:val="95"/>
        </w:rPr>
        <w:t>第九节</w:t>
        <w:tab/>
      </w:r>
      <w:r>
        <w:rPr/>
        <w:t>重要事项</w:t>
      </w:r>
      <w:bookmarkEnd w:id="9"/>
      <w:r>
        <w:rPr>
          <w:b w:val="0"/>
          <w:bCs w:val="0"/>
        </w:rPr>
      </w:r>
    </w:p>
    <w:p>
      <w:pPr>
        <w:pStyle w:val="BodyText"/>
        <w:spacing w:line="357" w:lineRule="auto" w:before="193"/>
        <w:ind w:left="623" w:right="3438"/>
        <w:jc w:val="left"/>
      </w:pPr>
      <w:r>
        <w:rPr/>
        <w:t>一、公司应披露的重大诉讼、仲裁事项： 本年度公司无重大诉讼、仲裁事项。</w:t>
      </w:r>
    </w:p>
    <w:p>
      <w:pPr>
        <w:spacing w:line="240" w:lineRule="auto" w:before="0"/>
        <w:rPr>
          <w:rFonts w:ascii="宋体" w:hAnsi="宋体" w:cs="宋体" w:eastAsia="宋体" w:hint="default"/>
          <w:sz w:val="24"/>
          <w:szCs w:val="24"/>
        </w:rPr>
      </w:pPr>
    </w:p>
    <w:p>
      <w:pPr>
        <w:pStyle w:val="BodyText"/>
        <w:spacing w:line="240" w:lineRule="auto" w:before="190"/>
        <w:ind w:left="624" w:right="87"/>
        <w:jc w:val="left"/>
      </w:pPr>
      <w:r>
        <w:rPr/>
        <w:t>二、公司应披露的收购及出售资产、吸收合并事项：</w:t>
      </w:r>
    </w:p>
    <w:p>
      <w:pPr>
        <w:pStyle w:val="BodyText"/>
        <w:spacing w:line="240" w:lineRule="auto" w:before="154"/>
        <w:ind w:left="623" w:right="87"/>
        <w:jc w:val="left"/>
      </w:pPr>
      <w:r>
        <w:rPr>
          <w:rFonts w:ascii="Times New Roman" w:hAnsi="Times New Roman" w:cs="Times New Roman" w:eastAsia="Times New Roman" w:hint="default"/>
        </w:rPr>
        <w:t>1</w:t>
      </w:r>
      <w:r>
        <w:rPr/>
        <w:t>、公司控股子公司上海长宁苏宁电器有限公司于</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日与上海浦</w:t>
      </w:r>
    </w:p>
    <w:p>
      <w:pPr>
        <w:pStyle w:val="BodyText"/>
        <w:spacing w:line="240" w:lineRule="auto" w:before="135"/>
        <w:ind w:right="87"/>
        <w:jc w:val="left"/>
      </w:pPr>
      <w:r>
        <w:rPr>
          <w:spacing w:val="16"/>
        </w:rPr>
        <w:t>东新区远东商厦有限公司签订《上海市商品房出售合同</w:t>
      </w:r>
      <w:r>
        <w:rPr>
          <w:spacing w:val="-105"/>
        </w:rPr>
        <w:t>》</w:t>
      </w:r>
      <w:r>
        <w:rPr>
          <w:spacing w:val="16"/>
        </w:rPr>
        <w:t>（</w:t>
      </w:r>
      <w:r>
        <w:rPr>
          <w:rFonts w:ascii="Times New Roman" w:hAnsi="Times New Roman" w:cs="Times New Roman" w:eastAsia="Times New Roman" w:hint="default"/>
        </w:rPr>
        <w:t>200700133857 </w:t>
      </w:r>
      <w:r>
        <w:rPr>
          <w:rFonts w:ascii="Times New Roman" w:hAnsi="Times New Roman" w:cs="Times New Roman" w:eastAsia="Times New Roman" w:hint="default"/>
          <w:spacing w:val="18"/>
        </w:rPr>
        <w:t> </w:t>
      </w:r>
      <w:r>
        <w:rPr>
          <w:spacing w:val="18"/>
        </w:rPr>
        <w:t>号、</w:t>
      </w:r>
      <w:r>
        <w:rPr/>
      </w:r>
    </w:p>
    <w:p>
      <w:pPr>
        <w:pStyle w:val="BodyText"/>
        <w:spacing w:line="240" w:lineRule="auto" w:before="135"/>
        <w:ind w:right="87"/>
        <w:jc w:val="left"/>
      </w:pPr>
      <w:r>
        <w:rPr>
          <w:rFonts w:ascii="Times New Roman" w:hAnsi="Times New Roman" w:cs="Times New Roman" w:eastAsia="Times New Roman" w:hint="default"/>
        </w:rPr>
        <w:t>200700133870</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200700133876</w:t>
      </w:r>
      <w:r>
        <w:rPr>
          <w:rFonts w:ascii="Times New Roman" w:hAnsi="Times New Roman" w:cs="Times New Roman" w:eastAsia="Times New Roman" w:hint="default"/>
          <w:spacing w:val="26"/>
        </w:rPr>
        <w:t> </w:t>
      </w:r>
      <w:r>
        <w:rPr/>
        <w:t>号</w:t>
      </w:r>
      <w:r>
        <w:rPr>
          <w:spacing w:val="-120"/>
        </w:rPr>
        <w:t>）</w:t>
      </w:r>
      <w:r>
        <w:rPr/>
        <w:t>，向其购买位于上海市浦东南路</w:t>
      </w:r>
      <w:r>
        <w:rPr>
          <w:spacing w:val="-34"/>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101</w:t>
      </w:r>
      <w:r>
        <w:rPr>
          <w:rFonts w:ascii="Times New Roman" w:hAnsi="Times New Roman" w:cs="Times New Roman" w:eastAsia="Times New Roman" w:hint="default"/>
          <w:spacing w:val="26"/>
        </w:rPr>
        <w:t> </w:t>
      </w:r>
      <w:r>
        <w:rPr/>
        <w:t>号远东</w:t>
      </w:r>
    </w:p>
    <w:p>
      <w:pPr>
        <w:pStyle w:val="BodyText"/>
        <w:spacing w:line="338" w:lineRule="auto" w:before="135"/>
        <w:ind w:right="87"/>
        <w:jc w:val="left"/>
      </w:pPr>
      <w:r>
        <w:rPr/>
        <w:t>大厦</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1"/>
        </w:rPr>
        <w:t>层，建筑面积共计</w:t>
      </w:r>
      <w:r>
        <w:rPr>
          <w:spacing w:val="-57"/>
        </w:rPr>
        <w:t> </w:t>
      </w:r>
      <w:r>
        <w:rPr>
          <w:rFonts w:ascii="Times New Roman" w:hAnsi="Times New Roman" w:cs="Times New Roman" w:eastAsia="Times New Roman" w:hint="default"/>
          <w:spacing w:val="-1"/>
        </w:rPr>
        <w:t>18347.71</w:t>
      </w:r>
      <w:r>
        <w:rPr>
          <w:rFonts w:ascii="Times New Roman" w:hAnsi="Times New Roman" w:cs="Times New Roman" w:eastAsia="Times New Roman" w:hint="default"/>
          <w:spacing w:val="3"/>
        </w:rPr>
        <w:t> </w:t>
      </w:r>
      <w:r>
        <w:rPr>
          <w:spacing w:val="-1"/>
        </w:rPr>
        <w:t>平方米，购买总价</w:t>
      </w:r>
      <w:r>
        <w:rPr>
          <w:spacing w:val="-57"/>
        </w:rPr>
        <w:t> </w:t>
      </w:r>
      <w:r>
        <w:rPr>
          <w:rFonts w:ascii="Times New Roman" w:hAnsi="Times New Roman" w:cs="Times New Roman" w:eastAsia="Times New Roman" w:hint="default"/>
        </w:rPr>
        <w:t>5.32</w:t>
      </w:r>
      <w:r>
        <w:rPr>
          <w:rFonts w:ascii="Times New Roman" w:hAnsi="Times New Roman" w:cs="Times New Roman" w:eastAsia="Times New Roman" w:hint="default"/>
          <w:spacing w:val="3"/>
        </w:rPr>
        <w:t> </w:t>
      </w:r>
      <w:r>
        <w:rPr>
          <w:spacing w:val="-13"/>
        </w:rPr>
        <w:t>亿元（不含税）。该交</w:t>
      </w:r>
      <w:r>
        <w:rPr/>
        <w:t> 易不构成关联交易。</w:t>
      </w:r>
    </w:p>
    <w:p>
      <w:pPr>
        <w:pStyle w:val="BodyText"/>
        <w:spacing w:line="338" w:lineRule="auto" w:before="55"/>
        <w:ind w:left="144" w:right="221" w:firstLine="480"/>
        <w:jc w:val="both"/>
      </w:pPr>
      <w:r>
        <w:rPr>
          <w:rFonts w:ascii="Times New Roman" w:hAnsi="Times New Roman" w:cs="Times New Roman" w:eastAsia="Times New Roman" w:hint="default"/>
        </w:rPr>
        <w:t>2</w:t>
      </w:r>
      <w:r>
        <w:rPr/>
        <w:t>、公司控股子公司武汉苏宁电器有限公司分别于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29 </w:t>
      </w:r>
      <w:r>
        <w:rPr>
          <w:spacing w:val="-34"/>
        </w:rPr>
        <w:t>日、</w:t>
      </w:r>
      <w:r>
        <w:rPr>
          <w:rFonts w:ascii="Times New Roman" w:hAnsi="Times New Roman" w:cs="Times New Roman" w:eastAsia="Times New Roman" w:hint="default"/>
          <w:spacing w:val="-34"/>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7"/>
        </w:rPr>
        <w:t>日与武汉市中建房地产开发有限公司签署《武汉市商品房买卖合同》（市</w:t>
      </w:r>
      <w:r>
        <w:rPr/>
        <w:t> </w:t>
      </w:r>
      <w:r>
        <w:rPr>
          <w:rFonts w:ascii="Times New Roman" w:hAnsi="Times New Roman" w:cs="Times New Roman" w:eastAsia="Times New Roman" w:hint="default"/>
        </w:rPr>
        <w:t>0551430 </w:t>
      </w:r>
      <w:r>
        <w:rPr>
          <w:spacing w:val="-6"/>
        </w:rPr>
        <w:t>号、市</w:t>
      </w:r>
      <w:r>
        <w:rPr>
          <w:spacing w:val="-60"/>
        </w:rPr>
        <w:t> </w:t>
      </w:r>
      <w:r>
        <w:rPr>
          <w:rFonts w:ascii="Times New Roman" w:hAnsi="Times New Roman" w:cs="Times New Roman" w:eastAsia="Times New Roman" w:hint="default"/>
        </w:rPr>
        <w:t>0551431 </w:t>
      </w:r>
      <w:r>
        <w:rPr>
          <w:spacing w:val="-6"/>
        </w:rPr>
        <w:t>号、市</w:t>
      </w:r>
      <w:r>
        <w:rPr>
          <w:spacing w:val="-60"/>
        </w:rPr>
        <w:t> </w:t>
      </w:r>
      <w:r>
        <w:rPr>
          <w:rFonts w:ascii="Times New Roman" w:hAnsi="Times New Roman" w:cs="Times New Roman" w:eastAsia="Times New Roman" w:hint="default"/>
        </w:rPr>
        <w:t>0551432 </w:t>
      </w:r>
      <w:r>
        <w:rPr>
          <w:spacing w:val="-6"/>
        </w:rPr>
        <w:t>号、市</w:t>
      </w:r>
      <w:r>
        <w:rPr>
          <w:spacing w:val="-60"/>
        </w:rPr>
        <w:t> </w:t>
      </w:r>
      <w:r>
        <w:rPr>
          <w:rFonts w:ascii="Times New Roman" w:hAnsi="Times New Roman" w:cs="Times New Roman" w:eastAsia="Times New Roman" w:hint="default"/>
        </w:rPr>
        <w:t>0551433 </w:t>
      </w:r>
      <w:r>
        <w:rPr>
          <w:spacing w:val="-6"/>
        </w:rPr>
        <w:t>号、市</w:t>
      </w:r>
      <w:r>
        <w:rPr>
          <w:spacing w:val="-60"/>
        </w:rPr>
        <w:t> </w:t>
      </w:r>
      <w:r>
        <w:rPr>
          <w:rFonts w:ascii="Times New Roman" w:hAnsi="Times New Roman" w:cs="Times New Roman" w:eastAsia="Times New Roman" w:hint="default"/>
        </w:rPr>
        <w:t>0551434 </w:t>
      </w:r>
      <w:r>
        <w:rPr>
          <w:spacing w:val="-28"/>
        </w:rPr>
        <w:t>号），向其</w:t>
      </w:r>
      <w:r>
        <w:rPr/>
        <w:t> 购买位于武汉市武昌中南路 </w:t>
      </w:r>
      <w:r>
        <w:rPr>
          <w:rFonts w:ascii="Times New Roman" w:hAnsi="Times New Roman" w:cs="Times New Roman" w:eastAsia="Times New Roman" w:hint="default"/>
        </w:rPr>
        <w:t>2-6 </w:t>
      </w:r>
      <w:r>
        <w:rPr/>
        <w:t>号的工行广场第 </w:t>
      </w:r>
      <w:r>
        <w:rPr>
          <w:rFonts w:ascii="Times New Roman" w:hAnsi="Times New Roman" w:cs="Times New Roman" w:eastAsia="Times New Roman" w:hint="default"/>
        </w:rPr>
        <w:t>B</w:t>
      </w:r>
      <w:r>
        <w:rPr/>
        <w:t>、</w:t>
      </w:r>
      <w:r>
        <w:rPr>
          <w:rFonts w:ascii="Times New Roman" w:hAnsi="Times New Roman" w:cs="Times New Roman" w:eastAsia="Times New Roman" w:hint="default"/>
        </w:rPr>
        <w:t>C </w:t>
      </w:r>
      <w:r>
        <w:rPr/>
        <w:t>幢 </w:t>
      </w:r>
      <w:r>
        <w:rPr>
          <w:rFonts w:ascii="Times New Roman" w:hAnsi="Times New Roman" w:cs="Times New Roman" w:eastAsia="Times New Roman" w:hint="default"/>
        </w:rPr>
        <w:t>1-5</w:t>
      </w:r>
      <w:r>
        <w:rPr>
          <w:rFonts w:ascii="Times New Roman" w:hAnsi="Times New Roman" w:cs="Times New Roman" w:eastAsia="Times New Roman" w:hint="default"/>
          <w:spacing w:val="33"/>
        </w:rPr>
        <w:t> </w:t>
      </w:r>
      <w:r>
        <w:rPr/>
        <w:t>层，建筑面积共计 </w:t>
      </w:r>
      <w:r>
        <w:rPr>
          <w:rFonts w:ascii="Times New Roman" w:hAnsi="Times New Roman" w:cs="Times New Roman" w:eastAsia="Times New Roman" w:hint="default"/>
        </w:rPr>
        <w:t>20627.74</w:t>
      </w:r>
      <w:r>
        <w:rPr>
          <w:rFonts w:ascii="Times New Roman" w:hAnsi="Times New Roman" w:cs="Times New Roman" w:eastAsia="Times New Roman" w:hint="default"/>
          <w:spacing w:val="4"/>
        </w:rPr>
        <w:t> </w:t>
      </w:r>
      <w:r>
        <w:rPr/>
        <w:t>平方米，购买总价</w:t>
      </w:r>
      <w:r>
        <w:rPr>
          <w:spacing w:val="-56"/>
        </w:rPr>
        <w:t> </w:t>
      </w:r>
      <w:r>
        <w:rPr>
          <w:rFonts w:ascii="Times New Roman" w:hAnsi="Times New Roman" w:cs="Times New Roman" w:eastAsia="Times New Roman" w:hint="default"/>
        </w:rPr>
        <w:t>2.04</w:t>
      </w:r>
      <w:r>
        <w:rPr>
          <w:rFonts w:ascii="Times New Roman" w:hAnsi="Times New Roman" w:cs="Times New Roman" w:eastAsia="Times New Roman" w:hint="default"/>
          <w:spacing w:val="4"/>
        </w:rPr>
        <w:t> </w:t>
      </w:r>
      <w:r>
        <w:rPr>
          <w:spacing w:val="-7"/>
        </w:rPr>
        <w:t>亿元（不含税）。该交易不构成关联交易。</w:t>
      </w:r>
    </w:p>
    <w:p>
      <w:pPr>
        <w:spacing w:after="0" w:line="338"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48" w:lineRule="auto" w:before="26"/>
        <w:ind w:left="144" w:right="221" w:firstLine="480"/>
        <w:jc w:val="both"/>
      </w:pPr>
      <w:r>
        <w:rPr>
          <w:rFonts w:ascii="Times New Roman" w:hAnsi="Times New Roman" w:cs="Times New Roman" w:eastAsia="Times New Roman" w:hint="default"/>
          <w:spacing w:val="-20"/>
        </w:rPr>
        <w:t>3</w:t>
      </w:r>
      <w:r>
        <w:rPr>
          <w:spacing w:val="-20"/>
        </w:rPr>
        <w:t>、公司已于</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24"/>
        </w:rPr>
        <w:t>日在巨潮资讯网、《证券时报》、《中国证券报》、《上</w:t>
      </w:r>
      <w:r>
        <w:rPr/>
        <w:t> </w:t>
      </w:r>
      <w:r>
        <w:rPr>
          <w:spacing w:val="-8"/>
        </w:rPr>
        <w:t>海证券报》、《证券日报》刊登《关于购买资产的公告》，对上述两项购买资产事项</w:t>
      </w:r>
      <w:r>
        <w:rPr>
          <w:spacing w:val="-109"/>
        </w:rPr>
        <w:t> </w:t>
      </w:r>
      <w:r>
        <w:rPr>
          <w:spacing w:val="-109"/>
        </w:rPr>
      </w:r>
      <w:r>
        <w:rPr/>
        <w:t>进行公告。</w:t>
      </w:r>
    </w:p>
    <w:p>
      <w:pPr>
        <w:pStyle w:val="BodyText"/>
        <w:spacing w:line="348" w:lineRule="auto" w:before="46"/>
        <w:ind w:left="144" w:right="216" w:firstLine="480"/>
        <w:jc w:val="both"/>
      </w:pPr>
      <w:r>
        <w:rPr/>
        <w:t>上述两项购买资产项目作为公司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年非公开发行股票（以下简称“本次发 </w:t>
      </w:r>
      <w:r>
        <w:rPr>
          <w:spacing w:val="-2"/>
        </w:rPr>
        <w:t>行”）的募集资金投向，本次发行方案及募集资金使用的可行性研究报告已经公司</w:t>
      </w:r>
      <w:r>
        <w:rPr>
          <w:spacing w:val="-97"/>
        </w:rPr>
        <w:t> </w:t>
      </w:r>
      <w:r>
        <w:rPr>
          <w:spacing w:val="-97"/>
        </w:rPr>
      </w:r>
      <w:r>
        <w:rPr/>
        <w:t>第二届董事会第四十二次会议及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年第一次临时股东大会审议通过，尚待中国 </w:t>
      </w:r>
      <w:r>
        <w:rPr>
          <w:spacing w:val="-1"/>
        </w:rPr>
        <w:t>证券监督管理委员会审批。除此以外，上述两项购买资产项目无需其他相关部门审</w:t>
      </w:r>
      <w:r>
        <w:rPr>
          <w:spacing w:val="-106"/>
        </w:rPr>
        <w:t> </w:t>
      </w:r>
      <w:r>
        <w:rPr>
          <w:spacing w:val="-106"/>
        </w:rPr>
      </w:r>
      <w:r>
        <w:rPr/>
        <w:t>批。</w:t>
      </w:r>
    </w:p>
    <w:p>
      <w:pPr>
        <w:spacing w:line="240" w:lineRule="auto" w:before="0"/>
        <w:rPr>
          <w:rFonts w:ascii="宋体" w:hAnsi="宋体" w:cs="宋体" w:eastAsia="宋体" w:hint="default"/>
          <w:sz w:val="24"/>
          <w:szCs w:val="24"/>
        </w:rPr>
      </w:pPr>
    </w:p>
    <w:p>
      <w:pPr>
        <w:pStyle w:val="BodyText"/>
        <w:spacing w:line="240" w:lineRule="auto" w:before="200"/>
        <w:ind w:left="624" w:right="87"/>
        <w:jc w:val="left"/>
      </w:pPr>
      <w:r>
        <w:rPr/>
        <w:t>三、重大关联交易</w:t>
      </w:r>
    </w:p>
    <w:p>
      <w:pPr>
        <w:pStyle w:val="BodyText"/>
        <w:spacing w:line="338" w:lineRule="auto" w:before="154"/>
        <w:ind w:left="623" w:right="87"/>
        <w:jc w:val="left"/>
      </w:pPr>
      <w:r>
        <w:rPr>
          <w:rFonts w:ascii="Times New Roman" w:hAnsi="Times New Roman" w:cs="Times New Roman" w:eastAsia="Times New Roman" w:hint="default"/>
        </w:rPr>
        <w:t>1</w:t>
      </w:r>
      <w:r>
        <w:rPr/>
        <w:t>、经营性日常关联交易 </w:t>
      </w:r>
      <w:r>
        <w:rPr>
          <w:spacing w:val="-5"/>
        </w:rPr>
        <w:t>根据公司与江苏苏宁银河国际购物广场有限公司（以下简称“苏宁银河百货”）</w:t>
      </w:r>
    </w:p>
    <w:p>
      <w:pPr>
        <w:pStyle w:val="BodyText"/>
        <w:spacing w:line="338" w:lineRule="auto" w:before="55"/>
        <w:ind w:right="217"/>
        <w:jc w:val="both"/>
      </w:pPr>
      <w:r>
        <w:rPr>
          <w:spacing w:val="-4"/>
        </w:rPr>
        <w:t>签订的《合作协议》，公司组织南京地区连锁店联合苏宁银河百货共同举办</w:t>
      </w:r>
      <w:r>
        <w:rPr>
          <w:rFonts w:ascii="Times New Roman" w:hAnsi="Times New Roman" w:cs="Times New Roman" w:eastAsia="Times New Roman" w:hint="default"/>
          <w:spacing w:val="-4"/>
        </w:rPr>
        <w:t>“</w:t>
      </w:r>
      <w:r>
        <w:rPr>
          <w:spacing w:val="-4"/>
        </w:rPr>
        <w:t>满就送</w:t>
      </w:r>
      <w:r>
        <w:rPr>
          <w:spacing w:val="-102"/>
        </w:rPr>
        <w:t> </w:t>
      </w:r>
      <w:r>
        <w:rPr>
          <w:spacing w:val="2"/>
        </w:rPr>
        <w:t>购物券</w:t>
      </w:r>
      <w:r>
        <w:rPr>
          <w:rFonts w:ascii="Times New Roman" w:hAnsi="Times New Roman" w:cs="Times New Roman" w:eastAsia="Times New Roman" w:hint="default"/>
          <w:spacing w:val="2"/>
        </w:rPr>
        <w:t>”</w:t>
      </w:r>
      <w:r>
        <w:rPr>
          <w:spacing w:val="2"/>
        </w:rPr>
        <w:t>的促销活动，顾客在双方购物所获赠的购物券均可充当同等金额的现金，</w:t>
      </w:r>
      <w:r>
        <w:rPr>
          <w:spacing w:val="-86"/>
        </w:rPr>
        <w:t> </w:t>
      </w:r>
      <w:r>
        <w:rPr/>
        <w:t>可在本公司南京地区各连锁店及苏宁银河百货消费时通用，双方于每月 </w:t>
      </w:r>
      <w:r>
        <w:rPr>
          <w:rFonts w:ascii="Times New Roman" w:hAnsi="Times New Roman" w:cs="Times New Roman" w:eastAsia="Times New Roman" w:hint="default"/>
        </w:rPr>
        <w:t>25</w:t>
      </w:r>
      <w:r>
        <w:rPr>
          <w:rFonts w:ascii="Times New Roman" w:hAnsi="Times New Roman" w:cs="Times New Roman" w:eastAsia="Times New Roman" w:hint="default"/>
          <w:spacing w:val="38"/>
        </w:rPr>
        <w:t> </w:t>
      </w:r>
      <w:r>
        <w:rPr/>
        <w:t>日定期 进行购物券的核对结算并开具相应票据。</w:t>
      </w:r>
    </w:p>
    <w:p>
      <w:pPr>
        <w:pStyle w:val="BodyText"/>
        <w:spacing w:line="338" w:lineRule="auto" w:before="55"/>
        <w:ind w:right="85" w:firstLine="480"/>
        <w:jc w:val="left"/>
      </w:pPr>
      <w:r>
        <w:rPr>
          <w:rFonts w:ascii="Times New Roman" w:hAnsi="Times New Roman" w:cs="Times New Roman" w:eastAsia="Times New Roman" w:hint="default"/>
        </w:rPr>
        <w:t>2007 </w:t>
      </w:r>
      <w:r>
        <w:rPr>
          <w:spacing w:val="-3"/>
        </w:rPr>
        <w:t>年度，顾客持公司购物券在苏宁银河国际使用的金额约为人民币</w:t>
      </w:r>
      <w:r>
        <w:rPr>
          <w:spacing w:val="-60"/>
        </w:rPr>
        <w:t> </w:t>
      </w:r>
      <w:r>
        <w:rPr>
          <w:rFonts w:ascii="Times New Roman" w:hAnsi="Times New Roman" w:cs="Times New Roman" w:eastAsia="Times New Roman" w:hint="default"/>
        </w:rPr>
        <w:t>26 </w:t>
      </w:r>
      <w:r>
        <w:rPr/>
        <w:t>万元。 未发生顾客持苏宁银河国际购物广场购物券在公司消费的情况。</w:t>
      </w:r>
    </w:p>
    <w:p>
      <w:pPr>
        <w:pStyle w:val="BodyText"/>
        <w:spacing w:line="240" w:lineRule="auto" w:before="55"/>
        <w:ind w:left="623" w:right="87"/>
        <w:jc w:val="left"/>
      </w:pPr>
      <w:r>
        <w:rPr>
          <w:rFonts w:ascii="Times New Roman" w:hAnsi="Times New Roman" w:cs="Times New Roman" w:eastAsia="Times New Roman" w:hint="default"/>
        </w:rPr>
        <w:t>2</w:t>
      </w:r>
      <w:r>
        <w:rPr/>
        <w:t>、租赁协议</w:t>
      </w:r>
    </w:p>
    <w:p>
      <w:pPr>
        <w:pStyle w:val="BodyText"/>
        <w:spacing w:line="240" w:lineRule="auto" w:before="135"/>
        <w:ind w:left="623" w:right="87"/>
        <w:jc w:val="left"/>
      </w:pPr>
      <w:r>
        <w:rPr>
          <w:rFonts w:ascii="Times New Roman" w:hAnsi="Times New Roman" w:cs="Times New Roman" w:eastAsia="Times New Roman" w:hint="default"/>
          <w:w w:val="99"/>
        </w:rPr>
        <w:t>(1) </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w w:val="99"/>
        </w:rPr>
        <w:t>2002</w:t>
      </w:r>
      <w:r>
        <w:rPr>
          <w:rFonts w:ascii="Times New Roman" w:hAnsi="Times New Roman" w:cs="Times New Roman" w:eastAsia="Times New Roman" w:hint="default"/>
          <w:spacing w:val="-1"/>
          <w:w w:val="99"/>
        </w:rPr>
        <w:t> </w:t>
      </w:r>
      <w:r>
        <w:rPr>
          <w:w w:val="99"/>
        </w:rPr>
        <w:t>年</w:t>
      </w:r>
      <w:r>
        <w:rPr>
          <w:spacing w:val="-60"/>
          <w:w w:val="99"/>
        </w:rPr>
        <w:t> </w:t>
      </w:r>
      <w:r>
        <w:rPr>
          <w:rFonts w:ascii="Times New Roman" w:hAnsi="Times New Roman" w:cs="Times New Roman" w:eastAsia="Times New Roman" w:hint="default"/>
          <w:w w:val="99"/>
        </w:rPr>
        <w:t>3 </w:t>
      </w:r>
      <w:r>
        <w:rPr>
          <w:w w:val="99"/>
        </w:rPr>
        <w:t>月</w:t>
      </w:r>
      <w:r>
        <w:rPr>
          <w:spacing w:val="-60"/>
          <w:w w:val="99"/>
        </w:rPr>
        <w:t> </w:t>
      </w:r>
      <w:r>
        <w:rPr>
          <w:rFonts w:ascii="Times New Roman" w:hAnsi="Times New Roman" w:cs="Times New Roman" w:eastAsia="Times New Roman" w:hint="default"/>
          <w:w w:val="99"/>
        </w:rPr>
        <w:t>28 </w:t>
      </w:r>
      <w:r>
        <w:rPr>
          <w:w w:val="99"/>
        </w:rPr>
        <w:t>日，公司签署《房屋租赁合同</w:t>
      </w:r>
      <w:r>
        <w:rPr>
          <w:spacing w:val="-120"/>
          <w:w w:val="99"/>
        </w:rPr>
        <w:t>》</w:t>
      </w:r>
      <w:r>
        <w:rPr>
          <w:w w:val="99"/>
        </w:rPr>
        <w:t>，承租江苏苏宁电器有限公</w:t>
      </w:r>
      <w:r>
        <w:rPr/>
      </w:r>
    </w:p>
    <w:p>
      <w:pPr>
        <w:pStyle w:val="BodyText"/>
        <w:spacing w:line="240" w:lineRule="auto" w:before="135"/>
        <w:ind w:right="0"/>
        <w:jc w:val="both"/>
      </w:pPr>
      <w:r>
        <w:rPr/>
        <w:t>司位于南京市淮海路</w:t>
      </w:r>
      <w:r>
        <w:rPr>
          <w:spacing w:val="-51"/>
        </w:rPr>
        <w:t> </w:t>
      </w:r>
      <w:r>
        <w:rPr>
          <w:rFonts w:ascii="Times New Roman" w:hAnsi="Times New Roman" w:cs="Times New Roman" w:eastAsia="Times New Roman" w:hint="default"/>
        </w:rPr>
        <w:t>68</w:t>
      </w:r>
      <w:r>
        <w:rPr>
          <w:rFonts w:ascii="Times New Roman" w:hAnsi="Times New Roman" w:cs="Times New Roman" w:eastAsia="Times New Roman" w:hint="default"/>
          <w:spacing w:val="9"/>
        </w:rPr>
        <w:t> </w:t>
      </w:r>
      <w:r>
        <w:rPr/>
        <w:t>号的苏宁电器大厦，租赁面积约为</w:t>
      </w:r>
      <w:r>
        <w:rPr>
          <w:spacing w:val="-51"/>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9"/>
        </w:rPr>
        <w:t> </w:t>
      </w:r>
      <w:r>
        <w:rPr/>
        <w:t>平方米做为商场</w:t>
      </w:r>
    </w:p>
    <w:p>
      <w:pPr>
        <w:pStyle w:val="BodyText"/>
        <w:spacing w:line="338" w:lineRule="auto" w:before="135"/>
        <w:ind w:right="219"/>
        <w:jc w:val="both"/>
      </w:pPr>
      <w:r>
        <w:rPr/>
        <w:t>和办公用房，租赁期自</w:t>
      </w:r>
      <w:r>
        <w:rPr>
          <w:spacing w:val="-6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日止，第一年租金为</w:t>
      </w:r>
      <w:r>
        <w:rPr>
          <w:spacing w:val="-1"/>
        </w:rPr>
        <w:t> </w:t>
      </w:r>
      <w:r>
        <w:rPr/>
        <w:t>人民币</w:t>
      </w:r>
      <w:r>
        <w:rPr>
          <w:spacing w:val="-60"/>
        </w:rPr>
        <w:t> </w:t>
      </w:r>
      <w:r>
        <w:rPr>
          <w:rFonts w:ascii="Times New Roman" w:hAnsi="Times New Roman" w:cs="Times New Roman" w:eastAsia="Times New Roman" w:hint="default"/>
        </w:rPr>
        <w:t>1,200 </w:t>
      </w:r>
      <w:r>
        <w:rPr/>
        <w:t>万元人民币，以后每年递增</w:t>
      </w:r>
      <w:r>
        <w:rPr>
          <w:spacing w:val="-60"/>
        </w:rPr>
        <w:t> </w:t>
      </w:r>
      <w:r>
        <w:rPr>
          <w:rFonts w:ascii="Times New Roman" w:hAnsi="Times New Roman" w:cs="Times New Roman" w:eastAsia="Times New Roman" w:hint="default"/>
        </w:rPr>
        <w:t>2%</w:t>
      </w:r>
      <w:r>
        <w:rPr/>
        <w:t>。</w:t>
      </w:r>
    </w:p>
    <w:p>
      <w:pPr>
        <w:pStyle w:val="BodyText"/>
        <w:spacing w:line="240" w:lineRule="auto" w:before="27"/>
        <w:ind w:left="402" w:right="0"/>
        <w:jc w:val="center"/>
      </w:pPr>
      <w:r>
        <w:rPr>
          <w:rFonts w:ascii="Times New Roman" w:hAnsi="Times New Roman" w:cs="Times New Roman" w:eastAsia="Times New Roman" w:hint="default"/>
          <w:w w:val="99"/>
        </w:rPr>
        <w:t>(2) 2004</w:t>
      </w:r>
      <w:r>
        <w:rPr>
          <w:rFonts w:ascii="Times New Roman" w:hAnsi="Times New Roman" w:cs="Times New Roman" w:eastAsia="Times New Roman" w:hint="default"/>
          <w:spacing w:val="-13"/>
          <w:w w:val="99"/>
        </w:rPr>
        <w:t> </w:t>
      </w:r>
      <w:r>
        <w:rPr>
          <w:w w:val="99"/>
        </w:rPr>
        <w:t>年</w:t>
      </w:r>
      <w:r>
        <w:rPr>
          <w:spacing w:val="-74"/>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12"/>
          <w:w w:val="99"/>
        </w:rPr>
        <w:t> </w:t>
      </w:r>
      <w:r>
        <w:rPr>
          <w:w w:val="99"/>
        </w:rPr>
        <w:t>月</w:t>
      </w:r>
      <w:r>
        <w:rPr>
          <w:spacing w:val="-72"/>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2"/>
          <w:w w:val="99"/>
        </w:rPr>
        <w:t> </w:t>
      </w:r>
      <w:r>
        <w:rPr>
          <w:w w:val="99"/>
        </w:rPr>
        <w:t>日</w:t>
      </w:r>
      <w:r>
        <w:rPr>
          <w:spacing w:val="-120"/>
          <w:w w:val="99"/>
        </w:rPr>
        <w:t>，</w:t>
      </w:r>
      <w:r>
        <w:rPr>
          <w:spacing w:val="-1"/>
          <w:w w:val="99"/>
        </w:rPr>
        <w:t>公司与江苏苏宁电器有限公司签订</w:t>
      </w:r>
      <w:r>
        <w:rPr>
          <w:spacing w:val="-121"/>
          <w:w w:val="99"/>
        </w:rPr>
        <w:t>了</w:t>
      </w:r>
      <w:r>
        <w:rPr>
          <w:w w:val="99"/>
        </w:rPr>
        <w:t>《房屋租赁补充协议</w:t>
      </w:r>
      <w:r>
        <w:rPr>
          <w:spacing w:val="-120"/>
          <w:w w:val="99"/>
        </w:rPr>
        <w:t>》</w:t>
      </w:r>
      <w:r>
        <w:rPr>
          <w:w w:val="99"/>
        </w:rPr>
        <w:t>，</w:t>
      </w:r>
      <w:r>
        <w:rPr/>
      </w:r>
    </w:p>
    <w:p>
      <w:pPr>
        <w:pStyle w:val="BodyText"/>
        <w:spacing w:line="240" w:lineRule="auto" w:before="135"/>
        <w:ind w:right="0"/>
        <w:jc w:val="both"/>
      </w:pPr>
      <w:r>
        <w:rPr/>
        <w:t>增租苏宁电器大厦共计约</w:t>
      </w:r>
      <w:r>
        <w:rPr>
          <w:spacing w:val="-59"/>
        </w:rPr>
        <w:t> </w:t>
      </w:r>
      <w:r>
        <w:rPr>
          <w:rFonts w:ascii="Times New Roman" w:hAnsi="Times New Roman" w:cs="Times New Roman" w:eastAsia="Times New Roman" w:hint="default"/>
        </w:rPr>
        <w:t>4,400</w:t>
      </w:r>
      <w:r>
        <w:rPr>
          <w:rFonts w:ascii="Times New Roman" w:hAnsi="Times New Roman" w:cs="Times New Roman" w:eastAsia="Times New Roman" w:hint="default"/>
          <w:spacing w:val="1"/>
        </w:rPr>
        <w:t> </w:t>
      </w:r>
      <w:r>
        <w:rPr>
          <w:spacing w:val="-7"/>
        </w:rPr>
        <w:t>平方米的建筑面积，租赁期自</w:t>
      </w:r>
      <w:r>
        <w:rPr>
          <w:spacing w:val="-5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p>
    <w:p>
      <w:pPr>
        <w:pStyle w:val="BodyText"/>
        <w:spacing w:line="240" w:lineRule="auto" w:before="135"/>
        <w:ind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日止，第一年租金总额人民币</w:t>
      </w:r>
      <w:r>
        <w:rPr>
          <w:spacing w:val="-60"/>
        </w:rPr>
        <w:t> </w:t>
      </w:r>
      <w:r>
        <w:rPr>
          <w:rFonts w:ascii="Times New Roman" w:hAnsi="Times New Roman" w:cs="Times New Roman" w:eastAsia="Times New Roman" w:hint="default"/>
        </w:rPr>
        <w:t>320 </w:t>
      </w:r>
      <w:r>
        <w:rPr/>
        <w:t>万元，以后每年递增</w:t>
      </w:r>
      <w:r>
        <w:rPr>
          <w:spacing w:val="-60"/>
        </w:rPr>
        <w:t> </w:t>
      </w:r>
      <w:r>
        <w:rPr>
          <w:rFonts w:ascii="Times New Roman" w:hAnsi="Times New Roman" w:cs="Times New Roman" w:eastAsia="Times New Roman" w:hint="default"/>
        </w:rPr>
        <w:t>2%</w:t>
      </w:r>
      <w:r>
        <w:rPr/>
        <w:t>。</w:t>
      </w:r>
    </w:p>
    <w:p>
      <w:pPr>
        <w:pStyle w:val="BodyText"/>
        <w:spacing w:line="240" w:lineRule="auto" w:before="135"/>
        <w:ind w:left="282" w:right="0"/>
        <w:jc w:val="center"/>
      </w:pPr>
      <w:r>
        <w:rPr>
          <w:rFonts w:ascii="Times New Roman" w:hAnsi="Times New Roman" w:cs="Times New Roman" w:eastAsia="Times New Roman" w:hint="default"/>
          <w:w w:val="99"/>
        </w:rPr>
        <w:t>(3) 2007</w:t>
      </w:r>
      <w:r>
        <w:rPr>
          <w:rFonts w:ascii="Times New Roman" w:hAnsi="Times New Roman" w:cs="Times New Roman" w:eastAsia="Times New Roman" w:hint="default"/>
          <w:spacing w:val="-1"/>
          <w:w w:val="99"/>
        </w:rPr>
        <w:t> </w:t>
      </w:r>
      <w:r>
        <w:rPr>
          <w:w w:val="99"/>
        </w:rPr>
        <w:t>年</w:t>
      </w:r>
      <w:r>
        <w:rPr>
          <w:spacing w:val="-62"/>
          <w:w w:val="99"/>
        </w:rPr>
        <w:t> </w:t>
      </w:r>
      <w:r>
        <w:rPr>
          <w:rFonts w:ascii="Times New Roman" w:hAnsi="Times New Roman" w:cs="Times New Roman" w:eastAsia="Times New Roman" w:hint="default"/>
          <w:w w:val="99"/>
        </w:rPr>
        <w:t>4 </w:t>
      </w:r>
      <w:r>
        <w:rPr>
          <w:w w:val="99"/>
        </w:rPr>
        <w:t>月</w:t>
      </w:r>
      <w:r>
        <w:rPr>
          <w:spacing w:val="-60"/>
          <w:w w:val="99"/>
        </w:rPr>
        <w:t> </w:t>
      </w:r>
      <w:r>
        <w:rPr>
          <w:rFonts w:ascii="Times New Roman" w:hAnsi="Times New Roman" w:cs="Times New Roman" w:eastAsia="Times New Roman" w:hint="default"/>
          <w:w w:val="99"/>
        </w:rPr>
        <w:t>18 </w:t>
      </w:r>
      <w:r>
        <w:rPr>
          <w:w w:val="99"/>
        </w:rPr>
        <w:t>日</w:t>
      </w:r>
      <w:r>
        <w:rPr>
          <w:spacing w:val="-21"/>
          <w:w w:val="99"/>
        </w:rPr>
        <w:t>，</w:t>
      </w:r>
      <w:r>
        <w:rPr>
          <w:w w:val="99"/>
        </w:rPr>
        <w:t>公司与银河国际签</w:t>
      </w:r>
      <w:r>
        <w:rPr>
          <w:spacing w:val="-21"/>
          <w:w w:val="99"/>
        </w:rPr>
        <w:t>订</w:t>
      </w:r>
      <w:r>
        <w:rPr>
          <w:w w:val="99"/>
        </w:rPr>
        <w:t>《房屋租赁合同</w:t>
      </w:r>
      <w:r>
        <w:rPr>
          <w:spacing w:val="-120"/>
          <w:w w:val="99"/>
        </w:rPr>
        <w:t>》</w:t>
      </w:r>
      <w:r>
        <w:rPr>
          <w:spacing w:val="-21"/>
          <w:w w:val="99"/>
        </w:rPr>
        <w:t>，</w:t>
      </w:r>
      <w:r>
        <w:rPr>
          <w:w w:val="99"/>
        </w:rPr>
        <w:t>承租银河国际位</w:t>
      </w:r>
      <w:r>
        <w:rPr/>
      </w:r>
    </w:p>
    <w:p>
      <w:pPr>
        <w:pStyle w:val="BodyText"/>
        <w:spacing w:line="240" w:lineRule="auto" w:before="135"/>
        <w:ind w:right="0"/>
        <w:jc w:val="both"/>
      </w:pPr>
      <w:r>
        <w:rPr/>
        <w:t>于南京市中山南路</w:t>
      </w:r>
      <w:r>
        <w:rPr>
          <w:spacing w:val="-56"/>
        </w:rPr>
        <w:t> </w:t>
      </w:r>
      <w:r>
        <w:rPr>
          <w:rFonts w:ascii="Times New Roman" w:hAnsi="Times New Roman" w:cs="Times New Roman" w:eastAsia="Times New Roman" w:hint="default"/>
        </w:rPr>
        <w:t>49</w:t>
      </w:r>
      <w:r>
        <w:rPr>
          <w:rFonts w:ascii="Times New Roman" w:hAnsi="Times New Roman" w:cs="Times New Roman" w:eastAsia="Times New Roman" w:hint="default"/>
          <w:spacing w:val="4"/>
        </w:rPr>
        <w:t> </w:t>
      </w:r>
      <w:r>
        <w:rPr>
          <w:spacing w:val="-5"/>
        </w:rPr>
        <w:t>号商茂世纪大厦地下一层以及地上一层，共约</w:t>
      </w:r>
      <w:r>
        <w:rPr>
          <w:spacing w:val="-5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平方米的</w:t>
      </w:r>
    </w:p>
    <w:p>
      <w:pPr>
        <w:pStyle w:val="BodyText"/>
        <w:spacing w:line="240" w:lineRule="auto" w:before="135"/>
        <w:ind w:right="0"/>
        <w:jc w:val="both"/>
      </w:pPr>
      <w:r>
        <w:rPr/>
        <w:t>面积，租赁期限自</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6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日止，租赁费用为前三年</w:t>
      </w:r>
    </w:p>
    <w:p>
      <w:pPr>
        <w:pStyle w:val="BodyText"/>
        <w:spacing w:line="240" w:lineRule="auto" w:before="135"/>
        <w:ind w:right="0"/>
        <w:jc w:val="both"/>
      </w:pPr>
      <w:r>
        <w:rPr/>
        <w:t>单价</w:t>
      </w:r>
      <w:r>
        <w:rPr>
          <w:spacing w:val="-49"/>
        </w:rPr>
        <w:t> </w:t>
      </w:r>
      <w:r>
        <w:rPr>
          <w:rFonts w:ascii="Times New Roman" w:hAnsi="Times New Roman" w:cs="Times New Roman" w:eastAsia="Times New Roman" w:hint="default"/>
        </w:rPr>
        <w:t>85</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月至</w:t>
      </w:r>
      <w:r>
        <w:rPr>
          <w:spacing w:val="-49"/>
        </w:rPr>
        <w:t> </w:t>
      </w:r>
      <w:r>
        <w:rPr>
          <w:rFonts w:ascii="Times New Roman" w:hAnsi="Times New Roman" w:cs="Times New Roman" w:eastAsia="Times New Roman" w:hint="default"/>
        </w:rPr>
        <w:t>300</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月不等，自第</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年起每三年在前一个租赁年</w:t>
      </w:r>
    </w:p>
    <w:p>
      <w:pPr>
        <w:spacing w:after="0" w:line="240"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240" w:lineRule="auto" w:before="26"/>
        <w:ind w:left="144" w:right="87"/>
        <w:jc w:val="left"/>
      </w:pPr>
      <w:r>
        <w:rPr/>
        <w:t>度租金基础上递增</w:t>
      </w:r>
      <w:r>
        <w:rPr>
          <w:spacing w:val="-60"/>
        </w:rPr>
        <w:t> </w:t>
      </w:r>
      <w:r>
        <w:rPr>
          <w:rFonts w:ascii="Times New Roman" w:hAnsi="Times New Roman" w:cs="Times New Roman" w:eastAsia="Times New Roman" w:hint="default"/>
        </w:rPr>
        <w:t>5%</w:t>
      </w:r>
      <w:r>
        <w:rPr/>
        <w:t>。</w:t>
      </w:r>
    </w:p>
    <w:p>
      <w:pPr>
        <w:pStyle w:val="BodyText"/>
        <w:spacing w:line="240" w:lineRule="auto" w:before="135"/>
        <w:ind w:left="503" w:right="87"/>
        <w:jc w:val="left"/>
      </w:pPr>
      <w:r>
        <w:rPr>
          <w:rFonts w:ascii="Times New Roman" w:hAnsi="Times New Roman" w:cs="Times New Roman" w:eastAsia="Times New Roman" w:hint="default"/>
          <w:w w:val="99"/>
        </w:rPr>
        <w:t>(4) 2007</w:t>
      </w:r>
      <w:r>
        <w:rPr>
          <w:rFonts w:ascii="Times New Roman" w:hAnsi="Times New Roman" w:cs="Times New Roman" w:eastAsia="Times New Roman" w:hint="default"/>
          <w:spacing w:val="-1"/>
          <w:w w:val="99"/>
        </w:rPr>
        <w:t> </w:t>
      </w:r>
      <w:r>
        <w:rPr>
          <w:w w:val="99"/>
        </w:rPr>
        <w:t>年</w:t>
      </w:r>
      <w:r>
        <w:rPr>
          <w:spacing w:val="-62"/>
          <w:w w:val="99"/>
        </w:rPr>
        <w:t> </w:t>
      </w:r>
      <w:r>
        <w:rPr>
          <w:rFonts w:ascii="Times New Roman" w:hAnsi="Times New Roman" w:cs="Times New Roman" w:eastAsia="Times New Roman" w:hint="default"/>
          <w:w w:val="99"/>
        </w:rPr>
        <w:t>12 </w:t>
      </w:r>
      <w:r>
        <w:rPr>
          <w:w w:val="99"/>
        </w:rPr>
        <w:t>月</w:t>
      </w:r>
      <w:r>
        <w:rPr>
          <w:spacing w:val="-60"/>
          <w:w w:val="99"/>
        </w:rPr>
        <w:t> </w:t>
      </w:r>
      <w:r>
        <w:rPr>
          <w:rFonts w:ascii="Times New Roman" w:hAnsi="Times New Roman" w:cs="Times New Roman" w:eastAsia="Times New Roman" w:hint="default"/>
          <w:w w:val="99"/>
        </w:rPr>
        <w:t>4 </w:t>
      </w:r>
      <w:r>
        <w:rPr>
          <w:w w:val="99"/>
        </w:rPr>
        <w:t>日</w:t>
      </w:r>
      <w:r>
        <w:rPr>
          <w:spacing w:val="-21"/>
          <w:w w:val="99"/>
        </w:rPr>
        <w:t>，</w:t>
      </w:r>
      <w:r>
        <w:rPr>
          <w:w w:val="99"/>
        </w:rPr>
        <w:t>公司与银河国际签</w:t>
      </w:r>
      <w:r>
        <w:rPr>
          <w:spacing w:val="-21"/>
          <w:w w:val="99"/>
        </w:rPr>
        <w:t>订</w:t>
      </w:r>
      <w:r>
        <w:rPr>
          <w:w w:val="99"/>
        </w:rPr>
        <w:t>《备忘录</w:t>
      </w:r>
      <w:r>
        <w:rPr>
          <w:spacing w:val="-120"/>
          <w:w w:val="99"/>
        </w:rPr>
        <w:t>》</w:t>
      </w:r>
      <w:r>
        <w:rPr>
          <w:spacing w:val="-21"/>
          <w:w w:val="99"/>
        </w:rPr>
        <w:t>，</w:t>
      </w:r>
      <w:r>
        <w:rPr>
          <w:w w:val="99"/>
        </w:rPr>
        <w:t>一致同意因经营需要提</w:t>
      </w:r>
      <w:r>
        <w:rPr/>
      </w:r>
    </w:p>
    <w:p>
      <w:pPr>
        <w:pStyle w:val="BodyText"/>
        <w:spacing w:line="240" w:lineRule="auto" w:before="135"/>
        <w:ind w:right="87"/>
        <w:jc w:val="left"/>
      </w:pPr>
      <w:r>
        <w:rPr/>
        <w:t>前解除</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18 </w:t>
      </w:r>
      <w:r>
        <w:rPr/>
        <w:t>日签订</w:t>
      </w:r>
      <w:r>
        <w:rPr>
          <w:spacing w:val="-36"/>
        </w:rPr>
        <w:t>的</w:t>
      </w:r>
      <w:r>
        <w:rPr/>
        <w:t>《房屋租赁合同</w:t>
      </w:r>
      <w:r>
        <w:rPr>
          <w:spacing w:val="-120"/>
        </w:rPr>
        <w:t>》</w:t>
      </w:r>
      <w:r>
        <w:rPr>
          <w:spacing w:val="-36"/>
        </w:rPr>
        <w:t>。</w:t>
      </w:r>
      <w:r>
        <w:rPr/>
        <w:t>此外</w:t>
      </w:r>
      <w:r>
        <w:rPr>
          <w:spacing w:val="-36"/>
        </w:rPr>
        <w:t>，</w:t>
      </w:r>
      <w:r>
        <w:rPr/>
        <w:t>双方另行签订了新</w:t>
      </w:r>
      <w:r>
        <w:rPr>
          <w:spacing w:val="-36"/>
        </w:rPr>
        <w:t>的</w:t>
      </w:r>
      <w:r>
        <w:rPr/>
        <w:t>《房</w:t>
      </w:r>
    </w:p>
    <w:p>
      <w:pPr>
        <w:pStyle w:val="BodyText"/>
        <w:spacing w:line="240" w:lineRule="auto" w:before="135"/>
        <w:ind w:right="87"/>
        <w:jc w:val="left"/>
      </w:pPr>
      <w:r>
        <w:rPr/>
        <w:t>屋租赁合同</w:t>
      </w:r>
      <w:r>
        <w:rPr>
          <w:spacing w:val="-120"/>
        </w:rPr>
        <w:t>》</w:t>
      </w:r>
      <w:r>
        <w:rPr/>
        <w:t>，承租银河国际位于南京市中山南路</w:t>
      </w:r>
      <w:r>
        <w:rPr>
          <w:spacing w:val="-60"/>
        </w:rPr>
        <w:t> </w:t>
      </w:r>
      <w:r>
        <w:rPr>
          <w:rFonts w:ascii="Times New Roman" w:hAnsi="Times New Roman" w:cs="Times New Roman" w:eastAsia="Times New Roman" w:hint="default"/>
        </w:rPr>
        <w:t>49 </w:t>
      </w:r>
      <w:r>
        <w:rPr/>
        <w:t>号商茂世纪大厦一层至五层，</w:t>
      </w:r>
    </w:p>
    <w:p>
      <w:pPr>
        <w:pStyle w:val="BodyText"/>
        <w:spacing w:line="240" w:lineRule="auto" w:before="135"/>
        <w:ind w:right="87"/>
        <w:jc w:val="left"/>
      </w:pPr>
      <w:r>
        <w:rPr/>
        <w:t>共约</w:t>
      </w:r>
      <w:r>
        <w:rPr>
          <w:spacing w:val="-60"/>
        </w:rPr>
        <w:t> </w:t>
      </w:r>
      <w:r>
        <w:rPr>
          <w:rFonts w:ascii="Times New Roman" w:hAnsi="Times New Roman" w:cs="Times New Roman" w:eastAsia="Times New Roman" w:hint="default"/>
        </w:rPr>
        <w:t>17,600 </w:t>
      </w:r>
      <w:r>
        <w:rPr>
          <w:spacing w:val="-7"/>
        </w:rPr>
        <w:t>平方米的面积，租赁期限自</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23 </w:t>
      </w:r>
      <w:r>
        <w:rPr/>
        <w:t>日起至</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22 </w:t>
      </w:r>
      <w:r>
        <w:rPr/>
        <w:t>日</w:t>
      </w:r>
    </w:p>
    <w:p>
      <w:pPr>
        <w:pStyle w:val="BodyText"/>
        <w:spacing w:line="338" w:lineRule="auto" w:before="135"/>
        <w:ind w:right="87"/>
        <w:jc w:val="left"/>
      </w:pPr>
      <w:r>
        <w:rPr>
          <w:spacing w:val="-4"/>
        </w:rPr>
        <w:t>止，租赁费用为首年单价人民币</w:t>
      </w:r>
      <w:r>
        <w:rPr>
          <w:spacing w:val="-58"/>
        </w:rPr>
        <w:t> </w:t>
      </w:r>
      <w:r>
        <w:rPr>
          <w:rFonts w:ascii="Times New Roman" w:hAnsi="Times New Roman" w:cs="Times New Roman" w:eastAsia="Times New Roman" w:hint="default"/>
          <w:spacing w:val="-3"/>
        </w:rPr>
        <w:t>3.11</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spacing w:val="-7"/>
        </w:rPr>
        <w:t>平米</w:t>
      </w:r>
      <w:r>
        <w:rPr>
          <w:rFonts w:ascii="Times New Roman" w:hAnsi="Times New Roman" w:cs="Times New Roman" w:eastAsia="Times New Roman" w:hint="default"/>
          <w:spacing w:val="-7"/>
        </w:rPr>
        <w:t>/</w:t>
      </w:r>
      <w:r>
        <w:rPr>
          <w:spacing w:val="-7"/>
        </w:rPr>
        <w:t>天，自第</w:t>
      </w:r>
      <w:r>
        <w:rPr>
          <w:spacing w:val="-58"/>
        </w:rPr>
        <w:t> </w:t>
      </w:r>
      <w:r>
        <w:rPr>
          <w:rFonts w:ascii="Times New Roman" w:hAnsi="Times New Roman" w:cs="Times New Roman" w:eastAsia="Times New Roman" w:hint="default"/>
        </w:rPr>
        <w:t>2 </w:t>
      </w:r>
      <w:r>
        <w:rPr/>
        <w:t>年起每</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年在上一年基础 上递增</w:t>
      </w:r>
      <w:r>
        <w:rPr>
          <w:spacing w:val="-60"/>
        </w:rPr>
        <w:t> </w:t>
      </w:r>
      <w:r>
        <w:rPr>
          <w:rFonts w:ascii="Times New Roman" w:hAnsi="Times New Roman" w:cs="Times New Roman" w:eastAsia="Times New Roman" w:hint="default"/>
        </w:rPr>
        <w:t>5%</w:t>
      </w:r>
      <w:r>
        <w:rPr/>
        <w:t>。</w:t>
      </w:r>
    </w:p>
    <w:p>
      <w:pPr>
        <w:pStyle w:val="BodyText"/>
        <w:spacing w:line="240" w:lineRule="auto" w:before="27"/>
        <w:ind w:left="624" w:right="0"/>
        <w:jc w:val="left"/>
      </w:pPr>
      <w:r>
        <w:rPr/>
        <w:t>（</w:t>
      </w:r>
      <w:r>
        <w:rPr>
          <w:rFonts w:ascii="Times New Roman" w:hAnsi="Times New Roman" w:cs="Times New Roman" w:eastAsia="Times New Roman" w:hint="default"/>
        </w:rPr>
        <w:t>5</w:t>
      </w:r>
      <w:r>
        <w:rPr/>
        <w:t>）根据上述租赁协议，公司向关联方支付的租赁费、物业管理费情况如下：</w:t>
      </w:r>
    </w:p>
    <w:p>
      <w:pPr>
        <w:spacing w:line="240" w:lineRule="auto" w:before="9"/>
        <w:rPr>
          <w:rFonts w:ascii="宋体" w:hAnsi="宋体" w:cs="宋体" w:eastAsia="宋体" w:hint="default"/>
          <w:sz w:val="2"/>
          <w:szCs w:val="2"/>
        </w:rPr>
      </w:pPr>
    </w:p>
    <w:tbl>
      <w:tblPr>
        <w:tblW w:w="0" w:type="auto"/>
        <w:jc w:val="left"/>
        <w:tblInd w:w="590" w:type="dxa"/>
        <w:tblLayout w:type="fixed"/>
        <w:tblCellMar>
          <w:top w:w="0" w:type="dxa"/>
          <w:left w:w="0" w:type="dxa"/>
          <w:bottom w:w="0" w:type="dxa"/>
          <w:right w:w="0" w:type="dxa"/>
        </w:tblCellMar>
        <w:tblLook w:val="01E0"/>
      </w:tblPr>
      <w:tblGrid>
        <w:gridCol w:w="2607"/>
        <w:gridCol w:w="2815"/>
        <w:gridCol w:w="1867"/>
      </w:tblGrid>
      <w:tr>
        <w:trPr>
          <w:trHeight w:val="877"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江苏苏宁电器有限公司</w:t>
            </w:r>
          </w:p>
        </w:tc>
        <w:tc>
          <w:tcPr>
            <w:tcW w:w="2815" w:type="dxa"/>
            <w:tcBorders>
              <w:top w:val="nil" w:sz="6" w:space="0" w:color="auto"/>
              <w:left w:val="nil" w:sz="6" w:space="0" w:color="auto"/>
              <w:bottom w:val="nil" w:sz="6" w:space="0" w:color="auto"/>
              <w:right w:val="nil" w:sz="6" w:space="0" w:color="auto"/>
            </w:tcBorders>
          </w:tcPr>
          <w:p>
            <w:pPr>
              <w:pStyle w:val="TableParagraph"/>
              <w:spacing w:line="282" w:lineRule="exact" w:before="26"/>
              <w:ind w:left="13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pStyle w:val="TableParagraph"/>
              <w:spacing w:line="282" w:lineRule="exact"/>
              <w:ind w:left="10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人民币千元</w:t>
            </w:r>
            <w:r>
              <w:rPr>
                <w:rFonts w:ascii="Times New Roman" w:hAnsi="Times New Roman" w:cs="Times New Roman" w:eastAsia="Times New Roman" w:hint="default"/>
                <w:sz w:val="21"/>
                <w:szCs w:val="21"/>
              </w:rPr>
              <w:t>)</w:t>
            </w:r>
          </w:p>
          <w:p>
            <w:pPr>
              <w:pStyle w:val="TableParagraph"/>
              <w:spacing w:line="240" w:lineRule="auto" w:before="14"/>
              <w:ind w:left="1660" w:right="0"/>
              <w:jc w:val="left"/>
              <w:rPr>
                <w:rFonts w:ascii="Times New Roman" w:hAnsi="Times New Roman" w:cs="Times New Roman" w:eastAsia="Times New Roman" w:hint="default"/>
                <w:sz w:val="21"/>
                <w:szCs w:val="21"/>
              </w:rPr>
            </w:pPr>
            <w:r>
              <w:rPr>
                <w:rFonts w:ascii="Times New Roman"/>
                <w:sz w:val="21"/>
              </w:rPr>
              <w:t>16,549</w:t>
            </w:r>
          </w:p>
        </w:tc>
        <w:tc>
          <w:tcPr>
            <w:tcW w:w="1867" w:type="dxa"/>
            <w:tcBorders>
              <w:top w:val="nil" w:sz="6" w:space="0" w:color="auto"/>
              <w:left w:val="nil" w:sz="6" w:space="0" w:color="auto"/>
              <w:bottom w:val="nil" w:sz="6" w:space="0" w:color="auto"/>
              <w:right w:val="nil" w:sz="6" w:space="0" w:color="auto"/>
            </w:tcBorders>
          </w:tcPr>
          <w:p>
            <w:pPr>
              <w:pStyle w:val="TableParagraph"/>
              <w:spacing w:line="282" w:lineRule="exact" w:before="26"/>
              <w:ind w:left="8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pStyle w:val="TableParagraph"/>
              <w:spacing w:line="282" w:lineRule="exact"/>
              <w:ind w:left="5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人民币千元</w:t>
            </w:r>
            <w:r>
              <w:rPr>
                <w:rFonts w:ascii="Times New Roman" w:hAnsi="Times New Roman" w:cs="Times New Roman" w:eastAsia="Times New Roman" w:hint="default"/>
                <w:sz w:val="21"/>
                <w:szCs w:val="21"/>
              </w:rPr>
              <w:t>)</w:t>
            </w:r>
          </w:p>
          <w:p>
            <w:pPr>
              <w:pStyle w:val="TableParagraph"/>
              <w:spacing w:line="240" w:lineRule="auto" w:before="14"/>
              <w:ind w:left="1188" w:right="0"/>
              <w:jc w:val="left"/>
              <w:rPr>
                <w:rFonts w:ascii="Times New Roman" w:hAnsi="Times New Roman" w:cs="Times New Roman" w:eastAsia="Times New Roman" w:hint="default"/>
                <w:sz w:val="21"/>
                <w:szCs w:val="21"/>
              </w:rPr>
            </w:pPr>
            <w:r>
              <w:rPr>
                <w:rFonts w:ascii="Times New Roman"/>
                <w:sz w:val="21"/>
              </w:rPr>
              <w:t>17,061</w:t>
            </w:r>
          </w:p>
        </w:tc>
      </w:tr>
      <w:tr>
        <w:trPr>
          <w:trHeight w:val="281"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苏宁银河百货</w:t>
            </w:r>
          </w:p>
        </w:tc>
        <w:tc>
          <w:tcPr>
            <w:tcW w:w="281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574"/>
              <w:jc w:val="right"/>
              <w:rPr>
                <w:rFonts w:ascii="Times New Roman" w:hAnsi="Times New Roman" w:cs="Times New Roman" w:eastAsia="Times New Roman" w:hint="default"/>
                <w:sz w:val="21"/>
                <w:szCs w:val="21"/>
              </w:rPr>
            </w:pPr>
            <w:r>
              <w:rPr>
                <w:rFonts w:ascii="Times New Roman"/>
                <w:spacing w:val="-1"/>
                <w:sz w:val="21"/>
              </w:rPr>
              <w:t>6,683</w:t>
            </w:r>
          </w:p>
        </w:tc>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62" w:hRule="exact"/>
        </w:trPr>
        <w:tc>
          <w:tcPr>
            <w:tcW w:w="2607" w:type="dxa"/>
            <w:tcBorders>
              <w:top w:val="nil" w:sz="6" w:space="0" w:color="auto"/>
              <w:left w:val="nil" w:sz="6" w:space="0" w:color="auto"/>
              <w:bottom w:val="nil" w:sz="6" w:space="0" w:color="auto"/>
              <w:right w:val="nil" w:sz="6" w:space="0" w:color="auto"/>
            </w:tcBorders>
          </w:tcPr>
          <w:p>
            <w:pPr/>
          </w:p>
        </w:tc>
        <w:tc>
          <w:tcPr>
            <w:tcW w:w="281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574"/>
              <w:jc w:val="right"/>
              <w:rPr>
                <w:rFonts w:ascii="Times New Roman" w:hAnsi="Times New Roman" w:cs="Times New Roman" w:eastAsia="Times New Roman" w:hint="default"/>
                <w:sz w:val="21"/>
                <w:szCs w:val="21"/>
              </w:rPr>
            </w:pPr>
            <w:r>
              <w:rPr>
                <w:rFonts w:ascii="Times New Roman"/>
                <w:spacing w:val="-1"/>
                <w:sz w:val="21"/>
              </w:rPr>
              <w:t>23,232</w:t>
            </w:r>
          </w:p>
        </w:tc>
        <w:tc>
          <w:tcPr>
            <w:tcW w:w="1867"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17,061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624" w:right="87"/>
        <w:jc w:val="left"/>
      </w:pPr>
      <w:r>
        <w:rPr/>
        <w:t>四、公司重大合同及履行情况</w:t>
      </w:r>
    </w:p>
    <w:p>
      <w:pPr>
        <w:pStyle w:val="BodyText"/>
        <w:spacing w:line="357" w:lineRule="auto" w:before="154"/>
        <w:ind w:right="198" w:firstLine="480"/>
        <w:jc w:val="both"/>
      </w:pPr>
      <w:r>
        <w:rPr>
          <w:spacing w:val="-1"/>
        </w:rPr>
        <w:t>（一）报告期内，公司除正常租赁房屋进行连锁店建设外，未发生也未有以前</w:t>
      </w:r>
      <w:r>
        <w:rPr/>
        <w:t> 期间发生但延续到报告期的重大托管、承包、租赁其他公司资产或其他公司托管、 承包、租赁上市公司资产事项。有关连锁店租赁房屋的合同已正常履行。</w:t>
      </w:r>
    </w:p>
    <w:p>
      <w:pPr>
        <w:pStyle w:val="BodyText"/>
        <w:spacing w:line="357" w:lineRule="auto" w:before="36"/>
        <w:ind w:right="221" w:firstLine="480"/>
        <w:jc w:val="both"/>
      </w:pPr>
      <w:r>
        <w:rPr>
          <w:spacing w:val="-1"/>
        </w:rPr>
        <w:t>（二）报告期内，公司未发生委托现金资产管理事项，也无以前委托现金资产</w:t>
      </w:r>
      <w:r>
        <w:rPr/>
        <w:t> 管理事项。</w:t>
      </w:r>
    </w:p>
    <w:p>
      <w:pPr>
        <w:pStyle w:val="BodyText"/>
        <w:spacing w:line="357" w:lineRule="auto" w:before="36"/>
        <w:ind w:right="87" w:firstLine="480"/>
        <w:jc w:val="left"/>
      </w:pPr>
      <w:r>
        <w:rPr>
          <w:spacing w:val="-5"/>
        </w:rPr>
        <w:t>（三）报告期内，公司除对控股子公司进行担保外，不存在其他对外担保事项，</w:t>
      </w:r>
      <w:r>
        <w:rPr/>
        <w:t> 也不存在以前发生并延续到报告期的其他对外担保事项，具体情况如下：</w:t>
      </w:r>
    </w:p>
    <w:p>
      <w:pPr>
        <w:pStyle w:val="BodyText"/>
        <w:spacing w:line="240" w:lineRule="auto" w:before="36"/>
        <w:ind w:left="623" w:right="87"/>
        <w:jc w:val="left"/>
      </w:pPr>
      <w:r>
        <w:rPr>
          <w:rFonts w:ascii="Times New Roman" w:hAnsi="Times New Roman" w:cs="Times New Roman" w:eastAsia="Times New Roman" w:hint="default"/>
        </w:rPr>
        <w:t>1</w:t>
      </w:r>
      <w:r>
        <w:rPr/>
        <w:t>、报告期内，公司审议对外担保情况</w:t>
      </w:r>
    </w:p>
    <w:p>
      <w:pPr>
        <w:pStyle w:val="BodyText"/>
        <w:spacing w:line="343" w:lineRule="auto" w:before="135"/>
        <w:ind w:right="218" w:firstLine="48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日，经公司第二届董事会第三十九次会议审议通过，公司可</w:t>
      </w:r>
      <w:r>
        <w:rPr/>
        <w:t> </w:t>
      </w:r>
      <w:r>
        <w:rPr>
          <w:spacing w:val="-1"/>
        </w:rPr>
        <w:t>为北京苏宁电器有限公司、上海苏宁电器有限公司、武汉苏宁电器有限公司、陕西</w:t>
      </w:r>
      <w:r>
        <w:rPr>
          <w:spacing w:val="-108"/>
        </w:rPr>
        <w:t> </w:t>
      </w:r>
      <w:r>
        <w:rPr>
          <w:spacing w:val="-108"/>
        </w:rPr>
      </w:r>
      <w:r>
        <w:rPr>
          <w:spacing w:val="-1"/>
        </w:rPr>
        <w:t>苏宁电器有限责任公司分别再提供</w:t>
      </w:r>
      <w:r>
        <w:rPr>
          <w:rFonts w:ascii="Times New Roman" w:hAnsi="Times New Roman" w:cs="Times New Roman" w:eastAsia="Times New Roman" w:hint="default"/>
          <w:spacing w:val="-1"/>
        </w:rPr>
        <w:t>3,000</w:t>
      </w:r>
      <w:r>
        <w:rPr>
          <w:spacing w:val="-1"/>
        </w:rPr>
        <w:t>万元、</w:t>
      </w:r>
      <w:r>
        <w:rPr>
          <w:rFonts w:ascii="Times New Roman" w:hAnsi="Times New Roman" w:cs="Times New Roman" w:eastAsia="Times New Roman" w:hint="default"/>
          <w:spacing w:val="-1"/>
        </w:rPr>
        <w:t>5,000</w:t>
      </w:r>
      <w:r>
        <w:rPr>
          <w:spacing w:val="-1"/>
        </w:rPr>
        <w:t>万元、</w:t>
      </w:r>
      <w:r>
        <w:rPr>
          <w:rFonts w:ascii="Times New Roman" w:hAnsi="Times New Roman" w:cs="Times New Roman" w:eastAsia="Times New Roman" w:hint="default"/>
          <w:spacing w:val="-1"/>
        </w:rPr>
        <w:t>8,310</w:t>
      </w:r>
      <w:r>
        <w:rPr>
          <w:spacing w:val="-1"/>
        </w:rPr>
        <w:t>万元、</w:t>
      </w:r>
      <w:r>
        <w:rPr>
          <w:rFonts w:ascii="Times New Roman" w:hAnsi="Times New Roman" w:cs="Times New Roman" w:eastAsia="Times New Roman" w:hint="default"/>
          <w:spacing w:val="-1"/>
        </w:rPr>
        <w:t>2,400</w:t>
      </w:r>
      <w:r>
        <w:rPr>
          <w:spacing w:val="-1"/>
        </w:rPr>
        <w:t>万元的</w:t>
      </w:r>
      <w:r>
        <w:rPr>
          <w:spacing w:val="-97"/>
        </w:rPr>
        <w:t> </w:t>
      </w:r>
      <w:r>
        <w:rPr>
          <w:spacing w:val="-4"/>
        </w:rPr>
        <w:t>担保，为广东苏宁电器有限公司、湖南苏宁电器有限公司分别提供</w:t>
      </w:r>
      <w:r>
        <w:rPr>
          <w:rFonts w:ascii="Times New Roman" w:hAnsi="Times New Roman" w:cs="Times New Roman" w:eastAsia="Times New Roman" w:hint="default"/>
          <w:spacing w:val="-4"/>
        </w:rPr>
        <w:t>8,000</w:t>
      </w:r>
      <w:r>
        <w:rPr>
          <w:spacing w:val="-4"/>
        </w:rPr>
        <w:t>万元、</w:t>
      </w:r>
      <w:r>
        <w:rPr>
          <w:rFonts w:ascii="Times New Roman" w:hAnsi="Times New Roman" w:cs="Times New Roman" w:eastAsia="Times New Roman" w:hint="default"/>
          <w:spacing w:val="-4"/>
        </w:rPr>
        <w:t>3,600</w:t>
      </w:r>
      <w:r>
        <w:rPr>
          <w:rFonts w:ascii="Times New Roman" w:hAnsi="Times New Roman" w:cs="Times New Roman" w:eastAsia="Times New Roman" w:hint="default"/>
          <w:spacing w:val="-33"/>
        </w:rPr>
        <w:t> </w:t>
      </w:r>
      <w:r>
        <w:rPr/>
        <w:t>万元的担保；</w:t>
      </w:r>
    </w:p>
    <w:p>
      <w:pPr>
        <w:pStyle w:val="BodyText"/>
        <w:spacing w:line="338" w:lineRule="auto" w:before="50"/>
        <w:ind w:right="218" w:firstLine="480"/>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日，经公司第二届董事会第四十三次会议审议通过，公司可</w:t>
      </w:r>
      <w:r>
        <w:rPr/>
        <w:t> </w:t>
      </w:r>
      <w:r>
        <w:rPr>
          <w:spacing w:val="2"/>
        </w:rPr>
        <w:t>为上海苏宁电器有限公司、武汉苏宁电器有限公司分别再提供</w:t>
      </w:r>
      <w:r>
        <w:rPr>
          <w:rFonts w:ascii="Times New Roman" w:hAnsi="Times New Roman" w:cs="Times New Roman" w:eastAsia="Times New Roman" w:hint="default"/>
          <w:spacing w:val="2"/>
        </w:rPr>
        <w:t>7,142</w:t>
      </w:r>
      <w:r>
        <w:rPr>
          <w:spacing w:val="2"/>
        </w:rPr>
        <w:t>万元、</w:t>
      </w:r>
      <w:r>
        <w:rPr>
          <w:rFonts w:ascii="Times New Roman" w:hAnsi="Times New Roman" w:cs="Times New Roman" w:eastAsia="Times New Roman" w:hint="default"/>
          <w:spacing w:val="2"/>
        </w:rPr>
        <w:t>3,500</w:t>
      </w:r>
      <w:r>
        <w:rPr>
          <w:spacing w:val="2"/>
        </w:rPr>
        <w:t>万</w:t>
      </w:r>
      <w:r>
        <w:rPr>
          <w:spacing w:val="-114"/>
        </w:rPr>
        <w:t> </w:t>
      </w:r>
      <w:r>
        <w:rPr/>
        <w:t>元的担保。</w:t>
      </w:r>
    </w:p>
    <w:p>
      <w:pPr>
        <w:spacing w:after="0" w:line="338"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38" w:lineRule="auto" w:before="26"/>
        <w:ind w:right="161" w:firstLine="48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日，经公司第二届董事会第四十七次会议审议通过，公司可</w:t>
      </w:r>
      <w:r>
        <w:rPr/>
        <w:t> </w:t>
      </w:r>
      <w:r>
        <w:rPr>
          <w:spacing w:val="-1"/>
        </w:rPr>
        <w:t>为上海苏宁电器有限公司、佛山市苏宁电器有限公司分别再提供</w:t>
      </w:r>
      <w:r>
        <w:rPr>
          <w:rFonts w:ascii="Times New Roman" w:hAnsi="Times New Roman" w:cs="Times New Roman" w:eastAsia="Times New Roman" w:hint="default"/>
          <w:spacing w:val="-1"/>
        </w:rPr>
        <w:t>10,000</w:t>
      </w:r>
      <w:r>
        <w:rPr>
          <w:spacing w:val="-1"/>
        </w:rPr>
        <w:t>万元、</w:t>
      </w:r>
      <w:r>
        <w:rPr>
          <w:rFonts w:ascii="Times New Roman" w:hAnsi="Times New Roman" w:cs="Times New Roman" w:eastAsia="Times New Roman" w:hint="default"/>
          <w:spacing w:val="-1"/>
        </w:rPr>
        <w:t>6,545</w:t>
      </w:r>
      <w:r>
        <w:rPr>
          <w:rFonts w:ascii="Times New Roman" w:hAnsi="Times New Roman" w:cs="Times New Roman" w:eastAsia="Times New Roman" w:hint="default"/>
          <w:spacing w:val="-40"/>
        </w:rPr>
        <w:t> </w:t>
      </w:r>
      <w:r>
        <w:rPr/>
        <w:t>万元的担保，为安徽苏宁电器有限公司提供</w:t>
      </w:r>
      <w:r>
        <w:rPr>
          <w:rFonts w:ascii="Times New Roman" w:hAnsi="Times New Roman" w:cs="Times New Roman" w:eastAsia="Times New Roman" w:hint="default"/>
        </w:rPr>
        <w:t>3,000</w:t>
      </w:r>
      <w:r>
        <w:rPr/>
        <w:t>万元的担保。</w:t>
      </w:r>
    </w:p>
    <w:p>
      <w:pPr>
        <w:pStyle w:val="BodyText"/>
        <w:spacing w:line="338" w:lineRule="auto" w:before="27"/>
        <w:ind w:left="144" w:right="156" w:firstLine="48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日，经公司第三届董事会第七次会议审议通过，公司可为</w:t>
      </w:r>
      <w:r>
        <w:rPr>
          <w:spacing w:val="3"/>
        </w:rPr>
        <w:t> </w:t>
      </w:r>
      <w:r>
        <w:rPr>
          <w:spacing w:val="-1"/>
        </w:rPr>
        <w:t>上海苏宁电器有限公司、浙江苏宁电器有限公司分别再提供</w:t>
      </w:r>
      <w:r>
        <w:rPr>
          <w:rFonts w:ascii="Times New Roman" w:hAnsi="Times New Roman" w:cs="Times New Roman" w:eastAsia="Times New Roman" w:hint="default"/>
          <w:spacing w:val="-1"/>
        </w:rPr>
        <w:t>20,000</w:t>
      </w:r>
      <w:r>
        <w:rPr>
          <w:spacing w:val="-1"/>
        </w:rPr>
        <w:t>万元、</w:t>
      </w:r>
      <w:r>
        <w:rPr>
          <w:rFonts w:ascii="Times New Roman" w:hAnsi="Times New Roman" w:cs="Times New Roman" w:eastAsia="Times New Roman" w:hint="default"/>
          <w:spacing w:val="-1"/>
        </w:rPr>
        <w:t>8,500</w:t>
      </w:r>
      <w:r>
        <w:rPr>
          <w:spacing w:val="-1"/>
        </w:rPr>
        <w:t>万元</w:t>
      </w:r>
      <w:r>
        <w:rPr>
          <w:spacing w:val="-100"/>
        </w:rPr>
        <w:t> </w:t>
      </w:r>
      <w:r>
        <w:rPr/>
        <w:t>的担保。</w:t>
      </w:r>
    </w:p>
    <w:p>
      <w:pPr>
        <w:pStyle w:val="BodyText"/>
        <w:spacing w:line="240" w:lineRule="auto" w:before="55"/>
        <w:ind w:left="624" w:right="2428"/>
        <w:jc w:val="left"/>
      </w:pPr>
      <w:r>
        <w:rPr>
          <w:rFonts w:ascii="Times New Roman" w:hAnsi="Times New Roman" w:cs="Times New Roman" w:eastAsia="Times New Roman" w:hint="default"/>
        </w:rPr>
        <w:t>2</w:t>
      </w:r>
      <w:r>
        <w:rPr/>
        <w:t>、报告期内公司实际对外担保情况</w:t>
      </w:r>
    </w:p>
    <w:p>
      <w:pPr>
        <w:pStyle w:val="BodyText"/>
        <w:spacing w:line="338" w:lineRule="auto" w:before="135"/>
        <w:ind w:left="144" w:right="138" w:firstLine="480"/>
        <w:jc w:val="both"/>
      </w:pPr>
      <w:r>
        <w:rPr>
          <w:spacing w:val="2"/>
        </w:rPr>
        <w:t>（</w:t>
      </w:r>
      <w:r>
        <w:rPr>
          <w:rFonts w:ascii="Times New Roman" w:hAnsi="Times New Roman" w:cs="Times New Roman" w:eastAsia="Times New Roman" w:hint="default"/>
          <w:spacing w:val="2"/>
        </w:rPr>
        <w:t>1</w:t>
      </w:r>
      <w:r>
        <w:rPr>
          <w:spacing w:val="2"/>
        </w:rPr>
        <w:t>）报告期内，公司继续为北京苏宁电器有限公司在华夏银行北京建国门支</w:t>
      </w:r>
      <w:r>
        <w:rPr>
          <w:spacing w:val="3"/>
        </w:rPr>
        <w:t> </w:t>
      </w:r>
      <w:r>
        <w:rPr>
          <w:spacing w:val="-1"/>
        </w:rPr>
        <w:t>行自</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日起至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日期间出具的银行承兑汇票提供保证，最高</w:t>
      </w:r>
      <w:r>
        <w:rPr>
          <w:spacing w:val="-98"/>
        </w:rPr>
        <w:t> </w:t>
      </w:r>
      <w:r>
        <w:rPr>
          <w:spacing w:val="-98"/>
        </w:rPr>
      </w:r>
      <w:r>
        <w:rPr>
          <w:spacing w:val="3"/>
        </w:rPr>
        <w:t>余额不超过</w:t>
      </w:r>
      <w:r>
        <w:rPr>
          <w:rFonts w:ascii="Times New Roman" w:hAnsi="Times New Roman" w:cs="Times New Roman" w:eastAsia="Times New Roman" w:hint="default"/>
          <w:spacing w:val="3"/>
        </w:rPr>
        <w:t>6,400</w:t>
      </w:r>
      <w:r>
        <w:rPr>
          <w:spacing w:val="3"/>
        </w:rPr>
        <w:t>万元，北京苏宁电器有限公司以其所拥有的存货为此提供了反担</w:t>
      </w:r>
      <w:r>
        <w:rPr>
          <w:spacing w:val="-99"/>
        </w:rPr>
        <w:t> </w:t>
      </w:r>
      <w:r>
        <w:rPr/>
        <w:t>保。</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日，上述承兑汇票已到期，北京苏宁电器有限公司已全部归还。 公司此项担保解除。</w:t>
      </w:r>
    </w:p>
    <w:p>
      <w:pPr>
        <w:pStyle w:val="BodyText"/>
        <w:spacing w:line="340" w:lineRule="auto" w:before="55"/>
        <w:ind w:left="144" w:right="153" w:firstLine="480"/>
        <w:jc w:val="both"/>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日，公司与中国工商银行股份有限公司北京方庄支行签订最高额</w:t>
      </w:r>
      <w:r>
        <w:rPr>
          <w:spacing w:val="3"/>
        </w:rPr>
        <w:t> </w:t>
      </w:r>
      <w:r>
        <w:rPr>
          <w:spacing w:val="-1"/>
        </w:rPr>
        <w:t>保证合同，公司为北京苏宁电器有限公司自</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日起至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日期间</w:t>
      </w:r>
      <w:r>
        <w:rPr>
          <w:spacing w:val="-99"/>
        </w:rPr>
        <w:t> </w:t>
      </w:r>
      <w:r>
        <w:rPr>
          <w:spacing w:val="-3"/>
        </w:rPr>
        <w:t>出具的银行承兑汇票提供连带责任保证，最高余额不超过</w:t>
      </w:r>
      <w:r>
        <w:rPr>
          <w:rFonts w:ascii="Times New Roman" w:hAnsi="Times New Roman" w:cs="Times New Roman" w:eastAsia="Times New Roman" w:hint="default"/>
          <w:spacing w:val="-3"/>
        </w:rPr>
        <w:t>7,000</w:t>
      </w:r>
      <w:r>
        <w:rPr>
          <w:spacing w:val="-3"/>
        </w:rPr>
        <w:t>万元，北京苏宁电器</w:t>
      </w:r>
      <w:r>
        <w:rPr>
          <w:spacing w:val="-85"/>
        </w:rPr>
        <w:t> </w:t>
      </w:r>
      <w:r>
        <w:rPr>
          <w:spacing w:val="-85"/>
        </w:rPr>
      </w:r>
      <w:r>
        <w:rPr>
          <w:spacing w:val="-1"/>
        </w:rPr>
        <w:t>有限公司以其拥有的存货为此提供了反担保。北京苏宁电器有限公司根据上述最高</w:t>
      </w:r>
      <w:r>
        <w:rPr>
          <w:spacing w:val="-106"/>
        </w:rPr>
        <w:t> </w:t>
      </w:r>
      <w:r>
        <w:rPr>
          <w:spacing w:val="-106"/>
        </w:rPr>
      </w:r>
      <w:r>
        <w:rPr/>
        <w:t>额保证合同及相关主合同开具的承兑汇票于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日到期，已全部归还。公</w:t>
      </w:r>
      <w:r>
        <w:rPr>
          <w:spacing w:val="-48"/>
        </w:rPr>
        <w:t> </w:t>
      </w:r>
      <w:r>
        <w:rPr/>
        <w:t>司此项担保解除。</w:t>
      </w:r>
    </w:p>
    <w:p>
      <w:pPr>
        <w:pStyle w:val="BodyText"/>
        <w:spacing w:line="340" w:lineRule="auto" w:before="53"/>
        <w:ind w:right="153" w:firstLine="480"/>
        <w:jc w:val="both"/>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日，公司与华夏银行股份有限公司总行营业部签订最高额保证合</w:t>
      </w:r>
      <w:r>
        <w:rPr>
          <w:spacing w:val="3"/>
        </w:rPr>
        <w:t> </w:t>
      </w:r>
      <w:r>
        <w:rPr>
          <w:spacing w:val="-1"/>
        </w:rPr>
        <w:t>同，为华夏银行股份有限公司总行营业部自</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w:t>
      </w:r>
      <w:r>
        <w:rPr>
          <w:spacing w:val="-1"/>
        </w:rPr>
        <w:t>日起至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w:t>
      </w:r>
      <w:r>
        <w:rPr>
          <w:spacing w:val="-1"/>
        </w:rPr>
        <w:t>日期间</w:t>
      </w:r>
      <w:r>
        <w:rPr>
          <w:spacing w:val="-99"/>
        </w:rPr>
        <w:t> </w:t>
      </w:r>
      <w:r>
        <w:rPr/>
        <w:t>与北京苏宁电器有限公司签订的最高主债权本金余额不超过</w:t>
      </w:r>
      <w:r>
        <w:rPr>
          <w:rFonts w:ascii="Times New Roman" w:hAnsi="Times New Roman" w:cs="Times New Roman" w:eastAsia="Times New Roman" w:hint="default"/>
        </w:rPr>
        <w:t>18,000</w:t>
      </w:r>
      <w:r>
        <w:rPr/>
        <w:t>万元的所有《银</w:t>
      </w:r>
      <w:r>
        <w:rPr>
          <w:spacing w:val="-87"/>
        </w:rPr>
        <w:t> </w:t>
      </w:r>
      <w:r>
        <w:rPr>
          <w:spacing w:val="-8"/>
        </w:rPr>
        <w:t>行承兑汇票协议》、《借款合同》提供连带责任保证。北京苏宁电器有限公司根据上</w:t>
      </w:r>
      <w:r>
        <w:rPr>
          <w:spacing w:val="-86"/>
        </w:rPr>
        <w:t> </w:t>
      </w:r>
      <w:r>
        <w:rPr>
          <w:spacing w:val="-86"/>
        </w:rPr>
      </w:r>
      <w:r>
        <w:rPr/>
        <w:t>述最高额保证合同及相关主合同开具的承兑汇票、办理的银行借款于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日到期，已全部归还。公司此项担保解除。</w:t>
      </w:r>
    </w:p>
    <w:p>
      <w:pPr>
        <w:pStyle w:val="BodyText"/>
        <w:spacing w:line="338" w:lineRule="auto" w:before="53"/>
        <w:ind w:left="144" w:right="153" w:firstLine="480"/>
        <w:jc w:val="both"/>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日，公司与中国民生银行股份有限公司北京总行营业部签订最高</w:t>
      </w:r>
      <w:r>
        <w:rPr>
          <w:spacing w:val="3"/>
        </w:rPr>
        <w:t> </w:t>
      </w:r>
      <w:r>
        <w:rPr/>
        <w:t>额保证合同，公司为北京苏宁电器有限公司自</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日起至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日期</w:t>
      </w:r>
      <w:r>
        <w:rPr>
          <w:spacing w:val="-42"/>
        </w:rPr>
        <w:t> </w:t>
      </w:r>
      <w:r>
        <w:rPr/>
        <w:t>间的银行授信提供连带责任担保，最高额度为</w:t>
      </w:r>
      <w:r>
        <w:rPr>
          <w:rFonts w:ascii="Times New Roman" w:hAnsi="Times New Roman" w:cs="Times New Roman" w:eastAsia="Times New Roman" w:hint="default"/>
        </w:rPr>
        <w:t>3,000</w:t>
      </w:r>
      <w:r>
        <w:rPr/>
        <w:t>万元。</w:t>
      </w:r>
    </w:p>
    <w:p>
      <w:pPr>
        <w:pStyle w:val="BodyText"/>
        <w:spacing w:line="338" w:lineRule="auto" w:before="27"/>
        <w:ind w:left="144" w:right="152" w:firstLine="471"/>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日，公司与交通银行武汉花桥支行签订最高额保证合同，</w:t>
      </w:r>
      <w:r>
        <w:rPr>
          <w:spacing w:val="3"/>
        </w:rPr>
        <w:t> </w:t>
      </w:r>
      <w:r>
        <w:rPr>
          <w:spacing w:val="4"/>
        </w:rPr>
        <w:t>公司为武汉苏宁电器有限公司自</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29</w:t>
      </w:r>
      <w:r>
        <w:rPr>
          <w:spacing w:val="4"/>
        </w:rPr>
        <w:t>日起至</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29</w:t>
      </w:r>
      <w:r>
        <w:rPr>
          <w:spacing w:val="4"/>
        </w:rPr>
        <w:t>日期间签订的</w:t>
      </w:r>
      <w:r>
        <w:rPr>
          <w:spacing w:val="-80"/>
        </w:rPr>
        <w:t> </w:t>
      </w:r>
      <w:r>
        <w:rPr/>
        <w:t>银行承兑汇票提供连带责任保证，最高余额不超过</w:t>
      </w:r>
      <w:r>
        <w:rPr>
          <w:rFonts w:ascii="Times New Roman" w:hAnsi="Times New Roman" w:cs="Times New Roman" w:eastAsia="Times New Roman" w:hint="default"/>
        </w:rPr>
        <w:t>2,310</w:t>
      </w:r>
      <w:r>
        <w:rPr/>
        <w:t>万元</w:t>
      </w:r>
      <w:r>
        <w:rPr>
          <w:rFonts w:ascii="Times New Roman" w:hAnsi="Times New Roman" w:cs="Times New Roman" w:eastAsia="Times New Roman" w:hint="default"/>
        </w:rPr>
        <w:t>,</w:t>
      </w:r>
      <w:r>
        <w:rPr/>
        <w:t>武汉苏宁电器有限公</w:t>
      </w:r>
    </w:p>
    <w:p>
      <w:pPr>
        <w:spacing w:after="0" w:line="338" w:lineRule="auto"/>
        <w:jc w:val="both"/>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348" w:lineRule="auto" w:before="26"/>
        <w:ind w:left="144" w:right="157"/>
        <w:jc w:val="both"/>
      </w:pPr>
      <w:r>
        <w:rPr>
          <w:spacing w:val="-1"/>
        </w:rPr>
        <w:t>司以其所拥有的存货为此提供了反担保。武汉苏宁电器有限公司根据上述最高额保</w:t>
      </w:r>
      <w:r>
        <w:rPr>
          <w:spacing w:val="-106"/>
        </w:rPr>
        <w:t> </w:t>
      </w:r>
      <w:r>
        <w:rPr>
          <w:spacing w:val="-106"/>
        </w:rPr>
      </w:r>
      <w:r>
        <w:rPr/>
        <w:t>证合同及相关合同开具的承兑汇票于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日到期，已全部归还。公司此项</w:t>
      </w:r>
      <w:r>
        <w:rPr>
          <w:spacing w:val="-49"/>
        </w:rPr>
        <w:t> </w:t>
      </w:r>
      <w:r>
        <w:rPr/>
        <w:t>担保解除。</w:t>
      </w:r>
    </w:p>
    <w:p>
      <w:pPr>
        <w:pStyle w:val="BodyText"/>
        <w:spacing w:line="340" w:lineRule="auto" w:before="46"/>
        <w:ind w:right="161" w:firstLine="471"/>
        <w:jc w:val="both"/>
      </w:pPr>
      <w:r>
        <w:rPr>
          <w:rFonts w:ascii="Times New Roman" w:hAnsi="Times New Roman" w:cs="Times New Roman" w:eastAsia="Times New Roman" w:hint="default"/>
          <w:spacing w:val="-8"/>
        </w:rPr>
        <w:t>2005</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26</w:t>
      </w:r>
      <w:r>
        <w:rPr>
          <w:spacing w:val="-8"/>
        </w:rPr>
        <w:t>日，公司与招商银行股份有限公司武汉循礼门支行签订最高额不可</w:t>
      </w:r>
      <w:r>
        <w:rPr>
          <w:spacing w:val="-4"/>
        </w:rPr>
        <w:t> </w:t>
      </w:r>
      <w:r>
        <w:rPr>
          <w:spacing w:val="-7"/>
        </w:rPr>
        <w:t>撤销担保书，公司为武汉苏宁电器有限公司自</w:t>
      </w:r>
      <w:r>
        <w:rPr>
          <w:rFonts w:ascii="Times New Roman" w:hAnsi="Times New Roman" w:cs="Times New Roman" w:eastAsia="Times New Roman" w:hint="default"/>
          <w:spacing w:val="-7"/>
        </w:rPr>
        <w:t>2005</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26</w:t>
      </w:r>
      <w:r>
        <w:rPr>
          <w:spacing w:val="-7"/>
        </w:rPr>
        <w:t>日至</w:t>
      </w:r>
      <w:r>
        <w:rPr>
          <w:rFonts w:ascii="Times New Roman" w:hAnsi="Times New Roman" w:cs="Times New Roman" w:eastAsia="Times New Roman" w:hint="default"/>
          <w:spacing w:val="-7"/>
        </w:rPr>
        <w:t>2006</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25</w:t>
      </w:r>
      <w:r>
        <w:rPr>
          <w:spacing w:val="-7"/>
        </w:rPr>
        <w:t>日期间</w:t>
      </w:r>
      <w:r>
        <w:rPr>
          <w:spacing w:val="-93"/>
        </w:rPr>
        <w:t> </w:t>
      </w:r>
      <w:r>
        <w:rPr>
          <w:spacing w:val="-3"/>
        </w:rPr>
        <w:t>的银行授信提供连带责任担保，最高额度为</w:t>
      </w:r>
      <w:r>
        <w:rPr>
          <w:rFonts w:ascii="Times New Roman" w:hAnsi="Times New Roman" w:cs="Times New Roman" w:eastAsia="Times New Roman" w:hint="default"/>
          <w:spacing w:val="-3"/>
        </w:rPr>
        <w:t>2,690</w:t>
      </w:r>
      <w:r>
        <w:rPr>
          <w:spacing w:val="-3"/>
        </w:rPr>
        <w:t>万元。武汉苏宁电器有限公司以其</w:t>
      </w:r>
      <w:r>
        <w:rPr>
          <w:spacing w:val="-113"/>
        </w:rPr>
        <w:t> </w:t>
      </w:r>
      <w:r>
        <w:rPr>
          <w:spacing w:val="-8"/>
        </w:rPr>
        <w:t>所拥有的存货为此提供了反担保。武汉苏宁电器有限公司根据上述最高额不可撤销担</w:t>
      </w:r>
      <w:r>
        <w:rPr>
          <w:spacing w:val="-112"/>
        </w:rPr>
        <w:t> </w:t>
      </w:r>
      <w:r>
        <w:rPr>
          <w:spacing w:val="-112"/>
        </w:rPr>
      </w:r>
      <w:r>
        <w:rPr>
          <w:spacing w:val="-8"/>
        </w:rPr>
        <w:t>保书及相关合同开具的承兑汇票于</w:t>
      </w:r>
      <w:r>
        <w:rPr>
          <w:rFonts w:ascii="Times New Roman" w:hAnsi="Times New Roman" w:cs="Times New Roman" w:eastAsia="Times New Roman" w:hint="default"/>
          <w:spacing w:val="-8"/>
        </w:rPr>
        <w:t>2007</w:t>
      </w:r>
      <w:r>
        <w:rPr>
          <w:spacing w:val="-8"/>
        </w:rPr>
        <w:t>年</w:t>
      </w:r>
      <w:r>
        <w:rPr>
          <w:rFonts w:ascii="Times New Roman" w:hAnsi="Times New Roman" w:cs="Times New Roman" w:eastAsia="Times New Roman" w:hint="default"/>
          <w:spacing w:val="-8"/>
        </w:rPr>
        <w:t>6</w:t>
      </w:r>
      <w:r>
        <w:rPr>
          <w:spacing w:val="-8"/>
        </w:rPr>
        <w:t>月</w:t>
      </w:r>
      <w:r>
        <w:rPr>
          <w:rFonts w:ascii="Times New Roman" w:hAnsi="Times New Roman" w:cs="Times New Roman" w:eastAsia="Times New Roman" w:hint="default"/>
          <w:spacing w:val="-8"/>
        </w:rPr>
        <w:t>6</w:t>
      </w:r>
      <w:r>
        <w:rPr>
          <w:spacing w:val="-8"/>
        </w:rPr>
        <w:t>日到期，已全部归还。公司此项担保解</w:t>
      </w:r>
      <w:r>
        <w:rPr>
          <w:spacing w:val="-94"/>
        </w:rPr>
        <w:t> </w:t>
      </w:r>
      <w:r>
        <w:rPr>
          <w:spacing w:val="-94"/>
        </w:rPr>
      </w:r>
      <w:r>
        <w:rPr>
          <w:spacing w:val="-5"/>
        </w:rPr>
        <w:t>除。</w:t>
      </w:r>
      <w:r>
        <w:rPr/>
      </w:r>
    </w:p>
    <w:p>
      <w:pPr>
        <w:pStyle w:val="BodyText"/>
        <w:spacing w:line="343" w:lineRule="auto" w:before="53"/>
        <w:ind w:right="160" w:firstLine="471"/>
        <w:jc w:val="both"/>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22</w:t>
      </w:r>
      <w:r>
        <w:rPr>
          <w:spacing w:val="-4"/>
        </w:rPr>
        <w:t>日，公司与招商银行股份有限公司武汉循礼门支行签订最高额不可 </w:t>
      </w:r>
      <w:r>
        <w:rPr>
          <w:spacing w:val="-7"/>
        </w:rPr>
        <w:t>撤销担保书，公司为武汉苏宁电器有限公司自</w:t>
      </w:r>
      <w:r>
        <w:rPr>
          <w:rFonts w:ascii="Times New Roman" w:hAnsi="Times New Roman" w:cs="Times New Roman" w:eastAsia="Times New Roman" w:hint="default"/>
          <w:spacing w:val="-7"/>
        </w:rPr>
        <w:t>2006</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22</w:t>
      </w:r>
      <w:r>
        <w:rPr>
          <w:spacing w:val="-7"/>
        </w:rPr>
        <w:t>日至</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21</w:t>
      </w:r>
      <w:r>
        <w:rPr>
          <w:spacing w:val="-7"/>
        </w:rPr>
        <w:t>日期间的</w:t>
      </w:r>
      <w:r>
        <w:rPr>
          <w:spacing w:val="-101"/>
        </w:rPr>
        <w:t> </w:t>
      </w:r>
      <w:r>
        <w:rPr>
          <w:spacing w:val="-4"/>
        </w:rPr>
        <w:t>银行授信提供连带责任担保，最高额度为</w:t>
      </w:r>
      <w:r>
        <w:rPr>
          <w:rFonts w:ascii="Times New Roman" w:hAnsi="Times New Roman" w:cs="Times New Roman" w:eastAsia="Times New Roman" w:hint="default"/>
          <w:spacing w:val="-4"/>
        </w:rPr>
        <w:t>310</w:t>
      </w:r>
      <w:r>
        <w:rPr>
          <w:spacing w:val="-4"/>
        </w:rPr>
        <w:t>万元，武汉苏宁电器有限公司以其所有</w:t>
      </w:r>
      <w:r>
        <w:rPr>
          <w:spacing w:val="-116"/>
        </w:rPr>
        <w:t> </w:t>
      </w:r>
      <w:r>
        <w:rPr>
          <w:spacing w:val="-8"/>
        </w:rPr>
        <w:t>的存货为此提供反担保。武汉苏宁电器有限公司根据上述最高额不可撤销担保书及相</w:t>
      </w:r>
      <w:r>
        <w:rPr>
          <w:spacing w:val="-113"/>
        </w:rPr>
        <w:t> </w:t>
      </w:r>
      <w:r>
        <w:rPr>
          <w:spacing w:val="-113"/>
        </w:rPr>
      </w:r>
      <w:r>
        <w:rPr>
          <w:spacing w:val="-5"/>
        </w:rPr>
        <w:t>关合同开具的承兑汇票于</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6</w:t>
      </w:r>
      <w:r>
        <w:rPr>
          <w:spacing w:val="-5"/>
        </w:rPr>
        <w:t>日到期，已全部归还。公司此项担保解除。</w:t>
      </w:r>
      <w:r>
        <w:rPr/>
      </w:r>
    </w:p>
    <w:p>
      <w:pPr>
        <w:pStyle w:val="BodyText"/>
        <w:spacing w:line="343" w:lineRule="auto" w:before="21"/>
        <w:ind w:right="157" w:firstLine="471"/>
        <w:jc w:val="both"/>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25</w:t>
      </w:r>
      <w:r>
        <w:rPr>
          <w:spacing w:val="-4"/>
        </w:rPr>
        <w:t>日，公司与武汉市商业银行青年路支行签订最高额保证合同，公司 </w:t>
      </w:r>
      <w:r>
        <w:rPr>
          <w:spacing w:val="-1"/>
        </w:rPr>
        <w:t>为武汉苏宁电器有限公司自</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日起至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日期间签订的银行承兑</w:t>
      </w:r>
      <w:r>
        <w:rPr>
          <w:spacing w:val="-117"/>
        </w:rPr>
        <w:t> </w:t>
      </w:r>
      <w:r>
        <w:rPr>
          <w:spacing w:val="-3"/>
        </w:rPr>
        <w:t>汇票提供连带责任保证，最高额不超过</w:t>
      </w:r>
      <w:r>
        <w:rPr>
          <w:rFonts w:ascii="Times New Roman" w:hAnsi="Times New Roman" w:cs="Times New Roman" w:eastAsia="Times New Roman" w:hint="default"/>
          <w:spacing w:val="-3"/>
        </w:rPr>
        <w:t>3,500</w:t>
      </w:r>
      <w:r>
        <w:rPr>
          <w:spacing w:val="-3"/>
        </w:rPr>
        <w:t>万元，武汉苏宁电器有限公司以其所拥</w:t>
      </w:r>
      <w:r>
        <w:rPr>
          <w:spacing w:val="-116"/>
        </w:rPr>
        <w:t> </w:t>
      </w:r>
      <w:r>
        <w:rPr>
          <w:spacing w:val="-8"/>
        </w:rPr>
        <w:t>有的存货为此提供反担保。武汉苏宁电器有限公司根据上述最高额保证合同及相关主</w:t>
      </w:r>
      <w:r>
        <w:rPr>
          <w:spacing w:val="-112"/>
        </w:rPr>
        <w:t> </w:t>
      </w:r>
      <w:r>
        <w:rPr>
          <w:spacing w:val="-112"/>
        </w:rPr>
      </w:r>
      <w:r>
        <w:rPr/>
        <w:t>合同开具的承兑汇票于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日到期，已全部归还。公司此项担保解除。</w:t>
      </w:r>
    </w:p>
    <w:p>
      <w:pPr>
        <w:pStyle w:val="BodyText"/>
        <w:spacing w:line="338" w:lineRule="auto" w:before="21"/>
        <w:ind w:right="155" w:firstLine="471"/>
        <w:jc w:val="both"/>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日，公司与交通银行股份有限公司武汉花桥支行签订最高额保证合 </w:t>
      </w:r>
      <w:r>
        <w:rPr>
          <w:spacing w:val="-7"/>
        </w:rPr>
        <w:t>同，公司为武汉苏宁电器有限公司自</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1</w:t>
      </w:r>
      <w:r>
        <w:rPr>
          <w:spacing w:val="-7"/>
        </w:rPr>
        <w:t>日至</w:t>
      </w:r>
      <w:r>
        <w:rPr>
          <w:rFonts w:ascii="Times New Roman" w:hAnsi="Times New Roman" w:cs="Times New Roman" w:eastAsia="Times New Roman" w:hint="default"/>
          <w:spacing w:val="-7"/>
        </w:rPr>
        <w:t>2008</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1</w:t>
      </w:r>
      <w:r>
        <w:rPr>
          <w:spacing w:val="-7"/>
        </w:rPr>
        <w:t>日期间的银行承兑汇</w:t>
      </w:r>
      <w:r>
        <w:rPr>
          <w:spacing w:val="-105"/>
        </w:rPr>
        <w:t> </w:t>
      </w:r>
      <w:r>
        <w:rPr>
          <w:spacing w:val="-5"/>
        </w:rPr>
        <w:t>票提供连带责任担保，最高额度为</w:t>
      </w:r>
      <w:r>
        <w:rPr>
          <w:rFonts w:ascii="Times New Roman" w:hAnsi="Times New Roman" w:cs="Times New Roman" w:eastAsia="Times New Roman" w:hint="default"/>
          <w:spacing w:val="-5"/>
        </w:rPr>
        <w:t>2,310</w:t>
      </w:r>
      <w:r>
        <w:rPr>
          <w:spacing w:val="-5"/>
        </w:rPr>
        <w:t>万元。</w:t>
      </w:r>
      <w:r>
        <w:rPr/>
      </w:r>
    </w:p>
    <w:p>
      <w:pPr>
        <w:pStyle w:val="BodyText"/>
        <w:spacing w:line="338" w:lineRule="auto" w:before="27"/>
        <w:ind w:right="160" w:firstLine="471"/>
        <w:jc w:val="both"/>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23</w:t>
      </w:r>
      <w:r>
        <w:rPr>
          <w:spacing w:val="-4"/>
        </w:rPr>
        <w:t>日，公司与招商银行股份有限公司武汉循礼门支行签订最高额不可 </w:t>
      </w:r>
      <w:r>
        <w:rPr>
          <w:spacing w:val="-7"/>
        </w:rPr>
        <w:t>撤销担保书，公司为武汉苏宁电器有限公司自</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23</w:t>
      </w:r>
      <w:r>
        <w:rPr>
          <w:spacing w:val="-7"/>
        </w:rPr>
        <w:t>日至</w:t>
      </w:r>
      <w:r>
        <w:rPr>
          <w:rFonts w:ascii="Times New Roman" w:hAnsi="Times New Roman" w:cs="Times New Roman" w:eastAsia="Times New Roman" w:hint="default"/>
          <w:spacing w:val="-7"/>
        </w:rPr>
        <w:t>2008</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22</w:t>
      </w:r>
      <w:r>
        <w:rPr>
          <w:spacing w:val="-7"/>
        </w:rPr>
        <w:t>日期间的</w:t>
      </w:r>
      <w:r>
        <w:rPr>
          <w:spacing w:val="-101"/>
        </w:rPr>
        <w:t> </w:t>
      </w:r>
      <w:r>
        <w:rPr>
          <w:spacing w:val="-4"/>
        </w:rPr>
        <w:t>银行授信提供连带责任保证，最高额度为</w:t>
      </w:r>
      <w:r>
        <w:rPr>
          <w:rFonts w:ascii="Times New Roman" w:hAnsi="Times New Roman" w:cs="Times New Roman" w:eastAsia="Times New Roman" w:hint="default"/>
          <w:spacing w:val="-4"/>
        </w:rPr>
        <w:t>6,000</w:t>
      </w:r>
      <w:r>
        <w:rPr>
          <w:spacing w:val="-4"/>
        </w:rPr>
        <w:t>万元。</w:t>
      </w:r>
      <w:r>
        <w:rPr/>
      </w:r>
    </w:p>
    <w:p>
      <w:pPr>
        <w:pStyle w:val="BodyText"/>
        <w:spacing w:line="338" w:lineRule="auto" w:before="27"/>
        <w:ind w:right="156" w:firstLine="471"/>
        <w:jc w:val="both"/>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26</w:t>
      </w:r>
      <w:r>
        <w:rPr>
          <w:spacing w:val="-4"/>
        </w:rPr>
        <w:t>日，公司与武汉市商业银行青年路支行签订最高额保证合同，公司 </w:t>
      </w:r>
      <w:r>
        <w:rPr>
          <w:spacing w:val="-1"/>
        </w:rPr>
        <w:t>为武汉苏宁电器有限公司自</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日期间的银行授信提供连</w:t>
      </w:r>
      <w:r>
        <w:rPr>
          <w:spacing w:val="-118"/>
        </w:rPr>
        <w:t> </w:t>
      </w:r>
      <w:r>
        <w:rPr/>
        <w:t>带责任保证，最高额度为</w:t>
      </w:r>
      <w:r>
        <w:rPr>
          <w:rFonts w:ascii="Times New Roman" w:hAnsi="Times New Roman" w:cs="Times New Roman" w:eastAsia="Times New Roman" w:hint="default"/>
        </w:rPr>
        <w:t>3,500</w:t>
      </w:r>
      <w:r>
        <w:rPr/>
        <w:t>万元。</w:t>
      </w:r>
    </w:p>
    <w:p>
      <w:pPr>
        <w:pStyle w:val="BodyText"/>
        <w:spacing w:line="338" w:lineRule="auto" w:before="27"/>
        <w:ind w:right="156" w:firstLine="471"/>
        <w:jc w:val="both"/>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25</w:t>
      </w:r>
      <w:r>
        <w:rPr>
          <w:spacing w:val="-4"/>
        </w:rPr>
        <w:t>日，公司与福州市商业银行怡丰支行签订保证合同，公司为 </w:t>
      </w:r>
      <w:r>
        <w:rPr>
          <w:spacing w:val="-1"/>
        </w:rPr>
        <w:t>福建苏宁电器有限公司于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日起至</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日期间签订的银行承兑</w:t>
      </w:r>
    </w:p>
    <w:p>
      <w:pPr>
        <w:spacing w:after="0" w:line="338" w:lineRule="auto"/>
        <w:jc w:val="both"/>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348" w:lineRule="auto" w:before="26"/>
        <w:ind w:left="144" w:right="160"/>
        <w:jc w:val="both"/>
      </w:pPr>
      <w:r>
        <w:rPr>
          <w:spacing w:val="-3"/>
        </w:rPr>
        <w:t>汇票提供连带责任保证，最高余额不超过</w:t>
      </w:r>
      <w:r>
        <w:rPr>
          <w:rFonts w:ascii="Times New Roman" w:hAnsi="Times New Roman" w:cs="Times New Roman" w:eastAsia="Times New Roman" w:hint="default"/>
          <w:spacing w:val="-3"/>
        </w:rPr>
        <w:t>4,900</w:t>
      </w:r>
      <w:r>
        <w:rPr>
          <w:spacing w:val="-3"/>
        </w:rPr>
        <w:t>万元，福建苏宁电器有限公司以其所</w:t>
      </w:r>
      <w:r>
        <w:rPr>
          <w:spacing w:val="-113"/>
        </w:rPr>
        <w:t> </w:t>
      </w:r>
      <w:r>
        <w:rPr>
          <w:spacing w:val="-8"/>
        </w:rPr>
        <w:t>拥有的存货为此提供了反担保。福建苏宁电器有限公司根据上述保证合同及相关主合</w:t>
      </w:r>
      <w:r>
        <w:rPr>
          <w:spacing w:val="-113"/>
        </w:rPr>
        <w:t> </w:t>
      </w:r>
      <w:r>
        <w:rPr>
          <w:spacing w:val="-113"/>
        </w:rPr>
      </w:r>
      <w:r>
        <w:rPr>
          <w:spacing w:val="-3"/>
        </w:rPr>
        <w:t>同开具的承兑汇票于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13</w:t>
      </w:r>
      <w:r>
        <w:rPr>
          <w:spacing w:val="-3"/>
        </w:rPr>
        <w:t>日到期，已全部归还。公司此项担保解除。</w:t>
      </w:r>
    </w:p>
    <w:p>
      <w:pPr>
        <w:pStyle w:val="BodyText"/>
        <w:spacing w:line="338" w:lineRule="auto" w:before="16"/>
        <w:ind w:right="160" w:firstLine="471"/>
        <w:jc w:val="both"/>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18</w:t>
      </w:r>
      <w:r>
        <w:rPr>
          <w:spacing w:val="-4"/>
        </w:rPr>
        <w:t>日，公司与福州市商业银行怡丰支行签订了保证合同，为福州市商 业银行怡丰支行与福建苏宁电器有限公司于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18</w:t>
      </w:r>
      <w:r>
        <w:rPr>
          <w:spacing w:val="-4"/>
        </w:rPr>
        <w:t>日签订的《银行承兑汇票协</w:t>
      </w:r>
      <w:r>
        <w:rPr>
          <w:spacing w:val="-110"/>
        </w:rPr>
        <w:t> </w:t>
      </w:r>
      <w:r>
        <w:rPr>
          <w:spacing w:val="-3"/>
        </w:rPr>
        <w:t>议》提供连带责任保证，担保的债务本金最高余额为</w:t>
      </w:r>
      <w:r>
        <w:rPr>
          <w:rFonts w:ascii="Times New Roman" w:hAnsi="Times New Roman" w:cs="Times New Roman" w:eastAsia="Times New Roman" w:hint="default"/>
          <w:spacing w:val="-3"/>
        </w:rPr>
        <w:t>1,500</w:t>
      </w:r>
      <w:r>
        <w:rPr>
          <w:spacing w:val="-3"/>
        </w:rPr>
        <w:t>万元。福建苏宁电器有限</w:t>
      </w:r>
      <w:r>
        <w:rPr>
          <w:spacing w:val="-113"/>
        </w:rPr>
        <w:t> </w:t>
      </w:r>
      <w:r>
        <w:rPr>
          <w:spacing w:val="-4"/>
        </w:rPr>
        <w:t>公司根据上述保证合同及相关主合同开具的承兑汇票于</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18</w:t>
      </w:r>
      <w:r>
        <w:rPr>
          <w:spacing w:val="-4"/>
        </w:rPr>
        <w:t>日到期，已全部</w:t>
      </w:r>
      <w:r>
        <w:rPr>
          <w:spacing w:val="-111"/>
        </w:rPr>
        <w:t> </w:t>
      </w:r>
      <w:r>
        <w:rPr/>
        <w:t>归还。公司此项担保解除。</w:t>
      </w:r>
    </w:p>
    <w:p>
      <w:pPr>
        <w:pStyle w:val="BodyText"/>
        <w:spacing w:line="343" w:lineRule="auto" w:before="55"/>
        <w:ind w:right="158" w:firstLine="471"/>
        <w:jc w:val="both"/>
      </w:pPr>
      <w:r>
        <w:rPr>
          <w:spacing w:val="-7"/>
        </w:rPr>
        <w:t>（</w:t>
      </w:r>
      <w:r>
        <w:rPr>
          <w:rFonts w:ascii="Times New Roman" w:hAnsi="Times New Roman" w:cs="Times New Roman" w:eastAsia="Times New Roman" w:hint="default"/>
          <w:spacing w:val="-7"/>
        </w:rPr>
        <w:t>4</w:t>
      </w:r>
      <w:r>
        <w:rPr>
          <w:spacing w:val="-7"/>
        </w:rPr>
        <w:t>）</w:t>
      </w:r>
      <w:r>
        <w:rPr>
          <w:rFonts w:ascii="Times New Roman" w:hAnsi="Times New Roman" w:cs="Times New Roman" w:eastAsia="Times New Roman" w:hint="default"/>
          <w:spacing w:val="-7"/>
        </w:rPr>
        <w:t>2006</w:t>
      </w:r>
      <w:r>
        <w:rPr>
          <w:spacing w:val="-7"/>
        </w:rPr>
        <w:t>年</w:t>
      </w:r>
      <w:r>
        <w:rPr>
          <w:rFonts w:ascii="Times New Roman" w:hAnsi="Times New Roman" w:cs="Times New Roman" w:eastAsia="Times New Roman" w:hint="default"/>
          <w:spacing w:val="-7"/>
        </w:rPr>
        <w:t>1</w:t>
      </w:r>
      <w:r>
        <w:rPr>
          <w:spacing w:val="-7"/>
        </w:rPr>
        <w:t>月</w:t>
      </w:r>
      <w:r>
        <w:rPr>
          <w:rFonts w:ascii="Times New Roman" w:hAnsi="Times New Roman" w:cs="Times New Roman" w:eastAsia="Times New Roman" w:hint="default"/>
          <w:spacing w:val="-7"/>
        </w:rPr>
        <w:t>11</w:t>
      </w:r>
      <w:r>
        <w:rPr>
          <w:spacing w:val="-7"/>
        </w:rPr>
        <w:t>日，公司与中信银行西安分行签订最高额保证合同，公司为陕</w:t>
      </w:r>
      <w:r>
        <w:rPr>
          <w:spacing w:val="-4"/>
        </w:rPr>
        <w:t> </w:t>
      </w:r>
      <w:r>
        <w:rPr>
          <w:spacing w:val="-1"/>
        </w:rPr>
        <w:t>西苏宁电器有限责任公司自</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日起至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日期间的银行授信提供</w:t>
      </w:r>
      <w:r>
        <w:rPr>
          <w:spacing w:val="-117"/>
        </w:rPr>
        <w:t> </w:t>
      </w:r>
      <w:r>
        <w:rPr>
          <w:spacing w:val="-117"/>
        </w:rPr>
      </w:r>
      <w:r>
        <w:rPr>
          <w:spacing w:val="-3"/>
        </w:rPr>
        <w:t>连带责任保证，最高额不超过</w:t>
      </w:r>
      <w:r>
        <w:rPr>
          <w:rFonts w:ascii="Times New Roman" w:hAnsi="Times New Roman" w:cs="Times New Roman" w:eastAsia="Times New Roman" w:hint="default"/>
          <w:spacing w:val="-3"/>
        </w:rPr>
        <w:t>1,200</w:t>
      </w:r>
      <w:r>
        <w:rPr>
          <w:spacing w:val="-3"/>
        </w:rPr>
        <w:t>万元，陕西苏宁电器有限责任公司以其所有的存</w:t>
      </w:r>
      <w:r>
        <w:rPr>
          <w:spacing w:val="-113"/>
        </w:rPr>
        <w:t> </w:t>
      </w:r>
      <w:r>
        <w:rPr>
          <w:spacing w:val="-8"/>
        </w:rPr>
        <w:t>货为此提供反担保。陕西苏宁电器有限责任公司根据上述最高额保证合同及相关主合</w:t>
      </w:r>
      <w:r>
        <w:rPr>
          <w:spacing w:val="-90"/>
        </w:rPr>
        <w:t> </w:t>
      </w:r>
      <w:r>
        <w:rPr>
          <w:spacing w:val="-90"/>
        </w:rPr>
      </w:r>
      <w:r>
        <w:rPr>
          <w:spacing w:val="-3"/>
        </w:rPr>
        <w:t>同开具的承兑汇票于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12</w:t>
      </w:r>
      <w:r>
        <w:rPr>
          <w:spacing w:val="-3"/>
        </w:rPr>
        <w:t>日到期，已全部归还。公司此项担保解除。</w:t>
      </w:r>
    </w:p>
    <w:p>
      <w:pPr>
        <w:pStyle w:val="BodyText"/>
        <w:spacing w:line="348" w:lineRule="auto" w:before="21"/>
        <w:ind w:right="151" w:firstLine="471"/>
        <w:jc w:val="both"/>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28</w:t>
      </w:r>
      <w:r>
        <w:rPr>
          <w:spacing w:val="-4"/>
        </w:rPr>
        <w:t>日，本公司子公司—陕西苏宁电器有限责任公司与中信银行西安分 </w:t>
      </w:r>
      <w:r>
        <w:rPr>
          <w:spacing w:val="-2"/>
        </w:rPr>
        <w:t>行签订《人民币借款合同》：中信银行西安分行向陕西苏宁电器有限责任公司提供</w:t>
      </w:r>
      <w:r>
        <w:rPr>
          <w:spacing w:val="-95"/>
        </w:rPr>
        <w:t> </w:t>
      </w:r>
      <w:r>
        <w:rPr>
          <w:spacing w:val="-95"/>
        </w:rPr>
      </w:r>
      <w:r>
        <w:rPr>
          <w:rFonts w:ascii="Times New Roman" w:hAnsi="Times New Roman" w:cs="Times New Roman" w:eastAsia="Times New Roman" w:hint="default"/>
          <w:spacing w:val="-3"/>
        </w:rPr>
        <w:t>1,000</w:t>
      </w:r>
      <w:r>
        <w:rPr>
          <w:spacing w:val="-3"/>
        </w:rPr>
        <w:t>万元的贷款，贷款期限自</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日。本公司为此出具了</w:t>
      </w:r>
      <w:r>
        <w:rPr/>
      </w:r>
    </w:p>
    <w:p>
      <w:pPr>
        <w:pStyle w:val="BodyText"/>
        <w:spacing w:line="338" w:lineRule="auto" w:before="16"/>
        <w:ind w:right="158"/>
        <w:jc w:val="both"/>
      </w:pPr>
      <w:r>
        <w:rPr>
          <w:spacing w:val="-5"/>
        </w:rPr>
        <w:t>《保证合同》。陕西苏宁有限责任公司签订的《人民币借款合同》到期日为</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4</w:t>
      </w:r>
      <w:r>
        <w:rPr>
          <w:rFonts w:ascii="Times New Roman" w:hAnsi="Times New Roman" w:cs="Times New Roman" w:eastAsia="Times New Roman" w:hint="default"/>
          <w:spacing w:val="-28"/>
        </w:rPr>
        <w:t> </w:t>
      </w:r>
      <w:r>
        <w:rPr>
          <w:spacing w:val="-3"/>
        </w:rPr>
        <w:t>月</w:t>
      </w:r>
      <w:r>
        <w:rPr>
          <w:rFonts w:ascii="Times New Roman" w:hAnsi="Times New Roman" w:cs="Times New Roman" w:eastAsia="Times New Roman" w:hint="default"/>
          <w:spacing w:val="-3"/>
        </w:rPr>
        <w:t>27</w:t>
      </w:r>
      <w:r>
        <w:rPr>
          <w:spacing w:val="-3"/>
        </w:rPr>
        <w:t>日，已全部归还。公司此项担保解除。</w:t>
      </w:r>
    </w:p>
    <w:p>
      <w:pPr>
        <w:pStyle w:val="BodyText"/>
        <w:spacing w:line="338" w:lineRule="auto" w:before="27"/>
        <w:ind w:right="155" w:firstLine="471"/>
        <w:jc w:val="both"/>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日，公司与中信银行西安分行签订最高额保证合同，为陕西苏宁电 </w:t>
      </w:r>
      <w:r>
        <w:rPr>
          <w:spacing w:val="-1"/>
        </w:rPr>
        <w:t>器有限责任有限公司自</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w:t>
      </w:r>
      <w:r>
        <w:rPr>
          <w:spacing w:val="-1"/>
        </w:rPr>
        <w:t>日起至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日期间的银行承兑汇票提供连 </w:t>
      </w:r>
      <w:r>
        <w:rPr>
          <w:spacing w:val="-5"/>
        </w:rPr>
        <w:t>带责任保证，最高额度为</w:t>
      </w:r>
      <w:r>
        <w:rPr>
          <w:rFonts w:ascii="Times New Roman" w:hAnsi="Times New Roman" w:cs="Times New Roman" w:eastAsia="Times New Roman" w:hint="default"/>
          <w:spacing w:val="-5"/>
        </w:rPr>
        <w:t>2,400</w:t>
      </w:r>
      <w:r>
        <w:rPr>
          <w:spacing w:val="-5"/>
        </w:rPr>
        <w:t>万。</w:t>
      </w:r>
      <w:r>
        <w:rPr/>
      </w:r>
    </w:p>
    <w:p>
      <w:pPr>
        <w:pStyle w:val="BodyText"/>
        <w:spacing w:line="338" w:lineRule="auto" w:before="27"/>
        <w:ind w:right="157" w:firstLine="471"/>
        <w:jc w:val="both"/>
      </w:pPr>
      <w:r>
        <w:rPr>
          <w:spacing w:val="-7"/>
        </w:rPr>
        <w:t>（</w:t>
      </w:r>
      <w:r>
        <w:rPr>
          <w:rFonts w:ascii="Times New Roman" w:hAnsi="Times New Roman" w:cs="Times New Roman" w:eastAsia="Times New Roman" w:hint="default"/>
          <w:spacing w:val="-7"/>
        </w:rPr>
        <w:t>5</w:t>
      </w:r>
      <w:r>
        <w:rPr>
          <w:spacing w:val="-7"/>
        </w:rPr>
        <w:t>）</w:t>
      </w:r>
      <w:r>
        <w:rPr>
          <w:rFonts w:ascii="Times New Roman" w:hAnsi="Times New Roman" w:cs="Times New Roman" w:eastAsia="Times New Roman" w:hint="default"/>
          <w:spacing w:val="-7"/>
        </w:rPr>
        <w:t>2006</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29</w:t>
      </w:r>
      <w:r>
        <w:rPr>
          <w:spacing w:val="-7"/>
        </w:rPr>
        <w:t>日，公司与交通银行股份有限公司南宁分行签订最高额保证合</w:t>
      </w:r>
      <w:r>
        <w:rPr>
          <w:spacing w:val="-4"/>
        </w:rPr>
        <w:t> </w:t>
      </w:r>
      <w:r>
        <w:rPr>
          <w:spacing w:val="-1"/>
        </w:rPr>
        <w:t>同，公司为广西苏宁电器有限公司自</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日起至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日期间的银行</w:t>
      </w:r>
      <w:r>
        <w:rPr>
          <w:spacing w:val="-114"/>
        </w:rPr>
        <w:t> </w:t>
      </w:r>
      <w:r>
        <w:rPr>
          <w:spacing w:val="-114"/>
        </w:rPr>
      </w:r>
      <w:r>
        <w:rPr>
          <w:spacing w:val="-3"/>
        </w:rPr>
        <w:t>授信提供连带责任保证，最高额不超过</w:t>
      </w:r>
      <w:r>
        <w:rPr>
          <w:rFonts w:ascii="Times New Roman" w:hAnsi="Times New Roman" w:cs="Times New Roman" w:eastAsia="Times New Roman" w:hint="default"/>
          <w:spacing w:val="-3"/>
        </w:rPr>
        <w:t>3,850</w:t>
      </w:r>
      <w:r>
        <w:rPr>
          <w:spacing w:val="-3"/>
        </w:rPr>
        <w:t>万元，广西苏宁电器有限公司以其所有</w:t>
      </w:r>
      <w:r>
        <w:rPr>
          <w:spacing w:val="-116"/>
        </w:rPr>
        <w:t> </w:t>
      </w:r>
      <w:r>
        <w:rPr>
          <w:spacing w:val="-5"/>
        </w:rPr>
        <w:t>的存货为此提供反担保。</w:t>
      </w:r>
      <w:r>
        <w:rPr/>
      </w:r>
    </w:p>
    <w:p>
      <w:pPr>
        <w:pStyle w:val="BodyText"/>
        <w:spacing w:line="343" w:lineRule="auto" w:before="55"/>
        <w:ind w:right="160" w:firstLine="471"/>
        <w:jc w:val="both"/>
      </w:pPr>
      <w:r>
        <w:rPr>
          <w:spacing w:val="-7"/>
        </w:rPr>
        <w:t>（</w:t>
      </w:r>
      <w:r>
        <w:rPr>
          <w:rFonts w:ascii="Times New Roman" w:hAnsi="Times New Roman" w:cs="Times New Roman" w:eastAsia="Times New Roman" w:hint="default"/>
          <w:spacing w:val="-7"/>
        </w:rPr>
        <w:t>6</w:t>
      </w:r>
      <w:r>
        <w:rPr>
          <w:spacing w:val="-7"/>
        </w:rPr>
        <w:t>）</w:t>
      </w:r>
      <w:r>
        <w:rPr>
          <w:rFonts w:ascii="Times New Roman" w:hAnsi="Times New Roman" w:cs="Times New Roman" w:eastAsia="Times New Roman" w:hint="default"/>
          <w:spacing w:val="-7"/>
        </w:rPr>
        <w:t>2006</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21</w:t>
      </w:r>
      <w:r>
        <w:rPr>
          <w:spacing w:val="-7"/>
        </w:rPr>
        <w:t>日，公司与招商银行股份有限公司佛山分行签订最高额不可撤</w:t>
      </w:r>
      <w:r>
        <w:rPr>
          <w:spacing w:val="-4"/>
        </w:rPr>
        <w:t> </w:t>
      </w:r>
      <w:r>
        <w:rPr>
          <w:spacing w:val="-7"/>
        </w:rPr>
        <w:t>销担保书，公司为佛山市苏宁电器有限公司自</w:t>
      </w:r>
      <w:r>
        <w:rPr>
          <w:rFonts w:ascii="Times New Roman" w:hAnsi="Times New Roman" w:cs="Times New Roman" w:eastAsia="Times New Roman" w:hint="default"/>
          <w:spacing w:val="-7"/>
        </w:rPr>
        <w:t>2006</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25</w:t>
      </w:r>
      <w:r>
        <w:rPr>
          <w:spacing w:val="-7"/>
        </w:rPr>
        <w:t>日起至</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25</w:t>
      </w:r>
      <w:r>
        <w:rPr>
          <w:spacing w:val="-7"/>
        </w:rPr>
        <w:t>日期间</w:t>
      </w:r>
      <w:r>
        <w:rPr>
          <w:spacing w:val="-101"/>
        </w:rPr>
        <w:t> </w:t>
      </w:r>
      <w:r>
        <w:rPr>
          <w:spacing w:val="-3"/>
        </w:rPr>
        <w:t>的银行授信提供连带责任担保，最高额不超过</w:t>
      </w:r>
      <w:r>
        <w:rPr>
          <w:rFonts w:ascii="Times New Roman" w:hAnsi="Times New Roman" w:cs="Times New Roman" w:eastAsia="Times New Roman" w:hint="default"/>
          <w:spacing w:val="-3"/>
        </w:rPr>
        <w:t>5,600</w:t>
      </w:r>
      <w:r>
        <w:rPr>
          <w:spacing w:val="-3"/>
        </w:rPr>
        <w:t>万元，佛山市苏宁电器有限公司</w:t>
      </w:r>
      <w:r>
        <w:rPr>
          <w:spacing w:val="-115"/>
        </w:rPr>
        <w:t> </w:t>
      </w:r>
      <w:r>
        <w:rPr>
          <w:spacing w:val="-8"/>
        </w:rPr>
        <w:t>以其所有的存货为此提供了反担保。佛山市苏宁电器有限公司根据上述最高额不可撤</w:t>
      </w:r>
      <w:r>
        <w:rPr>
          <w:spacing w:val="-105"/>
        </w:rPr>
        <w:t> </w:t>
      </w:r>
      <w:r>
        <w:rPr>
          <w:spacing w:val="-105"/>
        </w:rPr>
      </w:r>
      <w:r>
        <w:rPr>
          <w:spacing w:val="-1"/>
        </w:rPr>
        <w:t>销担保书及相关主合同开具的承兑汇票于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日到期，已全部归还。公司此</w:t>
      </w:r>
    </w:p>
    <w:p>
      <w:pPr>
        <w:spacing w:after="0" w:line="343" w:lineRule="auto"/>
        <w:jc w:val="both"/>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240" w:lineRule="auto" w:before="26"/>
        <w:ind w:left="144" w:right="2428"/>
        <w:jc w:val="left"/>
      </w:pPr>
      <w:r>
        <w:rPr/>
        <w:t>项担保解除。</w:t>
      </w:r>
    </w:p>
    <w:p>
      <w:pPr>
        <w:pStyle w:val="BodyText"/>
        <w:spacing w:line="338" w:lineRule="auto" w:before="154"/>
        <w:ind w:right="157" w:firstLine="471"/>
        <w:jc w:val="both"/>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14</w:t>
      </w:r>
      <w:r>
        <w:rPr>
          <w:spacing w:val="-4"/>
        </w:rPr>
        <w:t>日，公司与交通银行佛山分行签订最高额保证合同，公司为佛山市 </w:t>
      </w:r>
      <w:r>
        <w:rPr>
          <w:spacing w:val="-2"/>
        </w:rPr>
        <w:t>苏宁电器有限公司自</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日起至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日内开具的银行承兑汇票提供</w:t>
      </w:r>
      <w:r>
        <w:rPr>
          <w:spacing w:val="-79"/>
        </w:rPr>
        <w:t> </w:t>
      </w:r>
      <w:r>
        <w:rPr>
          <w:spacing w:val="-5"/>
        </w:rPr>
        <w:t>连带责任保证，最高额度为</w:t>
      </w:r>
      <w:r>
        <w:rPr>
          <w:rFonts w:ascii="Times New Roman" w:hAnsi="Times New Roman" w:cs="Times New Roman" w:eastAsia="Times New Roman" w:hint="default"/>
          <w:spacing w:val="-5"/>
        </w:rPr>
        <w:t>6,545</w:t>
      </w:r>
      <w:r>
        <w:rPr>
          <w:spacing w:val="-5"/>
        </w:rPr>
        <w:t>万元。</w:t>
      </w:r>
      <w:r>
        <w:rPr/>
      </w:r>
    </w:p>
    <w:p>
      <w:pPr>
        <w:pStyle w:val="BodyText"/>
        <w:spacing w:line="338" w:lineRule="auto" w:before="27"/>
        <w:ind w:right="157" w:firstLine="471"/>
        <w:jc w:val="both"/>
      </w:pPr>
      <w:r>
        <w:rPr>
          <w:spacing w:val="-7"/>
        </w:rPr>
        <w:t>（</w:t>
      </w:r>
      <w:r>
        <w:rPr>
          <w:rFonts w:ascii="Times New Roman" w:hAnsi="Times New Roman" w:cs="Times New Roman" w:eastAsia="Times New Roman" w:hint="default"/>
          <w:spacing w:val="-7"/>
        </w:rPr>
        <w:t>7</w:t>
      </w:r>
      <w:r>
        <w:rPr>
          <w:spacing w:val="-7"/>
        </w:rPr>
        <w:t>）</w:t>
      </w:r>
      <w:r>
        <w:rPr>
          <w:rFonts w:ascii="Times New Roman" w:hAnsi="Times New Roman" w:cs="Times New Roman" w:eastAsia="Times New Roman" w:hint="default"/>
          <w:spacing w:val="-7"/>
        </w:rPr>
        <w:t>2006</w:t>
      </w:r>
      <w:r>
        <w:rPr>
          <w:spacing w:val="-7"/>
        </w:rPr>
        <w:t>年</w:t>
      </w:r>
      <w:r>
        <w:rPr>
          <w:rFonts w:ascii="Times New Roman" w:hAnsi="Times New Roman" w:cs="Times New Roman" w:eastAsia="Times New Roman" w:hint="default"/>
          <w:spacing w:val="-7"/>
        </w:rPr>
        <w:t>9</w:t>
      </w:r>
      <w:r>
        <w:rPr>
          <w:spacing w:val="-7"/>
        </w:rPr>
        <w:t>月</w:t>
      </w:r>
      <w:r>
        <w:rPr>
          <w:rFonts w:ascii="Times New Roman" w:hAnsi="Times New Roman" w:cs="Times New Roman" w:eastAsia="Times New Roman" w:hint="default"/>
          <w:spacing w:val="-7"/>
        </w:rPr>
        <w:t>20</w:t>
      </w:r>
      <w:r>
        <w:rPr>
          <w:spacing w:val="-7"/>
        </w:rPr>
        <w:t>日，公司与中信银行杭州平海支行签订最高额保证合同，为中</w:t>
      </w:r>
      <w:r>
        <w:rPr>
          <w:spacing w:val="-4"/>
        </w:rPr>
        <w:t> </w:t>
      </w:r>
      <w:r>
        <w:rPr>
          <w:spacing w:val="-1"/>
        </w:rPr>
        <w:t>信银行杭州平海支行与浙江苏宁电器有限公司自</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w:t>
      </w:r>
      <w:r>
        <w:rPr>
          <w:spacing w:val="-1"/>
        </w:rPr>
        <w:t>日起至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w:t>
      </w:r>
      <w:r>
        <w:rPr>
          <w:spacing w:val="-1"/>
        </w:rPr>
        <w:t>日</w:t>
      </w:r>
      <w:r>
        <w:rPr/>
        <w:t> </w:t>
      </w:r>
      <w:r>
        <w:rPr>
          <w:spacing w:val="-3"/>
        </w:rPr>
        <w:t>期间签订的总余额不超过</w:t>
      </w:r>
      <w:r>
        <w:rPr>
          <w:rFonts w:ascii="Times New Roman" w:hAnsi="Times New Roman" w:cs="Times New Roman" w:eastAsia="Times New Roman" w:hint="default"/>
          <w:spacing w:val="-3"/>
        </w:rPr>
        <w:t>2,940</w:t>
      </w:r>
      <w:r>
        <w:rPr>
          <w:spacing w:val="-3"/>
        </w:rPr>
        <w:t>万元的各类授信合同提供连带责任保证。浙江苏宁电</w:t>
      </w:r>
      <w:r>
        <w:rPr>
          <w:spacing w:val="-117"/>
        </w:rPr>
        <w:t> </w:t>
      </w:r>
      <w:r>
        <w:rPr>
          <w:spacing w:val="-4"/>
        </w:rPr>
        <w:t>器有限公司根据上述最高额保证合同及相关主合同开具的承兑汇票等于</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28</w:t>
      </w:r>
      <w:r>
        <w:rPr>
          <w:rFonts w:ascii="Times New Roman" w:hAnsi="Times New Roman" w:cs="Times New Roman" w:eastAsia="Times New Roman" w:hint="default"/>
          <w:spacing w:val="-54"/>
        </w:rPr>
        <w:t> </w:t>
      </w:r>
      <w:r>
        <w:rPr>
          <w:spacing w:val="-3"/>
        </w:rPr>
        <w:t>日到期，已全部归还。公司此项担保解除。</w:t>
      </w:r>
    </w:p>
    <w:p>
      <w:pPr>
        <w:pStyle w:val="BodyText"/>
        <w:spacing w:line="343" w:lineRule="auto" w:before="55"/>
        <w:ind w:right="106" w:firstLine="471"/>
        <w:jc w:val="both"/>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22</w:t>
      </w:r>
      <w:r>
        <w:rPr>
          <w:spacing w:val="-4"/>
        </w:rPr>
        <w:t>日，公司与杭州市商业银行市府大楼支行签订最高额保证合同，为 杭州市商业银行市府大楼支行与浙江苏宁电器有限公司自</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22</w:t>
      </w:r>
      <w:r>
        <w:rPr>
          <w:spacing w:val="-4"/>
        </w:rPr>
        <w:t>日起至</w:t>
      </w:r>
      <w:r>
        <w:rPr>
          <w:rFonts w:ascii="Times New Roman" w:hAnsi="Times New Roman" w:cs="Times New Roman" w:eastAsia="Times New Roman" w:hint="default"/>
          <w:spacing w:val="-4"/>
        </w:rPr>
        <w:t>2007</w:t>
      </w:r>
      <w:r>
        <w:rPr>
          <w:spacing w:val="-4"/>
        </w:rPr>
        <w:t>年</w:t>
      </w:r>
      <w:r>
        <w:rPr>
          <w:spacing w:val="-101"/>
        </w:rPr>
        <w:t> </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22</w:t>
      </w:r>
      <w:r>
        <w:rPr>
          <w:spacing w:val="-5"/>
        </w:rPr>
        <w:t>日期间签订的总余额不超过</w:t>
      </w:r>
      <w:r>
        <w:rPr>
          <w:rFonts w:ascii="Times New Roman" w:hAnsi="Times New Roman" w:cs="Times New Roman" w:eastAsia="Times New Roman" w:hint="default"/>
          <w:spacing w:val="-5"/>
        </w:rPr>
        <w:t>5,000</w:t>
      </w:r>
      <w:r>
        <w:rPr>
          <w:spacing w:val="-5"/>
        </w:rPr>
        <w:t>万元的所有银行融资合同提供连带责任保证。</w:t>
      </w:r>
      <w:r>
        <w:rPr>
          <w:spacing w:val="-84"/>
        </w:rPr>
        <w:t> </w:t>
      </w:r>
      <w:r>
        <w:rPr>
          <w:spacing w:val="-84"/>
        </w:rPr>
      </w:r>
      <w:r>
        <w:rPr>
          <w:spacing w:val="6"/>
        </w:rPr>
        <w:t>浙江苏宁电器有限公司根据上述最高额保证合同及相关主合同办理的银行融资于</w:t>
      </w:r>
      <w:r>
        <w:rPr>
          <w:spacing w:val="6"/>
        </w:rPr>
        <w:t> </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22</w:t>
      </w:r>
      <w:r>
        <w:rPr>
          <w:spacing w:val="-3"/>
        </w:rPr>
        <w:t>日到期，已全部归还。公司此项担保解除。</w:t>
      </w:r>
    </w:p>
    <w:p>
      <w:pPr>
        <w:pStyle w:val="BodyText"/>
        <w:spacing w:line="338" w:lineRule="auto" w:before="21"/>
        <w:ind w:right="157" w:firstLine="471"/>
        <w:jc w:val="both"/>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日，公司与深圳发展银行杭州宝善支行签订最高额保证合同，为深 </w:t>
      </w:r>
      <w:r>
        <w:rPr>
          <w:spacing w:val="-1"/>
        </w:rPr>
        <w:t>圳发展银行杭州宝善支行自</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日起至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日期间提供给浙江苏宁</w:t>
      </w:r>
      <w:r>
        <w:rPr>
          <w:spacing w:val="-117"/>
        </w:rPr>
        <w:t> </w:t>
      </w:r>
      <w:r>
        <w:rPr>
          <w:spacing w:val="-3"/>
        </w:rPr>
        <w:t>电器有限公司最高额</w:t>
      </w:r>
      <w:r>
        <w:rPr>
          <w:rFonts w:ascii="Times New Roman" w:hAnsi="Times New Roman" w:cs="Times New Roman" w:eastAsia="Times New Roman" w:hint="default"/>
          <w:spacing w:val="-3"/>
        </w:rPr>
        <w:t>4,000</w:t>
      </w:r>
      <w:r>
        <w:rPr>
          <w:spacing w:val="-3"/>
        </w:rPr>
        <w:t>万元的综合授信提供连带责任保证。浙江苏宁电器有限公</w:t>
      </w:r>
      <w:r>
        <w:rPr>
          <w:spacing w:val="-113"/>
        </w:rPr>
        <w:t> </w:t>
      </w:r>
      <w:r>
        <w:rPr>
          <w:spacing w:val="-4"/>
        </w:rPr>
        <w:t>司根据上述最高额保证合同及相关主合同开具的承兑汇票于</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日到期，已</w:t>
      </w:r>
      <w:r>
        <w:rPr>
          <w:spacing w:val="-112"/>
        </w:rPr>
        <w:t> </w:t>
      </w:r>
      <w:r>
        <w:rPr/>
        <w:t>全部归还。公司此项担保解除。</w:t>
      </w:r>
    </w:p>
    <w:p>
      <w:pPr>
        <w:pStyle w:val="BodyText"/>
        <w:spacing w:line="338" w:lineRule="auto" w:before="55"/>
        <w:ind w:right="155" w:firstLine="471"/>
        <w:jc w:val="both"/>
      </w:pP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日，公司与中信银行杭州平海支行签订最高额保证合同，为中信银</w:t>
      </w:r>
      <w:r>
        <w:rPr>
          <w:spacing w:val="-4"/>
        </w:rPr>
        <w:t> </w:t>
      </w:r>
      <w:r>
        <w:rPr>
          <w:spacing w:val="-1"/>
        </w:rPr>
        <w:t>行杭州平海支行自</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日起至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日期间提供给浙江苏宁电器有</w:t>
      </w:r>
      <w:r>
        <w:rPr>
          <w:spacing w:val="-114"/>
        </w:rPr>
        <w:t> </w:t>
      </w:r>
      <w:r>
        <w:rPr>
          <w:spacing w:val="-5"/>
        </w:rPr>
        <w:t>限公司最高额</w:t>
      </w:r>
      <w:r>
        <w:rPr>
          <w:rFonts w:ascii="Times New Roman" w:hAnsi="Times New Roman" w:cs="Times New Roman" w:eastAsia="Times New Roman" w:hint="default"/>
          <w:spacing w:val="-5"/>
        </w:rPr>
        <w:t>3,500</w:t>
      </w:r>
      <w:r>
        <w:rPr>
          <w:spacing w:val="-5"/>
        </w:rPr>
        <w:t>万元的各项银行融资提供连带责任保证。</w:t>
      </w:r>
      <w:r>
        <w:rPr/>
      </w:r>
    </w:p>
    <w:p>
      <w:pPr>
        <w:pStyle w:val="BodyText"/>
        <w:spacing w:line="338" w:lineRule="auto" w:before="27"/>
        <w:ind w:right="155" w:firstLine="471"/>
        <w:jc w:val="both"/>
      </w:pP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日，公司与杭州市商业银行市府大楼支行签订最高额保证合同，为</w:t>
      </w:r>
      <w:r>
        <w:rPr/>
        <w:t> </w:t>
      </w:r>
      <w:r>
        <w:rPr>
          <w:spacing w:val="-1"/>
        </w:rPr>
        <w:t>杭州市商业银行市府大楼支行自</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日起至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日期间提供给浙</w:t>
      </w:r>
      <w:r>
        <w:rPr>
          <w:spacing w:val="-116"/>
        </w:rPr>
        <w:t> </w:t>
      </w:r>
      <w:r>
        <w:rPr>
          <w:spacing w:val="-5"/>
        </w:rPr>
        <w:t>江苏宁电器有限公司最高额</w:t>
      </w:r>
      <w:r>
        <w:rPr>
          <w:rFonts w:ascii="Times New Roman" w:hAnsi="Times New Roman" w:cs="Times New Roman" w:eastAsia="Times New Roman" w:hint="default"/>
          <w:spacing w:val="-5"/>
        </w:rPr>
        <w:t>5,000</w:t>
      </w:r>
      <w:r>
        <w:rPr>
          <w:spacing w:val="-5"/>
        </w:rPr>
        <w:t>万元的各项银行融资提供连带责任保证。</w:t>
      </w:r>
      <w:r>
        <w:rPr/>
      </w:r>
    </w:p>
    <w:p>
      <w:pPr>
        <w:pStyle w:val="BodyText"/>
        <w:spacing w:line="338" w:lineRule="auto" w:before="27"/>
        <w:ind w:right="158" w:firstLine="471"/>
        <w:jc w:val="both"/>
      </w:pPr>
      <w:r>
        <w:rPr>
          <w:spacing w:val="-7"/>
        </w:rPr>
        <w:t>（</w:t>
      </w:r>
      <w:r>
        <w:rPr>
          <w:rFonts w:ascii="Times New Roman" w:hAnsi="Times New Roman" w:cs="Times New Roman" w:eastAsia="Times New Roman" w:hint="default"/>
          <w:spacing w:val="-7"/>
        </w:rPr>
        <w:t>8</w:t>
      </w:r>
      <w:r>
        <w:rPr>
          <w:spacing w:val="-7"/>
        </w:rPr>
        <w:t>）</w:t>
      </w:r>
      <w:r>
        <w:rPr>
          <w:rFonts w:ascii="Times New Roman" w:hAnsi="Times New Roman" w:cs="Times New Roman" w:eastAsia="Times New Roman" w:hint="default"/>
          <w:spacing w:val="-7"/>
        </w:rPr>
        <w:t>2006</w:t>
      </w:r>
      <w:r>
        <w:rPr>
          <w:spacing w:val="-7"/>
        </w:rPr>
        <w:t>年</w:t>
      </w:r>
      <w:r>
        <w:rPr>
          <w:rFonts w:ascii="Times New Roman" w:hAnsi="Times New Roman" w:cs="Times New Roman" w:eastAsia="Times New Roman" w:hint="default"/>
          <w:spacing w:val="-7"/>
        </w:rPr>
        <w:t>9</w:t>
      </w:r>
      <w:r>
        <w:rPr>
          <w:spacing w:val="-7"/>
        </w:rPr>
        <w:t>月</w:t>
      </w:r>
      <w:r>
        <w:rPr>
          <w:rFonts w:ascii="Times New Roman" w:hAnsi="Times New Roman" w:cs="Times New Roman" w:eastAsia="Times New Roman" w:hint="default"/>
          <w:spacing w:val="-7"/>
        </w:rPr>
        <w:t>29</w:t>
      </w:r>
      <w:r>
        <w:rPr>
          <w:spacing w:val="-7"/>
        </w:rPr>
        <w:t>日，公司与中信银行上海分行签订保证合同，为中信银行上海</w:t>
      </w:r>
      <w:r>
        <w:rPr>
          <w:spacing w:val="-4"/>
        </w:rPr>
        <w:t> </w:t>
      </w:r>
      <w:r>
        <w:rPr>
          <w:spacing w:val="-3"/>
        </w:rPr>
        <w:t>分行提供给上海苏宁电器有限公司自</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29</w:t>
      </w:r>
      <w:r>
        <w:rPr>
          <w:spacing w:val="-3"/>
        </w:rPr>
        <w:t>日起至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日的</w:t>
      </w:r>
      <w:r>
        <w:rPr>
          <w:rFonts w:ascii="Times New Roman" w:hAnsi="Times New Roman" w:cs="Times New Roman" w:eastAsia="Times New Roman" w:hint="default"/>
          <w:spacing w:val="-3"/>
        </w:rPr>
        <w:t>1,878</w:t>
      </w:r>
      <w:r>
        <w:rPr>
          <w:spacing w:val="-3"/>
        </w:rPr>
        <w:t>万元</w:t>
      </w:r>
      <w:r>
        <w:rPr>
          <w:spacing w:val="-92"/>
        </w:rPr>
        <w:t> </w:t>
      </w:r>
      <w:r>
        <w:rPr>
          <w:spacing w:val="-4"/>
        </w:rPr>
        <w:t>银行承兑汇票提供连带责任保证。上述承兑汇票到期日为</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29</w:t>
      </w:r>
      <w:r>
        <w:rPr>
          <w:spacing w:val="-4"/>
        </w:rPr>
        <w:t>日，上海苏宁</w:t>
      </w:r>
      <w:r>
        <w:rPr>
          <w:spacing w:val="-117"/>
        </w:rPr>
        <w:t> </w:t>
      </w:r>
      <w:r>
        <w:rPr>
          <w:spacing w:val="-3"/>
        </w:rPr>
        <w:t>电器有限公司已全部归还。公司此项担保解除。</w:t>
      </w:r>
    </w:p>
    <w:p>
      <w:pPr>
        <w:pStyle w:val="BodyText"/>
        <w:spacing w:line="240" w:lineRule="auto" w:before="55"/>
        <w:ind w:left="615" w:right="0"/>
        <w:jc w:val="left"/>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29</w:t>
      </w:r>
      <w:r>
        <w:rPr>
          <w:spacing w:val="-4"/>
        </w:rPr>
        <w:t>日，公司于中信银行上海分行签订保证合同，为中信银行上海分行</w:t>
      </w:r>
      <w:r>
        <w:rPr/>
      </w:r>
    </w:p>
    <w:p>
      <w:pPr>
        <w:spacing w:after="0" w:line="240" w:lineRule="auto"/>
        <w:jc w:val="left"/>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338" w:lineRule="auto" w:before="26"/>
        <w:ind w:right="219"/>
        <w:jc w:val="both"/>
      </w:pPr>
      <w:r>
        <w:rPr>
          <w:spacing w:val="-3"/>
        </w:rPr>
        <w:t>提供给上海苏宁电器有限公司自</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29</w:t>
      </w:r>
      <w:r>
        <w:rPr>
          <w:spacing w:val="-3"/>
        </w:rPr>
        <w:t>日至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日的</w:t>
      </w:r>
      <w:r>
        <w:rPr>
          <w:rFonts w:ascii="Times New Roman" w:hAnsi="Times New Roman" w:cs="Times New Roman" w:eastAsia="Times New Roman" w:hint="default"/>
          <w:spacing w:val="-3"/>
        </w:rPr>
        <w:t>5,264</w:t>
      </w:r>
      <w:r>
        <w:rPr>
          <w:spacing w:val="-3"/>
        </w:rPr>
        <w:t>万元银行承</w:t>
      </w:r>
      <w:r>
        <w:rPr>
          <w:spacing w:val="-89"/>
        </w:rPr>
        <w:t> </w:t>
      </w:r>
      <w:r>
        <w:rPr>
          <w:spacing w:val="-4"/>
        </w:rPr>
        <w:t>兑汇票提供连带责任担保。上述承兑汇票到期日为</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29</w:t>
      </w:r>
      <w:r>
        <w:rPr>
          <w:spacing w:val="-4"/>
        </w:rPr>
        <w:t>日，上海苏宁电器有</w:t>
      </w:r>
      <w:r>
        <w:rPr>
          <w:spacing w:val="-5"/>
        </w:rPr>
        <w:t> </w:t>
      </w:r>
      <w:r>
        <w:rPr>
          <w:spacing w:val="-3"/>
        </w:rPr>
        <w:t>限公司已全部归还。公司此项担保解除。</w:t>
      </w:r>
    </w:p>
    <w:p>
      <w:pPr>
        <w:pStyle w:val="BodyText"/>
        <w:spacing w:line="338" w:lineRule="auto" w:before="55"/>
        <w:ind w:right="217" w:firstLine="471"/>
        <w:jc w:val="both"/>
      </w:pPr>
      <w:r>
        <w:rPr>
          <w:rFonts w:ascii="Times New Roman" w:hAnsi="Times New Roman" w:cs="Times New Roman" w:eastAsia="Times New Roman" w:hint="default"/>
          <w:spacing w:val="-8"/>
        </w:rPr>
        <w:t>2006</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26</w:t>
      </w:r>
      <w:r>
        <w:rPr>
          <w:spacing w:val="-8"/>
        </w:rPr>
        <w:t>日，公司与交通银行股份有限公司上海浦东分行签订了最高额保证</w:t>
      </w:r>
      <w:r>
        <w:rPr>
          <w:spacing w:val="-4"/>
        </w:rPr>
        <w:t> 合同，为上海苏宁电器有限公司自</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26</w:t>
      </w:r>
      <w:r>
        <w:rPr>
          <w:spacing w:val="-4"/>
        </w:rPr>
        <w:t>日起至</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21</w:t>
      </w:r>
      <w:r>
        <w:rPr>
          <w:spacing w:val="-4"/>
        </w:rPr>
        <w:t>日期间签订的银</w:t>
      </w:r>
      <w:r>
        <w:rPr>
          <w:spacing w:val="-101"/>
        </w:rPr>
        <w:t> </w:t>
      </w:r>
      <w:r>
        <w:rPr>
          <w:spacing w:val="-6"/>
        </w:rPr>
        <w:t>行承兑汇票提供最高额为</w:t>
      </w:r>
      <w:r>
        <w:rPr>
          <w:rFonts w:ascii="Times New Roman" w:hAnsi="Times New Roman" w:cs="Times New Roman" w:eastAsia="Times New Roman" w:hint="default"/>
          <w:spacing w:val="-6"/>
        </w:rPr>
        <w:t>9,800</w:t>
      </w:r>
      <w:r>
        <w:rPr>
          <w:spacing w:val="-6"/>
        </w:rPr>
        <w:t>万元连带责任担保。上述承兑汇票到期日为</w:t>
      </w:r>
      <w:r>
        <w:rPr>
          <w:rFonts w:ascii="Times New Roman" w:hAnsi="Times New Roman" w:cs="Times New Roman" w:eastAsia="Times New Roman" w:hint="default"/>
          <w:spacing w:val="-6"/>
        </w:rPr>
        <w:t>2007</w:t>
      </w:r>
      <w:r>
        <w:rPr>
          <w:spacing w:val="-6"/>
        </w:rPr>
        <w:t>年</w:t>
      </w:r>
      <w:r>
        <w:rPr>
          <w:rFonts w:ascii="Times New Roman" w:hAnsi="Times New Roman" w:cs="Times New Roman" w:eastAsia="Times New Roman" w:hint="default"/>
          <w:spacing w:val="-6"/>
        </w:rPr>
        <w:t>9</w:t>
      </w:r>
      <w:r>
        <w:rPr>
          <w:spacing w:val="-6"/>
        </w:rPr>
        <w:t>月</w:t>
      </w:r>
      <w:r>
        <w:rPr>
          <w:spacing w:val="-91"/>
        </w:rPr>
        <w:t> </w:t>
      </w:r>
      <w:r>
        <w:rPr>
          <w:rFonts w:ascii="Times New Roman" w:hAnsi="Times New Roman" w:cs="Times New Roman" w:eastAsia="Times New Roman" w:hint="default"/>
          <w:spacing w:val="-3"/>
        </w:rPr>
        <w:t>28</w:t>
      </w:r>
      <w:r>
        <w:rPr>
          <w:spacing w:val="-3"/>
        </w:rPr>
        <w:t>日，上海苏宁电器有限公司已全部归还。公司此项担保解除。</w:t>
      </w:r>
    </w:p>
    <w:p>
      <w:pPr>
        <w:pStyle w:val="BodyText"/>
        <w:spacing w:line="338" w:lineRule="auto" w:before="27"/>
        <w:ind w:right="221" w:firstLine="471"/>
        <w:jc w:val="both"/>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24</w:t>
      </w:r>
      <w:r>
        <w:rPr>
          <w:spacing w:val="-4"/>
        </w:rPr>
        <w:t>日，公司与中国民生银行股份有限公司上海分行签订最高额保证合 </w:t>
      </w:r>
      <w:r>
        <w:rPr>
          <w:spacing w:val="-7"/>
        </w:rPr>
        <w:t>同，为上海苏宁电器有限公司自</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24</w:t>
      </w:r>
      <w:r>
        <w:rPr>
          <w:spacing w:val="-7"/>
        </w:rPr>
        <w:t>日至</w:t>
      </w:r>
      <w:r>
        <w:rPr>
          <w:rFonts w:ascii="Times New Roman" w:hAnsi="Times New Roman" w:cs="Times New Roman" w:eastAsia="Times New Roman" w:hint="default"/>
          <w:spacing w:val="-7"/>
        </w:rPr>
        <w:t>2008</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23</w:t>
      </w:r>
      <w:r>
        <w:rPr>
          <w:spacing w:val="-7"/>
        </w:rPr>
        <w:t>日期间的银行授信提供</w:t>
      </w:r>
      <w:r>
        <w:rPr>
          <w:spacing w:val="-88"/>
        </w:rPr>
        <w:t> </w:t>
      </w:r>
      <w:r>
        <w:rPr>
          <w:spacing w:val="-5"/>
        </w:rPr>
        <w:t>连带责任担保，最高额度为</w:t>
      </w:r>
      <w:r>
        <w:rPr>
          <w:rFonts w:ascii="Times New Roman" w:hAnsi="Times New Roman" w:cs="Times New Roman" w:eastAsia="Times New Roman" w:hint="default"/>
          <w:spacing w:val="-5"/>
        </w:rPr>
        <w:t>5,000</w:t>
      </w:r>
      <w:r>
        <w:rPr>
          <w:spacing w:val="-5"/>
        </w:rPr>
        <w:t>万元。</w:t>
      </w:r>
      <w:r>
        <w:rPr/>
      </w:r>
    </w:p>
    <w:p>
      <w:pPr>
        <w:pStyle w:val="BodyText"/>
        <w:spacing w:line="338" w:lineRule="auto" w:before="27"/>
        <w:ind w:right="87" w:firstLine="471"/>
        <w:jc w:val="left"/>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26</w:t>
      </w:r>
      <w:r>
        <w:rPr>
          <w:spacing w:val="-4"/>
        </w:rPr>
        <w:t>日，公司与中信银行上海分行签订了最高额保证合同，为中信银行 </w:t>
      </w:r>
      <w:r>
        <w:rPr>
          <w:spacing w:val="7"/>
        </w:rPr>
        <w:t>上海分行提供给上海苏宁电器有限公司自</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26</w:t>
      </w:r>
      <w:r>
        <w:rPr>
          <w:spacing w:val="7"/>
        </w:rPr>
        <w:t>日起至</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26</w:t>
      </w:r>
      <w:r>
        <w:rPr>
          <w:spacing w:val="7"/>
        </w:rPr>
        <w:t>日的</w:t>
      </w:r>
      <w:r>
        <w:rPr>
          <w:spacing w:val="-92"/>
        </w:rPr>
        <w:t> </w:t>
      </w:r>
      <w:r>
        <w:rPr>
          <w:rFonts w:ascii="Times New Roman" w:hAnsi="Times New Roman" w:cs="Times New Roman" w:eastAsia="Times New Roman" w:hint="default"/>
          <w:spacing w:val="-6"/>
        </w:rPr>
        <w:t>7,142</w:t>
      </w:r>
      <w:r>
        <w:rPr>
          <w:spacing w:val="-6"/>
        </w:rPr>
        <w:t>万元银行承兑汇票提供连带责任担保。上述承兑汇票到期日为</w:t>
      </w:r>
      <w:r>
        <w:rPr>
          <w:rFonts w:ascii="Times New Roman" w:hAnsi="Times New Roman" w:cs="Times New Roman" w:eastAsia="Times New Roman" w:hint="default"/>
          <w:spacing w:val="-6"/>
        </w:rPr>
        <w:t>2007</w:t>
      </w:r>
      <w:r>
        <w:rPr>
          <w:spacing w:val="-6"/>
        </w:rPr>
        <w:t>年</w:t>
      </w:r>
      <w:r>
        <w:rPr>
          <w:rFonts w:ascii="Times New Roman" w:hAnsi="Times New Roman" w:cs="Times New Roman" w:eastAsia="Times New Roman" w:hint="default"/>
          <w:spacing w:val="-6"/>
        </w:rPr>
        <w:t>10</w:t>
      </w:r>
      <w:r>
        <w:rPr>
          <w:spacing w:val="-6"/>
        </w:rPr>
        <w:t>月</w:t>
      </w:r>
      <w:r>
        <w:rPr>
          <w:rFonts w:ascii="Times New Roman" w:hAnsi="Times New Roman" w:cs="Times New Roman" w:eastAsia="Times New Roman" w:hint="default"/>
          <w:spacing w:val="-6"/>
        </w:rPr>
        <w:t>26</w:t>
      </w:r>
      <w:r>
        <w:rPr>
          <w:spacing w:val="-6"/>
        </w:rPr>
        <w:t>日，</w:t>
      </w:r>
      <w:r>
        <w:rPr>
          <w:spacing w:val="-81"/>
        </w:rPr>
        <w:t> </w:t>
      </w:r>
      <w:r>
        <w:rPr>
          <w:spacing w:val="-3"/>
        </w:rPr>
        <w:t>上海苏宁电器有限公司已全部归还。公司此项担保解除。</w:t>
      </w:r>
    </w:p>
    <w:p>
      <w:pPr>
        <w:pStyle w:val="BodyText"/>
        <w:spacing w:line="338" w:lineRule="auto" w:before="55"/>
        <w:ind w:right="220" w:firstLine="471"/>
        <w:jc w:val="both"/>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21</w:t>
      </w:r>
      <w:r>
        <w:rPr>
          <w:spacing w:val="-4"/>
        </w:rPr>
        <w:t>日，公司与招商银行股份有限公司上海分行兰溪支行签订了最高额 </w:t>
      </w:r>
      <w:r>
        <w:rPr>
          <w:spacing w:val="-7"/>
        </w:rPr>
        <w:t>不可撤销担保书，公司为上海苏宁电器有限公司自</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25</w:t>
      </w:r>
      <w:r>
        <w:rPr>
          <w:spacing w:val="-7"/>
        </w:rPr>
        <w:t>日至</w:t>
      </w:r>
      <w:r>
        <w:rPr>
          <w:rFonts w:ascii="Times New Roman" w:hAnsi="Times New Roman" w:cs="Times New Roman" w:eastAsia="Times New Roman" w:hint="default"/>
          <w:spacing w:val="-7"/>
        </w:rPr>
        <w:t>2008</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24</w:t>
      </w:r>
      <w:r>
        <w:rPr>
          <w:spacing w:val="-7"/>
        </w:rPr>
        <w:t>日期</w:t>
      </w:r>
      <w:r>
        <w:rPr>
          <w:spacing w:val="-102"/>
        </w:rPr>
        <w:t> </w:t>
      </w:r>
      <w:r>
        <w:rPr>
          <w:spacing w:val="-5"/>
        </w:rPr>
        <w:t>间的银行授信提供连带责任担保，最高额度为</w:t>
      </w:r>
      <w:r>
        <w:rPr>
          <w:rFonts w:ascii="Times New Roman" w:hAnsi="Times New Roman" w:cs="Times New Roman" w:eastAsia="Times New Roman" w:hint="default"/>
          <w:spacing w:val="-5"/>
        </w:rPr>
        <w:t>10,000</w:t>
      </w:r>
      <w:r>
        <w:rPr>
          <w:spacing w:val="-5"/>
        </w:rPr>
        <w:t>万元。</w:t>
      </w:r>
      <w:r>
        <w:rPr/>
      </w:r>
    </w:p>
    <w:p>
      <w:pPr>
        <w:pStyle w:val="BodyText"/>
        <w:spacing w:line="338" w:lineRule="auto" w:before="27"/>
        <w:ind w:right="220" w:firstLine="471"/>
        <w:jc w:val="both"/>
      </w:pPr>
      <w:r>
        <w:rPr>
          <w:spacing w:val="-4"/>
        </w:rPr>
        <w:t>（</w:t>
      </w: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13</w:t>
      </w:r>
      <w:r>
        <w:rPr>
          <w:spacing w:val="-4"/>
        </w:rPr>
        <w:t>日，公司与交通银行股份有限公司沈阳南塔支行签订最高额 </w:t>
      </w:r>
      <w:r>
        <w:rPr>
          <w:spacing w:val="-2"/>
        </w:rPr>
        <w:t>保证合同，为交通银行股份有限公司沈阳南塔支行自</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日起至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9"/>
        </w:rPr>
        <w:t> </w:t>
      </w:r>
      <w:r>
        <w:rPr>
          <w:spacing w:val="-3"/>
        </w:rPr>
        <w:t>月</w:t>
      </w:r>
      <w:r>
        <w:rPr>
          <w:rFonts w:ascii="Times New Roman" w:hAnsi="Times New Roman" w:cs="Times New Roman" w:eastAsia="Times New Roman" w:hint="default"/>
          <w:spacing w:val="-3"/>
        </w:rPr>
        <w:t>28</w:t>
      </w:r>
      <w:r>
        <w:rPr>
          <w:spacing w:val="-3"/>
        </w:rPr>
        <w:t>日期间提供给沈阳苏宁电器有限公司最高额</w:t>
      </w:r>
      <w:r>
        <w:rPr>
          <w:rFonts w:ascii="Times New Roman" w:hAnsi="Times New Roman" w:cs="Times New Roman" w:eastAsia="Times New Roman" w:hint="default"/>
          <w:spacing w:val="-3"/>
        </w:rPr>
        <w:t>3,300</w:t>
      </w:r>
      <w:r>
        <w:rPr>
          <w:spacing w:val="-3"/>
        </w:rPr>
        <w:t>万元的综合授信提供连带责任</w:t>
      </w:r>
      <w:r>
        <w:rPr>
          <w:spacing w:val="-114"/>
        </w:rPr>
        <w:t> </w:t>
      </w:r>
      <w:r>
        <w:rPr>
          <w:spacing w:val="-4"/>
        </w:rPr>
        <w:t>保证。截至</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日，上述承兑汇票尚未到期。</w:t>
      </w:r>
      <w:r>
        <w:rPr/>
      </w:r>
    </w:p>
    <w:p>
      <w:pPr>
        <w:pStyle w:val="BodyText"/>
        <w:spacing w:line="338" w:lineRule="auto" w:before="27"/>
        <w:ind w:right="221" w:firstLine="471"/>
        <w:jc w:val="both"/>
      </w:pPr>
      <w:r>
        <w:rPr>
          <w:spacing w:val="-7"/>
        </w:rPr>
        <w:t>（</w:t>
      </w:r>
      <w:r>
        <w:rPr>
          <w:rFonts w:ascii="Times New Roman" w:hAnsi="Times New Roman" w:cs="Times New Roman" w:eastAsia="Times New Roman" w:hint="default"/>
          <w:spacing w:val="-7"/>
        </w:rPr>
        <w:t>10</w:t>
      </w:r>
      <w:r>
        <w:rPr>
          <w:spacing w:val="-7"/>
        </w:rPr>
        <w:t>）</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5</w:t>
      </w:r>
      <w:r>
        <w:rPr>
          <w:spacing w:val="-7"/>
        </w:rPr>
        <w:t>日，公司与交通银行股份有限公司长沙分行府中支行签订了最</w:t>
      </w:r>
      <w:r>
        <w:rPr>
          <w:spacing w:val="-4"/>
        </w:rPr>
        <w:t> </w:t>
      </w:r>
      <w:r>
        <w:rPr>
          <w:spacing w:val="-7"/>
        </w:rPr>
        <w:t>高额保证合同，为湖南苏宁电器有限公司自</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6</w:t>
      </w:r>
      <w:r>
        <w:rPr>
          <w:spacing w:val="-7"/>
        </w:rPr>
        <w:t>日起至</w:t>
      </w:r>
      <w:r>
        <w:rPr>
          <w:rFonts w:ascii="Times New Roman" w:hAnsi="Times New Roman" w:cs="Times New Roman" w:eastAsia="Times New Roman" w:hint="default"/>
          <w:spacing w:val="-7"/>
        </w:rPr>
        <w:t>2008</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6</w:t>
      </w:r>
      <w:r>
        <w:rPr>
          <w:spacing w:val="-7"/>
        </w:rPr>
        <w:t>日期间的银</w:t>
      </w:r>
      <w:r>
        <w:rPr>
          <w:spacing w:val="-100"/>
        </w:rPr>
        <w:t> </w:t>
      </w:r>
      <w:r>
        <w:rPr>
          <w:spacing w:val="-4"/>
        </w:rPr>
        <w:t>行承兑汇票提供连带责任保证，最高额度为</w:t>
      </w:r>
      <w:r>
        <w:rPr>
          <w:rFonts w:ascii="Times New Roman" w:hAnsi="Times New Roman" w:cs="Times New Roman" w:eastAsia="Times New Roman" w:hint="default"/>
          <w:spacing w:val="-4"/>
        </w:rPr>
        <w:t>3,600</w:t>
      </w:r>
      <w:r>
        <w:rPr>
          <w:spacing w:val="-4"/>
        </w:rPr>
        <w:t>万元。</w:t>
      </w:r>
      <w:r>
        <w:rPr/>
      </w:r>
    </w:p>
    <w:p>
      <w:pPr>
        <w:pStyle w:val="BodyText"/>
        <w:spacing w:line="338" w:lineRule="auto" w:before="27"/>
        <w:ind w:right="221" w:firstLine="471"/>
        <w:jc w:val="both"/>
      </w:pPr>
      <w:r>
        <w:rPr>
          <w:spacing w:val="-4"/>
        </w:rPr>
        <w:t>（</w:t>
      </w:r>
      <w:r>
        <w:rPr>
          <w:rFonts w:ascii="Times New Roman" w:hAnsi="Times New Roman" w:cs="Times New Roman" w:eastAsia="Times New Roman" w:hint="default"/>
          <w:spacing w:val="-4"/>
        </w:rPr>
        <w:t>11</w:t>
      </w:r>
      <w:r>
        <w:rPr>
          <w:spacing w:val="-4"/>
        </w:rPr>
        <w:t>）</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18</w:t>
      </w:r>
      <w:r>
        <w:rPr>
          <w:spacing w:val="-4"/>
        </w:rPr>
        <w:t>日，公司与中国民生银行股份有限公司广州分行签订了最高 额保证合同，公司为广东苏宁电器有限公司自</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23</w:t>
      </w:r>
      <w:r>
        <w:rPr>
          <w:spacing w:val="-4"/>
        </w:rPr>
        <w:t>日起至</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6</w:t>
      </w:r>
      <w:r>
        <w:rPr>
          <w:spacing w:val="-4"/>
        </w:rPr>
        <w:t>日期间</w:t>
      </w:r>
      <w:r>
        <w:rPr>
          <w:spacing w:val="-111"/>
        </w:rPr>
        <w:t> </w:t>
      </w:r>
      <w:r>
        <w:rPr>
          <w:spacing w:val="-111"/>
        </w:rPr>
      </w:r>
      <w:r>
        <w:rPr>
          <w:spacing w:val="-4"/>
        </w:rPr>
        <w:t>的银行授信提供连带责任保证，最高额度为</w:t>
      </w:r>
      <w:r>
        <w:rPr>
          <w:rFonts w:ascii="Times New Roman" w:hAnsi="Times New Roman" w:cs="Times New Roman" w:eastAsia="Times New Roman" w:hint="default"/>
          <w:spacing w:val="-4"/>
        </w:rPr>
        <w:t>3,000</w:t>
      </w:r>
      <w:r>
        <w:rPr>
          <w:spacing w:val="-4"/>
        </w:rPr>
        <w:t>万元。</w:t>
      </w:r>
      <w:r>
        <w:rPr/>
      </w:r>
    </w:p>
    <w:p>
      <w:pPr>
        <w:pStyle w:val="BodyText"/>
        <w:spacing w:line="338" w:lineRule="auto" w:before="27"/>
        <w:ind w:right="217" w:firstLine="471"/>
        <w:jc w:val="both"/>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24</w:t>
      </w:r>
      <w:r>
        <w:rPr>
          <w:spacing w:val="-4"/>
        </w:rPr>
        <w:t>日，公司与上海浦东发展银行广州分行解放路支行签订了最高额保 </w:t>
      </w:r>
      <w:r>
        <w:rPr>
          <w:spacing w:val="-1"/>
        </w:rPr>
        <w:t>证合同，为广东苏宁电器有限公司自</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日起至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日期间的银行</w:t>
      </w:r>
      <w:r>
        <w:rPr>
          <w:spacing w:val="-114"/>
        </w:rPr>
        <w:t> </w:t>
      </w:r>
      <w:r>
        <w:rPr>
          <w:spacing w:val="-114"/>
        </w:rPr>
      </w:r>
      <w:r>
        <w:rPr>
          <w:spacing w:val="-5"/>
        </w:rPr>
        <w:t>授信提供连带责任保证，最高额度为</w:t>
      </w:r>
      <w:r>
        <w:rPr>
          <w:rFonts w:ascii="Times New Roman" w:hAnsi="Times New Roman" w:cs="Times New Roman" w:eastAsia="Times New Roman" w:hint="default"/>
          <w:spacing w:val="-5"/>
        </w:rPr>
        <w:t>5,000</w:t>
      </w:r>
      <w:r>
        <w:rPr>
          <w:spacing w:val="-5"/>
        </w:rPr>
        <w:t>万元。</w:t>
      </w:r>
      <w:r>
        <w:rPr/>
      </w:r>
    </w:p>
    <w:p>
      <w:pPr>
        <w:spacing w:after="0" w:line="338"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38" w:lineRule="auto" w:before="26"/>
        <w:ind w:right="217" w:firstLine="471"/>
        <w:jc w:val="both"/>
      </w:pPr>
      <w:r>
        <w:rPr>
          <w:spacing w:val="-4"/>
        </w:rPr>
        <w:t>（</w:t>
      </w:r>
      <w:r>
        <w:rPr>
          <w:rFonts w:ascii="Times New Roman" w:hAnsi="Times New Roman" w:cs="Times New Roman" w:eastAsia="Times New Roman" w:hint="default"/>
          <w:spacing w:val="-4"/>
        </w:rPr>
        <w:t>12</w:t>
      </w:r>
      <w:r>
        <w:rPr>
          <w:spacing w:val="-4"/>
        </w:rPr>
        <w:t>）</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26</w:t>
      </w:r>
      <w:r>
        <w:rPr>
          <w:spacing w:val="-4"/>
        </w:rPr>
        <w:t>日，公司与交通银行合肥分行签订最高额保证合同，为安徽 </w:t>
      </w:r>
      <w:r>
        <w:rPr>
          <w:spacing w:val="-2"/>
        </w:rPr>
        <w:t>苏宁电器有限公司自</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日起至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日期间的银行承兑汇票提供连</w:t>
      </w:r>
      <w:r>
        <w:rPr>
          <w:spacing w:val="-79"/>
        </w:rPr>
        <w:t> </w:t>
      </w:r>
      <w:r>
        <w:rPr>
          <w:spacing w:val="-5"/>
        </w:rPr>
        <w:t>带责任保证，最高额度为</w:t>
      </w:r>
      <w:r>
        <w:rPr>
          <w:rFonts w:ascii="Times New Roman" w:hAnsi="Times New Roman" w:cs="Times New Roman" w:eastAsia="Times New Roman" w:hint="default"/>
          <w:spacing w:val="-5"/>
        </w:rPr>
        <w:t>3,000</w:t>
      </w:r>
      <w:r>
        <w:rPr>
          <w:spacing w:val="-5"/>
        </w:rPr>
        <w:t>万元。</w:t>
      </w:r>
      <w:r>
        <w:rPr/>
      </w:r>
    </w:p>
    <w:p>
      <w:pPr>
        <w:pStyle w:val="BodyText"/>
        <w:spacing w:line="338" w:lineRule="auto" w:before="27"/>
        <w:ind w:right="215" w:firstLine="480"/>
        <w:jc w:val="both"/>
      </w:pPr>
      <w:r>
        <w:rPr>
          <w:rFonts w:ascii="Times New Roman" w:hAnsi="Times New Roman" w:cs="Times New Roman" w:eastAsia="Times New Roman" w:hint="default"/>
          <w:spacing w:val="-3"/>
        </w:rPr>
        <w:t>3</w:t>
      </w:r>
      <w:r>
        <w:rPr>
          <w:spacing w:val="-3"/>
        </w:rPr>
        <w:t>、截至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日，董事会审议批准公司可对外担保累计数量为</w:t>
      </w:r>
      <w:r>
        <w:rPr>
          <w:rFonts w:ascii="Times New Roman" w:hAnsi="Times New Roman" w:cs="Times New Roman" w:eastAsia="Times New Roman" w:hint="default"/>
          <w:spacing w:val="-3"/>
        </w:rPr>
        <w:t>91,205</w:t>
      </w:r>
      <w:r>
        <w:rPr>
          <w:spacing w:val="-3"/>
        </w:rPr>
        <w:t>万</w:t>
      </w:r>
      <w:r>
        <w:rPr/>
        <w:t> </w:t>
      </w:r>
      <w:r>
        <w:rPr>
          <w:spacing w:val="-2"/>
        </w:rPr>
        <w:t>元，全部为对控股子公司的担保，占公司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日经审计净资产的</w:t>
      </w:r>
      <w:r>
        <w:rPr>
          <w:rFonts w:ascii="Times New Roman" w:hAnsi="Times New Roman" w:cs="Times New Roman" w:eastAsia="Times New Roman" w:hint="default"/>
          <w:spacing w:val="-2"/>
        </w:rPr>
        <w:t>19.73%</w:t>
      </w:r>
      <w:r>
        <w:rPr>
          <w:spacing w:val="-2"/>
        </w:rPr>
        <w:t>；</w:t>
      </w:r>
      <w:r>
        <w:rPr>
          <w:spacing w:val="-89"/>
        </w:rPr>
        <w:t> </w:t>
      </w:r>
      <w:r>
        <w:rPr>
          <w:spacing w:val="-6"/>
        </w:rPr>
        <w:t>公司实际为控股子公司提供的尚未履行完毕的担保总额为</w:t>
      </w:r>
      <w:r>
        <w:rPr>
          <w:rFonts w:ascii="Times New Roman" w:hAnsi="Times New Roman" w:cs="Times New Roman" w:eastAsia="Times New Roman" w:hint="default"/>
          <w:spacing w:val="-6"/>
        </w:rPr>
        <w:t>69,005</w:t>
      </w:r>
      <w:r>
        <w:rPr>
          <w:spacing w:val="-6"/>
        </w:rPr>
        <w:t>万元，占公司</w:t>
      </w:r>
      <w:r>
        <w:rPr>
          <w:rFonts w:ascii="Times New Roman" w:hAnsi="Times New Roman" w:cs="Times New Roman" w:eastAsia="Times New Roman" w:hint="default"/>
          <w:spacing w:val="-6"/>
        </w:rPr>
        <w:t>2007</w:t>
      </w:r>
      <w:r>
        <w:rPr>
          <w:spacing w:val="-6"/>
        </w:rPr>
        <w:t>年</w:t>
      </w:r>
      <w:r>
        <w:rPr>
          <w:spacing w:val="-98"/>
        </w:rPr>
        <w:t> </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日经审计净资产的</w:t>
      </w:r>
      <w:r>
        <w:rPr>
          <w:rFonts w:ascii="Times New Roman" w:hAnsi="Times New Roman" w:cs="Times New Roman" w:eastAsia="Times New Roman" w:hint="default"/>
          <w:spacing w:val="-4"/>
        </w:rPr>
        <w:t>14.92%</w:t>
      </w:r>
      <w:r>
        <w:rPr>
          <w:spacing w:val="-4"/>
        </w:rPr>
        <w:t>；</w:t>
      </w:r>
    </w:p>
    <w:p>
      <w:pPr>
        <w:pStyle w:val="BodyText"/>
        <w:spacing w:line="357" w:lineRule="auto" w:before="27"/>
        <w:ind w:right="221" w:firstLine="471"/>
        <w:jc w:val="both"/>
      </w:pPr>
      <w:r>
        <w:rPr>
          <w:spacing w:val="-8"/>
        </w:rPr>
        <w:t>报告期内，公司控股子公司未发生对外担保的情况，本公司及控股子公司亦未发</w:t>
      </w:r>
      <w:r>
        <w:rPr>
          <w:spacing w:val="-4"/>
        </w:rPr>
        <w:t> </w:t>
      </w:r>
      <w:r>
        <w:rPr>
          <w:spacing w:val="-5"/>
        </w:rPr>
        <w:t>生逾期对外担保的情况。</w:t>
      </w:r>
      <w:r>
        <w:rPr/>
      </w:r>
    </w:p>
    <w:p>
      <w:pPr>
        <w:spacing w:line="240" w:lineRule="auto" w:before="0"/>
        <w:rPr>
          <w:rFonts w:ascii="宋体" w:hAnsi="宋体" w:cs="宋体" w:eastAsia="宋体" w:hint="default"/>
          <w:sz w:val="24"/>
          <w:szCs w:val="24"/>
        </w:rPr>
      </w:pPr>
    </w:p>
    <w:p>
      <w:pPr>
        <w:pStyle w:val="BodyText"/>
        <w:spacing w:line="338" w:lineRule="auto" w:before="190"/>
        <w:ind w:left="623" w:right="87"/>
        <w:jc w:val="left"/>
      </w:pPr>
      <w:r>
        <w:rPr/>
        <w:t>五、公司或持股</w:t>
      </w:r>
      <w:r>
        <w:rPr>
          <w:spacing w:val="-60"/>
        </w:rPr>
        <w:t> </w:t>
      </w:r>
      <w:r>
        <w:rPr>
          <w:rFonts w:ascii="Times New Roman" w:hAnsi="Times New Roman" w:cs="Times New Roman" w:eastAsia="Times New Roman" w:hint="default"/>
        </w:rPr>
        <w:t>5</w:t>
      </w:r>
      <w:r>
        <w:rPr/>
        <w:t>％以上股东的承诺事项 </w:t>
      </w:r>
      <w:r>
        <w:rPr>
          <w:rFonts w:ascii="Times New Roman" w:hAnsi="Times New Roman" w:cs="Times New Roman" w:eastAsia="Times New Roman" w:hint="default"/>
          <w:spacing w:val="2"/>
        </w:rPr>
        <w:t>1</w:t>
      </w:r>
      <w:r>
        <w:rPr>
          <w:spacing w:val="2"/>
        </w:rPr>
        <w:t>、为避免同业竞争损害本公司及其他股东的利益，公司股东张近东先生、江</w:t>
      </w:r>
      <w:r>
        <w:rPr/>
      </w:r>
    </w:p>
    <w:p>
      <w:pPr>
        <w:pStyle w:val="BodyText"/>
        <w:spacing w:line="338" w:lineRule="auto" w:before="27"/>
        <w:ind w:right="87"/>
        <w:jc w:val="left"/>
      </w:pPr>
      <w:r>
        <w:rPr>
          <w:spacing w:val="-1"/>
        </w:rPr>
        <w:t>苏苏宁电器有限公司、陈金凤、赵蓓已于</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15</w:t>
      </w:r>
      <w:r>
        <w:rPr>
          <w:spacing w:val="-1"/>
        </w:rPr>
        <w:t>日分别向公司出具《不竞争</w:t>
      </w:r>
      <w:r>
        <w:rPr>
          <w:spacing w:val="-104"/>
        </w:rPr>
        <w:t> </w:t>
      </w:r>
      <w:r>
        <w:rPr>
          <w:spacing w:val="-104"/>
        </w:rPr>
      </w:r>
      <w:r>
        <w:rPr>
          <w:spacing w:val="-4"/>
        </w:rPr>
        <w:t>承诺函》。报告期内，上述股东信守承诺，没有发生与公司同业竞争的行为。</w:t>
      </w:r>
    </w:p>
    <w:p>
      <w:pPr>
        <w:pStyle w:val="BodyText"/>
        <w:spacing w:line="338" w:lineRule="auto" w:before="55"/>
        <w:ind w:right="221" w:firstLine="480"/>
        <w:jc w:val="both"/>
      </w:pPr>
      <w:r>
        <w:rPr>
          <w:spacing w:val="-1"/>
        </w:rPr>
        <w:t>江苏苏宁电器有限公司</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6</w:t>
      </w:r>
      <w:r>
        <w:rPr>
          <w:spacing w:val="-1"/>
        </w:rPr>
        <w:t>日出具过承诺函，保证今后避免发生除正常</w:t>
      </w:r>
      <w:r>
        <w:rPr/>
        <w:t> 业务外的一切资金往来，在报告期内，江苏苏宁电器有限公司执行了承诺。</w:t>
      </w:r>
    </w:p>
    <w:p>
      <w:pPr>
        <w:pStyle w:val="BodyText"/>
        <w:spacing w:line="240" w:lineRule="auto" w:before="55"/>
        <w:ind w:left="623" w:right="87"/>
        <w:jc w:val="left"/>
      </w:pPr>
      <w:r>
        <w:rPr>
          <w:rFonts w:ascii="Times New Roman" w:hAnsi="Times New Roman" w:cs="Times New Roman" w:eastAsia="Times New Roman" w:hint="default"/>
        </w:rPr>
        <w:t>2</w:t>
      </w:r>
      <w:r>
        <w:rPr/>
        <w:t>、股权分置改革中公司原非流通股股东持续到报告期内的承诺如下：</w:t>
      </w:r>
    </w:p>
    <w:p>
      <w:pPr>
        <w:pStyle w:val="BodyText"/>
        <w:spacing w:line="338" w:lineRule="auto" w:before="135"/>
        <w:ind w:right="96" w:firstLine="480"/>
        <w:jc w:val="left"/>
      </w:pPr>
      <w:r>
        <w:rPr>
          <w:spacing w:val="-1"/>
        </w:rPr>
        <w:t>（</w:t>
      </w:r>
      <w:r>
        <w:rPr>
          <w:rFonts w:ascii="Times New Roman" w:hAnsi="Times New Roman" w:cs="Times New Roman" w:eastAsia="Times New Roman" w:hint="default"/>
          <w:spacing w:val="-1"/>
        </w:rPr>
        <w:t>1</w:t>
      </w:r>
      <w:r>
        <w:rPr>
          <w:spacing w:val="-1"/>
        </w:rPr>
        <w:t>）非流通股股东承诺，其所持有的非流通股股份自获得上市流通权之日起，</w:t>
      </w:r>
      <w:r>
        <w:rPr/>
        <w:t> 至少在十二个月内不上市交易或者转让。</w:t>
      </w:r>
    </w:p>
    <w:p>
      <w:pPr>
        <w:pStyle w:val="BodyText"/>
        <w:spacing w:line="350" w:lineRule="auto" w:before="55"/>
        <w:ind w:left="144" w:right="198" w:firstLine="480"/>
        <w:jc w:val="both"/>
      </w:pPr>
      <w:r>
        <w:rPr>
          <w:spacing w:val="2"/>
        </w:rPr>
        <w:t>（</w:t>
      </w:r>
      <w:r>
        <w:rPr>
          <w:rFonts w:ascii="Times New Roman" w:hAnsi="Times New Roman" w:cs="Times New Roman" w:eastAsia="Times New Roman" w:hint="default"/>
          <w:spacing w:val="2"/>
        </w:rPr>
        <w:t>2</w:t>
      </w:r>
      <w:r>
        <w:rPr>
          <w:spacing w:val="2"/>
        </w:rPr>
        <w:t>）持有公司非流通股股份百分之五以上的股东张近东和江苏苏宁电器有限</w:t>
      </w:r>
      <w:r>
        <w:rPr>
          <w:spacing w:val="3"/>
        </w:rPr>
        <w:t> </w:t>
      </w:r>
      <w:r>
        <w:rPr>
          <w:spacing w:val="-1"/>
        </w:rPr>
        <w:t>公司进一步承诺，其所持有的非流通股股份自获得上市流通权之日起，二十四个月</w:t>
      </w:r>
      <w:r>
        <w:rPr>
          <w:spacing w:val="-106"/>
        </w:rPr>
        <w:t> </w:t>
      </w:r>
      <w:r>
        <w:rPr>
          <w:spacing w:val="-106"/>
        </w:rPr>
      </w:r>
      <w:r>
        <w:rPr>
          <w:spacing w:val="-1"/>
        </w:rPr>
        <w:t>内不通过深圳证券交易所中小企业板挂牌向社会公众出售所持公司股份；二十四个</w:t>
      </w:r>
      <w:r>
        <w:rPr>
          <w:spacing w:val="-106"/>
        </w:rPr>
        <w:t> </w:t>
      </w:r>
      <w:r>
        <w:rPr>
          <w:spacing w:val="-106"/>
        </w:rPr>
      </w:r>
      <w:r>
        <w:rPr/>
        <w:t>月至三十六个月之间，若其通过深圳证券交易所中小企业板出售苏宁电器的股份， </w:t>
      </w:r>
      <w:r>
        <w:rPr>
          <w:spacing w:val="-4"/>
        </w:rPr>
        <w:t>则各自出售数量占公司股份总数的比例不超过百分之十，出售价格不低于每股</w:t>
      </w:r>
      <w:r>
        <w:rPr>
          <w:spacing w:val="-74"/>
        </w:rPr>
        <w:t> </w:t>
      </w:r>
      <w:r>
        <w:rPr>
          <w:rFonts w:ascii="Times New Roman" w:hAnsi="Times New Roman" w:cs="Times New Roman" w:eastAsia="Times New Roman" w:hint="default"/>
        </w:rPr>
        <w:t>6.945</w:t>
      </w:r>
      <w:r>
        <w:rPr>
          <w:rFonts w:ascii="Times New Roman" w:hAnsi="Times New Roman" w:cs="Times New Roman" w:eastAsia="Times New Roman" w:hint="default"/>
          <w:spacing w:val="-53"/>
        </w:rPr>
        <w:t> </w:t>
      </w:r>
      <w:r>
        <w:rPr>
          <w:spacing w:val="-1"/>
        </w:rPr>
        <w:t>元（如果自非流通股获得流通权之日起至出售股份期间有派息、送股、资本公积金</w:t>
      </w:r>
      <w:r>
        <w:rPr>
          <w:spacing w:val="-108"/>
        </w:rPr>
        <w:t> </w:t>
      </w:r>
      <w:r>
        <w:rPr>
          <w:spacing w:val="-108"/>
        </w:rPr>
      </w:r>
      <w:r>
        <w:rPr/>
        <w:t>转增股本等事项，应对该价格进行除权除息处理）。</w:t>
      </w:r>
    </w:p>
    <w:p>
      <w:pPr>
        <w:pStyle w:val="BodyText"/>
        <w:spacing w:line="350" w:lineRule="auto" w:before="43"/>
        <w:ind w:left="144" w:right="218" w:firstLine="480"/>
        <w:jc w:val="both"/>
      </w:pPr>
      <w:r>
        <w:rPr>
          <w:spacing w:val="2"/>
        </w:rPr>
        <w:t>（</w:t>
      </w:r>
      <w:r>
        <w:rPr>
          <w:rFonts w:ascii="Times New Roman" w:hAnsi="Times New Roman" w:cs="Times New Roman" w:eastAsia="Times New Roman" w:hint="default"/>
          <w:spacing w:val="2"/>
        </w:rPr>
        <w:t>3</w:t>
      </w:r>
      <w:r>
        <w:rPr>
          <w:spacing w:val="2"/>
        </w:rPr>
        <w:t>）持有公司非流通股股份百分之五以上的股东张近东承诺，在公司股权分</w:t>
      </w:r>
      <w:r>
        <w:rPr>
          <w:spacing w:val="3"/>
        </w:rPr>
        <w:t> </w:t>
      </w:r>
      <w:r>
        <w:rPr>
          <w:spacing w:val="-1"/>
        </w:rPr>
        <w:t>置改革期间，若其他非流通股股东的股份发生被质押、冻结等情形而无法向流通股</w:t>
      </w:r>
      <w:r>
        <w:rPr>
          <w:spacing w:val="-106"/>
        </w:rPr>
        <w:t> </w:t>
      </w:r>
      <w:r>
        <w:rPr>
          <w:spacing w:val="-106"/>
        </w:rPr>
      </w:r>
      <w:r>
        <w:rPr>
          <w:spacing w:val="-1"/>
        </w:rPr>
        <w:t>支付对价股份的情况，张近东将代其支付因质押、冻结而无法支付给流通股的对价</w:t>
      </w:r>
      <w:r>
        <w:rPr>
          <w:spacing w:val="-106"/>
        </w:rPr>
        <w:t> </w:t>
      </w:r>
      <w:r>
        <w:rPr>
          <w:spacing w:val="-106"/>
        </w:rPr>
      </w:r>
      <w:r>
        <w:rPr/>
        <w:t>股份。</w:t>
      </w:r>
    </w:p>
    <w:p>
      <w:pPr>
        <w:spacing w:after="0" w:line="350" w:lineRule="auto"/>
        <w:jc w:val="both"/>
        <w:sectPr>
          <w:pgSz w:w="11910" w:h="16840"/>
          <w:pgMar w:header="879" w:footer="982" w:top="1100" w:bottom="1180" w:left="1500" w:right="1420"/>
        </w:sectPr>
      </w:pPr>
    </w:p>
    <w:p>
      <w:pPr>
        <w:spacing w:line="240" w:lineRule="auto" w:before="10"/>
        <w:rPr>
          <w:rFonts w:ascii="宋体" w:hAnsi="宋体" w:cs="宋体" w:eastAsia="宋体" w:hint="default"/>
          <w:sz w:val="10"/>
          <w:szCs w:val="10"/>
        </w:rPr>
      </w:pPr>
    </w:p>
    <w:p>
      <w:pPr>
        <w:pStyle w:val="BodyText"/>
        <w:spacing w:line="350" w:lineRule="auto" w:before="26"/>
        <w:ind w:left="224" w:right="398" w:firstLine="480"/>
        <w:jc w:val="both"/>
      </w:pPr>
      <w:r>
        <w:rPr>
          <w:spacing w:val="2"/>
        </w:rPr>
        <w:t>（</w:t>
      </w:r>
      <w:r>
        <w:rPr>
          <w:rFonts w:ascii="Times New Roman" w:hAnsi="Times New Roman" w:cs="Times New Roman" w:eastAsia="Times New Roman" w:hint="default"/>
          <w:spacing w:val="2"/>
        </w:rPr>
        <w:t>4</w:t>
      </w:r>
      <w:r>
        <w:rPr>
          <w:spacing w:val="2"/>
        </w:rPr>
        <w:t>）持有公司非流通股股份百分之五以上的股东陈金凤和赵蓓进一步承诺，</w:t>
      </w:r>
      <w:r>
        <w:rPr>
          <w:spacing w:val="3"/>
        </w:rPr>
        <w:t> </w:t>
      </w:r>
      <w:r>
        <w:rPr>
          <w:spacing w:val="-1"/>
        </w:rPr>
        <w:t>其持有的非流通股股份自获得上市流通权之日起十二个月期满后，通过深圳证券交</w:t>
      </w:r>
      <w:r>
        <w:rPr>
          <w:spacing w:val="-106"/>
        </w:rPr>
        <w:t> </w:t>
      </w:r>
      <w:r>
        <w:rPr>
          <w:spacing w:val="-106"/>
        </w:rPr>
      </w:r>
      <w:r>
        <w:rPr>
          <w:spacing w:val="-1"/>
        </w:rPr>
        <w:t>易所中小企业板挂牌交易出售股份，各自出售数量占公司股份总数的比例在十二个</w:t>
      </w:r>
      <w:r>
        <w:rPr>
          <w:spacing w:val="-106"/>
        </w:rPr>
        <w:t> </w:t>
      </w:r>
      <w:r>
        <w:rPr>
          <w:spacing w:val="-106"/>
        </w:rPr>
      </w:r>
      <w:r>
        <w:rPr/>
        <w:t>月内不超过百分之五，在二十四个月内不超过百分之十。</w:t>
      </w:r>
    </w:p>
    <w:p>
      <w:pPr>
        <w:pStyle w:val="BodyText"/>
        <w:spacing w:line="338" w:lineRule="auto" w:before="43"/>
        <w:ind w:left="224" w:right="398" w:firstLine="480"/>
        <w:jc w:val="both"/>
      </w:pPr>
      <w:r>
        <w:rPr>
          <w:spacing w:val="2"/>
        </w:rPr>
        <w:t>（</w:t>
      </w:r>
      <w:r>
        <w:rPr>
          <w:rFonts w:ascii="Times New Roman" w:hAnsi="Times New Roman" w:cs="Times New Roman" w:eastAsia="Times New Roman" w:hint="default"/>
          <w:spacing w:val="2"/>
        </w:rPr>
        <w:t>5</w:t>
      </w:r>
      <w:r>
        <w:rPr>
          <w:spacing w:val="2"/>
        </w:rPr>
        <w:t>）非流通股股东承诺，通过证券交易所挂牌交易出售的股份数量，达到公</w:t>
      </w:r>
      <w:r>
        <w:rPr>
          <w:spacing w:val="3"/>
        </w:rPr>
        <w:t> </w:t>
      </w:r>
      <w:r>
        <w:rPr/>
        <w:t>司股份总数百分之一的，自该事实发生之日起两个工作日内做出公告。</w:t>
      </w:r>
    </w:p>
    <w:p>
      <w:pPr>
        <w:pStyle w:val="BodyText"/>
        <w:spacing w:line="240" w:lineRule="auto" w:before="55"/>
        <w:ind w:left="704" w:right="0"/>
        <w:jc w:val="left"/>
      </w:pPr>
      <w:r>
        <w:rPr/>
        <w:t>报告期内，公司承诺股东均遵守了所作的承诺。</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0" w:lineRule="auto"/>
        <w:ind w:left="224" w:right="399" w:firstLine="480"/>
        <w:jc w:val="both"/>
      </w:pPr>
      <w:r>
        <w:rPr/>
        <w:t>六、鉴于公司的连锁发展战略已在经营管理的各个领域全面开展，</w:t>
      </w:r>
      <w:r>
        <w:rPr>
          <w:rFonts w:ascii="Times New Roman" w:hAnsi="Times New Roman" w:cs="Times New Roman" w:eastAsia="Times New Roman" w:hint="default"/>
        </w:rPr>
        <w:t>SAP</w:t>
      </w:r>
      <w:r>
        <w:rPr>
          <w:rFonts w:ascii="Times New Roman" w:hAnsi="Times New Roman" w:cs="Times New Roman" w:eastAsia="Times New Roman" w:hint="default"/>
          <w:spacing w:val="-39"/>
        </w:rPr>
        <w:t> </w:t>
      </w:r>
      <w:r>
        <w:rPr/>
        <w:t>系统的 </w:t>
      </w:r>
      <w:r>
        <w:rPr>
          <w:spacing w:val="-1"/>
        </w:rPr>
        <w:t>上线和不断优化正在形成一个国际水平的管理平台。且随着管理水平的提升，公司</w:t>
      </w:r>
      <w:r>
        <w:rPr>
          <w:spacing w:val="-106"/>
        </w:rPr>
        <w:t> </w:t>
      </w:r>
      <w:r>
        <w:rPr>
          <w:spacing w:val="-106"/>
        </w:rPr>
      </w:r>
      <w:r>
        <w:rPr>
          <w:spacing w:val="3"/>
        </w:rPr>
        <w:t>成为全球范围的优秀零售企业的战略也在稳步推进。因此，公司希望借助在</w:t>
      </w:r>
      <w:r>
        <w:rPr>
          <w:spacing w:val="34"/>
        </w:rPr>
        <w:t> </w:t>
      </w:r>
      <w:r>
        <w:rPr>
          <w:rFonts w:ascii="Times New Roman" w:hAnsi="Times New Roman" w:cs="Times New Roman" w:eastAsia="Times New Roman" w:hint="default"/>
        </w:rPr>
        <w:t>SAP</w:t>
      </w:r>
      <w:r>
        <w:rPr>
          <w:rFonts w:ascii="Times New Roman" w:hAnsi="Times New Roman" w:cs="Times New Roman" w:eastAsia="Times New Roman" w:hint="default"/>
          <w:spacing w:val="-58"/>
        </w:rPr>
        <w:t> </w:t>
      </w:r>
      <w:r>
        <w:rPr>
          <w:spacing w:val="-1"/>
        </w:rPr>
        <w:t>系统审计、财务核算、流程内控等方面具有国际经验的审计机构，进一步提升管理</w:t>
      </w:r>
      <w:r>
        <w:rPr>
          <w:spacing w:val="-108"/>
        </w:rPr>
        <w:t> </w:t>
      </w:r>
      <w:r>
        <w:rPr>
          <w:spacing w:val="-108"/>
        </w:rPr>
      </w:r>
      <w:r>
        <w:rPr>
          <w:spacing w:val="-1"/>
        </w:rPr>
        <w:t>水平，达成战略目标。为此，报告期内，公司董事会同意改聘普华永道中天会计师</w:t>
      </w:r>
      <w:r>
        <w:rPr>
          <w:spacing w:val="-108"/>
        </w:rPr>
        <w:t> </w:t>
      </w:r>
      <w:r>
        <w:rPr>
          <w:spacing w:val="-108"/>
        </w:rPr>
      </w:r>
      <w:r>
        <w:rPr/>
        <w:t>事务所有限公司为公司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年度财务审计机构，提供审计服务的签字会计师为柯</w:t>
      </w:r>
    </w:p>
    <w:p>
      <w:pPr>
        <w:pStyle w:val="BodyText"/>
        <w:spacing w:line="240" w:lineRule="auto" w:before="13"/>
        <w:ind w:left="224" w:right="0"/>
        <w:jc w:val="left"/>
      </w:pPr>
      <w:r>
        <w:rPr/>
        <w:t>镇洪先生、邓锡麟先生，本年度审计费用</w:t>
      </w:r>
      <w:r>
        <w:rPr>
          <w:spacing w:val="-60"/>
        </w:rPr>
        <w:t> </w:t>
      </w:r>
      <w:r>
        <w:rPr>
          <w:rFonts w:ascii="Times New Roman" w:hAnsi="Times New Roman" w:cs="Times New Roman" w:eastAsia="Times New Roman" w:hint="default"/>
        </w:rPr>
        <w:t>350 </w:t>
      </w:r>
      <w:r>
        <w:rPr/>
        <w:t>万元。</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57" w:lineRule="auto"/>
        <w:ind w:left="224" w:right="401" w:firstLine="480"/>
        <w:jc w:val="both"/>
      </w:pPr>
      <w:r>
        <w:rPr>
          <w:spacing w:val="-1"/>
        </w:rPr>
        <w:t>七、报告期内，公司董事会及董事没有受到中国证监会的稽查、中国证监会的</w:t>
      </w:r>
      <w:r>
        <w:rPr/>
        <w:t> </w:t>
      </w:r>
      <w:r>
        <w:rPr>
          <w:spacing w:val="-1"/>
        </w:rPr>
        <w:t>行政处罚、通报批评，也没有被其他行政管理部门处罚及证券交易所公开谴责的情</w:t>
      </w:r>
      <w:r>
        <w:rPr>
          <w:spacing w:val="-106"/>
        </w:rPr>
        <w:t> </w:t>
      </w:r>
      <w:r>
        <w:rPr>
          <w:spacing w:val="-106"/>
        </w:rPr>
      </w:r>
      <w:r>
        <w:rPr/>
        <w:t>况，公司董事、管理层有关人员没有被采取司法强制措施的情况。</w:t>
      </w:r>
    </w:p>
    <w:p>
      <w:pPr>
        <w:spacing w:line="240" w:lineRule="auto" w:before="0"/>
        <w:rPr>
          <w:rFonts w:ascii="宋体" w:hAnsi="宋体" w:cs="宋体" w:eastAsia="宋体" w:hint="default"/>
          <w:sz w:val="24"/>
          <w:szCs w:val="24"/>
        </w:rPr>
      </w:pPr>
    </w:p>
    <w:p>
      <w:pPr>
        <w:pStyle w:val="BodyText"/>
        <w:spacing w:line="240" w:lineRule="auto" w:before="190"/>
        <w:ind w:left="704" w:right="0"/>
        <w:jc w:val="left"/>
      </w:pPr>
      <w:r>
        <w:rPr/>
        <w:t>八、其他重要事项</w:t>
      </w:r>
    </w:p>
    <w:p>
      <w:pPr>
        <w:spacing w:line="240" w:lineRule="auto" w:before="9"/>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540"/>
        <w:gridCol w:w="1260"/>
        <w:gridCol w:w="3960"/>
        <w:gridCol w:w="1080"/>
        <w:gridCol w:w="2160"/>
      </w:tblGrid>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序</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15" w:right="0"/>
              <w:jc w:val="left"/>
              <w:rPr>
                <w:rFonts w:ascii="宋体" w:hAnsi="宋体" w:cs="宋体" w:eastAsia="宋体" w:hint="default"/>
                <w:sz w:val="18"/>
                <w:szCs w:val="18"/>
              </w:rPr>
            </w:pPr>
            <w:r>
              <w:rPr>
                <w:rFonts w:ascii="宋体" w:hAnsi="宋体" w:cs="宋体" w:eastAsia="宋体" w:hint="default"/>
                <w:sz w:val="18"/>
                <w:szCs w:val="18"/>
              </w:rPr>
              <w:t>刊登情况</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2007.1.30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第二届董事会第三十六次会议决议公告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89" w:right="0"/>
              <w:jc w:val="left"/>
              <w:rPr>
                <w:rFonts w:ascii="Times New Roman" w:hAnsi="Times New Roman" w:cs="Times New Roman" w:eastAsia="Times New Roman" w:hint="default"/>
                <w:sz w:val="18"/>
                <w:szCs w:val="18"/>
              </w:rPr>
            </w:pPr>
            <w:r>
              <w:rPr>
                <w:rFonts w:ascii="Times New Roman"/>
                <w:sz w:val="18"/>
              </w:rPr>
              <w:t>2007-001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2007.1.30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89" w:right="0"/>
              <w:jc w:val="left"/>
              <w:rPr>
                <w:rFonts w:ascii="Times New Roman" w:hAnsi="Times New Roman" w:cs="Times New Roman" w:eastAsia="Times New Roman" w:hint="default"/>
                <w:sz w:val="18"/>
                <w:szCs w:val="18"/>
              </w:rPr>
            </w:pPr>
            <w:r>
              <w:rPr>
                <w:rFonts w:ascii="Times New Roman"/>
                <w:sz w:val="18"/>
              </w:rPr>
              <w:t>2007-002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2007.1.30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独立董事关于股票期权激励计划（草案）的意见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2007.1.30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股票期权激励计划（草案）摘要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2007.1.30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股票期权激励计划实施考核办法</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2007.1.30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股票期权激励计划（草案）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2007.2.16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第二届董事会第三十七次会议决议公告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89" w:right="0"/>
              <w:jc w:val="left"/>
              <w:rPr>
                <w:rFonts w:ascii="Times New Roman" w:hAnsi="Times New Roman" w:cs="Times New Roman" w:eastAsia="Times New Roman" w:hint="default"/>
                <w:sz w:val="18"/>
                <w:szCs w:val="18"/>
              </w:rPr>
            </w:pPr>
            <w:r>
              <w:rPr>
                <w:rFonts w:ascii="Times New Roman"/>
                <w:sz w:val="18"/>
              </w:rPr>
              <w:t>2007-003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2007.2.28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89" w:right="0"/>
              <w:jc w:val="left"/>
              <w:rPr>
                <w:rFonts w:ascii="Times New Roman" w:hAnsi="Times New Roman" w:cs="Times New Roman" w:eastAsia="Times New Roman" w:hint="default"/>
                <w:sz w:val="18"/>
                <w:szCs w:val="18"/>
              </w:rPr>
            </w:pPr>
            <w:r>
              <w:rPr>
                <w:rFonts w:ascii="Times New Roman"/>
                <w:sz w:val="18"/>
              </w:rPr>
              <w:t>2007-004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bl>
    <w:p>
      <w:pPr>
        <w:spacing w:after="0" w:line="240" w:lineRule="auto"/>
        <w:jc w:val="left"/>
        <w:rPr>
          <w:rFonts w:ascii="宋体" w:hAnsi="宋体" w:cs="宋体" w:eastAsia="宋体" w:hint="default"/>
          <w:sz w:val="18"/>
          <w:szCs w:val="18"/>
        </w:rPr>
        <w:sectPr>
          <w:pgSz w:w="11910" w:h="16840"/>
          <w:pgMar w:header="879" w:footer="982" w:top="1100" w:bottom="1180" w:left="1420" w:right="1240"/>
        </w:sectPr>
      </w:pPr>
    </w:p>
    <w:p>
      <w:pPr>
        <w:spacing w:line="240" w:lineRule="auto" w:before="7"/>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540"/>
        <w:gridCol w:w="1260"/>
        <w:gridCol w:w="3960"/>
        <w:gridCol w:w="1080"/>
        <w:gridCol w:w="2160"/>
      </w:tblGrid>
      <w:tr>
        <w:trPr>
          <w:trHeight w:val="460" w:hRule="exact"/>
        </w:trPr>
        <w:tc>
          <w:tcPr>
            <w:tcW w:w="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218"/>
              <w:jc w:val="right"/>
              <w:rPr>
                <w:rFonts w:ascii="Times New Roman" w:hAnsi="Times New Roman" w:cs="Times New Roman" w:eastAsia="Times New Roman" w:hint="default"/>
                <w:sz w:val="18"/>
                <w:szCs w:val="18"/>
              </w:rPr>
            </w:pPr>
            <w:r>
              <w:rPr>
                <w:rFonts w:ascii="Times New Roman"/>
                <w:sz w:val="18"/>
              </w:rPr>
              <w:t>9</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第二届董事会第三十八次会议决议公告</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2007-005</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3"/>
              <w:jc w:val="right"/>
              <w:rPr>
                <w:rFonts w:ascii="Times New Roman" w:hAnsi="Times New Roman" w:cs="Times New Roman" w:eastAsia="Times New Roman" w:hint="default"/>
                <w:sz w:val="18"/>
                <w:szCs w:val="18"/>
              </w:rPr>
            </w:pPr>
            <w:r>
              <w:rPr>
                <w:rFonts w:ascii="Times New Roman"/>
                <w:sz w:val="18"/>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2007-006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年度募集资金存放及使用情况的专项</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2007-007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日常关联交易公告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独立董事对相关事项发表的独立意见公告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年年度股东大会的通知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年年度报告网上说明会的通知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重大投资及财务决策制度（</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年修订）草案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新旧会计准则股东权益差异调节表审阅报告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年修订）草案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年度募集资金年度专项审核报告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年年度财务报告之审计报告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年修订）草案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年度述职报告（黄丽洁）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年度述职报告（吴远）</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年度述职报告（赵曙明）</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年修订）草案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年度控股股东及其他关联方占用资金</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情况的专项说明</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2007.3.27</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第二届董事会第三十九次会议决议公告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2007.3.27</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2007.3.31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2007.3.31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年度资本公积金转增股本实施公告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2007.3.31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年年度股东大会的法律意见书</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2007.3.31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4"/>
              <w:jc w:val="right"/>
              <w:rPr>
                <w:rFonts w:ascii="Times New Roman" w:hAnsi="Times New Roman" w:cs="Times New Roman" w:eastAsia="Times New Roman" w:hint="default"/>
                <w:sz w:val="18"/>
                <w:szCs w:val="18"/>
              </w:rPr>
            </w:pPr>
            <w:r>
              <w:rPr>
                <w:rFonts w:ascii="Times New Roman"/>
                <w:sz w:val="18"/>
              </w:rPr>
              <w:t>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2007.4.6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第二届董事会第四十次会议决议公告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4"/>
              <w:jc w:val="right"/>
              <w:rPr>
                <w:rFonts w:ascii="Times New Roman" w:hAnsi="Times New Roman" w:cs="Times New Roman" w:eastAsia="Times New Roman" w:hint="default"/>
                <w:sz w:val="18"/>
                <w:szCs w:val="18"/>
              </w:rPr>
            </w:pPr>
            <w:r>
              <w:rPr>
                <w:rFonts w:ascii="Times New Roman"/>
                <w:sz w:val="18"/>
              </w:rPr>
              <w:t>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2007.4.6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关于“加强上市公司治理专项活动”自查报告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澄清公告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3"/>
              <w:jc w:val="right"/>
              <w:rPr>
                <w:rFonts w:ascii="Times New Roman" w:hAnsi="Times New Roman" w:cs="Times New Roman" w:eastAsia="Times New Roman" w:hint="default"/>
                <w:sz w:val="18"/>
                <w:szCs w:val="18"/>
              </w:rPr>
            </w:pPr>
            <w:r>
              <w:rPr>
                <w:rFonts w:ascii="Times New Roman"/>
                <w:sz w:val="18"/>
              </w:rPr>
              <w:t>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2007.4.19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第二届董事会第四十一次会议决议公告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bl>
    <w:p>
      <w:pPr>
        <w:spacing w:after="0" w:line="240" w:lineRule="auto"/>
        <w:jc w:val="left"/>
        <w:rPr>
          <w:rFonts w:ascii="宋体" w:hAnsi="宋体" w:cs="宋体" w:eastAsia="宋体" w:hint="default"/>
          <w:sz w:val="18"/>
          <w:szCs w:val="18"/>
        </w:rPr>
        <w:sectPr>
          <w:pgSz w:w="11910" w:h="16840"/>
          <w:pgMar w:header="879" w:footer="982" w:top="1100" w:bottom="1180" w:left="1420" w:right="1240"/>
        </w:sectPr>
      </w:pPr>
    </w:p>
    <w:p>
      <w:pPr>
        <w:spacing w:line="240" w:lineRule="auto" w:before="7"/>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540"/>
        <w:gridCol w:w="1260"/>
        <w:gridCol w:w="3960"/>
        <w:gridCol w:w="1080"/>
        <w:gridCol w:w="2160"/>
      </w:tblGrid>
      <w:tr>
        <w:trPr>
          <w:trHeight w:val="460" w:hRule="exact"/>
        </w:trPr>
        <w:tc>
          <w:tcPr>
            <w:tcW w:w="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40</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left="264" w:right="0"/>
              <w:jc w:val="left"/>
              <w:rPr>
                <w:rFonts w:ascii="Times New Roman" w:hAnsi="Times New Roman" w:cs="Times New Roman" w:eastAsia="Times New Roman" w:hint="default"/>
                <w:sz w:val="18"/>
                <w:szCs w:val="18"/>
              </w:rPr>
            </w:pPr>
            <w:r>
              <w:rPr>
                <w:rFonts w:ascii="Times New Roman"/>
                <w:sz w:val="18"/>
              </w:rPr>
              <w:t>2007.4.19</w:t>
            </w: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关于向江苏苏宁银河国际购物广场有限公司租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赁房屋的关联交易公告</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2007-021</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4" w:right="0"/>
              <w:jc w:val="left"/>
              <w:rPr>
                <w:rFonts w:ascii="Times New Roman" w:hAnsi="Times New Roman" w:cs="Times New Roman" w:eastAsia="Times New Roman" w:hint="default"/>
                <w:sz w:val="18"/>
                <w:szCs w:val="18"/>
              </w:rPr>
            </w:pPr>
            <w:r>
              <w:rPr>
                <w:rFonts w:ascii="Times New Roman"/>
                <w:sz w:val="18"/>
              </w:rPr>
              <w:t>2007.4.21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第二届董事会第四十二次会议决议公告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2007-022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年第一次临时股东大会的通知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年第一次临时股东大会会议资料</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第二届董事会第四十三次会议决议公告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第二届董事会第四十四次会议决议公告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年第一季度报告正文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第二届监事会第十三次会议决议公司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总裁工作细则</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会计政策及会计估计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2007.4.30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年第一次临时股东大会的提示性</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2007.5.9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年第一次临时股东大会决议公告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2007.5.9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关于购买资产的公告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2007.5.9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上海长宁苏宁电器有限公司资产收购项目之资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产评估报告书摘要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2007.5.9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武汉苏宁电器有限公司资产收购项目之资产评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估报告书摘要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2007.5.9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年第一次临时股东大会决议公告法律意见</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2007.5.22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2007.5.26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第二届董事会第四十六次会议决议公告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2007.5.26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关于变更保荐机构的公告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2007.5.26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关联交易决策制度（</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2007.5.30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简式权益报告书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2007.6.18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限售股份上市流通提示性公告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第二届董事会第四十七次次会议决议公告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募集资金管理制度（</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总裁工作细则（</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信息披露管理制度（</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第二届董事会第四十八次会议决议公告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bl>
    <w:p>
      <w:pPr>
        <w:spacing w:after="0" w:line="240" w:lineRule="auto"/>
        <w:jc w:val="left"/>
        <w:rPr>
          <w:rFonts w:ascii="宋体" w:hAnsi="宋体" w:cs="宋体" w:eastAsia="宋体" w:hint="default"/>
          <w:sz w:val="18"/>
          <w:szCs w:val="18"/>
        </w:rPr>
        <w:sectPr>
          <w:pgSz w:w="11910" w:h="16840"/>
          <w:pgMar w:header="879" w:footer="982" w:top="1100" w:bottom="1180" w:left="1420" w:right="1240"/>
        </w:sectPr>
      </w:pPr>
    </w:p>
    <w:p>
      <w:pPr>
        <w:spacing w:line="240" w:lineRule="auto" w:before="7"/>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540"/>
        <w:gridCol w:w="1260"/>
        <w:gridCol w:w="3960"/>
        <w:gridCol w:w="1080"/>
        <w:gridCol w:w="2160"/>
      </w:tblGrid>
      <w:tr>
        <w:trPr>
          <w:trHeight w:val="460" w:hRule="exact"/>
        </w:trPr>
        <w:tc>
          <w:tcPr>
            <w:tcW w:w="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71</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年第二次临时股东大会的通知</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2007-040</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第二届监事会第十四次会议决议公告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2007-041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对外捐赠管理制度（草案）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独立董事对董事会换届发表的独立意见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77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独立董事关于调整公司外部董事津贴的独立意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独立董事候选人声明（戴新民）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独立董事候选人声明（沈坤荣）</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2007.6.28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独立董事候选人声明（孙剑平）</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2007.7.3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关于取消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年第二次临时股东大会部分议案</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并增加提案及股东大会的补充通知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2007.7.3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09" w:right="0"/>
              <w:jc w:val="left"/>
              <w:rPr>
                <w:rFonts w:ascii="Times New Roman" w:hAnsi="Times New Roman" w:cs="Times New Roman" w:eastAsia="Times New Roman" w:hint="default"/>
                <w:sz w:val="18"/>
                <w:szCs w:val="18"/>
              </w:rPr>
            </w:pPr>
            <w:r>
              <w:rPr>
                <w:rFonts w:ascii="Times New Roman"/>
                <w:sz w:val="18"/>
              </w:rPr>
              <w:t>2007.7.3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2007.7.13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年中期业绩预告修正公告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2007.7.14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关于公司职工代表监事换届选举的公告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2007.7.14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2007.7.14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年第二次临时股东大会的法律意见书</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2007.7.14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第三届董事会第一次会议决议公告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2007.7.14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独立董事对公司聘任高管发表的独立意见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2007.7.14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第三届监事会第一次会议决议公告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2007.7.31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年半年度业绩快报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关于股权分置改革保荐代表人变动的公告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限售股份上市流通提示性公告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有限售条件的流通股上市流通申请的核查意见</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2007.8.18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2007.8.18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2007.8.18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董事、监事和高级管理人员所持公司股份及其变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动管理规则</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第三届董事会第三次会议决议公告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第三届监事会第二次会议决议公告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2007.8.30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bl>
    <w:p>
      <w:pPr>
        <w:spacing w:after="0" w:line="240" w:lineRule="auto"/>
        <w:jc w:val="left"/>
        <w:rPr>
          <w:rFonts w:ascii="宋体" w:hAnsi="宋体" w:cs="宋体" w:eastAsia="宋体" w:hint="default"/>
          <w:sz w:val="18"/>
          <w:szCs w:val="18"/>
        </w:rPr>
        <w:sectPr>
          <w:pgSz w:w="11910" w:h="16840"/>
          <w:pgMar w:header="879" w:footer="982" w:top="1100" w:bottom="1180" w:left="1420" w:right="1240"/>
        </w:sectPr>
      </w:pPr>
    </w:p>
    <w:p>
      <w:pPr>
        <w:spacing w:line="240" w:lineRule="auto" w:before="7"/>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540"/>
        <w:gridCol w:w="1260"/>
        <w:gridCol w:w="3960"/>
        <w:gridCol w:w="1080"/>
        <w:gridCol w:w="2160"/>
      </w:tblGrid>
      <w:tr>
        <w:trPr>
          <w:trHeight w:val="460" w:hRule="exact"/>
        </w:trPr>
        <w:tc>
          <w:tcPr>
            <w:tcW w:w="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102</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left="264" w:right="0"/>
              <w:jc w:val="left"/>
              <w:rPr>
                <w:rFonts w:ascii="Times New Roman" w:hAnsi="Times New Roman" w:cs="Times New Roman" w:eastAsia="Times New Roman" w:hint="default"/>
                <w:sz w:val="18"/>
                <w:szCs w:val="18"/>
              </w:rPr>
            </w:pPr>
            <w:r>
              <w:rPr>
                <w:rFonts w:ascii="Times New Roman"/>
                <w:sz w:val="18"/>
              </w:rPr>
              <w:t>2007.8.30</w:t>
            </w: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年半年度财务报告</w:t>
            </w:r>
          </w:p>
        </w:tc>
        <w:tc>
          <w:tcPr>
            <w:tcW w:w="108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103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4" w:right="0"/>
              <w:jc w:val="left"/>
              <w:rPr>
                <w:rFonts w:ascii="Times New Roman" w:hAnsi="Times New Roman" w:cs="Times New Roman" w:eastAsia="Times New Roman" w:hint="default"/>
                <w:sz w:val="18"/>
                <w:szCs w:val="18"/>
              </w:rPr>
            </w:pPr>
            <w:r>
              <w:rPr>
                <w:rFonts w:ascii="Times New Roman"/>
                <w:sz w:val="18"/>
              </w:rPr>
              <w:t>2007.8.30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独立董事对公司与关联方资金往来、公司累计和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当期对外担保情况的专项说明和独立意见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2007.9.24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关于中国证监会发审委审核公司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年非公开</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发行股票事宜的停牌公告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2007.9.25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年非公开发行股票申请获得中国证监</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会发审委审核通过的公告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2007.10.13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月业绩预告修正公告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2007.10.30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第三届董事会第五次会议决议公告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2007.10.30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公司章程（草案）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2007.10.30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2007.10.30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第三届监事会第三次会议决议公告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2007.10.30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关于电子邮箱地址变更的提示性公告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2007.10.30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股东大会议事规则（草案）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2007.10.30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重大投资及财务决策制度（草案）</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2007.10.30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总裁工作细则（</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2007.11.14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第三届董事会第六次会议决议公告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2007.11.14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关于“加强上市公司治理专项活动”的整改报告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2007.12.1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关于保荐代表人变更的公告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2007.12.1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2007.12.1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2007.12.5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第三届董事会第八次会议决议公告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4" w:right="0"/>
              <w:jc w:val="left"/>
              <w:rPr>
                <w:rFonts w:ascii="Times New Roman" w:hAnsi="Times New Roman" w:cs="Times New Roman" w:eastAsia="Times New Roman" w:hint="default"/>
                <w:sz w:val="18"/>
                <w:szCs w:val="18"/>
              </w:rPr>
            </w:pPr>
            <w:r>
              <w:rPr>
                <w:rFonts w:ascii="Times New Roman"/>
                <w:sz w:val="18"/>
              </w:rPr>
              <w:t>2007.12.5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关于向江苏苏宁银河国际购物广场有限公司租</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赁楼层调整暨增租部分楼层的关联交易公告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2007.12.13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关于终止收购大中电器事项的公告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2007.12.15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独立董事关于公司变更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年度财务审计机构</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的独立意见</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2007.12.15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第三届董事会第九次会议决议公告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2007.12.15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第三届监事会第四次会议决议公告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2007.12.15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董事会关于召开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年第三次临时股东大会的</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2007.12.22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董事会关于召开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年第三次临时股东大会的</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通知（召开时间调整后）</w:t>
            </w:r>
          </w:p>
        </w:tc>
        <w:tc>
          <w:tcPr>
            <w:tcW w:w="10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网站</w:t>
            </w:r>
          </w:p>
        </w:tc>
      </w:tr>
      <w:tr>
        <w:trPr>
          <w:trHeight w:val="4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2007.12.22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关于延期召开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年第三次临时股东大会的公</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9" w:right="0"/>
              <w:jc w:val="left"/>
              <w:rPr>
                <w:rFonts w:ascii="Times New Roman" w:hAnsi="Times New Roman" w:cs="Times New Roman" w:eastAsia="Times New Roman" w:hint="default"/>
                <w:sz w:val="18"/>
                <w:szCs w:val="18"/>
              </w:rPr>
            </w:pPr>
            <w:r>
              <w:rPr>
                <w:rFonts w:ascii="Times New Roman"/>
                <w:sz w:val="18"/>
              </w:rPr>
              <w:t>2007.12.29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关于终止特许加盟合作暨以直营方式发展的公</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Times New Roman" w:hAnsi="Times New Roman" w:cs="Times New Roman" w:eastAsia="Times New Roman" w:hint="default"/>
                <w:sz w:val="18"/>
                <w:szCs w:val="18"/>
              </w:rPr>
            </w:pPr>
            <w:r>
              <w:rPr>
                <w:rFonts w:ascii="Times New Roman"/>
                <w:sz w:val="18"/>
              </w:rPr>
              <w:t>2007-075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四大证券报、网站</w:t>
            </w:r>
          </w:p>
        </w:tc>
      </w:tr>
    </w:tbl>
    <w:p>
      <w:pPr>
        <w:spacing w:before="63"/>
        <w:ind w:left="64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01"/>
          <w:sz w:val="21"/>
          <w:szCs w:val="21"/>
        </w:rPr>
        <w:t>：</w:t>
      </w:r>
      <w:r>
        <w:rPr>
          <w:rFonts w:ascii="宋体" w:hAnsi="宋体" w:cs="宋体" w:eastAsia="宋体" w:hint="default"/>
          <w:sz w:val="21"/>
          <w:szCs w:val="21"/>
        </w:rPr>
        <w:t>四大证券报指公司指定信息披露报纸―</w:t>
      </w:r>
      <w:r>
        <w:rPr>
          <w:rFonts w:ascii="宋体" w:hAnsi="宋体" w:cs="宋体" w:eastAsia="宋体" w:hint="default"/>
          <w:spacing w:val="-101"/>
          <w:sz w:val="21"/>
          <w:szCs w:val="21"/>
        </w:rPr>
        <w:t>―</w:t>
      </w:r>
      <w:r>
        <w:rPr>
          <w:rFonts w:ascii="宋体" w:hAnsi="宋体" w:cs="宋体" w:eastAsia="宋体" w:hint="default"/>
          <w:sz w:val="21"/>
          <w:szCs w:val="21"/>
        </w:rPr>
        <w:t>《证券时报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中国证券报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《上海证</w:t>
      </w:r>
      <w:r>
        <w:rPr>
          <w:rFonts w:ascii="宋体" w:hAnsi="宋体" w:cs="宋体" w:eastAsia="宋体" w:hint="default"/>
          <w:spacing w:val="-2"/>
          <w:sz w:val="21"/>
          <w:szCs w:val="21"/>
        </w:rPr>
        <w:t>券</w:t>
      </w: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before="0"/>
        <w:ind w:left="224" w:right="0" w:firstLine="0"/>
        <w:jc w:val="left"/>
        <w:rPr>
          <w:rFonts w:ascii="宋体" w:hAnsi="宋体" w:cs="宋体" w:eastAsia="宋体" w:hint="default"/>
          <w:sz w:val="21"/>
          <w:szCs w:val="21"/>
        </w:rPr>
      </w:pPr>
      <w:r>
        <w:rPr>
          <w:rFonts w:ascii="宋体" w:hAnsi="宋体" w:cs="宋体" w:eastAsia="宋体" w:hint="default"/>
          <w:sz w:val="21"/>
          <w:szCs w:val="21"/>
        </w:rPr>
        <w:t>《证券日报</w:t>
      </w:r>
      <w:r>
        <w:rPr>
          <w:rFonts w:ascii="宋体" w:hAnsi="宋体" w:cs="宋体" w:eastAsia="宋体" w:hint="default"/>
          <w:spacing w:val="-106"/>
          <w:sz w:val="21"/>
          <w:szCs w:val="21"/>
        </w:rPr>
        <w:t>》</w:t>
      </w:r>
      <w:r>
        <w:rPr>
          <w:rFonts w:ascii="宋体" w:hAnsi="宋体" w:cs="宋体" w:eastAsia="宋体" w:hint="default"/>
          <w:sz w:val="21"/>
          <w:szCs w:val="21"/>
        </w:rPr>
        <w:t>；网站指公司指定信息披露网站――巨潮资讯网（</w:t>
      </w:r>
      <w:hyperlink r:id="rId10">
        <w:r>
          <w:rPr>
            <w:rFonts w:ascii="Times New Roman" w:hAnsi="Times New Roman" w:cs="Times New Roman" w:eastAsia="Times New Roman" w:hint="default"/>
            <w:spacing w:val="-1"/>
            <w:w w:val="99"/>
            <w:sz w:val="21"/>
            <w:szCs w:val="21"/>
          </w:rPr>
          <w:t>ww</w:t>
        </w:r>
        <w:r>
          <w:rPr>
            <w:rFonts w:ascii="Times New Roman" w:hAnsi="Times New Roman" w:cs="Times New Roman" w:eastAsia="Times New Roman" w:hint="default"/>
            <w:spacing w:val="-14"/>
            <w:w w:val="99"/>
            <w:sz w:val="21"/>
            <w:szCs w:val="21"/>
          </w:rPr>
          <w:t>w</w:t>
        </w:r>
        <w:r>
          <w:rPr>
            <w:rFonts w:ascii="Times New Roman" w:hAnsi="Times New Roman" w:cs="Times New Roman" w:eastAsia="Times New Roman" w:hint="default"/>
            <w:sz w:val="21"/>
            <w:szCs w:val="21"/>
          </w:rPr>
          <w:t>.cn</w:t>
        </w:r>
        <w:r>
          <w:rPr>
            <w:rFonts w:ascii="Times New Roman" w:hAnsi="Times New Roman" w:cs="Times New Roman" w:eastAsia="Times New Roman" w:hint="default"/>
            <w:spacing w:val="-1"/>
            <w:sz w:val="21"/>
            <w:szCs w:val="21"/>
          </w:rPr>
          <w:t>i</w:t>
        </w:r>
        <w:r>
          <w:rPr>
            <w:rFonts w:ascii="Times New Roman" w:hAnsi="Times New Roman" w:cs="Times New Roman" w:eastAsia="Times New Roman" w:hint="default"/>
            <w:sz w:val="21"/>
            <w:szCs w:val="21"/>
          </w:rPr>
          <w:t>nfo.</w:t>
        </w:r>
        <w:r>
          <w:rPr>
            <w:rFonts w:ascii="Times New Roman" w:hAnsi="Times New Roman" w:cs="Times New Roman" w:eastAsia="Times New Roman" w:hint="default"/>
            <w:spacing w:val="-1"/>
            <w:sz w:val="21"/>
            <w:szCs w:val="21"/>
          </w:rPr>
          <w:t>c</w:t>
        </w:r>
        <w:r>
          <w:rPr>
            <w:rFonts w:ascii="Times New Roman" w:hAnsi="Times New Roman" w:cs="Times New Roman" w:eastAsia="Times New Roman" w:hint="default"/>
            <w:sz w:val="21"/>
            <w:szCs w:val="21"/>
          </w:rPr>
          <w:t>o</w:t>
        </w:r>
        <w:r>
          <w:rPr>
            <w:rFonts w:ascii="Times New Roman" w:hAnsi="Times New Roman" w:cs="Times New Roman" w:eastAsia="Times New Roman" w:hint="default"/>
            <w:spacing w:val="-3"/>
            <w:sz w:val="21"/>
            <w:szCs w:val="21"/>
          </w:rPr>
          <w:t>m</w:t>
        </w:r>
        <w:r>
          <w:rPr>
            <w:rFonts w:ascii="Times New Roman" w:hAnsi="Times New Roman" w:cs="Times New Roman" w:eastAsia="Times New Roman" w:hint="default"/>
            <w:sz w:val="21"/>
            <w:szCs w:val="21"/>
          </w:rPr>
          <w:t>.cn</w:t>
        </w:r>
      </w:hyperlink>
      <w:r>
        <w:rPr>
          <w:rFonts w:ascii="宋体" w:hAnsi="宋体" w:cs="宋体" w:eastAsia="宋体" w:hint="default"/>
          <w:spacing w:val="-105"/>
          <w:sz w:val="21"/>
          <w:szCs w:val="21"/>
        </w:rPr>
        <w:t>）</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79" w:footer="982" w:top="1100" w:bottom="1180" w:left="1420" w:right="1240"/>
        </w:sectPr>
      </w:pPr>
    </w:p>
    <w:p>
      <w:pPr>
        <w:spacing w:line="240" w:lineRule="auto" w:before="8"/>
        <w:rPr>
          <w:rFonts w:ascii="宋体" w:hAnsi="宋体" w:cs="宋体" w:eastAsia="宋体" w:hint="default"/>
          <w:sz w:val="13"/>
          <w:szCs w:val="13"/>
        </w:rPr>
      </w:pPr>
    </w:p>
    <w:p>
      <w:pPr>
        <w:pStyle w:val="Heading1"/>
        <w:tabs>
          <w:tab w:pos="4772" w:val="left" w:leader="none"/>
        </w:tabs>
        <w:spacing w:line="240" w:lineRule="auto"/>
        <w:ind w:left="3492" w:right="87"/>
        <w:jc w:val="left"/>
        <w:rPr>
          <w:b w:val="0"/>
          <w:bCs w:val="0"/>
        </w:rPr>
      </w:pPr>
      <w:bookmarkStart w:name="_TOC_250001" w:id="10"/>
      <w:r>
        <w:rPr>
          <w:w w:val="95"/>
        </w:rPr>
        <w:t>第十节</w:t>
        <w:tab/>
      </w:r>
      <w:r>
        <w:rPr/>
        <w:t>财务报告</w:t>
      </w:r>
      <w:bookmarkEnd w:id="10"/>
      <w:r>
        <w:rPr>
          <w:b w:val="0"/>
          <w:bCs w:val="0"/>
        </w:rPr>
      </w:r>
    </w:p>
    <w:p>
      <w:pPr>
        <w:spacing w:line="240" w:lineRule="auto" w:before="10"/>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79" w:footer="982" w:top="1100" w:bottom="1180" w:left="1500" w:right="1420"/>
        </w:sectPr>
      </w:pPr>
    </w:p>
    <w:p>
      <w:pPr>
        <w:pStyle w:val="BodyText"/>
        <w:spacing w:line="240" w:lineRule="auto" w:before="26"/>
        <w:ind w:left="144" w:right="-20"/>
        <w:jc w:val="left"/>
      </w:pPr>
      <w:r>
        <w:rPr/>
        <w:t>一、审计报告</w:t>
      </w:r>
    </w:p>
    <w:p>
      <w:pPr>
        <w:spacing w:line="240" w:lineRule="auto" w:before="4"/>
        <w:rPr>
          <w:rFonts w:ascii="宋体" w:hAnsi="宋体" w:cs="宋体" w:eastAsia="宋体" w:hint="default"/>
          <w:sz w:val="36"/>
          <w:szCs w:val="36"/>
        </w:rPr>
      </w:pPr>
      <w:r>
        <w:rPr/>
        <w:br w:type="column"/>
      </w:r>
      <w:r>
        <w:rPr>
          <w:rFonts w:ascii="宋体"/>
          <w:sz w:val="36"/>
        </w:rPr>
      </w:r>
    </w:p>
    <w:p>
      <w:pPr>
        <w:spacing w:before="0"/>
        <w:ind w:left="143" w:right="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10"/>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600" w:bottom="280" w:left="1500" w:right="1420"/>
          <w:cols w:num="2" w:equalWidth="0">
            <w:col w:w="1585" w:space="2002"/>
            <w:col w:w="540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line="357" w:lineRule="auto" w:before="26"/>
        <w:ind w:left="623" w:right="87" w:hanging="480"/>
        <w:jc w:val="left"/>
        <w:rPr>
          <w:rFonts w:ascii="宋体" w:hAnsi="宋体" w:cs="宋体" w:eastAsia="宋体" w:hint="default"/>
          <w:sz w:val="24"/>
          <w:szCs w:val="24"/>
        </w:rPr>
      </w:pPr>
      <w:r>
        <w:rPr>
          <w:rFonts w:ascii="宋体" w:hAnsi="宋体" w:cs="宋体" w:eastAsia="宋体" w:hint="default"/>
          <w:b/>
          <w:bCs/>
          <w:sz w:val="24"/>
          <w:szCs w:val="24"/>
        </w:rPr>
        <w:t>苏宁电器股份有限公司全体股东：</w:t>
      </w:r>
      <w:r>
        <w:rPr>
          <w:rFonts w:ascii="宋体" w:hAnsi="宋体" w:cs="宋体" w:eastAsia="宋体" w:hint="default"/>
          <w:b/>
          <w:bCs/>
          <w:w w:val="99"/>
          <w:sz w:val="24"/>
          <w:szCs w:val="24"/>
        </w:rPr>
        <w:t> </w:t>
      </w:r>
      <w:r>
        <w:rPr>
          <w:rFonts w:ascii="宋体" w:hAnsi="宋体" w:cs="宋体" w:eastAsia="宋体" w:hint="default"/>
          <w:sz w:val="24"/>
          <w:szCs w:val="24"/>
        </w:rPr>
        <w:t>我们审计了后附的苏宁电器股份有限公司</w:t>
      </w:r>
      <w:r>
        <w:rPr>
          <w:rFonts w:ascii="Times New Roman" w:hAnsi="Times New Roman" w:cs="Times New Roman" w:eastAsia="Times New Roman" w:hint="default"/>
          <w:sz w:val="24"/>
          <w:szCs w:val="24"/>
        </w:rPr>
        <w:t>(</w:t>
      </w:r>
      <w:r>
        <w:rPr>
          <w:rFonts w:ascii="宋体" w:hAnsi="宋体" w:cs="宋体" w:eastAsia="宋体" w:hint="default"/>
          <w:sz w:val="24"/>
          <w:szCs w:val="24"/>
        </w:rPr>
        <w:t>以下简称“苏宁电器公司”</w:t>
      </w:r>
      <w:r>
        <w:rPr>
          <w:rFonts w:ascii="Times New Roman" w:hAnsi="Times New Roman" w:cs="Times New Roman" w:eastAsia="Times New Roman" w:hint="default"/>
          <w:sz w:val="24"/>
          <w:szCs w:val="24"/>
        </w:rPr>
        <w:t>)</w:t>
      </w:r>
      <w:r>
        <w:rPr>
          <w:rFonts w:ascii="宋体" w:hAnsi="宋体" w:cs="宋体" w:eastAsia="宋体" w:hint="default"/>
          <w:sz w:val="24"/>
          <w:szCs w:val="24"/>
        </w:rPr>
        <w:t>及其子</w:t>
      </w:r>
    </w:p>
    <w:p>
      <w:pPr>
        <w:pStyle w:val="BodyText"/>
        <w:spacing w:line="240" w:lineRule="auto" w:before="5"/>
        <w:ind w:right="87"/>
        <w:jc w:val="left"/>
        <w:rPr>
          <w:rFonts w:ascii="Times New Roman" w:hAnsi="Times New Roman" w:cs="Times New Roman" w:eastAsia="Times New Roman" w:hint="default"/>
        </w:rPr>
      </w:pPr>
      <w:r>
        <w:rPr/>
        <w:t>公司</w:t>
      </w:r>
      <w:r>
        <w:rPr>
          <w:rFonts w:ascii="Times New Roman" w:hAnsi="Times New Roman" w:cs="Times New Roman" w:eastAsia="Times New Roman" w:hint="default"/>
        </w:rPr>
        <w:t>(</w:t>
      </w:r>
      <w:r>
        <w:rPr/>
        <w:t>以下合称“苏宁电器集团”</w:t>
      </w:r>
      <w:r>
        <w:rPr>
          <w:rFonts w:ascii="Times New Roman" w:hAnsi="Times New Roman" w:cs="Times New Roman" w:eastAsia="Times New Roman" w:hint="default"/>
        </w:rPr>
        <w:t>)</w:t>
      </w:r>
      <w:r>
        <w:rPr/>
        <w:t>的合并及母公司财务报表，包括</w:t>
      </w:r>
      <w:r>
        <w:rPr>
          <w:spacing w:val="-6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p>
    <w:p>
      <w:pPr>
        <w:pStyle w:val="BodyText"/>
        <w:spacing w:line="338" w:lineRule="auto" w:before="135"/>
        <w:ind w:right="203"/>
        <w:jc w:val="left"/>
      </w:pPr>
      <w:r>
        <w:rPr/>
        <w:t>日的合并及母公司资产负债表以及 </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年度的合并及母公司利润表、合并及母公 司现金流量表、合并及母公司股东权益变动表和财务报表附注。</w:t>
      </w:r>
    </w:p>
    <w:p>
      <w:pPr>
        <w:pStyle w:val="BodyText"/>
        <w:spacing w:line="357" w:lineRule="auto" w:before="55"/>
        <w:ind w:left="623" w:right="87"/>
        <w:jc w:val="left"/>
      </w:pPr>
      <w:r>
        <w:rPr/>
        <w:t>一、管理层对财务报表的责任 </w:t>
      </w:r>
      <w:r>
        <w:rPr>
          <w:spacing w:val="5"/>
        </w:rPr>
        <w:t>按照企业会计准则的规定编制财务报表是苏宁电器集团和苏宁电器公司管理</w:t>
      </w:r>
      <w:r>
        <w:rPr/>
      </w:r>
    </w:p>
    <w:p>
      <w:pPr>
        <w:pStyle w:val="BodyText"/>
        <w:spacing w:line="240" w:lineRule="auto" w:before="36"/>
        <w:ind w:right="87"/>
        <w:jc w:val="left"/>
      </w:pPr>
      <w:r>
        <w:rPr/>
        <w:t>层的责任。这种责任包括：</w:t>
      </w:r>
    </w:p>
    <w:p>
      <w:pPr>
        <w:pStyle w:val="BodyText"/>
        <w:spacing w:line="338" w:lineRule="auto" w:before="154"/>
        <w:ind w:right="87"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设计、实施和维护与财务报表编制相关的内部控制，以使财务报表不存在</w:t>
      </w:r>
      <w:r>
        <w:rPr>
          <w:spacing w:val="1"/>
          <w:w w:val="99"/>
        </w:rPr>
        <w:t> </w:t>
      </w:r>
      <w:r>
        <w:rPr/>
        <w:t>由于舞弊或错误而导致的重大错报；</w:t>
      </w:r>
    </w:p>
    <w:p>
      <w:pPr>
        <w:pStyle w:val="BodyText"/>
        <w:spacing w:line="240" w:lineRule="auto" w:before="55"/>
        <w:ind w:left="623" w:right="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选择和运用恰当的会计政策；</w:t>
      </w:r>
    </w:p>
    <w:p>
      <w:pPr>
        <w:pStyle w:val="BodyText"/>
        <w:spacing w:line="338" w:lineRule="auto" w:before="135"/>
        <w:ind w:left="623" w:right="555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作出合理的会计估计。</w:t>
      </w:r>
      <w:r>
        <w:rPr>
          <w:spacing w:val="-1"/>
          <w:w w:val="99"/>
        </w:rPr>
        <w:t> </w:t>
      </w:r>
      <w:r>
        <w:rPr/>
        <w:t>二、注册会计师的责任</w:t>
      </w:r>
    </w:p>
    <w:p>
      <w:pPr>
        <w:pStyle w:val="BodyText"/>
        <w:spacing w:line="357" w:lineRule="auto" w:before="55"/>
        <w:ind w:right="221" w:firstLine="480"/>
        <w:jc w:val="both"/>
      </w:pPr>
      <w:r>
        <w:rPr>
          <w:spacing w:val="-1"/>
        </w:rPr>
        <w:t>我们的责任是在实施审计工作的基础上对财务报表发表审计意见。我们按照中</w:t>
      </w:r>
      <w:r>
        <w:rPr/>
        <w:t> </w:t>
      </w:r>
      <w:r>
        <w:rPr>
          <w:spacing w:val="-1"/>
        </w:rPr>
        <w:t>国注册会计师审计准则的规定执行了审计工作。中国注册会计师审计准则要求我们</w:t>
      </w:r>
      <w:r>
        <w:rPr>
          <w:spacing w:val="-106"/>
        </w:rPr>
        <w:t> </w:t>
      </w:r>
      <w:r>
        <w:rPr>
          <w:spacing w:val="-106"/>
        </w:rPr>
      </w:r>
      <w:r>
        <w:rPr>
          <w:spacing w:val="-1"/>
        </w:rPr>
        <w:t>遵守职业道德规范，计划和实施审计工作以对财务报表是否不存在重大错报获取合</w:t>
      </w:r>
      <w:r>
        <w:rPr>
          <w:spacing w:val="-106"/>
        </w:rPr>
        <w:t> </w:t>
      </w:r>
      <w:r>
        <w:rPr>
          <w:spacing w:val="-106"/>
        </w:rPr>
      </w:r>
      <w:r>
        <w:rPr/>
        <w:t>理保证。</w:t>
      </w:r>
    </w:p>
    <w:p>
      <w:pPr>
        <w:pStyle w:val="BodyText"/>
        <w:spacing w:line="357" w:lineRule="auto" w:before="36"/>
        <w:ind w:right="89" w:firstLine="480"/>
        <w:jc w:val="left"/>
      </w:pPr>
      <w:r>
        <w:rPr/>
        <w:t>审计工作涉及实施审计程序，以获取有关财务报表金额和披露的审计证据。选 择的审计程序取决于注册会计师的判断，包括对由于舞弊或错误导致的财务报表重 </w:t>
      </w:r>
      <w:r>
        <w:rPr>
          <w:spacing w:val="-4"/>
        </w:rPr>
        <w:t>大错报风险的评估。在进行风险评估时，我们考虑与财务报表编制相关的内部控制，</w:t>
      </w:r>
      <w:r>
        <w:rPr>
          <w:spacing w:val="-114"/>
        </w:rPr>
        <w:t> </w:t>
      </w:r>
      <w:r>
        <w:rPr>
          <w:spacing w:val="-114"/>
        </w:rPr>
      </w:r>
      <w:r>
        <w:rPr/>
        <w:t>以设计恰当的审计程序，但目的并非对内部控制的有效性发表意见。审计工作还包</w:t>
      </w:r>
      <w:r>
        <w:rPr/>
        <w:t> 括评价管理层选用会计政策的恰当性和作出会计估计的合理性，以及评价财务报表 的总体列报。</w:t>
      </w:r>
    </w:p>
    <w:p>
      <w:pPr>
        <w:pStyle w:val="BodyText"/>
        <w:spacing w:line="240" w:lineRule="auto" w:before="36"/>
        <w:ind w:left="623" w:right="87"/>
        <w:jc w:val="left"/>
      </w:pPr>
      <w:r>
        <w:rPr>
          <w:spacing w:val="-5"/>
        </w:rPr>
        <w:t>我们相信，我们获取的审计证据是充分、适当的，为发表审计意见提供了基础。</w:t>
      </w:r>
    </w:p>
    <w:p>
      <w:pPr>
        <w:spacing w:after="0" w:line="240" w:lineRule="auto"/>
        <w:jc w:val="left"/>
        <w:sectPr>
          <w:type w:val="continuous"/>
          <w:pgSz w:w="11910" w:h="16840"/>
          <w:pgMar w:top="1600" w:bottom="280" w:left="1500" w:right="1420"/>
        </w:sectPr>
      </w:pPr>
    </w:p>
    <w:p>
      <w:pPr>
        <w:spacing w:line="240" w:lineRule="auto" w:before="10"/>
        <w:rPr>
          <w:rFonts w:ascii="宋体" w:hAnsi="宋体" w:cs="宋体" w:eastAsia="宋体" w:hint="default"/>
          <w:sz w:val="10"/>
          <w:szCs w:val="10"/>
        </w:rPr>
      </w:pPr>
    </w:p>
    <w:p>
      <w:pPr>
        <w:pStyle w:val="BodyText"/>
        <w:spacing w:line="357" w:lineRule="auto" w:before="26"/>
        <w:ind w:left="623" w:right="155"/>
        <w:jc w:val="left"/>
      </w:pPr>
      <w:r>
        <w:rPr/>
        <w:t>三、审计意见 </w:t>
      </w:r>
      <w:r>
        <w:rPr>
          <w:spacing w:val="-1"/>
        </w:rPr>
        <w:t>我们认为，上述苏宁电器集团和苏宁电器公司的合并及母公司财务报表已经按</w:t>
      </w:r>
    </w:p>
    <w:p>
      <w:pPr>
        <w:pStyle w:val="BodyText"/>
        <w:spacing w:line="357" w:lineRule="auto" w:before="36"/>
        <w:ind w:right="157"/>
        <w:jc w:val="left"/>
      </w:pPr>
      <w:r>
        <w:rPr>
          <w:spacing w:val="-1"/>
        </w:rPr>
        <w:t>照企业会计准则的规定编制，在所有重大方面公允反映了苏宁电器集团和苏宁电器</w:t>
      </w:r>
      <w:r>
        <w:rPr>
          <w:spacing w:val="-106"/>
        </w:rPr>
        <w:t> </w:t>
      </w:r>
      <w:r>
        <w:rPr>
          <w:spacing w:val="-106"/>
        </w:rPr>
      </w:r>
      <w:r>
        <w:rPr/>
        <w:t>公司</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2007 </w:t>
      </w:r>
      <w:r>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BodyText"/>
        <w:tabs>
          <w:tab w:pos="5303" w:val="left" w:leader="none"/>
          <w:tab w:pos="7583" w:val="left" w:leader="none"/>
        </w:tabs>
        <w:spacing w:line="357" w:lineRule="auto"/>
        <w:ind w:left="623" w:right="258"/>
        <w:jc w:val="left"/>
      </w:pPr>
      <w:r>
        <w:rPr/>
        <w:t>普华永道中天</w:t>
        <w:tab/>
        <w:t>注册会计师：———————— 会计师事务所有限公司</w:t>
        <w:tab/>
        <w:tab/>
        <w:t>柯镇洪</w:t>
      </w:r>
    </w:p>
    <w:p>
      <w:pPr>
        <w:spacing w:line="240" w:lineRule="auto" w:before="0"/>
        <w:rPr>
          <w:rFonts w:ascii="宋体" w:hAnsi="宋体" w:cs="宋体" w:eastAsia="宋体" w:hint="default"/>
          <w:sz w:val="24"/>
          <w:szCs w:val="24"/>
        </w:rPr>
      </w:pPr>
    </w:p>
    <w:p>
      <w:pPr>
        <w:pStyle w:val="BodyText"/>
        <w:tabs>
          <w:tab w:pos="5293" w:val="left" w:leader="none"/>
        </w:tabs>
        <w:spacing w:line="357" w:lineRule="auto" w:before="190"/>
        <w:ind w:left="7562" w:right="161" w:hanging="6939"/>
        <w:jc w:val="left"/>
      </w:pPr>
      <w:r>
        <w:rPr/>
        <w:t>中国•</w:t>
      </w:r>
      <w:r>
        <w:rPr>
          <w:spacing w:val="-11"/>
        </w:rPr>
        <w:t> </w:t>
      </w:r>
      <w:r>
        <w:rPr/>
        <w:t>上海市</w:t>
        <w:tab/>
        <w:t>注册会计师：</w:t>
      </w:r>
      <w:r>
        <w:rPr>
          <w:spacing w:val="-11"/>
        </w:rPr>
        <w:t> </w:t>
      </w:r>
      <w:r>
        <w:rPr/>
        <w:t>————————</w:t>
      </w:r>
      <w:r>
        <w:rPr/>
        <w:t> 邓锡麟</w:t>
      </w:r>
    </w:p>
    <w:p>
      <w:pPr>
        <w:pStyle w:val="BodyText"/>
        <w:spacing w:line="240" w:lineRule="auto" w:before="36"/>
        <w:ind w:left="623" w:right="2428"/>
        <w:jc w:val="left"/>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28 </w:t>
      </w:r>
      <w:r>
        <w:rPr/>
        <w:t>日</w:t>
      </w:r>
      <w:r>
        <w:rPr>
          <w:spacing w:val="60"/>
        </w:rPr>
        <w:t> </w:t>
      </w:r>
      <w:r>
        <w:rPr/>
        <w:t>注册会计师</w:t>
      </w:r>
    </w:p>
    <w:p>
      <w:pPr>
        <w:spacing w:after="0" w:line="240" w:lineRule="auto"/>
        <w:jc w:val="left"/>
        <w:sectPr>
          <w:pgSz w:w="11910" w:h="16840"/>
          <w:pgMar w:header="879" w:footer="982" w:top="1100" w:bottom="1180" w:left="1500" w:right="1480"/>
        </w:sectPr>
      </w:pPr>
    </w:p>
    <w:p>
      <w:pPr>
        <w:spacing w:line="240" w:lineRule="auto" w:before="10"/>
        <w:rPr>
          <w:rFonts w:ascii="宋体" w:hAnsi="宋体" w:cs="宋体" w:eastAsia="宋体" w:hint="default"/>
          <w:sz w:val="10"/>
          <w:szCs w:val="10"/>
        </w:rPr>
      </w:pPr>
    </w:p>
    <w:p>
      <w:pPr>
        <w:pStyle w:val="BodyText"/>
        <w:spacing w:line="240" w:lineRule="auto" w:before="26"/>
        <w:ind w:left="144" w:right="2428"/>
        <w:jc w:val="left"/>
      </w:pPr>
      <w:r>
        <w:rPr/>
        <w:t>二、经审计的会计报表及其附注</w:t>
      </w:r>
    </w:p>
    <w:p>
      <w:pPr>
        <w:spacing w:line="240" w:lineRule="auto" w:before="12"/>
        <w:rPr>
          <w:rFonts w:ascii="宋体" w:hAnsi="宋体" w:cs="宋体" w:eastAsia="宋体" w:hint="default"/>
          <w:sz w:val="15"/>
          <w:szCs w:val="15"/>
        </w:rPr>
      </w:pPr>
    </w:p>
    <w:p>
      <w:pPr>
        <w:spacing w:line="9074" w:lineRule="exact"/>
        <w:ind w:left="144" w:right="0" w:firstLine="0"/>
        <w:rPr>
          <w:rFonts w:ascii="宋体" w:hAnsi="宋体" w:cs="宋体" w:eastAsia="宋体" w:hint="default"/>
          <w:sz w:val="20"/>
          <w:szCs w:val="20"/>
        </w:rPr>
      </w:pPr>
      <w:r>
        <w:rPr>
          <w:rFonts w:ascii="宋体" w:hAnsi="宋体" w:cs="宋体" w:eastAsia="宋体" w:hint="default"/>
          <w:position w:val="-180"/>
          <w:sz w:val="20"/>
          <w:szCs w:val="20"/>
        </w:rPr>
        <w:drawing>
          <wp:inline distT="0" distB="0" distL="0" distR="0">
            <wp:extent cx="5408607" cy="5762244"/>
            <wp:effectExtent l="0" t="0" r="0" b="0"/>
            <wp:docPr id="3" name="image9.png" descr=""/>
            <wp:cNvGraphicFramePr>
              <a:graphicFrameLocks noChangeAspect="1"/>
            </wp:cNvGraphicFramePr>
            <a:graphic>
              <a:graphicData uri="http://schemas.openxmlformats.org/drawingml/2006/picture">
                <pic:pic>
                  <pic:nvPicPr>
                    <pic:cNvPr id="4" name="image9.png"/>
                    <pic:cNvPicPr/>
                  </pic:nvPicPr>
                  <pic:blipFill>
                    <a:blip r:embed="rId22" cstate="print"/>
                    <a:stretch>
                      <a:fillRect/>
                    </a:stretch>
                  </pic:blipFill>
                  <pic:spPr>
                    <a:xfrm>
                      <a:off x="0" y="0"/>
                      <a:ext cx="5408607" cy="5762244"/>
                    </a:xfrm>
                    <a:prstGeom prst="rect">
                      <a:avLst/>
                    </a:prstGeom>
                  </pic:spPr>
                </pic:pic>
              </a:graphicData>
            </a:graphic>
          </wp:inline>
        </w:drawing>
      </w:r>
      <w:r>
        <w:rPr>
          <w:rFonts w:ascii="宋体" w:hAnsi="宋体" w:cs="宋体" w:eastAsia="宋体" w:hint="default"/>
          <w:position w:val="-180"/>
          <w:sz w:val="20"/>
          <w:szCs w:val="20"/>
        </w:rPr>
      </w:r>
    </w:p>
    <w:p>
      <w:pPr>
        <w:spacing w:after="0" w:line="9074" w:lineRule="exact"/>
        <w:rPr>
          <w:rFonts w:ascii="宋体" w:hAnsi="宋体" w:cs="宋体" w:eastAsia="宋体" w:hint="default"/>
          <w:sz w:val="20"/>
          <w:szCs w:val="20"/>
        </w:rPr>
        <w:sectPr>
          <w:pgSz w:w="11910" w:h="16840"/>
          <w:pgMar w:header="879" w:footer="982" w:top="1100" w:bottom="1180" w:left="1500" w:right="1480"/>
        </w:sectPr>
      </w:pPr>
    </w:p>
    <w:p>
      <w:pPr>
        <w:spacing w:line="240" w:lineRule="auto" w:before="6"/>
        <w:rPr>
          <w:rFonts w:ascii="Times New Roman" w:hAnsi="Times New Roman" w:cs="Times New Roman" w:eastAsia="Times New Roman" w:hint="default"/>
          <w:sz w:val="11"/>
          <w:szCs w:val="11"/>
        </w:rPr>
      </w:pPr>
    </w:p>
    <w:p>
      <w:pPr>
        <w:spacing w:line="8323"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5"/>
          <w:sz w:val="20"/>
          <w:szCs w:val="20"/>
        </w:rPr>
        <w:drawing>
          <wp:inline distT="0" distB="0" distL="0" distR="0">
            <wp:extent cx="5407338" cy="5285232"/>
            <wp:effectExtent l="0" t="0" r="0" b="0"/>
            <wp:docPr id="5" name="image10.png" descr=""/>
            <wp:cNvGraphicFramePr>
              <a:graphicFrameLocks noChangeAspect="1"/>
            </wp:cNvGraphicFramePr>
            <a:graphic>
              <a:graphicData uri="http://schemas.openxmlformats.org/drawingml/2006/picture">
                <pic:pic>
                  <pic:nvPicPr>
                    <pic:cNvPr id="6" name="image10.png"/>
                    <pic:cNvPicPr/>
                  </pic:nvPicPr>
                  <pic:blipFill>
                    <a:blip r:embed="rId23" cstate="print"/>
                    <a:stretch>
                      <a:fillRect/>
                    </a:stretch>
                  </pic:blipFill>
                  <pic:spPr>
                    <a:xfrm>
                      <a:off x="0" y="0"/>
                      <a:ext cx="5407338" cy="5285232"/>
                    </a:xfrm>
                    <a:prstGeom prst="rect">
                      <a:avLst/>
                    </a:prstGeom>
                  </pic:spPr>
                </pic:pic>
              </a:graphicData>
            </a:graphic>
          </wp:inline>
        </w:drawing>
      </w:r>
      <w:r>
        <w:rPr>
          <w:rFonts w:ascii="Times New Roman" w:hAnsi="Times New Roman" w:cs="Times New Roman" w:eastAsia="Times New Roman" w:hint="default"/>
          <w:position w:val="-165"/>
          <w:sz w:val="20"/>
          <w:szCs w:val="20"/>
        </w:rPr>
      </w:r>
    </w:p>
    <w:p>
      <w:pPr>
        <w:spacing w:after="0" w:line="8323" w:lineRule="exact"/>
        <w:rPr>
          <w:rFonts w:ascii="Times New Roman" w:hAnsi="Times New Roman" w:cs="Times New Roman" w:eastAsia="Times New Roman" w:hint="default"/>
          <w:sz w:val="20"/>
          <w:szCs w:val="20"/>
        </w:rPr>
        <w:sectPr>
          <w:pgSz w:w="11910" w:h="16840"/>
          <w:pgMar w:header="879" w:footer="982" w:top="1100" w:bottom="1180" w:left="1500" w:right="14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spacing w:line="7142"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2"/>
          <w:sz w:val="20"/>
          <w:szCs w:val="20"/>
        </w:rPr>
        <w:drawing>
          <wp:inline distT="0" distB="0" distL="0" distR="0">
            <wp:extent cx="5431300" cy="4535424"/>
            <wp:effectExtent l="0" t="0" r="0" b="0"/>
            <wp:docPr id="7" name="image11.png" descr=""/>
            <wp:cNvGraphicFramePr>
              <a:graphicFrameLocks noChangeAspect="1"/>
            </wp:cNvGraphicFramePr>
            <a:graphic>
              <a:graphicData uri="http://schemas.openxmlformats.org/drawingml/2006/picture">
                <pic:pic>
                  <pic:nvPicPr>
                    <pic:cNvPr id="8" name="image11.png"/>
                    <pic:cNvPicPr/>
                  </pic:nvPicPr>
                  <pic:blipFill>
                    <a:blip r:embed="rId24" cstate="print"/>
                    <a:stretch>
                      <a:fillRect/>
                    </a:stretch>
                  </pic:blipFill>
                  <pic:spPr>
                    <a:xfrm>
                      <a:off x="0" y="0"/>
                      <a:ext cx="5431300" cy="4535424"/>
                    </a:xfrm>
                    <a:prstGeom prst="rect">
                      <a:avLst/>
                    </a:prstGeom>
                  </pic:spPr>
                </pic:pic>
              </a:graphicData>
            </a:graphic>
          </wp:inline>
        </w:drawing>
      </w:r>
      <w:r>
        <w:rPr>
          <w:rFonts w:ascii="Times New Roman" w:hAnsi="Times New Roman" w:cs="Times New Roman" w:eastAsia="Times New Roman" w:hint="default"/>
          <w:position w:val="-142"/>
          <w:sz w:val="20"/>
          <w:szCs w:val="20"/>
        </w:rPr>
      </w:r>
    </w:p>
    <w:p>
      <w:pPr>
        <w:spacing w:after="0" w:line="7142" w:lineRule="exact"/>
        <w:rPr>
          <w:rFonts w:ascii="Times New Roman" w:hAnsi="Times New Roman" w:cs="Times New Roman" w:eastAsia="Times New Roman" w:hint="default"/>
          <w:sz w:val="20"/>
          <w:szCs w:val="20"/>
        </w:rPr>
        <w:sectPr>
          <w:pgSz w:w="11910" w:h="16840"/>
          <w:pgMar w:header="879" w:footer="982" w:top="1100" w:bottom="1180" w:left="1500" w:right="1480"/>
        </w:sectPr>
      </w:pPr>
    </w:p>
    <w:p>
      <w:pPr>
        <w:spacing w:line="240" w:lineRule="auto" w:before="9"/>
        <w:rPr>
          <w:rFonts w:ascii="Times New Roman" w:hAnsi="Times New Roman" w:cs="Times New Roman" w:eastAsia="Times New Roman" w:hint="default"/>
          <w:sz w:val="21"/>
          <w:szCs w:val="21"/>
        </w:rPr>
      </w:pPr>
    </w:p>
    <w:p>
      <w:pPr>
        <w:spacing w:line="9603" w:lineRule="exact"/>
        <w:ind w:left="1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1"/>
          <w:sz w:val="20"/>
          <w:szCs w:val="20"/>
        </w:rPr>
        <w:drawing>
          <wp:inline distT="0" distB="0" distL="0" distR="0">
            <wp:extent cx="5392640" cy="6098381"/>
            <wp:effectExtent l="0" t="0" r="0" b="0"/>
            <wp:docPr id="9" name="image12.png" descr=""/>
            <wp:cNvGraphicFramePr>
              <a:graphicFrameLocks noChangeAspect="1"/>
            </wp:cNvGraphicFramePr>
            <a:graphic>
              <a:graphicData uri="http://schemas.openxmlformats.org/drawingml/2006/picture">
                <pic:pic>
                  <pic:nvPicPr>
                    <pic:cNvPr id="10" name="image12.png"/>
                    <pic:cNvPicPr/>
                  </pic:nvPicPr>
                  <pic:blipFill>
                    <a:blip r:embed="rId25" cstate="print"/>
                    <a:stretch>
                      <a:fillRect/>
                    </a:stretch>
                  </pic:blipFill>
                  <pic:spPr>
                    <a:xfrm>
                      <a:off x="0" y="0"/>
                      <a:ext cx="5392640" cy="6098381"/>
                    </a:xfrm>
                    <a:prstGeom prst="rect">
                      <a:avLst/>
                    </a:prstGeom>
                  </pic:spPr>
                </pic:pic>
              </a:graphicData>
            </a:graphic>
          </wp:inline>
        </w:drawing>
      </w:r>
      <w:r>
        <w:rPr>
          <w:rFonts w:ascii="Times New Roman" w:hAnsi="Times New Roman" w:cs="Times New Roman" w:eastAsia="Times New Roman" w:hint="default"/>
          <w:position w:val="-191"/>
          <w:sz w:val="20"/>
          <w:szCs w:val="20"/>
        </w:rPr>
      </w:r>
    </w:p>
    <w:p>
      <w:pPr>
        <w:spacing w:after="0" w:line="9603" w:lineRule="exact"/>
        <w:rPr>
          <w:rFonts w:ascii="Times New Roman" w:hAnsi="Times New Roman" w:cs="Times New Roman" w:eastAsia="Times New Roman" w:hint="default"/>
          <w:sz w:val="20"/>
          <w:szCs w:val="20"/>
        </w:rPr>
        <w:sectPr>
          <w:pgSz w:w="11910" w:h="16840"/>
          <w:pgMar w:header="879" w:footer="982" w:top="1100" w:bottom="1180" w:left="1500" w:right="1480"/>
        </w:sectPr>
      </w:pPr>
    </w:p>
    <w:p>
      <w:pPr>
        <w:spacing w:line="240" w:lineRule="auto" w:before="3"/>
        <w:rPr>
          <w:rFonts w:ascii="Times New Roman" w:hAnsi="Times New Roman" w:cs="Times New Roman" w:eastAsia="Times New Roman" w:hint="default"/>
          <w:sz w:val="14"/>
          <w:szCs w:val="14"/>
        </w:rPr>
      </w:pPr>
    </w:p>
    <w:p>
      <w:pPr>
        <w:spacing w:line="8913" w:lineRule="exact"/>
        <w:ind w:left="1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7"/>
          <w:sz w:val="20"/>
          <w:szCs w:val="20"/>
        </w:rPr>
        <w:drawing>
          <wp:inline distT="0" distB="0" distL="0" distR="0">
            <wp:extent cx="5434395" cy="5659945"/>
            <wp:effectExtent l="0" t="0" r="0" b="0"/>
            <wp:docPr id="11" name="image13.png" descr=""/>
            <wp:cNvGraphicFramePr>
              <a:graphicFrameLocks noChangeAspect="1"/>
            </wp:cNvGraphicFramePr>
            <a:graphic>
              <a:graphicData uri="http://schemas.openxmlformats.org/drawingml/2006/picture">
                <pic:pic>
                  <pic:nvPicPr>
                    <pic:cNvPr id="12" name="image13.png"/>
                    <pic:cNvPicPr/>
                  </pic:nvPicPr>
                  <pic:blipFill>
                    <a:blip r:embed="rId26" cstate="print"/>
                    <a:stretch>
                      <a:fillRect/>
                    </a:stretch>
                  </pic:blipFill>
                  <pic:spPr>
                    <a:xfrm>
                      <a:off x="0" y="0"/>
                      <a:ext cx="5434395" cy="5659945"/>
                    </a:xfrm>
                    <a:prstGeom prst="rect">
                      <a:avLst/>
                    </a:prstGeom>
                  </pic:spPr>
                </pic:pic>
              </a:graphicData>
            </a:graphic>
          </wp:inline>
        </w:drawing>
      </w:r>
      <w:r>
        <w:rPr>
          <w:rFonts w:ascii="Times New Roman" w:hAnsi="Times New Roman" w:cs="Times New Roman" w:eastAsia="Times New Roman" w:hint="default"/>
          <w:position w:val="-177"/>
          <w:sz w:val="20"/>
          <w:szCs w:val="20"/>
        </w:rPr>
      </w:r>
    </w:p>
    <w:p>
      <w:pPr>
        <w:spacing w:after="0" w:line="8913" w:lineRule="exact"/>
        <w:rPr>
          <w:rFonts w:ascii="Times New Roman" w:hAnsi="Times New Roman" w:cs="Times New Roman" w:eastAsia="Times New Roman" w:hint="default"/>
          <w:sz w:val="20"/>
          <w:szCs w:val="20"/>
        </w:rPr>
        <w:sectPr>
          <w:pgSz w:w="11910" w:h="16840"/>
          <w:pgMar w:header="879" w:footer="982" w:top="1100" w:bottom="1180" w:left="1500" w:right="1480"/>
        </w:sectPr>
      </w:pPr>
    </w:p>
    <w:p>
      <w:pPr>
        <w:spacing w:line="240" w:lineRule="auto" w:before="2"/>
        <w:rPr>
          <w:rFonts w:ascii="Times New Roman" w:hAnsi="Times New Roman" w:cs="Times New Roman" w:eastAsia="Times New Roman" w:hint="default"/>
          <w:sz w:val="3"/>
          <w:szCs w:val="3"/>
        </w:rPr>
      </w:pPr>
    </w:p>
    <w:p>
      <w:pPr>
        <w:spacing w:line="8558" w:lineRule="exact"/>
        <w:ind w:left="1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0"/>
          <w:sz w:val="20"/>
          <w:szCs w:val="20"/>
        </w:rPr>
        <w:pict>
          <v:group style="width:440.65pt;height:427.95pt;mso-position-horizontal-relative:char;mso-position-vertical-relative:line" coordorigin="0,0" coordsize="8813,8559">
            <v:group style="position:absolute;left:7;top:7;width:8799;height:2" coordorigin="7,7" coordsize="8799,2">
              <v:shape style="position:absolute;left:7;top:7;width:8799;height:2" coordorigin="7,7" coordsize="8799,0" path="m7,7l8806,7e" filled="false" stroked="true" strokeweight=".71997pt" strokecolor="#000000">
                <v:path arrowok="t"/>
              </v:shape>
              <v:shape style="position:absolute;left:37;top:13;width:8615;height:8545" type="#_x0000_t75" stroked="false">
                <v:imagedata r:id="rId29" o:title=""/>
              </v:shape>
            </v:group>
          </v:group>
        </w:pict>
      </w:r>
      <w:r>
        <w:rPr>
          <w:rFonts w:ascii="Times New Roman" w:hAnsi="Times New Roman" w:cs="Times New Roman" w:eastAsia="Times New Roman" w:hint="default"/>
          <w:position w:val="-170"/>
          <w:sz w:val="20"/>
          <w:szCs w:val="20"/>
        </w:rPr>
      </w:r>
    </w:p>
    <w:p>
      <w:pPr>
        <w:spacing w:after="0" w:line="8558" w:lineRule="exact"/>
        <w:rPr>
          <w:rFonts w:ascii="Times New Roman" w:hAnsi="Times New Roman" w:cs="Times New Roman" w:eastAsia="Times New Roman" w:hint="default"/>
          <w:sz w:val="20"/>
          <w:szCs w:val="20"/>
        </w:rPr>
        <w:sectPr>
          <w:headerReference w:type="default" r:id="rId27"/>
          <w:footerReference w:type="default" r:id="rId28"/>
          <w:pgSz w:w="11910" w:h="16840"/>
          <w:pgMar w:header="1458" w:footer="708" w:top="1640" w:bottom="900" w:left="1580" w:right="1280"/>
          <w:pgNumType w:start="95"/>
        </w:sectPr>
      </w:pPr>
    </w:p>
    <w:p>
      <w:pPr>
        <w:pStyle w:val="BodyText"/>
        <w:spacing w:line="240" w:lineRule="auto" w:before="12"/>
        <w:ind w:left="709" w:right="-20"/>
        <w:jc w:val="left"/>
      </w:pPr>
      <w:r>
        <w:rPr/>
        <w:pict>
          <v:group style="position:absolute;margin-left:84.959999pt;margin-top:2.195945pt;width:439.95pt;height:.1pt;mso-position-horizontal-relative:page;mso-position-vertical-relative:paragraph;z-index:-577888" coordorigin="1699,44" coordsize="8799,2">
            <v:shape style="position:absolute;left:1699;top:44;width:8799;height:2" coordorigin="1699,44" coordsize="8799,0" path="m1699,44l10498,44e" filled="false" stroked="true" strokeweight=".71997pt" strokecolor="#000000">
              <v:path arrowok="t"/>
            </v:shape>
            <w10:wrap type="none"/>
          </v:group>
        </w:pict>
      </w:r>
      <w:r>
        <w:rPr/>
        <w:t>三、会计报表附注</w:t>
      </w:r>
    </w:p>
    <w:p>
      <w:pPr>
        <w:spacing w:line="240" w:lineRule="auto" w:before="4"/>
        <w:rPr>
          <w:rFonts w:ascii="宋体" w:hAnsi="宋体" w:cs="宋体" w:eastAsia="宋体" w:hint="default"/>
          <w:sz w:val="35"/>
          <w:szCs w:val="35"/>
        </w:rPr>
      </w:pPr>
      <w:r>
        <w:rPr/>
        <w:br w:type="column"/>
      </w:r>
      <w:r>
        <w:rPr>
          <w:rFonts w:ascii="宋体"/>
          <w:sz w:val="35"/>
        </w:rPr>
      </w:r>
    </w:p>
    <w:p>
      <w:pPr>
        <w:spacing w:line="240" w:lineRule="auto" w:before="0"/>
        <w:ind w:left="672" w:right="3128" w:firstLine="0"/>
        <w:jc w:val="center"/>
        <w:rPr>
          <w:rFonts w:ascii="宋体" w:hAnsi="宋体" w:cs="宋体" w:eastAsia="宋体" w:hint="default"/>
          <w:sz w:val="32"/>
          <w:szCs w:val="32"/>
        </w:rPr>
      </w:pPr>
      <w:r>
        <w:rPr>
          <w:rFonts w:ascii="宋体" w:hAnsi="宋体" w:cs="宋体" w:eastAsia="宋体" w:hint="default"/>
          <w:b/>
          <w:bCs/>
          <w:w w:val="95"/>
          <w:sz w:val="36"/>
          <w:szCs w:val="36"/>
        </w:rPr>
        <w:t>苏宁电器股份有限公司</w:t>
      </w:r>
      <w:r>
        <w:rPr>
          <w:rFonts w:ascii="宋体" w:hAnsi="宋体" w:cs="宋体" w:eastAsia="宋体" w:hint="default"/>
          <w:b/>
          <w:bCs/>
          <w:spacing w:val="-12"/>
          <w:w w:val="95"/>
          <w:sz w:val="36"/>
          <w:szCs w:val="36"/>
        </w:rPr>
        <w:t> </w:t>
      </w:r>
      <w:r>
        <w:rPr>
          <w:rFonts w:ascii="宋体" w:hAnsi="宋体" w:cs="宋体" w:eastAsia="宋体" w:hint="default"/>
          <w:b/>
          <w:bCs/>
          <w:sz w:val="36"/>
          <w:szCs w:val="36"/>
        </w:rPr>
        <w:t>财务报表附注</w:t>
      </w:r>
      <w:r>
        <w:rPr>
          <w:rFonts w:ascii="宋体" w:hAnsi="宋体" w:cs="宋体" w:eastAsia="宋体" w:hint="default"/>
          <w:b/>
          <w:bCs/>
          <w:w w:val="99"/>
          <w:sz w:val="36"/>
          <w:szCs w:val="36"/>
        </w:rPr>
        <w:t> </w:t>
      </w:r>
      <w:r>
        <w:rPr>
          <w:rFonts w:ascii="宋体" w:hAnsi="宋体" w:cs="宋体" w:eastAsia="宋体" w:hint="default"/>
          <w:b/>
          <w:bCs/>
          <w:sz w:val="32"/>
          <w:szCs w:val="32"/>
        </w:rPr>
        <w:t>二零零七年度</w:t>
      </w:r>
      <w:r>
        <w:rPr>
          <w:rFonts w:ascii="宋体" w:hAnsi="宋体" w:cs="宋体" w:eastAsia="宋体" w:hint="default"/>
          <w:sz w:val="32"/>
          <w:szCs w:val="32"/>
        </w:rPr>
      </w:r>
    </w:p>
    <w:p>
      <w:pPr>
        <w:pStyle w:val="BodyText"/>
        <w:spacing w:line="240" w:lineRule="auto" w:before="10"/>
        <w:ind w:left="110" w:right="2564"/>
        <w:jc w:val="center"/>
      </w:pPr>
      <w:r>
        <w:rPr/>
        <w:t>（除特别注明外，金额单位为人民币千元）</w:t>
      </w:r>
    </w:p>
    <w:p>
      <w:pPr>
        <w:spacing w:after="0" w:line="240" w:lineRule="auto"/>
        <w:jc w:val="center"/>
        <w:sectPr>
          <w:pgSz w:w="11910" w:h="16840"/>
          <w:pgMar w:header="1458" w:footer="708" w:top="1640" w:bottom="900" w:left="1020" w:right="940"/>
          <w:cols w:num="2" w:equalWidth="0">
            <w:col w:w="2630" w:space="40"/>
            <w:col w:w="7280"/>
          </w:cols>
        </w:sectPr>
      </w:pPr>
    </w:p>
    <w:p>
      <w:pPr>
        <w:spacing w:line="240" w:lineRule="auto" w:before="3"/>
        <w:rPr>
          <w:rFonts w:ascii="宋体" w:hAnsi="宋体" w:cs="宋体" w:eastAsia="宋体" w:hint="default"/>
          <w:sz w:val="28"/>
          <w:szCs w:val="28"/>
        </w:rPr>
      </w:pPr>
    </w:p>
    <w:p>
      <w:pPr>
        <w:pStyle w:val="Heading2"/>
        <w:tabs>
          <w:tab w:pos="817" w:val="left" w:leader="none"/>
        </w:tabs>
        <w:spacing w:line="240" w:lineRule="auto"/>
        <w:ind w:right="3845"/>
        <w:jc w:val="left"/>
        <w:rPr>
          <w:b w:val="0"/>
          <w:bCs w:val="0"/>
        </w:rPr>
      </w:pPr>
      <w:r>
        <w:rPr>
          <w:w w:val="95"/>
        </w:rPr>
        <w:t>一</w:t>
        <w:tab/>
      </w:r>
      <w:r>
        <w:rPr/>
        <w:t>公司基本情况</w:t>
      </w:r>
      <w:r>
        <w:rPr>
          <w:b w:val="0"/>
          <w:bCs w:val="0"/>
        </w:rPr>
      </w:r>
    </w:p>
    <w:p>
      <w:pPr>
        <w:spacing w:line="240" w:lineRule="auto" w:before="7"/>
        <w:rPr>
          <w:rFonts w:ascii="宋体" w:hAnsi="宋体" w:cs="宋体" w:eastAsia="宋体" w:hint="default"/>
          <w:b/>
          <w:bCs/>
          <w:sz w:val="23"/>
          <w:szCs w:val="23"/>
        </w:rPr>
      </w:pPr>
    </w:p>
    <w:p>
      <w:pPr>
        <w:pStyle w:val="BodyText"/>
        <w:spacing w:line="312" w:lineRule="exact"/>
        <w:ind w:left="817" w:right="122"/>
        <w:jc w:val="both"/>
      </w:pPr>
      <w:r>
        <w:rPr/>
        <w:t>苏宁电器股份有限公司</w:t>
      </w:r>
      <w:r>
        <w:rPr>
          <w:spacing w:val="-2"/>
        </w:rPr>
        <w:t> </w:t>
      </w:r>
      <w:r>
        <w:rPr>
          <w:rFonts w:ascii="Arial" w:hAnsi="Arial" w:cs="Arial" w:eastAsia="Arial" w:hint="default"/>
        </w:rPr>
        <w:t>(</w:t>
      </w:r>
      <w:r>
        <w:rPr/>
        <w:t>以下简称</w:t>
      </w:r>
      <w:r>
        <w:rPr>
          <w:rFonts w:ascii="Arial" w:hAnsi="Arial" w:cs="Arial" w:eastAsia="Arial" w:hint="default"/>
        </w:rPr>
        <w:t>“</w:t>
      </w:r>
      <w:r>
        <w:rPr/>
        <w:t>本公司</w:t>
      </w:r>
      <w:r>
        <w:rPr>
          <w:rFonts w:ascii="Arial" w:hAnsi="Arial" w:cs="Arial" w:eastAsia="Arial" w:hint="default"/>
        </w:rPr>
        <w:t>”)</w:t>
      </w:r>
      <w:r>
        <w:rPr/>
        <w:t>的前身系于</w:t>
      </w:r>
      <w:r>
        <w:rPr>
          <w:spacing w:val="-51"/>
        </w:rPr>
        <w:t> </w:t>
      </w:r>
      <w:r>
        <w:rPr>
          <w:rFonts w:ascii="Arial" w:hAnsi="Arial" w:cs="Arial" w:eastAsia="Arial" w:hint="default"/>
        </w:rPr>
        <w:t>1996</w:t>
      </w:r>
      <w:r>
        <w:rPr>
          <w:rFonts w:ascii="Arial" w:hAnsi="Arial" w:cs="Arial" w:eastAsia="Arial" w:hint="default"/>
          <w:spacing w:val="3"/>
        </w:rPr>
        <w:t> </w:t>
      </w:r>
      <w:r>
        <w:rPr/>
        <w:t>年</w:t>
      </w:r>
      <w:r>
        <w:rPr>
          <w:spacing w:val="-51"/>
        </w:rPr>
        <w:t> </w:t>
      </w:r>
      <w:r>
        <w:rPr>
          <w:rFonts w:ascii="Arial" w:hAnsi="Arial" w:cs="Arial" w:eastAsia="Arial" w:hint="default"/>
        </w:rPr>
        <w:t>5</w:t>
      </w:r>
      <w:r>
        <w:rPr>
          <w:rFonts w:ascii="Arial" w:hAnsi="Arial" w:cs="Arial" w:eastAsia="Arial" w:hint="default"/>
          <w:spacing w:val="4"/>
        </w:rPr>
        <w:t> </w:t>
      </w:r>
      <w:r>
        <w:rPr/>
        <w:t>月</w:t>
      </w:r>
      <w:r>
        <w:rPr>
          <w:spacing w:val="-51"/>
        </w:rPr>
        <w:t> </w:t>
      </w:r>
      <w:r>
        <w:rPr>
          <w:rFonts w:ascii="Arial" w:hAnsi="Arial" w:cs="Arial" w:eastAsia="Arial" w:hint="default"/>
        </w:rPr>
        <w:t>15</w:t>
      </w:r>
      <w:r>
        <w:rPr>
          <w:rFonts w:ascii="Arial" w:hAnsi="Arial" w:cs="Arial" w:eastAsia="Arial" w:hint="default"/>
          <w:spacing w:val="2"/>
        </w:rPr>
        <w:t> </w:t>
      </w:r>
      <w:r>
        <w:rPr/>
        <w:t>日在中华人民 </w:t>
      </w:r>
      <w:r>
        <w:rPr>
          <w:spacing w:val="2"/>
        </w:rPr>
        <w:t>共和国江苏省南京市注册成立的江苏苏宁交家电有限公司，成立时的注册资本为人民</w:t>
      </w:r>
      <w:r>
        <w:rPr>
          <w:spacing w:val="-85"/>
        </w:rPr>
        <w:t> </w:t>
      </w:r>
      <w:r>
        <w:rPr>
          <w:spacing w:val="-85"/>
        </w:rPr>
      </w:r>
      <w:r>
        <w:rPr/>
        <w:t>币</w:t>
      </w:r>
      <w:r>
        <w:rPr>
          <w:spacing w:val="-63"/>
        </w:rPr>
        <w:t> </w:t>
      </w:r>
      <w:r>
        <w:rPr>
          <w:rFonts w:ascii="Arial" w:hAnsi="Arial" w:cs="Arial" w:eastAsia="Arial" w:hint="default"/>
        </w:rPr>
        <w:t>120</w:t>
      </w:r>
      <w:r>
        <w:rPr>
          <w:rFonts w:ascii="Arial" w:hAnsi="Arial" w:cs="Arial" w:eastAsia="Arial" w:hint="default"/>
          <w:spacing w:val="-10"/>
        </w:rPr>
        <w:t> </w:t>
      </w:r>
      <w:r>
        <w:rPr/>
        <w:t>万元。于</w:t>
      </w:r>
      <w:r>
        <w:rPr>
          <w:spacing w:val="-63"/>
        </w:rPr>
        <w:t> </w:t>
      </w:r>
      <w:r>
        <w:rPr>
          <w:rFonts w:ascii="Arial" w:hAnsi="Arial" w:cs="Arial" w:eastAsia="Arial" w:hint="default"/>
        </w:rPr>
        <w:t>2000</w:t>
      </w:r>
      <w:r>
        <w:rPr>
          <w:rFonts w:ascii="Arial" w:hAnsi="Arial" w:cs="Arial" w:eastAsia="Arial" w:hint="default"/>
          <w:spacing w:val="-10"/>
        </w:rPr>
        <w:t> </w:t>
      </w:r>
      <w:r>
        <w:rPr/>
        <w:t>年</w:t>
      </w:r>
      <w:r>
        <w:rPr>
          <w:spacing w:val="-63"/>
        </w:rPr>
        <w:t> </w:t>
      </w:r>
      <w:r>
        <w:rPr>
          <w:rFonts w:ascii="Arial" w:hAnsi="Arial" w:cs="Arial" w:eastAsia="Arial" w:hint="default"/>
        </w:rPr>
        <w:t>7</w:t>
      </w:r>
      <w:r>
        <w:rPr>
          <w:rFonts w:ascii="Arial" w:hAnsi="Arial" w:cs="Arial" w:eastAsia="Arial" w:hint="default"/>
          <w:spacing w:val="-10"/>
        </w:rPr>
        <w:t> </w:t>
      </w:r>
      <w:r>
        <w:rPr/>
        <w:t>月</w:t>
      </w:r>
      <w:r>
        <w:rPr>
          <w:spacing w:val="-63"/>
        </w:rPr>
        <w:t> </w:t>
      </w:r>
      <w:r>
        <w:rPr>
          <w:rFonts w:ascii="Arial" w:hAnsi="Arial" w:cs="Arial" w:eastAsia="Arial" w:hint="default"/>
        </w:rPr>
        <w:t>28</w:t>
      </w:r>
      <w:r>
        <w:rPr>
          <w:rFonts w:ascii="Arial" w:hAnsi="Arial" w:cs="Arial" w:eastAsia="Arial" w:hint="default"/>
          <w:spacing w:val="-10"/>
        </w:rPr>
        <w:t> </w:t>
      </w:r>
      <w:r>
        <w:rPr/>
        <w:t>日，经江苏省工商行政管理局批准更名为江苏苏宁交</w:t>
      </w:r>
    </w:p>
    <w:p>
      <w:pPr>
        <w:pStyle w:val="BodyText"/>
        <w:spacing w:line="291" w:lineRule="exact"/>
        <w:ind w:left="817" w:right="0"/>
        <w:jc w:val="both"/>
      </w:pPr>
      <w:r>
        <w:rPr/>
        <w:t>家电集团有限公司。于</w:t>
      </w:r>
      <w:r>
        <w:rPr>
          <w:spacing w:val="-57"/>
        </w:rPr>
        <w:t> </w:t>
      </w:r>
      <w:r>
        <w:rPr>
          <w:rFonts w:ascii="Arial" w:hAnsi="Arial" w:cs="Arial" w:eastAsia="Arial" w:hint="default"/>
        </w:rPr>
        <w:t>2000</w:t>
      </w:r>
      <w:r>
        <w:rPr>
          <w:rFonts w:ascii="Arial" w:hAnsi="Arial" w:cs="Arial" w:eastAsia="Arial" w:hint="default"/>
          <w:spacing w:val="-4"/>
        </w:rPr>
        <w:t> </w:t>
      </w:r>
      <w:r>
        <w:rPr/>
        <w:t>年</w:t>
      </w:r>
      <w:r>
        <w:rPr>
          <w:spacing w:val="-56"/>
        </w:rPr>
        <w:t> </w:t>
      </w:r>
      <w:r>
        <w:rPr>
          <w:rFonts w:ascii="Arial" w:hAnsi="Arial" w:cs="Arial" w:eastAsia="Arial" w:hint="default"/>
        </w:rPr>
        <w:t>8</w:t>
      </w:r>
      <w:r>
        <w:rPr>
          <w:rFonts w:ascii="Arial" w:hAnsi="Arial" w:cs="Arial" w:eastAsia="Arial" w:hint="default"/>
          <w:spacing w:val="-4"/>
        </w:rPr>
        <w:t> </w:t>
      </w:r>
      <w:r>
        <w:rPr/>
        <w:t>月</w:t>
      </w:r>
      <w:r>
        <w:rPr>
          <w:spacing w:val="-57"/>
        </w:rPr>
        <w:t> </w:t>
      </w:r>
      <w:r>
        <w:rPr>
          <w:rFonts w:ascii="Arial" w:hAnsi="Arial" w:cs="Arial" w:eastAsia="Arial" w:hint="default"/>
        </w:rPr>
        <w:t>30</w:t>
      </w:r>
      <w:r>
        <w:rPr>
          <w:rFonts w:ascii="Arial" w:hAnsi="Arial" w:cs="Arial" w:eastAsia="Arial" w:hint="default"/>
          <w:spacing w:val="-4"/>
        </w:rPr>
        <w:t> </w:t>
      </w:r>
      <w:r>
        <w:rPr/>
        <w:t>日经国家工商行政管理局批准更名为苏宁交家</w:t>
      </w:r>
    </w:p>
    <w:p>
      <w:pPr>
        <w:pStyle w:val="BodyText"/>
        <w:spacing w:line="312" w:lineRule="exact"/>
        <w:ind w:left="817" w:right="0"/>
        <w:jc w:val="both"/>
      </w:pPr>
      <w:r>
        <w:rPr>
          <w:spacing w:val="-4"/>
        </w:rPr>
        <w:t>电</w:t>
      </w:r>
      <w:r>
        <w:rPr>
          <w:rFonts w:ascii="Arial" w:hAnsi="Arial" w:cs="Arial" w:eastAsia="Arial" w:hint="default"/>
          <w:spacing w:val="-4"/>
        </w:rPr>
        <w:t>(</w:t>
      </w:r>
      <w:r>
        <w:rPr>
          <w:spacing w:val="-4"/>
        </w:rPr>
        <w:t>集团</w:t>
      </w:r>
      <w:r>
        <w:rPr>
          <w:rFonts w:ascii="Arial" w:hAnsi="Arial" w:cs="Arial" w:eastAsia="Arial" w:hint="default"/>
          <w:spacing w:val="-4"/>
        </w:rPr>
        <w:t>)</w:t>
      </w:r>
      <w:r>
        <w:rPr>
          <w:spacing w:val="-4"/>
        </w:rPr>
        <w:t>有限公司。于</w:t>
      </w:r>
      <w:r>
        <w:rPr>
          <w:spacing w:val="-67"/>
        </w:rPr>
        <w:t> </w:t>
      </w:r>
      <w:r>
        <w:rPr>
          <w:rFonts w:ascii="Arial" w:hAnsi="Arial" w:cs="Arial" w:eastAsia="Arial" w:hint="default"/>
        </w:rPr>
        <w:t>2001</w:t>
      </w:r>
      <w:r>
        <w:rPr>
          <w:rFonts w:ascii="Arial" w:hAnsi="Arial" w:cs="Arial" w:eastAsia="Arial" w:hint="default"/>
          <w:spacing w:val="-13"/>
        </w:rPr>
        <w:t> </w:t>
      </w:r>
      <w:r>
        <w:rPr/>
        <w:t>年</w:t>
      </w:r>
      <w:r>
        <w:rPr>
          <w:spacing w:val="-65"/>
        </w:rPr>
        <w:t> </w:t>
      </w:r>
      <w:r>
        <w:rPr>
          <w:rFonts w:ascii="Arial" w:hAnsi="Arial" w:cs="Arial" w:eastAsia="Arial" w:hint="default"/>
        </w:rPr>
        <w:t>6</w:t>
      </w:r>
      <w:r>
        <w:rPr>
          <w:rFonts w:ascii="Arial" w:hAnsi="Arial" w:cs="Arial" w:eastAsia="Arial" w:hint="default"/>
          <w:spacing w:val="-13"/>
        </w:rPr>
        <w:t> </w:t>
      </w:r>
      <w:r>
        <w:rPr/>
        <w:t>月</w:t>
      </w:r>
      <w:r>
        <w:rPr>
          <w:spacing w:val="-66"/>
        </w:rPr>
        <w:t> </w:t>
      </w:r>
      <w:r>
        <w:rPr>
          <w:rFonts w:ascii="Arial" w:hAnsi="Arial" w:cs="Arial" w:eastAsia="Arial" w:hint="default"/>
        </w:rPr>
        <w:t>28</w:t>
      </w:r>
      <w:r>
        <w:rPr>
          <w:rFonts w:ascii="Arial" w:hAnsi="Arial" w:cs="Arial" w:eastAsia="Arial" w:hint="default"/>
          <w:spacing w:val="-13"/>
        </w:rPr>
        <w:t> </w:t>
      </w:r>
      <w:r>
        <w:rPr/>
        <w:t>日，经江苏省人民政府苏政复</w:t>
      </w:r>
      <w:r>
        <w:rPr>
          <w:rFonts w:ascii="Arial" w:hAnsi="Arial" w:cs="Arial" w:eastAsia="Arial" w:hint="default"/>
        </w:rPr>
        <w:t>[2001]109</w:t>
      </w:r>
      <w:r>
        <w:rPr>
          <w:rFonts w:ascii="Arial" w:hAnsi="Arial" w:cs="Arial" w:eastAsia="Arial" w:hint="default"/>
          <w:spacing w:val="-14"/>
        </w:rPr>
        <w:t> </w:t>
      </w:r>
      <w:r>
        <w:rPr/>
        <w:t>号文批</w:t>
      </w:r>
    </w:p>
    <w:p>
      <w:pPr>
        <w:pStyle w:val="BodyText"/>
        <w:spacing w:line="312" w:lineRule="exact"/>
        <w:ind w:left="817" w:right="0"/>
        <w:jc w:val="both"/>
      </w:pPr>
      <w:r>
        <w:rPr/>
        <w:t>准，以苏宁交家电</w:t>
      </w:r>
      <w:r>
        <w:rPr>
          <w:rFonts w:ascii="Arial" w:hAnsi="Arial" w:cs="Arial" w:eastAsia="Arial" w:hint="default"/>
        </w:rPr>
        <w:t>(</w:t>
      </w:r>
      <w:r>
        <w:rPr/>
        <w:t>集团</w:t>
      </w:r>
      <w:r>
        <w:rPr>
          <w:rFonts w:ascii="Arial" w:hAnsi="Arial" w:cs="Arial" w:eastAsia="Arial" w:hint="default"/>
        </w:rPr>
        <w:t>)</w:t>
      </w:r>
      <w:r>
        <w:rPr/>
        <w:t>有限公司于</w:t>
      </w:r>
      <w:r>
        <w:rPr>
          <w:spacing w:val="-66"/>
        </w:rPr>
        <w:t> </w:t>
      </w:r>
      <w:r>
        <w:rPr>
          <w:rFonts w:ascii="Arial" w:hAnsi="Arial" w:cs="Arial" w:eastAsia="Arial" w:hint="default"/>
        </w:rPr>
        <w:t>2000</w:t>
      </w:r>
      <w:r>
        <w:rPr>
          <w:rFonts w:ascii="Arial" w:hAnsi="Arial" w:cs="Arial" w:eastAsia="Arial" w:hint="default"/>
          <w:spacing w:val="-12"/>
        </w:rPr>
        <w:t> </w:t>
      </w:r>
      <w:r>
        <w:rPr/>
        <w:t>年</w:t>
      </w:r>
      <w:r>
        <w:rPr>
          <w:spacing w:val="-66"/>
        </w:rPr>
        <w:t> </w:t>
      </w:r>
      <w:r>
        <w:rPr>
          <w:rFonts w:ascii="Arial" w:hAnsi="Arial" w:cs="Arial" w:eastAsia="Arial" w:hint="default"/>
        </w:rPr>
        <w:t>12</w:t>
      </w:r>
      <w:r>
        <w:rPr>
          <w:rFonts w:ascii="Arial" w:hAnsi="Arial" w:cs="Arial" w:eastAsia="Arial" w:hint="default"/>
          <w:spacing w:val="-13"/>
        </w:rPr>
        <w:t> </w:t>
      </w:r>
      <w:r>
        <w:rPr/>
        <w:t>月</w:t>
      </w:r>
      <w:r>
        <w:rPr>
          <w:spacing w:val="-66"/>
        </w:rPr>
        <w:t> </w:t>
      </w:r>
      <w:r>
        <w:rPr>
          <w:rFonts w:ascii="Arial" w:hAnsi="Arial" w:cs="Arial" w:eastAsia="Arial" w:hint="default"/>
        </w:rPr>
        <w:t>31</w:t>
      </w:r>
      <w:r>
        <w:rPr>
          <w:rFonts w:ascii="Arial" w:hAnsi="Arial" w:cs="Arial" w:eastAsia="Arial" w:hint="default"/>
          <w:spacing w:val="-13"/>
        </w:rPr>
        <w:t> </w:t>
      </w:r>
      <w:r>
        <w:rPr/>
        <w:t>日的净资产整体变更为苏宁电器</w:t>
      </w:r>
    </w:p>
    <w:p>
      <w:pPr>
        <w:pStyle w:val="BodyText"/>
        <w:spacing w:line="312" w:lineRule="exact"/>
        <w:ind w:left="817" w:right="0"/>
        <w:jc w:val="both"/>
      </w:pPr>
      <w:r>
        <w:rPr>
          <w:spacing w:val="-3"/>
        </w:rPr>
        <w:t>连锁集团股份有限公司，股本总额人民币</w:t>
      </w:r>
      <w:r>
        <w:rPr>
          <w:spacing w:val="-61"/>
        </w:rPr>
        <w:t> </w:t>
      </w:r>
      <w:r>
        <w:rPr>
          <w:rFonts w:ascii="Arial" w:hAnsi="Arial" w:cs="Arial" w:eastAsia="Arial" w:hint="default"/>
        </w:rPr>
        <w:t>68,160,000</w:t>
      </w:r>
      <w:r>
        <w:rPr>
          <w:rFonts w:ascii="Arial" w:hAnsi="Arial" w:cs="Arial" w:eastAsia="Arial" w:hint="default"/>
          <w:spacing w:val="-8"/>
        </w:rPr>
        <w:t> </w:t>
      </w:r>
      <w:r>
        <w:rPr>
          <w:spacing w:val="-16"/>
        </w:rPr>
        <w:t>元，于</w:t>
      </w:r>
      <w:r>
        <w:rPr>
          <w:spacing w:val="-61"/>
        </w:rPr>
        <w:t> </w:t>
      </w:r>
      <w:r>
        <w:rPr>
          <w:rFonts w:ascii="Arial" w:hAnsi="Arial" w:cs="Arial" w:eastAsia="Arial" w:hint="default"/>
        </w:rPr>
        <w:t>2001</w:t>
      </w:r>
      <w:r>
        <w:rPr>
          <w:rFonts w:ascii="Arial" w:hAnsi="Arial" w:cs="Arial" w:eastAsia="Arial" w:hint="default"/>
          <w:spacing w:val="-7"/>
        </w:rPr>
        <w:t> </w:t>
      </w:r>
      <w:r>
        <w:rPr/>
        <w:t>年</w:t>
      </w:r>
      <w:r>
        <w:rPr>
          <w:spacing w:val="-61"/>
        </w:rPr>
        <w:t> </w:t>
      </w:r>
      <w:r>
        <w:rPr>
          <w:rFonts w:ascii="Arial" w:hAnsi="Arial" w:cs="Arial" w:eastAsia="Arial" w:hint="default"/>
        </w:rPr>
        <w:t>6</w:t>
      </w:r>
      <w:r>
        <w:rPr>
          <w:rFonts w:ascii="Arial" w:hAnsi="Arial" w:cs="Arial" w:eastAsia="Arial" w:hint="default"/>
          <w:spacing w:val="-8"/>
        </w:rPr>
        <w:t> </w:t>
      </w:r>
      <w:r>
        <w:rPr/>
        <w:t>月</w:t>
      </w:r>
      <w:r>
        <w:rPr>
          <w:spacing w:val="-61"/>
        </w:rPr>
        <w:t> </w:t>
      </w:r>
      <w:r>
        <w:rPr>
          <w:rFonts w:ascii="Arial" w:hAnsi="Arial" w:cs="Arial" w:eastAsia="Arial" w:hint="default"/>
        </w:rPr>
        <w:t>29</w:t>
      </w:r>
      <w:r>
        <w:rPr>
          <w:rFonts w:ascii="Arial" w:hAnsi="Arial" w:cs="Arial" w:eastAsia="Arial" w:hint="default"/>
          <w:spacing w:val="-7"/>
        </w:rPr>
        <w:t> </w:t>
      </w:r>
      <w:r>
        <w:rPr/>
        <w:t>日领取营</w:t>
      </w:r>
    </w:p>
    <w:p>
      <w:pPr>
        <w:pStyle w:val="BodyText"/>
        <w:spacing w:line="312" w:lineRule="exact" w:before="21"/>
        <w:ind w:left="817" w:right="125"/>
        <w:jc w:val="both"/>
      </w:pPr>
      <w:r>
        <w:rPr>
          <w:spacing w:val="-4"/>
        </w:rPr>
        <w:t>业执照。此后，根据</w:t>
      </w:r>
      <w:r>
        <w:rPr>
          <w:spacing w:val="-70"/>
        </w:rPr>
        <w:t> </w:t>
      </w:r>
      <w:r>
        <w:rPr>
          <w:rFonts w:ascii="Arial" w:hAnsi="Arial" w:cs="Arial" w:eastAsia="Arial" w:hint="default"/>
        </w:rPr>
        <w:t>2005</w:t>
      </w:r>
      <w:r>
        <w:rPr>
          <w:rFonts w:ascii="Arial" w:hAnsi="Arial" w:cs="Arial" w:eastAsia="Arial" w:hint="default"/>
          <w:spacing w:val="-17"/>
        </w:rPr>
        <w:t> </w:t>
      </w:r>
      <w:r>
        <w:rPr/>
        <w:t>年第二次临时股东大会决议，本公司更名为苏宁电器股份有 限公司。</w:t>
      </w:r>
    </w:p>
    <w:p>
      <w:pPr>
        <w:spacing w:line="240" w:lineRule="auto" w:before="1"/>
        <w:rPr>
          <w:rFonts w:ascii="宋体" w:hAnsi="宋体" w:cs="宋体" w:eastAsia="宋体" w:hint="default"/>
          <w:sz w:val="21"/>
          <w:szCs w:val="21"/>
        </w:rPr>
      </w:pPr>
    </w:p>
    <w:p>
      <w:pPr>
        <w:pStyle w:val="BodyText"/>
        <w:spacing w:line="312" w:lineRule="exact"/>
        <w:ind w:left="817" w:right="125"/>
        <w:jc w:val="both"/>
      </w:pPr>
      <w:r>
        <w:rPr/>
        <w:t>经中国证券监督管理委员会证监发行字</w:t>
      </w:r>
      <w:r>
        <w:rPr>
          <w:rFonts w:ascii="Arial" w:hAnsi="Arial" w:cs="Arial" w:eastAsia="Arial" w:hint="default"/>
        </w:rPr>
        <w:t>[2004]97</w:t>
      </w:r>
      <w:r>
        <w:rPr>
          <w:rFonts w:ascii="Arial" w:hAnsi="Arial" w:cs="Arial" w:eastAsia="Arial" w:hint="default"/>
          <w:spacing w:val="-9"/>
        </w:rPr>
        <w:t> </w:t>
      </w:r>
      <w:r>
        <w:rPr/>
        <w:t>号文</w:t>
      </w:r>
      <w:r>
        <w:rPr>
          <w:rFonts w:ascii="Arial" w:hAnsi="Arial" w:cs="Arial" w:eastAsia="Arial" w:hint="default"/>
        </w:rPr>
        <w:t>“</w:t>
      </w:r>
      <w:r>
        <w:rPr/>
        <w:t>关于核准苏宁电器连锁集团股份 有限公司公开发行股票的通知</w:t>
      </w:r>
      <w:r>
        <w:rPr>
          <w:rFonts w:ascii="Arial" w:hAnsi="Arial" w:cs="Arial" w:eastAsia="Arial" w:hint="default"/>
        </w:rPr>
        <w:t>”</w:t>
      </w:r>
      <w:r>
        <w:rPr/>
        <w:t>批准，本公司于</w:t>
      </w:r>
      <w:r>
        <w:rPr>
          <w:spacing w:val="-48"/>
        </w:rPr>
        <w:t> </w:t>
      </w:r>
      <w:r>
        <w:rPr>
          <w:rFonts w:ascii="Arial" w:hAnsi="Arial" w:cs="Arial" w:eastAsia="Arial" w:hint="default"/>
        </w:rPr>
        <w:t>2004</w:t>
      </w:r>
      <w:r>
        <w:rPr>
          <w:rFonts w:ascii="Arial" w:hAnsi="Arial" w:cs="Arial" w:eastAsia="Arial" w:hint="default"/>
          <w:spacing w:val="6"/>
        </w:rPr>
        <w:t> </w:t>
      </w:r>
      <w:r>
        <w:rPr/>
        <w:t>年</w:t>
      </w:r>
      <w:r>
        <w:rPr>
          <w:spacing w:val="-48"/>
        </w:rPr>
        <w:t> </w:t>
      </w:r>
      <w:r>
        <w:rPr>
          <w:rFonts w:ascii="Arial" w:hAnsi="Arial" w:cs="Arial" w:eastAsia="Arial" w:hint="default"/>
        </w:rPr>
        <w:t>7</w:t>
      </w:r>
      <w:r>
        <w:rPr>
          <w:rFonts w:ascii="Arial" w:hAnsi="Arial" w:cs="Arial" w:eastAsia="Arial" w:hint="default"/>
          <w:spacing w:val="5"/>
        </w:rPr>
        <w:t> </w:t>
      </w:r>
      <w:r>
        <w:rPr/>
        <w:t>月</w:t>
      </w:r>
      <w:r>
        <w:rPr>
          <w:spacing w:val="-48"/>
        </w:rPr>
        <w:t> </w:t>
      </w:r>
      <w:r>
        <w:rPr>
          <w:rFonts w:ascii="Arial" w:hAnsi="Arial" w:cs="Arial" w:eastAsia="Arial" w:hint="default"/>
        </w:rPr>
        <w:t>7</w:t>
      </w:r>
      <w:r>
        <w:rPr>
          <w:rFonts w:ascii="Arial" w:hAnsi="Arial" w:cs="Arial" w:eastAsia="Arial" w:hint="default"/>
          <w:spacing w:val="5"/>
        </w:rPr>
        <w:t> </w:t>
      </w:r>
      <w:r>
        <w:rPr/>
        <w:t>日向境内投资者发行了</w:t>
      </w:r>
    </w:p>
    <w:p>
      <w:pPr>
        <w:pStyle w:val="BodyText"/>
        <w:spacing w:line="291" w:lineRule="exact"/>
        <w:ind w:left="817" w:right="0"/>
        <w:jc w:val="both"/>
      </w:pPr>
      <w:r>
        <w:rPr>
          <w:rFonts w:ascii="Arial" w:hAnsi="Arial" w:cs="Arial" w:eastAsia="Arial" w:hint="default"/>
        </w:rPr>
        <w:t>2,500 </w:t>
      </w:r>
      <w:r>
        <w:rPr/>
        <w:t>万股人民币普通股</w:t>
      </w:r>
      <w:r>
        <w:rPr>
          <w:rFonts w:ascii="Arial" w:hAnsi="Arial" w:cs="Arial" w:eastAsia="Arial" w:hint="default"/>
        </w:rPr>
        <w:t>(</w:t>
      </w:r>
      <w:r>
        <w:rPr/>
        <w:t>以下称为</w:t>
      </w:r>
      <w:r>
        <w:rPr>
          <w:rFonts w:ascii="Arial" w:hAnsi="Arial" w:cs="Arial" w:eastAsia="Arial" w:hint="default"/>
        </w:rPr>
        <w:t>“A </w:t>
      </w:r>
      <w:r>
        <w:rPr/>
        <w:t>股</w:t>
      </w:r>
      <w:r>
        <w:rPr>
          <w:rFonts w:ascii="Arial" w:hAnsi="Arial" w:cs="Arial" w:eastAsia="Arial" w:hint="default"/>
        </w:rPr>
        <w:t>”)</w:t>
      </w:r>
      <w:r>
        <w:rPr/>
        <w:t>，每股面值人民币 </w:t>
      </w:r>
      <w:r>
        <w:rPr>
          <w:rFonts w:ascii="Arial" w:hAnsi="Arial" w:cs="Arial" w:eastAsia="Arial" w:hint="default"/>
        </w:rPr>
        <w:t>1</w:t>
      </w:r>
      <w:r>
        <w:rPr>
          <w:rFonts w:ascii="Arial" w:hAnsi="Arial" w:cs="Arial" w:eastAsia="Arial" w:hint="default"/>
          <w:spacing w:val="12"/>
        </w:rPr>
        <w:t> </w:t>
      </w:r>
      <w:r>
        <w:rPr/>
        <w:t>元，每股发行价为人民</w:t>
      </w:r>
    </w:p>
    <w:p>
      <w:pPr>
        <w:pStyle w:val="BodyText"/>
        <w:spacing w:line="312" w:lineRule="exact"/>
        <w:ind w:left="817" w:right="0"/>
        <w:jc w:val="both"/>
      </w:pPr>
      <w:r>
        <w:rPr/>
        <w:t>币</w:t>
      </w:r>
      <w:r>
        <w:rPr>
          <w:spacing w:val="-60"/>
        </w:rPr>
        <w:t> </w:t>
      </w:r>
      <w:r>
        <w:rPr>
          <w:rFonts w:ascii="Arial" w:hAnsi="Arial" w:cs="Arial" w:eastAsia="Arial" w:hint="default"/>
        </w:rPr>
        <w:t>16.33</w:t>
      </w:r>
      <w:r>
        <w:rPr>
          <w:rFonts w:ascii="Arial" w:hAnsi="Arial" w:cs="Arial" w:eastAsia="Arial" w:hint="default"/>
          <w:spacing w:val="-7"/>
        </w:rPr>
        <w:t> </w:t>
      </w:r>
      <w:r>
        <w:rPr/>
        <w:t>元，发行后总股本增至人民币</w:t>
      </w:r>
      <w:r>
        <w:rPr>
          <w:spacing w:val="-60"/>
        </w:rPr>
        <w:t> </w:t>
      </w:r>
      <w:r>
        <w:rPr>
          <w:rFonts w:ascii="Arial" w:hAnsi="Arial" w:cs="Arial" w:eastAsia="Arial" w:hint="default"/>
        </w:rPr>
        <w:t>93,160,000</w:t>
      </w:r>
      <w:r>
        <w:rPr>
          <w:rFonts w:ascii="Arial" w:hAnsi="Arial" w:cs="Arial" w:eastAsia="Arial" w:hint="default"/>
          <w:spacing w:val="-6"/>
        </w:rPr>
        <w:t> </w:t>
      </w:r>
      <w:r>
        <w:rPr/>
        <w:t>元，本公司发行的</w:t>
      </w:r>
      <w:r>
        <w:rPr>
          <w:spacing w:val="-60"/>
        </w:rPr>
        <w:t> </w:t>
      </w:r>
      <w:r>
        <w:rPr>
          <w:rFonts w:ascii="Arial" w:hAnsi="Arial" w:cs="Arial" w:eastAsia="Arial" w:hint="default"/>
        </w:rPr>
        <w:t>A</w:t>
      </w:r>
      <w:r>
        <w:rPr>
          <w:rFonts w:ascii="Arial" w:hAnsi="Arial" w:cs="Arial" w:eastAsia="Arial" w:hint="default"/>
          <w:spacing w:val="-7"/>
        </w:rPr>
        <w:t> </w:t>
      </w:r>
      <w:r>
        <w:rPr/>
        <w:t>股于</w:t>
      </w:r>
      <w:r>
        <w:rPr>
          <w:spacing w:val="-60"/>
        </w:rPr>
        <w:t> </w:t>
      </w:r>
      <w:r>
        <w:rPr>
          <w:rFonts w:ascii="Arial" w:hAnsi="Arial" w:cs="Arial" w:eastAsia="Arial" w:hint="default"/>
        </w:rPr>
        <w:t>2004</w:t>
      </w:r>
      <w:r>
        <w:rPr>
          <w:rFonts w:ascii="Arial" w:hAnsi="Arial" w:cs="Arial" w:eastAsia="Arial" w:hint="default"/>
          <w:spacing w:val="-7"/>
        </w:rPr>
        <w:t> </w:t>
      </w:r>
      <w:r>
        <w:rPr/>
        <w:t>年</w:t>
      </w:r>
    </w:p>
    <w:p>
      <w:pPr>
        <w:pStyle w:val="BodyText"/>
        <w:spacing w:line="322" w:lineRule="exact"/>
        <w:ind w:left="817" w:right="0"/>
        <w:jc w:val="both"/>
      </w:pPr>
      <w:r>
        <w:rPr>
          <w:rFonts w:ascii="Arial" w:hAnsi="Arial" w:cs="Arial" w:eastAsia="Arial" w:hint="default"/>
        </w:rPr>
        <w:t>7</w:t>
      </w:r>
      <w:r>
        <w:rPr>
          <w:rFonts w:ascii="Arial" w:hAnsi="Arial" w:cs="Arial" w:eastAsia="Arial" w:hint="default"/>
          <w:spacing w:val="-8"/>
        </w:rPr>
        <w:t> </w:t>
      </w:r>
      <w:r>
        <w:rPr/>
        <w:t>月</w:t>
      </w:r>
      <w:r>
        <w:rPr>
          <w:spacing w:val="-61"/>
        </w:rPr>
        <w:t> </w:t>
      </w:r>
      <w:r>
        <w:rPr>
          <w:rFonts w:ascii="Arial" w:hAnsi="Arial" w:cs="Arial" w:eastAsia="Arial" w:hint="default"/>
        </w:rPr>
        <w:t>21</w:t>
      </w:r>
      <w:r>
        <w:rPr>
          <w:rFonts w:ascii="Arial" w:hAnsi="Arial" w:cs="Arial" w:eastAsia="Arial" w:hint="default"/>
          <w:spacing w:val="-8"/>
        </w:rPr>
        <w:t> </w:t>
      </w:r>
      <w:r>
        <w:rPr/>
        <w:t>日在深圳证券交易所中小企业板块挂牌上市交易。</w:t>
      </w:r>
    </w:p>
    <w:p>
      <w:pPr>
        <w:spacing w:line="240" w:lineRule="auto" w:before="13"/>
        <w:rPr>
          <w:rFonts w:ascii="宋体" w:hAnsi="宋体" w:cs="宋体" w:eastAsia="宋体" w:hint="default"/>
          <w:sz w:val="21"/>
          <w:szCs w:val="21"/>
        </w:rPr>
      </w:pPr>
    </w:p>
    <w:p>
      <w:pPr>
        <w:pStyle w:val="BodyText"/>
        <w:spacing w:line="312" w:lineRule="exact"/>
        <w:ind w:left="817" w:right="126"/>
        <w:jc w:val="both"/>
      </w:pPr>
      <w:r>
        <w:rPr/>
        <w:t>经于</w:t>
      </w:r>
      <w:r>
        <w:rPr>
          <w:rFonts w:ascii="Arial" w:hAnsi="Arial" w:cs="Arial" w:eastAsia="Arial" w:hint="default"/>
        </w:rPr>
        <w:t>2005</w:t>
      </w:r>
      <w:r>
        <w:rPr/>
        <w:t>年</w:t>
      </w:r>
      <w:r>
        <w:rPr>
          <w:rFonts w:ascii="Arial" w:hAnsi="Arial" w:cs="Arial" w:eastAsia="Arial" w:hint="default"/>
        </w:rPr>
        <w:t>5</w:t>
      </w:r>
      <w:r>
        <w:rPr/>
        <w:t>月</w:t>
      </w:r>
      <w:r>
        <w:rPr>
          <w:rFonts w:ascii="Arial" w:hAnsi="Arial" w:cs="Arial" w:eastAsia="Arial" w:hint="default"/>
        </w:rPr>
        <w:t>22</w:t>
      </w:r>
      <w:r>
        <w:rPr/>
        <w:t>日召开的</w:t>
      </w:r>
      <w:r>
        <w:rPr>
          <w:rFonts w:ascii="Arial" w:hAnsi="Arial" w:cs="Arial" w:eastAsia="Arial" w:hint="default"/>
        </w:rPr>
        <w:t>2004</w:t>
      </w:r>
      <w:r>
        <w:rPr/>
        <w:t>年年度股东大会通过，本公司以资本公积转增股本人</w:t>
      </w:r>
      <w:r>
        <w:rPr>
          <w:spacing w:val="-53"/>
        </w:rPr>
        <w:t> </w:t>
      </w:r>
      <w:r>
        <w:rPr/>
        <w:t>民币</w:t>
      </w:r>
      <w:r>
        <w:rPr>
          <w:rFonts w:ascii="Arial" w:hAnsi="Arial" w:cs="Arial" w:eastAsia="Arial" w:hint="default"/>
        </w:rPr>
        <w:t>93,160,000</w:t>
      </w:r>
      <w:r>
        <w:rPr/>
        <w:t>元。经此次转增后，股本总额变更为人民币</w:t>
      </w:r>
      <w:r>
        <w:rPr>
          <w:rFonts w:ascii="Arial" w:hAnsi="Arial" w:cs="Arial" w:eastAsia="Arial" w:hint="default"/>
        </w:rPr>
        <w:t>186,320,000</w:t>
      </w:r>
      <w:r>
        <w:rPr/>
        <w:t>元。</w:t>
      </w:r>
    </w:p>
    <w:p>
      <w:pPr>
        <w:spacing w:line="240" w:lineRule="auto" w:before="1"/>
        <w:rPr>
          <w:rFonts w:ascii="宋体" w:hAnsi="宋体" w:cs="宋体" w:eastAsia="宋体" w:hint="default"/>
          <w:sz w:val="21"/>
          <w:szCs w:val="21"/>
        </w:rPr>
      </w:pPr>
    </w:p>
    <w:p>
      <w:pPr>
        <w:pStyle w:val="BodyText"/>
        <w:spacing w:line="312" w:lineRule="exact"/>
        <w:ind w:left="817" w:right="122"/>
        <w:jc w:val="both"/>
      </w:pPr>
      <w:r>
        <w:rPr/>
        <w:t>经于</w:t>
      </w:r>
      <w:r>
        <w:rPr>
          <w:rFonts w:ascii="Arial" w:hAnsi="Arial" w:cs="Arial" w:eastAsia="Arial" w:hint="default"/>
        </w:rPr>
        <w:t>2005</w:t>
      </w:r>
      <w:r>
        <w:rPr/>
        <w:t>年</w:t>
      </w:r>
      <w:r>
        <w:rPr>
          <w:rFonts w:ascii="Arial" w:hAnsi="Arial" w:cs="Arial" w:eastAsia="Arial" w:hint="default"/>
        </w:rPr>
        <w:t>9</w:t>
      </w:r>
      <w:r>
        <w:rPr/>
        <w:t>月</w:t>
      </w:r>
      <w:r>
        <w:rPr>
          <w:rFonts w:ascii="Arial" w:hAnsi="Arial" w:cs="Arial" w:eastAsia="Arial" w:hint="default"/>
        </w:rPr>
        <w:t>29</w:t>
      </w:r>
      <w:r>
        <w:rPr/>
        <w:t>日召开的</w:t>
      </w:r>
      <w:r>
        <w:rPr>
          <w:rFonts w:ascii="Arial" w:hAnsi="Arial" w:cs="Arial" w:eastAsia="Arial" w:hint="default"/>
        </w:rPr>
        <w:t>2005</w:t>
      </w:r>
      <w:r>
        <w:rPr/>
        <w:t>年第二次临时股东大会决议通过，本公司以资本公积</w:t>
      </w:r>
      <w:r>
        <w:rPr>
          <w:spacing w:val="-53"/>
        </w:rPr>
        <w:t> </w:t>
      </w:r>
      <w:r>
        <w:rPr/>
        <w:t>转增股本人民币</w:t>
      </w:r>
      <w:r>
        <w:rPr>
          <w:rFonts w:ascii="Arial" w:hAnsi="Arial" w:cs="Arial" w:eastAsia="Arial" w:hint="default"/>
        </w:rPr>
        <w:t>149,056,000</w:t>
      </w:r>
      <w:r>
        <w:rPr/>
        <w:t>元。经此次转增后，股本总额变更为人民币</w:t>
      </w:r>
      <w:r>
        <w:rPr>
          <w:rFonts w:ascii="Arial" w:hAnsi="Arial" w:cs="Arial" w:eastAsia="Arial" w:hint="default"/>
        </w:rPr>
        <w:t>335,376,000</w:t>
      </w:r>
      <w:r>
        <w:rPr>
          <w:rFonts w:ascii="Arial" w:hAnsi="Arial" w:cs="Arial" w:eastAsia="Arial" w:hint="default"/>
          <w:spacing w:val="-7"/>
        </w:rPr>
        <w:t> </w:t>
      </w:r>
      <w:r>
        <w:rPr/>
        <w:t>元。</w:t>
      </w:r>
    </w:p>
    <w:p>
      <w:pPr>
        <w:spacing w:line="240" w:lineRule="auto" w:before="1"/>
        <w:rPr>
          <w:rFonts w:ascii="宋体" w:hAnsi="宋体" w:cs="宋体" w:eastAsia="宋体" w:hint="default"/>
          <w:sz w:val="21"/>
          <w:szCs w:val="21"/>
        </w:rPr>
      </w:pPr>
    </w:p>
    <w:p>
      <w:pPr>
        <w:pStyle w:val="BodyText"/>
        <w:spacing w:line="312" w:lineRule="exact"/>
        <w:ind w:left="817" w:right="112"/>
        <w:jc w:val="both"/>
      </w:pPr>
      <w:r>
        <w:rPr/>
        <w:t>经中国证券监督管理委员会证监发行字</w:t>
      </w:r>
      <w:r>
        <w:rPr>
          <w:rFonts w:ascii="Arial" w:hAnsi="Arial" w:cs="Arial" w:eastAsia="Arial" w:hint="default"/>
        </w:rPr>
        <w:t>[2006]21</w:t>
      </w:r>
      <w:r>
        <w:rPr/>
        <w:t>号文</w:t>
      </w:r>
      <w:r>
        <w:rPr>
          <w:rFonts w:ascii="Arial" w:hAnsi="Arial" w:cs="Arial" w:eastAsia="Arial" w:hint="default"/>
        </w:rPr>
        <w:t>“</w:t>
      </w:r>
      <w:r>
        <w:rPr/>
        <w:t>关于核准苏宁电器股份有限公司</w:t>
      </w:r>
      <w:r>
        <w:rPr>
          <w:spacing w:val="-90"/>
        </w:rPr>
        <w:t> </w:t>
      </w:r>
      <w:r>
        <w:rPr>
          <w:spacing w:val="10"/>
        </w:rPr>
        <w:t>非公开发行股票的通知</w:t>
      </w:r>
      <w:r>
        <w:rPr>
          <w:rFonts w:ascii="Arial" w:hAnsi="Arial" w:cs="Arial" w:eastAsia="Arial" w:hint="default"/>
          <w:spacing w:val="10"/>
        </w:rPr>
        <w:t>”</w:t>
      </w:r>
      <w:r>
        <w:rPr>
          <w:rFonts w:ascii="Arial" w:hAnsi="Arial" w:cs="Arial" w:eastAsia="Arial" w:hint="default"/>
          <w:spacing w:val="79"/>
        </w:rPr>
        <w:t> </w:t>
      </w:r>
      <w:r>
        <w:rPr>
          <w:spacing w:val="10"/>
        </w:rPr>
        <w:t>批准，本公司于</w:t>
      </w:r>
      <w:r>
        <w:rPr>
          <w:rFonts w:ascii="Arial" w:hAnsi="Arial" w:cs="Arial" w:eastAsia="Arial" w:hint="default"/>
          <w:spacing w:val="10"/>
        </w:rPr>
        <w:t>2006</w:t>
      </w:r>
      <w:r>
        <w:rPr>
          <w:spacing w:val="10"/>
        </w:rPr>
        <w:t>年</w:t>
      </w:r>
      <w:r>
        <w:rPr>
          <w:rFonts w:ascii="Arial" w:hAnsi="Arial" w:cs="Arial" w:eastAsia="Arial" w:hint="default"/>
          <w:spacing w:val="10"/>
        </w:rPr>
        <w:t>6</w:t>
      </w:r>
      <w:r>
        <w:rPr>
          <w:spacing w:val="10"/>
        </w:rPr>
        <w:t>月</w:t>
      </w:r>
      <w:r>
        <w:rPr>
          <w:rFonts w:ascii="Arial" w:hAnsi="Arial" w:cs="Arial" w:eastAsia="Arial" w:hint="default"/>
          <w:spacing w:val="10"/>
        </w:rPr>
        <w:t>20</w:t>
      </w:r>
      <w:r>
        <w:rPr>
          <w:spacing w:val="10"/>
        </w:rPr>
        <w:t>日向特定投资者非公开发行</w:t>
      </w:r>
      <w:r>
        <w:rPr>
          <w:spacing w:val="-118"/>
        </w:rPr>
        <w:t> </w:t>
      </w:r>
      <w:r>
        <w:rPr>
          <w:rFonts w:ascii="Arial" w:hAnsi="Arial" w:cs="Arial" w:eastAsia="Arial" w:hint="default"/>
          <w:spacing w:val="-3"/>
        </w:rPr>
        <w:t>2,500</w:t>
      </w:r>
      <w:r>
        <w:rPr>
          <w:spacing w:val="-3"/>
        </w:rPr>
        <w:t>万</w:t>
      </w:r>
      <w:r>
        <w:rPr>
          <w:rFonts w:ascii="Arial" w:hAnsi="Arial" w:cs="Arial" w:eastAsia="Arial" w:hint="default"/>
          <w:spacing w:val="-3"/>
        </w:rPr>
        <w:t>A</w:t>
      </w:r>
      <w:r>
        <w:rPr>
          <w:spacing w:val="-3"/>
        </w:rPr>
        <w:t>股，每股面值人民币</w:t>
      </w:r>
      <w:r>
        <w:rPr>
          <w:rFonts w:ascii="Arial" w:hAnsi="Arial" w:cs="Arial" w:eastAsia="Arial" w:hint="default"/>
          <w:spacing w:val="-3"/>
        </w:rPr>
        <w:t>1</w:t>
      </w:r>
      <w:r>
        <w:rPr>
          <w:spacing w:val="-3"/>
        </w:rPr>
        <w:t>元，每股发行价为人民币</w:t>
      </w:r>
      <w:r>
        <w:rPr>
          <w:rFonts w:ascii="Arial" w:hAnsi="Arial" w:cs="Arial" w:eastAsia="Arial" w:hint="default"/>
          <w:spacing w:val="-3"/>
        </w:rPr>
        <w:t>48</w:t>
      </w:r>
      <w:r>
        <w:rPr>
          <w:spacing w:val="-3"/>
        </w:rPr>
        <w:t>元，股本总额变更为人民币</w:t>
      </w:r>
    </w:p>
    <w:p>
      <w:pPr>
        <w:pStyle w:val="BodyText"/>
        <w:spacing w:line="300" w:lineRule="exact"/>
        <w:ind w:left="817" w:right="0"/>
        <w:jc w:val="both"/>
      </w:pPr>
      <w:r>
        <w:rPr>
          <w:rFonts w:ascii="Arial" w:hAnsi="Arial" w:cs="Arial" w:eastAsia="Arial" w:hint="default"/>
        </w:rPr>
        <w:t>360,376,000</w:t>
      </w:r>
      <w:r>
        <w:rPr/>
        <w:t>元。</w:t>
      </w:r>
    </w:p>
    <w:p>
      <w:pPr>
        <w:spacing w:line="240" w:lineRule="auto" w:before="13"/>
        <w:rPr>
          <w:rFonts w:ascii="宋体" w:hAnsi="宋体" w:cs="宋体" w:eastAsia="宋体" w:hint="default"/>
          <w:sz w:val="21"/>
          <w:szCs w:val="21"/>
        </w:rPr>
      </w:pPr>
    </w:p>
    <w:p>
      <w:pPr>
        <w:pStyle w:val="BodyText"/>
        <w:spacing w:line="312" w:lineRule="exact"/>
        <w:ind w:left="817" w:right="126"/>
        <w:jc w:val="both"/>
      </w:pPr>
      <w:r>
        <w:rPr/>
        <w:t>经于</w:t>
      </w:r>
      <w:r>
        <w:rPr>
          <w:rFonts w:ascii="Arial" w:hAnsi="Arial" w:cs="Arial" w:eastAsia="Arial" w:hint="default"/>
        </w:rPr>
        <w:t>2006</w:t>
      </w:r>
      <w:r>
        <w:rPr/>
        <w:t>年</w:t>
      </w:r>
      <w:r>
        <w:rPr>
          <w:rFonts w:ascii="Arial" w:hAnsi="Arial" w:cs="Arial" w:eastAsia="Arial" w:hint="default"/>
        </w:rPr>
        <w:t>9</w:t>
      </w:r>
      <w:r>
        <w:rPr/>
        <w:t>月</w:t>
      </w:r>
      <w:r>
        <w:rPr>
          <w:rFonts w:ascii="Arial" w:hAnsi="Arial" w:cs="Arial" w:eastAsia="Arial" w:hint="default"/>
        </w:rPr>
        <w:t>13</w:t>
      </w:r>
      <w:r>
        <w:rPr/>
        <w:t>日召开的</w:t>
      </w:r>
      <w:r>
        <w:rPr>
          <w:rFonts w:ascii="Arial" w:hAnsi="Arial" w:cs="Arial" w:eastAsia="Arial" w:hint="default"/>
        </w:rPr>
        <w:t>2006</w:t>
      </w:r>
      <w:r>
        <w:rPr/>
        <w:t>年第二次临时股东大会决议通过，本公司以资本公积</w:t>
      </w:r>
      <w:r>
        <w:rPr>
          <w:spacing w:val="-53"/>
        </w:rPr>
        <w:t> </w:t>
      </w:r>
      <w:r>
        <w:rPr/>
        <w:t>转增股本人民币</w:t>
      </w:r>
      <w:r>
        <w:rPr>
          <w:rFonts w:ascii="Arial" w:hAnsi="Arial" w:cs="Arial" w:eastAsia="Arial" w:hint="default"/>
        </w:rPr>
        <w:t>360,376,000</w:t>
      </w:r>
      <w:r>
        <w:rPr/>
        <w:t>元。经此次转增后，股本总额变更为人民币</w:t>
      </w:r>
      <w:r>
        <w:rPr>
          <w:rFonts w:ascii="Arial" w:hAnsi="Arial" w:cs="Arial" w:eastAsia="Arial" w:hint="default"/>
        </w:rPr>
        <w:t>720,752,000</w:t>
      </w:r>
      <w:r>
        <w:rPr>
          <w:rFonts w:ascii="Arial" w:hAnsi="Arial" w:cs="Arial" w:eastAsia="Arial" w:hint="default"/>
          <w:spacing w:val="-7"/>
        </w:rPr>
        <w:t> </w:t>
      </w:r>
      <w:r>
        <w:rPr/>
        <w:t>元。</w:t>
      </w:r>
    </w:p>
    <w:p>
      <w:pPr>
        <w:spacing w:after="0" w:line="312" w:lineRule="exact"/>
        <w:jc w:val="both"/>
        <w:sectPr>
          <w:type w:val="continuous"/>
          <w:pgSz w:w="11910" w:h="16840"/>
          <w:pgMar w:top="1600" w:bottom="280" w:left="1020" w:right="940"/>
        </w:sectPr>
      </w:pPr>
    </w:p>
    <w:p>
      <w:pPr>
        <w:spacing w:line="240" w:lineRule="auto" w:before="11"/>
        <w:rPr>
          <w:rFonts w:ascii="宋体" w:hAnsi="宋体" w:cs="宋体" w:eastAsia="宋体" w:hint="default"/>
          <w:sz w:val="2"/>
          <w:szCs w:val="2"/>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440.65pt;height:.75pt;mso-position-horizontal-relative:char;mso-position-vertical-relative:line" coordorigin="0,0" coordsize="8813,15">
            <v:group style="position:absolute;left:7;top:7;width:8799;height:2" coordorigin="7,7" coordsize="8799,2">
              <v:shape style="position:absolute;left:7;top:7;width:8799;height:2" coordorigin="7,7" coordsize="8799,0" path="m7,7l88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3"/>
          <w:szCs w:val="13"/>
        </w:rPr>
      </w:pPr>
    </w:p>
    <w:p>
      <w:pPr>
        <w:pStyle w:val="Heading2"/>
        <w:tabs>
          <w:tab w:pos="817" w:val="left" w:leader="none"/>
        </w:tabs>
        <w:spacing w:line="240" w:lineRule="auto"/>
        <w:ind w:right="164"/>
        <w:jc w:val="left"/>
        <w:rPr>
          <w:rFonts w:ascii="Arial" w:hAnsi="Arial" w:cs="Arial" w:eastAsia="Arial" w:hint="default"/>
          <w:b w:val="0"/>
          <w:bCs w:val="0"/>
        </w:rPr>
      </w:pPr>
      <w:r>
        <w:rPr>
          <w:w w:val="95"/>
        </w:rPr>
        <w:t>一</w:t>
        <w:tab/>
      </w:r>
      <w:r>
        <w:rPr/>
        <w:t>公司基本情况</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5"/>
          <w:szCs w:val="25"/>
        </w:rPr>
      </w:pPr>
    </w:p>
    <w:p>
      <w:pPr>
        <w:pStyle w:val="BodyText"/>
        <w:spacing w:line="312" w:lineRule="exact"/>
        <w:ind w:left="817" w:right="164"/>
        <w:jc w:val="left"/>
      </w:pPr>
      <w:r>
        <w:rPr/>
        <w:t>经于</w:t>
      </w:r>
      <w:r>
        <w:rPr>
          <w:rFonts w:ascii="Arial" w:hAnsi="Arial" w:cs="Arial" w:eastAsia="Arial" w:hint="default"/>
        </w:rPr>
        <w:t>2007</w:t>
      </w:r>
      <w:r>
        <w:rPr/>
        <w:t>年</w:t>
      </w:r>
      <w:r>
        <w:rPr>
          <w:rFonts w:ascii="Arial" w:hAnsi="Arial" w:cs="Arial" w:eastAsia="Arial" w:hint="default"/>
        </w:rPr>
        <w:t>3</w:t>
      </w:r>
      <w:r>
        <w:rPr/>
        <w:t>月</w:t>
      </w:r>
      <w:r>
        <w:rPr>
          <w:rFonts w:ascii="Arial" w:hAnsi="Arial" w:cs="Arial" w:eastAsia="Arial" w:hint="default"/>
        </w:rPr>
        <w:t>30</w:t>
      </w:r>
      <w:r>
        <w:rPr/>
        <w:t>日召开的</w:t>
      </w:r>
      <w:r>
        <w:rPr>
          <w:rFonts w:ascii="Arial" w:hAnsi="Arial" w:cs="Arial" w:eastAsia="Arial" w:hint="default"/>
        </w:rPr>
        <w:t>2006</w:t>
      </w:r>
      <w:r>
        <w:rPr>
          <w:rFonts w:ascii="Arial" w:hAnsi="Arial" w:cs="Arial" w:eastAsia="Arial" w:hint="default"/>
          <w:spacing w:val="8"/>
        </w:rPr>
        <w:t> </w:t>
      </w:r>
      <w:r>
        <w:rPr/>
        <w:t>年年度股东大会决议通过，本公司以资本公积转增股</w:t>
      </w:r>
      <w:r>
        <w:rPr>
          <w:spacing w:val="-1"/>
        </w:rPr>
        <w:t> </w:t>
      </w:r>
      <w:r>
        <w:rPr/>
        <w:t>本人民币</w:t>
      </w:r>
      <w:r>
        <w:rPr>
          <w:rFonts w:ascii="Arial" w:hAnsi="Arial" w:cs="Arial" w:eastAsia="Arial" w:hint="default"/>
        </w:rPr>
        <w:t>720,752,000</w:t>
      </w:r>
      <w:r>
        <w:rPr/>
        <w:t>元。经此次转增后，股本总额变更为人民币</w:t>
      </w:r>
      <w:r>
        <w:rPr>
          <w:rFonts w:ascii="Arial" w:hAnsi="Arial" w:cs="Arial" w:eastAsia="Arial" w:hint="default"/>
        </w:rPr>
        <w:t>1,441,504,000</w:t>
      </w:r>
      <w:r>
        <w:rPr/>
        <w:t>元。</w:t>
      </w:r>
    </w:p>
    <w:p>
      <w:pPr>
        <w:spacing w:line="240" w:lineRule="auto" w:before="10"/>
        <w:rPr>
          <w:rFonts w:ascii="宋体" w:hAnsi="宋体" w:cs="宋体" w:eastAsia="宋体" w:hint="default"/>
          <w:sz w:val="18"/>
          <w:szCs w:val="18"/>
        </w:rPr>
      </w:pPr>
    </w:p>
    <w:p>
      <w:pPr>
        <w:pStyle w:val="BodyText"/>
        <w:spacing w:line="322" w:lineRule="exact"/>
        <w:ind w:left="817" w:right="0"/>
        <w:jc w:val="left"/>
      </w:pPr>
      <w:r>
        <w:rPr/>
        <w:t>经于</w:t>
      </w:r>
      <w:r>
        <w:rPr>
          <w:spacing w:val="-63"/>
        </w:rPr>
        <w:t> </w:t>
      </w:r>
      <w:r>
        <w:rPr>
          <w:rFonts w:ascii="Arial" w:hAnsi="Arial" w:cs="Arial" w:eastAsia="Arial" w:hint="default"/>
        </w:rPr>
        <w:t>2005</w:t>
      </w:r>
      <w:r>
        <w:rPr>
          <w:rFonts w:ascii="Arial" w:hAnsi="Arial" w:cs="Arial" w:eastAsia="Arial" w:hint="default"/>
          <w:spacing w:val="-9"/>
        </w:rPr>
        <w:t> </w:t>
      </w:r>
      <w:r>
        <w:rPr/>
        <w:t>年</w:t>
      </w:r>
      <w:r>
        <w:rPr>
          <w:spacing w:val="-63"/>
        </w:rPr>
        <w:t> </w:t>
      </w:r>
      <w:r>
        <w:rPr>
          <w:rFonts w:ascii="Arial" w:hAnsi="Arial" w:cs="Arial" w:eastAsia="Arial" w:hint="default"/>
        </w:rPr>
        <w:t>8</w:t>
      </w:r>
      <w:r>
        <w:rPr>
          <w:rFonts w:ascii="Arial" w:hAnsi="Arial" w:cs="Arial" w:eastAsia="Arial" w:hint="default"/>
          <w:spacing w:val="-10"/>
        </w:rPr>
        <w:t> </w:t>
      </w:r>
      <w:r>
        <w:rPr/>
        <w:t>月</w:t>
      </w:r>
      <w:r>
        <w:rPr>
          <w:spacing w:val="-63"/>
        </w:rPr>
        <w:t> </w:t>
      </w:r>
      <w:r>
        <w:rPr>
          <w:rFonts w:ascii="Arial" w:hAnsi="Arial" w:cs="Arial" w:eastAsia="Arial" w:hint="default"/>
        </w:rPr>
        <w:t>4</w:t>
      </w:r>
      <w:r>
        <w:rPr>
          <w:rFonts w:ascii="Arial" w:hAnsi="Arial" w:cs="Arial" w:eastAsia="Arial" w:hint="default"/>
          <w:spacing w:val="-10"/>
        </w:rPr>
        <w:t> </w:t>
      </w:r>
      <w:r>
        <w:rPr/>
        <w:t>日召开的</w:t>
      </w:r>
      <w:r>
        <w:rPr>
          <w:spacing w:val="-63"/>
        </w:rPr>
        <w:t> </w:t>
      </w:r>
      <w:r>
        <w:rPr>
          <w:rFonts w:ascii="Arial" w:hAnsi="Arial" w:cs="Arial" w:eastAsia="Arial" w:hint="default"/>
        </w:rPr>
        <w:t>2005</w:t>
      </w:r>
      <w:r>
        <w:rPr>
          <w:rFonts w:ascii="Arial" w:hAnsi="Arial" w:cs="Arial" w:eastAsia="Arial" w:hint="default"/>
          <w:spacing w:val="-10"/>
        </w:rPr>
        <w:t> </w:t>
      </w:r>
      <w:r>
        <w:rPr/>
        <w:t>年第一次临时股东大会审议通过，本公司全体非流</w:t>
      </w:r>
    </w:p>
    <w:p>
      <w:pPr>
        <w:pStyle w:val="BodyText"/>
        <w:spacing w:line="312" w:lineRule="exact"/>
        <w:ind w:left="817" w:right="0"/>
        <w:jc w:val="left"/>
      </w:pPr>
      <w:r>
        <w:rPr/>
        <w:t>通股股东根据《股权分置改革方案》向股份变更登记日</w:t>
      </w:r>
      <w:r>
        <w:rPr>
          <w:rFonts w:ascii="Arial" w:hAnsi="Arial" w:cs="Arial" w:eastAsia="Arial" w:hint="default"/>
        </w:rPr>
        <w:t>(2005</w:t>
      </w:r>
      <w:r>
        <w:rPr>
          <w:rFonts w:ascii="Arial" w:hAnsi="Arial" w:cs="Arial" w:eastAsia="Arial" w:hint="default"/>
          <w:spacing w:val="3"/>
        </w:rPr>
        <w:t> </w:t>
      </w:r>
      <w:r>
        <w:rPr/>
        <w:t>年</w:t>
      </w:r>
      <w:r>
        <w:rPr>
          <w:spacing w:val="-50"/>
        </w:rPr>
        <w:t> </w:t>
      </w:r>
      <w:r>
        <w:rPr>
          <w:rFonts w:ascii="Arial" w:hAnsi="Arial" w:cs="Arial" w:eastAsia="Arial" w:hint="default"/>
        </w:rPr>
        <w:t>8</w:t>
      </w:r>
      <w:r>
        <w:rPr>
          <w:rFonts w:ascii="Arial" w:hAnsi="Arial" w:cs="Arial" w:eastAsia="Arial" w:hint="default"/>
          <w:spacing w:val="3"/>
        </w:rPr>
        <w:t> </w:t>
      </w:r>
      <w:r>
        <w:rPr/>
        <w:t>月</w:t>
      </w:r>
      <w:r>
        <w:rPr>
          <w:spacing w:val="-50"/>
        </w:rPr>
        <w:t> </w:t>
      </w:r>
      <w:r>
        <w:rPr>
          <w:rFonts w:ascii="Arial" w:hAnsi="Arial" w:cs="Arial" w:eastAsia="Arial" w:hint="default"/>
        </w:rPr>
        <w:t>9</w:t>
      </w:r>
      <w:r>
        <w:rPr>
          <w:rFonts w:ascii="Arial" w:hAnsi="Arial" w:cs="Arial" w:eastAsia="Arial" w:hint="default"/>
          <w:spacing w:val="3"/>
        </w:rPr>
        <w:t> </w:t>
      </w:r>
      <w:r>
        <w:rPr/>
        <w:t>日</w:t>
      </w:r>
      <w:r>
        <w:rPr>
          <w:rFonts w:ascii="Arial" w:hAnsi="Arial" w:cs="Arial" w:eastAsia="Arial" w:hint="default"/>
        </w:rPr>
        <w:t>)</w:t>
      </w:r>
      <w:r>
        <w:rPr/>
        <w:t>登记在册的</w:t>
      </w:r>
    </w:p>
    <w:p>
      <w:pPr>
        <w:pStyle w:val="BodyText"/>
        <w:spacing w:line="312" w:lineRule="exact"/>
        <w:ind w:left="817" w:right="0"/>
        <w:jc w:val="left"/>
        <w:rPr>
          <w:rFonts w:ascii="Arial" w:hAnsi="Arial" w:cs="Arial" w:eastAsia="Arial" w:hint="default"/>
        </w:rPr>
      </w:pPr>
      <w:r>
        <w:rPr/>
        <w:t>流通股股东每</w:t>
      </w:r>
      <w:r>
        <w:rPr>
          <w:spacing w:val="-62"/>
        </w:rPr>
        <w:t> </w:t>
      </w:r>
      <w:r>
        <w:rPr>
          <w:rFonts w:ascii="Arial" w:hAnsi="Arial" w:cs="Arial" w:eastAsia="Arial" w:hint="default"/>
        </w:rPr>
        <w:t>10</w:t>
      </w:r>
      <w:r>
        <w:rPr>
          <w:rFonts w:ascii="Arial" w:hAnsi="Arial" w:cs="Arial" w:eastAsia="Arial" w:hint="default"/>
          <w:spacing w:val="-9"/>
        </w:rPr>
        <w:t> </w:t>
      </w:r>
      <w:r>
        <w:rPr/>
        <w:t>股支付</w:t>
      </w:r>
      <w:r>
        <w:rPr>
          <w:spacing w:val="-62"/>
        </w:rPr>
        <w:t> </w:t>
      </w:r>
      <w:r>
        <w:rPr>
          <w:rFonts w:ascii="Arial" w:hAnsi="Arial" w:cs="Arial" w:eastAsia="Arial" w:hint="default"/>
        </w:rPr>
        <w:t>2.5</w:t>
      </w:r>
      <w:r>
        <w:rPr>
          <w:rFonts w:ascii="Arial" w:hAnsi="Arial" w:cs="Arial" w:eastAsia="Arial" w:hint="default"/>
          <w:spacing w:val="-9"/>
        </w:rPr>
        <w:t> </w:t>
      </w:r>
      <w:r>
        <w:rPr/>
        <w:t>股对价股份，共</w:t>
      </w:r>
      <w:r>
        <w:rPr>
          <w:spacing w:val="-62"/>
        </w:rPr>
        <w:t> </w:t>
      </w:r>
      <w:r>
        <w:rPr>
          <w:rFonts w:ascii="Arial" w:hAnsi="Arial" w:cs="Arial" w:eastAsia="Arial" w:hint="default"/>
        </w:rPr>
        <w:t>12,500,000</w:t>
      </w:r>
      <w:r>
        <w:rPr>
          <w:rFonts w:ascii="Arial" w:hAnsi="Arial" w:cs="Arial" w:eastAsia="Arial" w:hint="default"/>
          <w:spacing w:val="-9"/>
        </w:rPr>
        <w:t> </w:t>
      </w:r>
      <w:r>
        <w:rPr/>
        <w:t>股对价股份。由此，自</w:t>
      </w:r>
      <w:r>
        <w:rPr>
          <w:spacing w:val="-62"/>
        </w:rPr>
        <w:t> </w:t>
      </w:r>
      <w:r>
        <w:rPr>
          <w:rFonts w:ascii="Arial" w:hAnsi="Arial" w:cs="Arial" w:eastAsia="Arial" w:hint="default"/>
        </w:rPr>
        <w:t>2005</w:t>
      </w:r>
    </w:p>
    <w:p>
      <w:pPr>
        <w:pStyle w:val="BodyText"/>
        <w:spacing w:line="312" w:lineRule="exact"/>
        <w:ind w:left="817" w:right="0"/>
        <w:jc w:val="left"/>
      </w:pPr>
      <w:r>
        <w:rPr/>
        <w:t>年</w:t>
      </w:r>
      <w:r>
        <w:rPr>
          <w:spacing w:val="-71"/>
        </w:rPr>
        <w:t> </w:t>
      </w:r>
      <w:r>
        <w:rPr>
          <w:rFonts w:ascii="Arial" w:hAnsi="Arial" w:cs="Arial" w:eastAsia="Arial" w:hint="default"/>
        </w:rPr>
        <w:t>8</w:t>
      </w:r>
      <w:r>
        <w:rPr>
          <w:rFonts w:ascii="Arial" w:hAnsi="Arial" w:cs="Arial" w:eastAsia="Arial" w:hint="default"/>
          <w:spacing w:val="-18"/>
        </w:rPr>
        <w:t> </w:t>
      </w:r>
      <w:r>
        <w:rPr/>
        <w:t>月</w:t>
      </w:r>
      <w:r>
        <w:rPr>
          <w:spacing w:val="-71"/>
        </w:rPr>
        <w:t> </w:t>
      </w:r>
      <w:r>
        <w:rPr>
          <w:rFonts w:ascii="Arial" w:hAnsi="Arial" w:cs="Arial" w:eastAsia="Arial" w:hint="default"/>
        </w:rPr>
        <w:t>10</w:t>
      </w:r>
      <w:r>
        <w:rPr>
          <w:rFonts w:ascii="Arial" w:hAnsi="Arial" w:cs="Arial" w:eastAsia="Arial" w:hint="default"/>
          <w:spacing w:val="-17"/>
        </w:rPr>
        <w:t> </w:t>
      </w:r>
      <w:r>
        <w:rPr/>
        <w:t>日起，本公司原非流通股股东持有的非流通股股份的性质，变更为有限售条</w:t>
      </w:r>
    </w:p>
    <w:p>
      <w:pPr>
        <w:pStyle w:val="BodyText"/>
        <w:spacing w:line="322" w:lineRule="exact"/>
        <w:ind w:left="817" w:right="0"/>
        <w:jc w:val="left"/>
      </w:pPr>
      <w:r>
        <w:rPr/>
        <w:t>件的流通股。截止</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0"/>
        </w:rPr>
        <w:t> </w:t>
      </w:r>
      <w:r>
        <w:rPr>
          <w:rFonts w:ascii="Arial" w:hAnsi="Arial" w:cs="Arial" w:eastAsia="Arial" w:hint="default"/>
        </w:rPr>
        <w:t>31</w:t>
      </w:r>
      <w:r>
        <w:rPr>
          <w:rFonts w:ascii="Arial" w:hAnsi="Arial" w:cs="Arial" w:eastAsia="Arial" w:hint="default"/>
          <w:spacing w:val="-8"/>
        </w:rPr>
        <w:t> </w:t>
      </w:r>
      <w:r>
        <w:rPr/>
        <w:t>日，有限售条件的流通股的情况详见附注八</w:t>
      </w:r>
      <w:r>
        <w:rPr>
          <w:rFonts w:ascii="Arial" w:hAnsi="Arial" w:cs="Arial" w:eastAsia="Arial" w:hint="default"/>
        </w:rPr>
        <w:t>(22)</w:t>
      </w:r>
      <w:r>
        <w:rPr/>
        <w:t>。</w:t>
      </w:r>
    </w:p>
    <w:p>
      <w:pPr>
        <w:spacing w:line="240" w:lineRule="auto" w:before="13"/>
        <w:rPr>
          <w:rFonts w:ascii="宋体" w:hAnsi="宋体" w:cs="宋体" w:eastAsia="宋体" w:hint="default"/>
          <w:sz w:val="21"/>
          <w:szCs w:val="21"/>
        </w:rPr>
      </w:pPr>
    </w:p>
    <w:p>
      <w:pPr>
        <w:pStyle w:val="BodyText"/>
        <w:spacing w:line="312" w:lineRule="exact"/>
        <w:ind w:left="817" w:right="164"/>
        <w:jc w:val="left"/>
      </w:pPr>
      <w:r>
        <w:rPr/>
        <w:t>本公司及子公司</w:t>
      </w:r>
      <w:r>
        <w:rPr>
          <w:rFonts w:ascii="Arial" w:hAnsi="Arial" w:cs="Arial" w:eastAsia="Arial" w:hint="default"/>
        </w:rPr>
        <w:t>(</w:t>
      </w:r>
      <w:r>
        <w:rPr/>
        <w:t>以下合称</w:t>
      </w:r>
      <w:r>
        <w:rPr>
          <w:rFonts w:ascii="Arial" w:hAnsi="Arial" w:cs="Arial" w:eastAsia="Arial" w:hint="default"/>
        </w:rPr>
        <w:t>“</w:t>
      </w:r>
      <w:r>
        <w:rPr/>
        <w:t>本集团</w:t>
      </w:r>
      <w:r>
        <w:rPr>
          <w:rFonts w:ascii="Arial" w:hAnsi="Arial" w:cs="Arial" w:eastAsia="Arial" w:hint="default"/>
        </w:rPr>
        <w:t>”)</w:t>
      </w:r>
      <w:r>
        <w:rPr/>
        <w:t>目前主要的经营范围为家用电器、电子产品、办公</w:t>
      </w:r>
      <w:r>
        <w:rPr>
          <w:spacing w:val="-110"/>
        </w:rPr>
        <w:t> </w:t>
      </w:r>
      <w:r>
        <w:rPr/>
        <w:t>设备、通讯设备</w:t>
      </w:r>
      <w:r>
        <w:rPr>
          <w:rFonts w:ascii="Arial" w:hAnsi="Arial" w:cs="Arial" w:eastAsia="Arial" w:hint="default"/>
        </w:rPr>
        <w:t>(</w:t>
      </w:r>
      <w:r>
        <w:rPr/>
        <w:t>卫星地面接收设备除外</w:t>
      </w:r>
      <w:r>
        <w:rPr>
          <w:rFonts w:ascii="Arial" w:hAnsi="Arial" w:cs="Arial" w:eastAsia="Arial" w:hint="default"/>
        </w:rPr>
        <w:t>)</w:t>
      </w:r>
      <w:r>
        <w:rPr/>
        <w:t>及配件的连锁销售和服务。</w:t>
      </w:r>
    </w:p>
    <w:p>
      <w:pPr>
        <w:spacing w:line="240" w:lineRule="auto" w:before="10"/>
        <w:rPr>
          <w:rFonts w:ascii="宋体" w:hAnsi="宋体" w:cs="宋体" w:eastAsia="宋体" w:hint="default"/>
          <w:sz w:val="18"/>
          <w:szCs w:val="18"/>
        </w:rPr>
      </w:pPr>
    </w:p>
    <w:p>
      <w:pPr>
        <w:pStyle w:val="BodyText"/>
        <w:spacing w:line="240" w:lineRule="auto"/>
        <w:ind w:left="817" w:right="164"/>
        <w:jc w:val="left"/>
      </w:pPr>
      <w:r>
        <w:rPr/>
        <w:t>本财务报表由本公司董事会于</w:t>
      </w:r>
      <w:r>
        <w:rPr>
          <w:spacing w:val="-60"/>
        </w:rPr>
        <w:t> </w:t>
      </w:r>
      <w:r>
        <w:rPr>
          <w:rFonts w:ascii="Arial" w:hAnsi="Arial" w:cs="Arial" w:eastAsia="Arial" w:hint="default"/>
        </w:rPr>
        <w:t>2008</w:t>
      </w:r>
      <w:r>
        <w:rPr>
          <w:rFonts w:ascii="Arial" w:hAnsi="Arial" w:cs="Arial" w:eastAsia="Arial" w:hint="default"/>
          <w:spacing w:val="-7"/>
        </w:rPr>
        <w:t> </w:t>
      </w:r>
      <w:r>
        <w:rPr/>
        <w:t>年</w:t>
      </w:r>
      <w:r>
        <w:rPr>
          <w:spacing w:val="-60"/>
        </w:rPr>
        <w:t> </w:t>
      </w:r>
      <w:r>
        <w:rPr>
          <w:rFonts w:ascii="Arial" w:hAnsi="Arial" w:cs="Arial" w:eastAsia="Arial" w:hint="default"/>
        </w:rPr>
        <w:t>2</w:t>
      </w:r>
      <w:r>
        <w:rPr>
          <w:rFonts w:ascii="Arial" w:hAnsi="Arial" w:cs="Arial" w:eastAsia="Arial" w:hint="default"/>
          <w:spacing w:val="-7"/>
        </w:rPr>
        <w:t> </w:t>
      </w:r>
      <w:r>
        <w:rPr/>
        <w:t>月</w:t>
      </w:r>
      <w:r>
        <w:rPr>
          <w:spacing w:val="-60"/>
        </w:rPr>
        <w:t> </w:t>
      </w:r>
      <w:r>
        <w:rPr>
          <w:rFonts w:ascii="Arial" w:hAnsi="Arial" w:cs="Arial" w:eastAsia="Arial" w:hint="default"/>
        </w:rPr>
        <w:t>28</w:t>
      </w:r>
      <w:r>
        <w:rPr>
          <w:rFonts w:ascii="Arial" w:hAnsi="Arial" w:cs="Arial" w:eastAsia="Arial" w:hint="default"/>
          <w:spacing w:val="-7"/>
        </w:rPr>
        <w:t> </w:t>
      </w:r>
      <w:r>
        <w:rPr/>
        <w:t>日批准报出。</w:t>
      </w:r>
    </w:p>
    <w:p>
      <w:pPr>
        <w:spacing w:after="0" w:line="240" w:lineRule="auto"/>
        <w:jc w:val="left"/>
        <w:sectPr>
          <w:pgSz w:w="11910" w:h="16840"/>
          <w:pgMar w:header="1458" w:footer="708" w:top="1640" w:bottom="900" w:left="1020" w:right="90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left="227" w:right="105"/>
        <w:jc w:val="left"/>
        <w:rPr>
          <w:b w:val="0"/>
          <w:bCs w:val="0"/>
        </w:rPr>
      </w:pPr>
      <w:r>
        <w:rPr>
          <w:w w:val="95"/>
        </w:rPr>
        <w:t>二</w:t>
        <w:tab/>
      </w:r>
      <w:r>
        <w:rPr/>
        <w:t>财务报表的编制基础</w:t>
      </w:r>
      <w:r>
        <w:rPr>
          <w:b w:val="0"/>
          <w:bCs w:val="0"/>
        </w:rPr>
      </w:r>
    </w:p>
    <w:p>
      <w:pPr>
        <w:spacing w:line="240" w:lineRule="auto" w:before="12"/>
        <w:rPr>
          <w:rFonts w:ascii="宋体" w:hAnsi="宋体" w:cs="宋体" w:eastAsia="宋体" w:hint="default"/>
          <w:b/>
          <w:bCs/>
          <w:sz w:val="20"/>
          <w:szCs w:val="20"/>
        </w:rPr>
      </w:pPr>
    </w:p>
    <w:p>
      <w:pPr>
        <w:pStyle w:val="BodyText"/>
        <w:spacing w:line="322" w:lineRule="exact"/>
        <w:ind w:left="817" w:right="0"/>
        <w:jc w:val="both"/>
      </w:pPr>
      <w:r>
        <w:rPr/>
        <w:t>本集团原以</w:t>
      </w:r>
      <w:r>
        <w:rPr>
          <w:spacing w:val="-59"/>
        </w:rPr>
        <w:t> </w:t>
      </w:r>
      <w:r>
        <w:rPr>
          <w:rFonts w:ascii="Arial" w:hAnsi="Arial" w:cs="Arial" w:eastAsia="Arial" w:hint="default"/>
        </w:rPr>
        <w:t>2006</w:t>
      </w:r>
      <w:r>
        <w:rPr>
          <w:rFonts w:ascii="Arial" w:hAnsi="Arial" w:cs="Arial" w:eastAsia="Arial" w:hint="default"/>
          <w:spacing w:val="-6"/>
        </w:rPr>
        <w:t> </w:t>
      </w:r>
      <w:r>
        <w:rPr/>
        <w:t>年</w:t>
      </w:r>
      <w:r>
        <w:rPr>
          <w:spacing w:val="-59"/>
        </w:rPr>
        <w:t> </w:t>
      </w:r>
      <w:r>
        <w:rPr>
          <w:rFonts w:ascii="Arial" w:hAnsi="Arial" w:cs="Arial" w:eastAsia="Arial" w:hint="default"/>
        </w:rPr>
        <w:t>2</w:t>
      </w:r>
      <w:r>
        <w:rPr>
          <w:rFonts w:ascii="Arial" w:hAnsi="Arial" w:cs="Arial" w:eastAsia="Arial" w:hint="default"/>
          <w:spacing w:val="-6"/>
        </w:rPr>
        <w:t> </w:t>
      </w:r>
      <w:r>
        <w:rPr/>
        <w:t>月</w:t>
      </w:r>
      <w:r>
        <w:rPr>
          <w:spacing w:val="-59"/>
        </w:rPr>
        <w:t> </w:t>
      </w:r>
      <w:r>
        <w:rPr>
          <w:rFonts w:ascii="Arial" w:hAnsi="Arial" w:cs="Arial" w:eastAsia="Arial" w:hint="default"/>
        </w:rPr>
        <w:t>15</w:t>
      </w:r>
      <w:r>
        <w:rPr>
          <w:rFonts w:ascii="Arial" w:hAnsi="Arial" w:cs="Arial" w:eastAsia="Arial" w:hint="default"/>
          <w:spacing w:val="-6"/>
        </w:rPr>
        <w:t> </w:t>
      </w:r>
      <w:r>
        <w:rPr/>
        <w:t>日以前颁布的企业会计准则和</w:t>
      </w:r>
      <w:r>
        <w:rPr>
          <w:spacing w:val="-59"/>
        </w:rPr>
        <w:t> </w:t>
      </w:r>
      <w:r>
        <w:rPr>
          <w:rFonts w:ascii="Arial" w:hAnsi="Arial" w:cs="Arial" w:eastAsia="Arial" w:hint="default"/>
        </w:rPr>
        <w:t>2000</w:t>
      </w:r>
      <w:r>
        <w:rPr>
          <w:rFonts w:ascii="Arial" w:hAnsi="Arial" w:cs="Arial" w:eastAsia="Arial" w:hint="default"/>
          <w:spacing w:val="-6"/>
        </w:rPr>
        <w:t> </w:t>
      </w:r>
      <w:r>
        <w:rPr/>
        <w:t>年</w:t>
      </w:r>
      <w:r>
        <w:rPr>
          <w:spacing w:val="-59"/>
        </w:rPr>
        <w:t> </w:t>
      </w:r>
      <w:r>
        <w:rPr>
          <w:rFonts w:ascii="Arial" w:hAnsi="Arial" w:cs="Arial" w:eastAsia="Arial" w:hint="default"/>
        </w:rPr>
        <w:t>12</w:t>
      </w:r>
      <w:r>
        <w:rPr>
          <w:rFonts w:ascii="Arial" w:hAnsi="Arial" w:cs="Arial" w:eastAsia="Arial" w:hint="default"/>
          <w:spacing w:val="-6"/>
        </w:rPr>
        <w:t> </w:t>
      </w:r>
      <w:r>
        <w:rPr/>
        <w:t>月</w:t>
      </w:r>
      <w:r>
        <w:rPr>
          <w:spacing w:val="-59"/>
        </w:rPr>
        <w:t> </w:t>
      </w:r>
      <w:r>
        <w:rPr>
          <w:rFonts w:ascii="Arial" w:hAnsi="Arial" w:cs="Arial" w:eastAsia="Arial" w:hint="default"/>
        </w:rPr>
        <w:t>29</w:t>
      </w:r>
      <w:r>
        <w:rPr>
          <w:rFonts w:ascii="Arial" w:hAnsi="Arial" w:cs="Arial" w:eastAsia="Arial" w:hint="default"/>
          <w:spacing w:val="-6"/>
        </w:rPr>
        <w:t> </w:t>
      </w:r>
      <w:r>
        <w:rPr/>
        <w:t>日颁布的</w:t>
      </w:r>
    </w:p>
    <w:p>
      <w:pPr>
        <w:pStyle w:val="BodyText"/>
        <w:spacing w:line="312" w:lineRule="exact"/>
        <w:ind w:left="817" w:right="0"/>
        <w:jc w:val="both"/>
        <w:rPr>
          <w:rFonts w:ascii="Arial" w:hAnsi="Arial" w:cs="Arial" w:eastAsia="Arial" w:hint="default"/>
        </w:rPr>
      </w:pPr>
      <w:r>
        <w:rPr>
          <w:spacing w:val="2"/>
        </w:rPr>
        <w:t>《企业会计制度》及相关规定</w:t>
      </w:r>
      <w:r>
        <w:rPr>
          <w:rFonts w:ascii="Arial" w:hAnsi="Arial" w:cs="Arial" w:eastAsia="Arial" w:hint="default"/>
          <w:spacing w:val="2"/>
        </w:rPr>
        <w:t>(</w:t>
      </w:r>
      <w:r>
        <w:rPr>
          <w:spacing w:val="2"/>
        </w:rPr>
        <w:t>以下合称</w:t>
      </w:r>
      <w:r>
        <w:rPr>
          <w:rFonts w:ascii="Arial" w:hAnsi="Arial" w:cs="Arial" w:eastAsia="Arial" w:hint="default"/>
          <w:spacing w:val="2"/>
        </w:rPr>
        <w:t>“</w:t>
      </w:r>
      <w:r>
        <w:rPr>
          <w:spacing w:val="2"/>
        </w:rPr>
        <w:t>原会计准则和制度</w:t>
      </w:r>
      <w:r>
        <w:rPr>
          <w:rFonts w:ascii="Arial" w:hAnsi="Arial" w:cs="Arial" w:eastAsia="Arial" w:hint="default"/>
          <w:spacing w:val="2"/>
        </w:rPr>
        <w:t>”)</w:t>
      </w:r>
      <w:r>
        <w:rPr>
          <w:spacing w:val="2"/>
        </w:rPr>
        <w:t>编制财务报表。自</w:t>
      </w:r>
      <w:r>
        <w:rPr>
          <w:spacing w:val="-3"/>
        </w:rPr>
        <w:t> </w:t>
      </w:r>
      <w:r>
        <w:rPr>
          <w:rFonts w:ascii="Arial" w:hAnsi="Arial" w:cs="Arial" w:eastAsia="Arial" w:hint="default"/>
        </w:rPr>
        <w:t>2007</w:t>
      </w:r>
    </w:p>
    <w:p>
      <w:pPr>
        <w:pStyle w:val="BodyText"/>
        <w:spacing w:line="312" w:lineRule="exact"/>
        <w:ind w:left="817" w:right="0"/>
        <w:jc w:val="both"/>
      </w:pPr>
      <w:r>
        <w:rPr/>
        <w:t>年</w:t>
      </w:r>
      <w:r>
        <w:rPr>
          <w:spacing w:val="-62"/>
        </w:rPr>
        <w:t> </w:t>
      </w:r>
      <w:r>
        <w:rPr>
          <w:rFonts w:ascii="Arial" w:hAnsi="Arial" w:cs="Arial" w:eastAsia="Arial" w:hint="default"/>
        </w:rPr>
        <w:t>1</w:t>
      </w:r>
      <w:r>
        <w:rPr>
          <w:rFonts w:ascii="Arial" w:hAnsi="Arial" w:cs="Arial" w:eastAsia="Arial" w:hint="default"/>
          <w:spacing w:val="-9"/>
        </w:rPr>
        <w:t> </w:t>
      </w:r>
      <w:r>
        <w:rPr/>
        <w:t>月</w:t>
      </w:r>
      <w:r>
        <w:rPr>
          <w:spacing w:val="-62"/>
        </w:rPr>
        <w:t> </w:t>
      </w:r>
      <w:r>
        <w:rPr>
          <w:rFonts w:ascii="Arial" w:hAnsi="Arial" w:cs="Arial" w:eastAsia="Arial" w:hint="default"/>
        </w:rPr>
        <w:t>1</w:t>
      </w:r>
      <w:r>
        <w:rPr>
          <w:rFonts w:ascii="Arial" w:hAnsi="Arial" w:cs="Arial" w:eastAsia="Arial" w:hint="default"/>
          <w:spacing w:val="-9"/>
        </w:rPr>
        <w:t> </w:t>
      </w:r>
      <w:r>
        <w:rPr/>
        <w:t>日起，本集团执行财政部于</w:t>
      </w:r>
      <w:r>
        <w:rPr>
          <w:spacing w:val="-63"/>
        </w:rPr>
        <w:t> </w:t>
      </w:r>
      <w:r>
        <w:rPr>
          <w:rFonts w:ascii="Arial" w:hAnsi="Arial" w:cs="Arial" w:eastAsia="Arial" w:hint="default"/>
        </w:rPr>
        <w:t>2006</w:t>
      </w:r>
      <w:r>
        <w:rPr>
          <w:rFonts w:ascii="Arial" w:hAnsi="Arial" w:cs="Arial" w:eastAsia="Arial" w:hint="default"/>
          <w:spacing w:val="-9"/>
        </w:rPr>
        <w:t> </w:t>
      </w:r>
      <w:r>
        <w:rPr/>
        <w:t>年</w:t>
      </w:r>
      <w:r>
        <w:rPr>
          <w:spacing w:val="-61"/>
        </w:rPr>
        <w:t> </w:t>
      </w:r>
      <w:r>
        <w:rPr>
          <w:rFonts w:ascii="Arial" w:hAnsi="Arial" w:cs="Arial" w:eastAsia="Arial" w:hint="default"/>
        </w:rPr>
        <w:t>2</w:t>
      </w:r>
      <w:r>
        <w:rPr>
          <w:rFonts w:ascii="Arial" w:hAnsi="Arial" w:cs="Arial" w:eastAsia="Arial" w:hint="default"/>
          <w:spacing w:val="-9"/>
        </w:rPr>
        <w:t> </w:t>
      </w:r>
      <w:r>
        <w:rPr/>
        <w:t>月</w:t>
      </w:r>
      <w:r>
        <w:rPr>
          <w:spacing w:val="-62"/>
        </w:rPr>
        <w:t> </w:t>
      </w:r>
      <w:r>
        <w:rPr>
          <w:rFonts w:ascii="Arial" w:hAnsi="Arial" w:cs="Arial" w:eastAsia="Arial" w:hint="default"/>
        </w:rPr>
        <w:t>15</w:t>
      </w:r>
      <w:r>
        <w:rPr>
          <w:rFonts w:ascii="Arial" w:hAnsi="Arial" w:cs="Arial" w:eastAsia="Arial" w:hint="default"/>
          <w:spacing w:val="-9"/>
        </w:rPr>
        <w:t> </w:t>
      </w:r>
      <w:r>
        <w:rPr/>
        <w:t>日颁布的《企业会计准则</w:t>
      </w:r>
      <w:r>
        <w:rPr>
          <w:rFonts w:ascii="Arial" w:hAnsi="Arial" w:cs="Arial" w:eastAsia="Arial" w:hint="default"/>
        </w:rPr>
        <w:t>—</w:t>
      </w:r>
      <w:r>
        <w:rPr/>
        <w:t>基本</w:t>
      </w:r>
    </w:p>
    <w:p>
      <w:pPr>
        <w:pStyle w:val="BodyText"/>
        <w:spacing w:line="312" w:lineRule="exact" w:before="21"/>
        <w:ind w:left="817" w:right="105"/>
        <w:jc w:val="both"/>
      </w:pPr>
      <w:r>
        <w:rPr>
          <w:spacing w:val="-3"/>
        </w:rPr>
        <w:t>准则》和</w:t>
      </w:r>
      <w:r>
        <w:rPr>
          <w:spacing w:val="-69"/>
        </w:rPr>
        <w:t> </w:t>
      </w:r>
      <w:r>
        <w:rPr>
          <w:rFonts w:ascii="Arial" w:hAnsi="Arial" w:cs="Arial" w:eastAsia="Arial" w:hint="default"/>
        </w:rPr>
        <w:t>38</w:t>
      </w:r>
      <w:r>
        <w:rPr>
          <w:rFonts w:ascii="Arial" w:hAnsi="Arial" w:cs="Arial" w:eastAsia="Arial" w:hint="default"/>
          <w:spacing w:val="-16"/>
        </w:rPr>
        <w:t> </w:t>
      </w:r>
      <w:r>
        <w:rPr/>
        <w:t>项具体会计准则、其后颁布的企业会计准则应用指南、企业会计准则解释 </w:t>
      </w:r>
      <w:r>
        <w:rPr>
          <w:spacing w:val="-3"/>
        </w:rPr>
        <w:t>以及其他相关规定</w:t>
      </w:r>
      <w:r>
        <w:rPr>
          <w:rFonts w:ascii="Arial" w:hAnsi="Arial" w:cs="Arial" w:eastAsia="Arial" w:hint="default"/>
          <w:spacing w:val="-3"/>
        </w:rPr>
        <w:t>(</w:t>
      </w:r>
      <w:r>
        <w:rPr>
          <w:spacing w:val="-3"/>
        </w:rPr>
        <w:t>以下简称</w:t>
      </w:r>
      <w:r>
        <w:rPr>
          <w:rFonts w:ascii="Arial" w:hAnsi="Arial" w:cs="Arial" w:eastAsia="Arial" w:hint="default"/>
          <w:spacing w:val="-3"/>
        </w:rPr>
        <w:t>“</w:t>
      </w:r>
      <w:r>
        <w:rPr>
          <w:spacing w:val="-3"/>
        </w:rPr>
        <w:t>企业会计准则</w:t>
      </w:r>
      <w:r>
        <w:rPr>
          <w:rFonts w:ascii="Arial" w:hAnsi="Arial" w:cs="Arial" w:eastAsia="Arial" w:hint="default"/>
          <w:spacing w:val="-3"/>
        </w:rPr>
        <w:t>”)</w:t>
      </w:r>
      <w:r>
        <w:rPr>
          <w:spacing w:val="-3"/>
        </w:rPr>
        <w:t>。</w:t>
      </w:r>
      <w:r>
        <w:rPr>
          <w:rFonts w:ascii="Arial" w:hAnsi="Arial" w:cs="Arial" w:eastAsia="Arial" w:hint="default"/>
          <w:spacing w:val="-3"/>
        </w:rPr>
        <w:t>2007</w:t>
      </w:r>
      <w:r>
        <w:rPr>
          <w:rFonts w:ascii="Arial" w:hAnsi="Arial" w:cs="Arial" w:eastAsia="Arial" w:hint="default"/>
          <w:spacing w:val="-5"/>
        </w:rPr>
        <w:t> </w:t>
      </w:r>
      <w:r>
        <w:rPr/>
        <w:t>年度财务报表为本集团首份按照企 业会计准则编制的年度财务报表。</w:t>
      </w:r>
    </w:p>
    <w:p>
      <w:pPr>
        <w:spacing w:line="240" w:lineRule="auto" w:before="1"/>
        <w:rPr>
          <w:rFonts w:ascii="宋体" w:hAnsi="宋体" w:cs="宋体" w:eastAsia="宋体" w:hint="default"/>
          <w:sz w:val="21"/>
          <w:szCs w:val="21"/>
        </w:rPr>
      </w:pPr>
    </w:p>
    <w:p>
      <w:pPr>
        <w:pStyle w:val="BodyText"/>
        <w:spacing w:line="312" w:lineRule="exact"/>
        <w:ind w:left="817" w:right="102"/>
        <w:jc w:val="both"/>
      </w:pPr>
      <w:r>
        <w:rPr/>
        <w:t>于</w:t>
      </w:r>
      <w:r>
        <w:rPr>
          <w:spacing w:val="-55"/>
        </w:rPr>
        <w:t> </w:t>
      </w:r>
      <w:r>
        <w:rPr>
          <w:rFonts w:ascii="Arial" w:hAnsi="Arial" w:cs="Arial" w:eastAsia="Arial" w:hint="default"/>
        </w:rPr>
        <w:t>2007</w:t>
      </w:r>
      <w:r>
        <w:rPr>
          <w:rFonts w:ascii="Arial" w:hAnsi="Arial" w:cs="Arial" w:eastAsia="Arial" w:hint="default"/>
          <w:spacing w:val="-1"/>
        </w:rPr>
        <w:t> </w:t>
      </w:r>
      <w:r>
        <w:rPr/>
        <w:t>年</w:t>
      </w:r>
      <w:r>
        <w:rPr>
          <w:spacing w:val="-56"/>
        </w:rPr>
        <w:t> </w:t>
      </w:r>
      <w:r>
        <w:rPr>
          <w:rFonts w:ascii="Arial" w:hAnsi="Arial" w:cs="Arial" w:eastAsia="Arial" w:hint="default"/>
        </w:rPr>
        <w:t>1</w:t>
      </w:r>
      <w:r>
        <w:rPr>
          <w:rFonts w:ascii="Arial" w:hAnsi="Arial" w:cs="Arial" w:eastAsia="Arial" w:hint="default"/>
          <w:spacing w:val="-2"/>
        </w:rPr>
        <w:t> </w:t>
      </w:r>
      <w:r>
        <w:rPr/>
        <w:t>月</w:t>
      </w:r>
      <w:r>
        <w:rPr>
          <w:spacing w:val="-55"/>
        </w:rPr>
        <w:t> </w:t>
      </w:r>
      <w:r>
        <w:rPr>
          <w:rFonts w:ascii="Arial" w:hAnsi="Arial" w:cs="Arial" w:eastAsia="Arial" w:hint="default"/>
        </w:rPr>
        <w:t>1</w:t>
      </w:r>
      <w:r>
        <w:rPr>
          <w:rFonts w:ascii="Arial" w:hAnsi="Arial" w:cs="Arial" w:eastAsia="Arial" w:hint="default"/>
          <w:spacing w:val="-2"/>
        </w:rPr>
        <w:t> </w:t>
      </w:r>
      <w:r>
        <w:rPr/>
        <w:t>日首次执行企业会计准则时，本集团除了按照《企业会计准则第</w:t>
      </w:r>
      <w:r>
        <w:rPr>
          <w:spacing w:val="-55"/>
        </w:rPr>
        <w:t> </w:t>
      </w:r>
      <w:r>
        <w:rPr>
          <w:rFonts w:ascii="Arial" w:hAnsi="Arial" w:cs="Arial" w:eastAsia="Arial" w:hint="default"/>
        </w:rPr>
        <w:t>38</w:t>
      </w:r>
      <w:r>
        <w:rPr>
          <w:rFonts w:ascii="Arial" w:hAnsi="Arial" w:cs="Arial" w:eastAsia="Arial" w:hint="default"/>
          <w:spacing w:val="-1"/>
        </w:rPr>
        <w:t> </w:t>
      </w:r>
      <w:r>
        <w:rPr/>
        <w:t>号</w:t>
      </w:r>
      <w:r>
        <w:rPr>
          <w:rFonts w:ascii="Arial" w:hAnsi="Arial" w:cs="Arial" w:eastAsia="Arial" w:hint="default"/>
        </w:rPr>
        <w:t>-</w:t>
      </w:r>
      <w:r>
        <w:rPr/>
        <w:t>首次执行企业会计准则》第五条至第十九条的规定进行追溯调整外，还按照《企业</w:t>
      </w:r>
      <w:r>
        <w:rPr>
          <w:spacing w:val="-85"/>
        </w:rPr>
        <w:t> </w:t>
      </w:r>
      <w:r>
        <w:rPr>
          <w:spacing w:val="-85"/>
        </w:rPr>
      </w:r>
      <w:r>
        <w:rPr/>
        <w:t>会计准则解释第 </w:t>
      </w:r>
      <w:r>
        <w:rPr>
          <w:rFonts w:ascii="Arial" w:hAnsi="Arial" w:cs="Arial" w:eastAsia="Arial" w:hint="default"/>
        </w:rPr>
        <w:t>1</w:t>
      </w:r>
      <w:r>
        <w:rPr>
          <w:rFonts w:ascii="Arial" w:hAnsi="Arial" w:cs="Arial" w:eastAsia="Arial" w:hint="default"/>
          <w:spacing w:val="37"/>
        </w:rPr>
        <w:t> </w:t>
      </w:r>
      <w:r>
        <w:rPr/>
        <w:t>号》的规定，根据取得的相关信息，对于按照企业会计准则确定的 </w:t>
      </w:r>
      <w:r>
        <w:rPr>
          <w:spacing w:val="2"/>
        </w:rPr>
        <w:t>会计政策与之前按照原会计准则和制度确定的会计政策之间的其他差异，追溯调整了</w:t>
      </w:r>
      <w:r>
        <w:rPr>
          <w:spacing w:val="-85"/>
        </w:rPr>
        <w:t> </w:t>
      </w:r>
      <w:r>
        <w:rPr>
          <w:spacing w:val="-85"/>
        </w:rPr>
      </w:r>
      <w:r>
        <w:rPr>
          <w:rFonts w:ascii="Arial" w:hAnsi="Arial" w:cs="Arial" w:eastAsia="Arial" w:hint="default"/>
        </w:rPr>
        <w:t>2006</w:t>
      </w:r>
      <w:r>
        <w:rPr>
          <w:rFonts w:ascii="Arial" w:hAnsi="Arial" w:cs="Arial" w:eastAsia="Arial" w:hint="default"/>
          <w:spacing w:val="-5"/>
        </w:rPr>
        <w:t> </w:t>
      </w:r>
      <w:r>
        <w:rPr/>
        <w:t>年度的财务报表，相关数据已经按照上述追溯调整后的金额重新列报。追溯调整 涉及的主要内容包括：</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05"/>
        <w:jc w:val="left"/>
      </w:pPr>
      <w:r>
        <w:rPr>
          <w:rFonts w:ascii="Arial" w:hAnsi="Arial" w:cs="Arial" w:eastAsia="Arial" w:hint="default"/>
          <w:position w:val="2"/>
        </w:rPr>
        <w:t>(1)</w:t>
        <w:tab/>
      </w:r>
      <w:r>
        <w:rPr/>
        <w:t>对于属于同一控制下企业合并产生的尚未摊销完毕的股权投资差额予以全额冲销。</w:t>
      </w:r>
    </w:p>
    <w:p>
      <w:pPr>
        <w:spacing w:line="240" w:lineRule="auto" w:before="4"/>
        <w:rPr>
          <w:rFonts w:ascii="宋体" w:hAnsi="宋体" w:cs="宋体" w:eastAsia="宋体" w:hint="default"/>
          <w:sz w:val="23"/>
          <w:szCs w:val="23"/>
        </w:rPr>
      </w:pPr>
    </w:p>
    <w:p>
      <w:pPr>
        <w:pStyle w:val="BodyText"/>
        <w:tabs>
          <w:tab w:pos="817" w:val="left" w:leader="none"/>
        </w:tabs>
        <w:spacing w:line="312" w:lineRule="exact"/>
        <w:ind w:left="817" w:right="105" w:hanging="710"/>
        <w:jc w:val="left"/>
      </w:pPr>
      <w:r>
        <w:rPr>
          <w:rFonts w:ascii="Arial" w:hAnsi="Arial" w:cs="Arial" w:eastAsia="Arial" w:hint="default"/>
          <w:position w:val="2"/>
        </w:rPr>
        <w:t>(2)</w:t>
        <w:tab/>
      </w:r>
      <w:r>
        <w:rPr>
          <w:spacing w:val="2"/>
        </w:rPr>
        <w:t>对于资产、负债的账面价值与计税基础不同形成的暂时性差异以及能够结转以后年度</w:t>
      </w:r>
      <w:r>
        <w:rPr>
          <w:spacing w:val="-85"/>
        </w:rPr>
        <w:t> </w:t>
      </w:r>
      <w:r>
        <w:rPr>
          <w:spacing w:val="-85"/>
        </w:rPr>
      </w:r>
      <w:r>
        <w:rPr/>
        <w:t>的可抵扣亏损和税款抵减，确认相应的递延所得税资产和递延所得税负债。</w:t>
      </w:r>
    </w:p>
    <w:p>
      <w:pPr>
        <w:spacing w:line="240" w:lineRule="auto" w:before="1"/>
        <w:rPr>
          <w:rFonts w:ascii="宋体" w:hAnsi="宋体" w:cs="宋体" w:eastAsia="宋体" w:hint="default"/>
          <w:sz w:val="21"/>
          <w:szCs w:val="21"/>
        </w:rPr>
      </w:pPr>
    </w:p>
    <w:p>
      <w:pPr>
        <w:pStyle w:val="BodyText"/>
        <w:tabs>
          <w:tab w:pos="817" w:val="left" w:leader="none"/>
        </w:tabs>
        <w:spacing w:line="312" w:lineRule="exact"/>
        <w:ind w:left="817" w:right="105" w:hanging="710"/>
        <w:jc w:val="left"/>
      </w:pPr>
      <w:r>
        <w:rPr>
          <w:rFonts w:ascii="Arial" w:hAnsi="Arial" w:cs="Arial" w:eastAsia="Arial" w:hint="default"/>
          <w:position w:val="2"/>
        </w:rPr>
        <w:t>(3)</w:t>
        <w:tab/>
      </w:r>
      <w:r>
        <w:rPr>
          <w:spacing w:val="2"/>
        </w:rPr>
        <w:t>对于持有的对子公司的长期股权投资，在母公司财务报表中进行追溯，视同该子公司</w:t>
      </w:r>
      <w:r>
        <w:rPr>
          <w:spacing w:val="-85"/>
        </w:rPr>
        <w:t> </w:t>
      </w:r>
      <w:r>
        <w:rPr>
          <w:spacing w:val="-85"/>
        </w:rPr>
      </w:r>
      <w:r>
        <w:rPr/>
        <w:t>自最初即采用成本法核算。</w:t>
      </w:r>
    </w:p>
    <w:p>
      <w:pPr>
        <w:spacing w:line="240" w:lineRule="auto" w:before="1"/>
        <w:rPr>
          <w:rFonts w:ascii="宋体" w:hAnsi="宋体" w:cs="宋体" w:eastAsia="宋体" w:hint="default"/>
          <w:sz w:val="21"/>
          <w:szCs w:val="21"/>
        </w:rPr>
      </w:pPr>
    </w:p>
    <w:p>
      <w:pPr>
        <w:pStyle w:val="BodyText"/>
        <w:spacing w:line="312" w:lineRule="exact"/>
        <w:ind w:left="817" w:right="102"/>
        <w:jc w:val="both"/>
      </w:pPr>
      <w:r>
        <w:rPr/>
        <w:t>按原会计准则和制度列报的 </w:t>
      </w:r>
      <w:r>
        <w:rPr>
          <w:rFonts w:ascii="Arial" w:hAnsi="Arial" w:cs="Arial" w:eastAsia="Arial" w:hint="default"/>
        </w:rPr>
        <w:t>2006 </w:t>
      </w:r>
      <w:r>
        <w:rPr/>
        <w:t>年年初及年末合并股东权益、</w:t>
      </w:r>
      <w:r>
        <w:rPr>
          <w:rFonts w:ascii="Arial" w:hAnsi="Arial" w:cs="Arial" w:eastAsia="Arial" w:hint="default"/>
        </w:rPr>
        <w:t>2006</w:t>
      </w:r>
      <w:r>
        <w:rPr>
          <w:rFonts w:ascii="Arial" w:hAnsi="Arial" w:cs="Arial" w:eastAsia="Arial" w:hint="default"/>
          <w:spacing w:val="-6"/>
        </w:rPr>
        <w:t> </w:t>
      </w:r>
      <w:r>
        <w:rPr/>
        <w:t>年度合并净利润 </w:t>
      </w:r>
      <w:r>
        <w:rPr>
          <w:spacing w:val="2"/>
        </w:rPr>
        <w:t>调整为按企业会计准则列报的合并股东权益及合并净利润的金额调节过程列示于本财</w:t>
      </w:r>
      <w:r>
        <w:rPr>
          <w:spacing w:val="-85"/>
        </w:rPr>
        <w:t> </w:t>
      </w:r>
      <w:r>
        <w:rPr>
          <w:spacing w:val="-85"/>
        </w:rPr>
      </w:r>
      <w:r>
        <w:rPr/>
        <w:t>务报表附注十三。</w:t>
      </w:r>
    </w:p>
    <w:p>
      <w:pPr>
        <w:spacing w:line="240" w:lineRule="auto" w:before="10"/>
        <w:rPr>
          <w:rFonts w:ascii="宋体" w:hAnsi="宋体" w:cs="宋体" w:eastAsia="宋体" w:hint="default"/>
          <w:sz w:val="18"/>
          <w:szCs w:val="18"/>
        </w:rPr>
      </w:pPr>
    </w:p>
    <w:p>
      <w:pPr>
        <w:pStyle w:val="Heading2"/>
        <w:tabs>
          <w:tab w:pos="817" w:val="left" w:leader="none"/>
        </w:tabs>
        <w:spacing w:line="240" w:lineRule="auto" w:before="0"/>
        <w:ind w:right="105"/>
        <w:jc w:val="left"/>
        <w:rPr>
          <w:b w:val="0"/>
          <w:bCs w:val="0"/>
        </w:rPr>
      </w:pPr>
      <w:r>
        <w:rPr>
          <w:w w:val="95"/>
        </w:rPr>
        <w:t>三</w:t>
        <w:tab/>
      </w:r>
      <w:r>
        <w:rPr/>
        <w:t>遵循企业会计准则的声明</w:t>
      </w:r>
      <w:r>
        <w:rPr>
          <w:b w:val="0"/>
          <w:bCs w:val="0"/>
        </w:rPr>
      </w:r>
    </w:p>
    <w:p>
      <w:pPr>
        <w:spacing w:line="240" w:lineRule="auto" w:before="12"/>
        <w:rPr>
          <w:rFonts w:ascii="宋体" w:hAnsi="宋体" w:cs="宋体" w:eastAsia="宋体" w:hint="default"/>
          <w:b/>
          <w:bCs/>
          <w:sz w:val="20"/>
          <w:szCs w:val="20"/>
        </w:rPr>
      </w:pPr>
    </w:p>
    <w:p>
      <w:pPr>
        <w:pStyle w:val="BodyText"/>
        <w:spacing w:line="322" w:lineRule="exact"/>
        <w:ind w:left="817" w:right="0"/>
        <w:jc w:val="both"/>
      </w:pPr>
      <w:r>
        <w:rPr/>
        <w:t>本集团和本公司</w:t>
      </w:r>
      <w:r>
        <w:rPr>
          <w:spacing w:val="-90"/>
        </w:rPr>
        <w:t> </w:t>
      </w:r>
      <w:r>
        <w:rPr>
          <w:rFonts w:ascii="Arial" w:hAnsi="Arial" w:cs="Arial" w:eastAsia="Arial" w:hint="default"/>
        </w:rPr>
        <w:t>2007</w:t>
      </w:r>
      <w:r>
        <w:rPr>
          <w:rFonts w:ascii="Arial" w:hAnsi="Arial" w:cs="Arial" w:eastAsia="Arial" w:hint="default"/>
          <w:spacing w:val="-36"/>
        </w:rPr>
        <w:t> </w:t>
      </w:r>
      <w:r>
        <w:rPr/>
        <w:t>年度合并及母公司财务报表符合企业会计准则的要求，真实、完</w:t>
      </w:r>
    </w:p>
    <w:p>
      <w:pPr>
        <w:pStyle w:val="BodyText"/>
        <w:spacing w:line="312" w:lineRule="exact" w:before="21"/>
        <w:ind w:left="817" w:right="106"/>
        <w:jc w:val="both"/>
      </w:pPr>
      <w:r>
        <w:rPr/>
        <w:t>整地反映了本集团和本公司</w:t>
      </w:r>
      <w:r>
        <w:rPr>
          <w:spacing w:val="-67"/>
        </w:rPr>
        <w:t> </w:t>
      </w:r>
      <w:r>
        <w:rPr>
          <w:rFonts w:ascii="Arial" w:hAnsi="Arial" w:cs="Arial" w:eastAsia="Arial" w:hint="default"/>
        </w:rPr>
        <w:t>2007</w:t>
      </w:r>
      <w:r>
        <w:rPr>
          <w:rFonts w:ascii="Arial" w:hAnsi="Arial" w:cs="Arial" w:eastAsia="Arial" w:hint="default"/>
          <w:spacing w:val="-14"/>
        </w:rPr>
        <w:t> </w:t>
      </w:r>
      <w:r>
        <w:rPr/>
        <w:t>年</w:t>
      </w:r>
      <w:r>
        <w:rPr>
          <w:spacing w:val="-67"/>
        </w:rPr>
        <w:t> </w:t>
      </w:r>
      <w:r>
        <w:rPr>
          <w:rFonts w:ascii="Arial" w:hAnsi="Arial" w:cs="Arial" w:eastAsia="Arial" w:hint="default"/>
        </w:rPr>
        <w:t>12</w:t>
      </w:r>
      <w:r>
        <w:rPr>
          <w:rFonts w:ascii="Arial" w:hAnsi="Arial" w:cs="Arial" w:eastAsia="Arial" w:hint="default"/>
          <w:spacing w:val="-14"/>
        </w:rPr>
        <w:t> </w:t>
      </w:r>
      <w:r>
        <w:rPr/>
        <w:t>月</w:t>
      </w:r>
      <w:r>
        <w:rPr>
          <w:spacing w:val="-67"/>
        </w:rPr>
        <w:t> </w:t>
      </w:r>
      <w:r>
        <w:rPr>
          <w:rFonts w:ascii="Arial" w:hAnsi="Arial" w:cs="Arial" w:eastAsia="Arial" w:hint="default"/>
        </w:rPr>
        <w:t>31</w:t>
      </w:r>
      <w:r>
        <w:rPr>
          <w:rFonts w:ascii="Arial" w:hAnsi="Arial" w:cs="Arial" w:eastAsia="Arial" w:hint="default"/>
          <w:spacing w:val="-14"/>
        </w:rPr>
        <w:t> </w:t>
      </w:r>
      <w:r>
        <w:rPr/>
        <w:t>日的财务状况以及</w:t>
      </w:r>
      <w:r>
        <w:rPr>
          <w:spacing w:val="-67"/>
        </w:rPr>
        <w:t> </w:t>
      </w:r>
      <w:r>
        <w:rPr>
          <w:rFonts w:ascii="Arial" w:hAnsi="Arial" w:cs="Arial" w:eastAsia="Arial" w:hint="default"/>
        </w:rPr>
        <w:t>2007</w:t>
      </w:r>
      <w:r>
        <w:rPr>
          <w:rFonts w:ascii="Arial" w:hAnsi="Arial" w:cs="Arial" w:eastAsia="Arial" w:hint="default"/>
          <w:spacing w:val="-14"/>
        </w:rPr>
        <w:t> </w:t>
      </w:r>
      <w:r>
        <w:rPr/>
        <w:t>年度的经营成果 和现金流量等有关信息。</w:t>
      </w:r>
    </w:p>
    <w:p>
      <w:pPr>
        <w:spacing w:after="0" w:line="312" w:lineRule="exact"/>
        <w:jc w:val="both"/>
        <w:sectPr>
          <w:pgSz w:w="11910" w:h="16840"/>
          <w:pgMar w:header="1458" w:footer="708" w:top="1640" w:bottom="900" w:left="1020" w:right="96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3845"/>
        <w:jc w:val="left"/>
        <w:rPr>
          <w:b w:val="0"/>
          <w:bCs w:val="0"/>
        </w:rPr>
      </w:pPr>
      <w:r>
        <w:rPr>
          <w:w w:val="95"/>
        </w:rPr>
        <w:t>四</w:t>
        <w:tab/>
      </w:r>
      <w:r>
        <w:rPr/>
        <w:t>重要会计政策和会计估计</w:t>
      </w:r>
      <w:r>
        <w:rPr>
          <w:b w:val="0"/>
          <w:bCs w:val="0"/>
        </w:rPr>
      </w:r>
    </w:p>
    <w:p>
      <w:pPr>
        <w:spacing w:line="240" w:lineRule="auto" w:before="12"/>
        <w:rPr>
          <w:rFonts w:ascii="宋体" w:hAnsi="宋体" w:cs="宋体" w:eastAsia="宋体" w:hint="default"/>
          <w:b/>
          <w:bCs/>
          <w:sz w:val="20"/>
          <w:szCs w:val="20"/>
        </w:rPr>
      </w:pPr>
    </w:p>
    <w:p>
      <w:pPr>
        <w:pStyle w:val="BodyText"/>
        <w:tabs>
          <w:tab w:pos="817" w:val="left" w:leader="none"/>
        </w:tabs>
        <w:spacing w:line="240" w:lineRule="auto"/>
        <w:ind w:left="107" w:right="3845"/>
        <w:jc w:val="left"/>
      </w:pPr>
      <w:r>
        <w:rPr>
          <w:rFonts w:ascii="Arial" w:hAnsi="Arial" w:cs="Arial" w:eastAsia="Arial" w:hint="default"/>
          <w:position w:val="2"/>
        </w:rPr>
        <w:t>(1)</w:t>
        <w:tab/>
      </w:r>
      <w:r>
        <w:rPr/>
        <w:t>会计年度</w:t>
      </w:r>
    </w:p>
    <w:p>
      <w:pPr>
        <w:spacing w:line="240" w:lineRule="auto" w:before="12"/>
        <w:rPr>
          <w:rFonts w:ascii="宋体" w:hAnsi="宋体" w:cs="宋体" w:eastAsia="宋体" w:hint="default"/>
          <w:sz w:val="20"/>
          <w:szCs w:val="20"/>
        </w:rPr>
      </w:pPr>
    </w:p>
    <w:p>
      <w:pPr>
        <w:pStyle w:val="BodyText"/>
        <w:spacing w:line="240" w:lineRule="auto"/>
        <w:ind w:left="817" w:right="0"/>
        <w:jc w:val="both"/>
      </w:pPr>
      <w:r>
        <w:rPr/>
        <w:t>会计年度为公历</w:t>
      </w:r>
      <w:r>
        <w:rPr>
          <w:spacing w:val="-61"/>
        </w:rPr>
        <w:t> </w:t>
      </w:r>
      <w:r>
        <w:rPr>
          <w:rFonts w:ascii="Arial" w:hAnsi="Arial" w:cs="Arial" w:eastAsia="Arial" w:hint="default"/>
        </w:rPr>
        <w:t>1</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日起至</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日止。</w:t>
      </w:r>
    </w:p>
    <w:p>
      <w:pPr>
        <w:spacing w:line="240" w:lineRule="auto" w:before="8"/>
        <w:rPr>
          <w:rFonts w:ascii="宋体" w:hAnsi="宋体" w:cs="宋体" w:eastAsia="宋体" w:hint="default"/>
          <w:sz w:val="19"/>
          <w:szCs w:val="19"/>
        </w:rPr>
      </w:pPr>
    </w:p>
    <w:p>
      <w:pPr>
        <w:pStyle w:val="BodyText"/>
        <w:tabs>
          <w:tab w:pos="817" w:val="left" w:leader="none"/>
        </w:tabs>
        <w:spacing w:line="448" w:lineRule="auto"/>
        <w:ind w:left="817" w:right="6725" w:hanging="710"/>
        <w:jc w:val="left"/>
      </w:pPr>
      <w:r>
        <w:rPr>
          <w:rFonts w:ascii="Arial" w:hAnsi="Arial" w:cs="Arial" w:eastAsia="Arial" w:hint="default"/>
          <w:position w:val="2"/>
        </w:rPr>
        <w:t>(2)</w:t>
        <w:tab/>
      </w:r>
      <w:r>
        <w:rPr/>
        <w:t>记账本位币 记账本位币为人民币。</w:t>
      </w:r>
    </w:p>
    <w:p>
      <w:pPr>
        <w:pStyle w:val="BodyText"/>
        <w:tabs>
          <w:tab w:pos="817" w:val="left" w:leader="none"/>
        </w:tabs>
        <w:spacing w:line="240" w:lineRule="auto" w:before="65"/>
        <w:ind w:left="107" w:right="3845"/>
        <w:jc w:val="left"/>
      </w:pPr>
      <w:r>
        <w:rPr>
          <w:rFonts w:ascii="Arial" w:hAnsi="Arial" w:cs="Arial" w:eastAsia="Arial" w:hint="default"/>
          <w:position w:val="2"/>
        </w:rPr>
        <w:t>(3)</w:t>
        <w:tab/>
      </w:r>
      <w:r>
        <w:rPr/>
        <w:t>外币折算－外币交易</w:t>
      </w:r>
    </w:p>
    <w:p>
      <w:pPr>
        <w:spacing w:line="240" w:lineRule="auto" w:before="12"/>
        <w:rPr>
          <w:rFonts w:ascii="宋体" w:hAnsi="宋体" w:cs="宋体" w:eastAsia="宋体" w:hint="default"/>
          <w:sz w:val="20"/>
          <w:szCs w:val="20"/>
        </w:rPr>
      </w:pPr>
    </w:p>
    <w:p>
      <w:pPr>
        <w:pStyle w:val="BodyText"/>
        <w:spacing w:line="240" w:lineRule="auto"/>
        <w:ind w:left="817" w:right="0"/>
        <w:jc w:val="both"/>
      </w:pPr>
      <w:r>
        <w:rPr/>
        <w:t>外币交易按交易发生日的即期汇率将外币金额折算为人民币入账。</w:t>
      </w:r>
    </w:p>
    <w:p>
      <w:pPr>
        <w:spacing w:line="240" w:lineRule="auto" w:before="4"/>
        <w:rPr>
          <w:rFonts w:ascii="宋体" w:hAnsi="宋体" w:cs="宋体" w:eastAsia="宋体" w:hint="default"/>
          <w:sz w:val="23"/>
          <w:szCs w:val="23"/>
        </w:rPr>
      </w:pPr>
    </w:p>
    <w:p>
      <w:pPr>
        <w:pStyle w:val="BodyText"/>
        <w:spacing w:line="312" w:lineRule="exact"/>
        <w:ind w:left="817" w:right="122"/>
        <w:jc w:val="both"/>
      </w:pPr>
      <w:r>
        <w:rPr>
          <w:spacing w:val="2"/>
        </w:rPr>
        <w:t>于资产负债表日，外币货币性项目采用资产负债表日的即期汇率折算为人民币，所产</w:t>
      </w:r>
      <w:r>
        <w:rPr>
          <w:spacing w:val="-85"/>
        </w:rPr>
        <w:t> </w:t>
      </w:r>
      <w:r>
        <w:rPr>
          <w:spacing w:val="-85"/>
        </w:rPr>
      </w:r>
      <w:r>
        <w:rPr>
          <w:spacing w:val="2"/>
        </w:rPr>
        <w:t>生的折算差额除了为购建或生产符合资本化条件的资产而借入的外币专门借款产生的</w:t>
      </w:r>
      <w:r>
        <w:rPr>
          <w:spacing w:val="-85"/>
        </w:rPr>
        <w:t> </w:t>
      </w:r>
      <w:r>
        <w:rPr>
          <w:spacing w:val="-85"/>
        </w:rPr>
      </w:r>
      <w:r>
        <w:rPr>
          <w:spacing w:val="2"/>
        </w:rPr>
        <w:t>汇兑差额按资本化的原则处理外，直接计入当期损益。以历史成本计量的外币非货币</w:t>
      </w:r>
      <w:r>
        <w:rPr>
          <w:spacing w:val="-85"/>
        </w:rPr>
        <w:t> </w:t>
      </w:r>
      <w:r>
        <w:rPr>
          <w:spacing w:val="-85"/>
        </w:rPr>
      </w:r>
      <w:r>
        <w:rPr/>
        <w:t>性项目，于资产负债表日采用交易发生日的即期汇率折算。</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3845"/>
        <w:jc w:val="left"/>
      </w:pPr>
      <w:r>
        <w:rPr>
          <w:rFonts w:ascii="Arial" w:hAnsi="Arial" w:cs="Arial" w:eastAsia="Arial" w:hint="default"/>
          <w:position w:val="2"/>
        </w:rPr>
        <w:t>(4)</w:t>
        <w:tab/>
      </w:r>
      <w:r>
        <w:rPr/>
        <w:t>现金及现金等价物</w:t>
      </w:r>
    </w:p>
    <w:p>
      <w:pPr>
        <w:spacing w:line="240" w:lineRule="auto" w:before="4"/>
        <w:rPr>
          <w:rFonts w:ascii="宋体" w:hAnsi="宋体" w:cs="宋体" w:eastAsia="宋体" w:hint="default"/>
          <w:sz w:val="23"/>
          <w:szCs w:val="23"/>
        </w:rPr>
      </w:pPr>
    </w:p>
    <w:p>
      <w:pPr>
        <w:pStyle w:val="BodyText"/>
        <w:spacing w:line="312" w:lineRule="exact"/>
        <w:ind w:left="817" w:right="101"/>
        <w:jc w:val="both"/>
      </w:pPr>
      <w:r>
        <w:rPr>
          <w:spacing w:val="-3"/>
        </w:rPr>
        <w:t>列示于现金流量表中的现金是指库存现金及可随时用于支付的存款，现金等价物是指持</w:t>
      </w:r>
      <w:r>
        <w:rPr>
          <w:spacing w:val="-102"/>
        </w:rPr>
        <w:t> </w:t>
      </w:r>
      <w:r>
        <w:rPr>
          <w:spacing w:val="-102"/>
        </w:rPr>
      </w:r>
      <w:r>
        <w:rPr/>
        <w:t>有的期限短、流动性强、易于转换为已知金额现金及价值变动风险很小的投资。</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3845"/>
        <w:jc w:val="left"/>
      </w:pPr>
      <w:r>
        <w:rPr>
          <w:rFonts w:ascii="Arial" w:hAnsi="Arial" w:cs="Arial" w:eastAsia="Arial" w:hint="default"/>
          <w:position w:val="2"/>
        </w:rPr>
        <w:t>(5)</w:t>
        <w:tab/>
      </w:r>
      <w:r>
        <w:rPr/>
        <w:t>金融资产</w:t>
      </w:r>
      <w:r>
        <w:rPr>
          <w:rFonts w:ascii="Arial" w:hAnsi="Arial" w:cs="Arial" w:eastAsia="Arial" w:hint="default"/>
        </w:rPr>
        <w:t>-</w:t>
      </w:r>
      <w:r>
        <w:rPr/>
        <w:t>应收款项</w:t>
      </w:r>
    </w:p>
    <w:p>
      <w:pPr>
        <w:spacing w:line="240" w:lineRule="auto" w:before="13"/>
        <w:rPr>
          <w:rFonts w:ascii="宋体" w:hAnsi="宋体" w:cs="宋体" w:eastAsia="宋体" w:hint="default"/>
          <w:sz w:val="21"/>
          <w:szCs w:val="21"/>
        </w:rPr>
      </w:pPr>
    </w:p>
    <w:p>
      <w:pPr>
        <w:pStyle w:val="BodyText"/>
        <w:spacing w:line="312" w:lineRule="exact"/>
        <w:ind w:left="817" w:right="122"/>
        <w:jc w:val="both"/>
      </w:pPr>
      <w:r>
        <w:rPr>
          <w:spacing w:val="2"/>
        </w:rPr>
        <w:t>应收款项是指在活跃市场中没有报价、回收金额固定或可确定的非衍生金融资产，包</w:t>
      </w:r>
      <w:r>
        <w:rPr>
          <w:spacing w:val="-85"/>
        </w:rPr>
        <w:t> </w:t>
      </w:r>
      <w:r>
        <w:rPr>
          <w:spacing w:val="-85"/>
        </w:rPr>
      </w:r>
      <w:r>
        <w:rPr/>
        <w:t>括应收账款、其他应收款和长期应收款等。</w:t>
      </w:r>
    </w:p>
    <w:p>
      <w:pPr>
        <w:spacing w:after="0" w:line="312" w:lineRule="exact"/>
        <w:jc w:val="both"/>
        <w:sectPr>
          <w:pgSz w:w="11910" w:h="16840"/>
          <w:pgMar w:header="1458" w:footer="708" w:top="1640" w:bottom="900" w:left="1020" w:right="940"/>
        </w:sectPr>
      </w:pPr>
    </w:p>
    <w:p>
      <w:pPr>
        <w:pStyle w:val="Heading2"/>
        <w:tabs>
          <w:tab w:pos="817" w:val="left" w:leader="none"/>
        </w:tabs>
        <w:spacing w:line="240" w:lineRule="auto" w:before="12"/>
        <w:ind w:right="1705"/>
        <w:jc w:val="left"/>
        <w:rPr>
          <w:rFonts w:ascii="Arial" w:hAnsi="Arial" w:cs="Arial" w:eastAsia="Arial" w:hint="default"/>
          <w:b w:val="0"/>
          <w:bCs w:val="0"/>
        </w:rPr>
      </w:pPr>
      <w:r>
        <w:rPr/>
        <w:pict>
          <v:group style="position:absolute;margin-left:84.959999pt;margin-top:2.195945pt;width:439.95pt;height:.1pt;mso-position-horizontal-relative:page;mso-position-vertical-relative:paragraph;z-index:-577840" coordorigin="1699,44" coordsize="8799,2">
            <v:shape style="position:absolute;left:1699;top:44;width:8799;height:2" coordorigin="1699,44" coordsize="8799,0" path="m1699,44l10498,44e" filled="false" stroked="true" strokeweight=".71997pt" strokecolor="#000000">
              <v:path arrowok="t"/>
            </v:shape>
            <w10:wrap type="none"/>
          </v:group>
        </w:pict>
      </w: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1705"/>
        <w:jc w:val="left"/>
        <w:rPr>
          <w:rFonts w:ascii="Arial" w:hAnsi="Arial" w:cs="Arial" w:eastAsia="Arial" w:hint="default"/>
        </w:rPr>
      </w:pPr>
      <w:r>
        <w:rPr>
          <w:rFonts w:ascii="Arial" w:hAnsi="Arial" w:cs="Arial" w:eastAsia="Arial" w:hint="default"/>
          <w:position w:val="2"/>
        </w:rPr>
        <w:t>(5)</w:t>
        <w:tab/>
      </w:r>
      <w:r>
        <w:rPr/>
        <w:t>金融资产</w:t>
      </w:r>
      <w:r>
        <w:rPr>
          <w:rFonts w:ascii="Arial" w:hAnsi="Arial" w:cs="Arial" w:eastAsia="Arial" w:hint="default"/>
        </w:rPr>
        <w:t>-</w:t>
      </w:r>
      <w:r>
        <w:rPr/>
        <w:t>应收款项</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spacing w:line="312" w:lineRule="exact"/>
        <w:ind w:left="817" w:right="121"/>
        <w:jc w:val="both"/>
      </w:pPr>
      <w:r>
        <w:rPr>
          <w:spacing w:val="-3"/>
        </w:rPr>
        <w:t>本集团对外销售商品或提供劳务形成的应收账款，按从购货方应收的合同或协议价款的</w:t>
      </w:r>
      <w:r>
        <w:rPr>
          <w:spacing w:val="-102"/>
        </w:rPr>
        <w:t> </w:t>
      </w:r>
      <w:r>
        <w:rPr>
          <w:spacing w:val="-102"/>
        </w:rPr>
      </w:r>
      <w:r>
        <w:rPr>
          <w:spacing w:val="-3"/>
        </w:rPr>
        <w:t>公允价值作为初始确认金额。应收款项采用实际利率法，以摊余成本减去坏账准备后的</w:t>
      </w:r>
      <w:r>
        <w:rPr>
          <w:spacing w:val="-102"/>
        </w:rPr>
        <w:t> </w:t>
      </w:r>
      <w:r>
        <w:rPr>
          <w:spacing w:val="-102"/>
        </w:rPr>
      </w:r>
      <w:r>
        <w:rPr/>
        <w:t>净额列示。</w:t>
      </w:r>
    </w:p>
    <w:p>
      <w:pPr>
        <w:spacing w:line="240" w:lineRule="auto" w:before="1"/>
        <w:rPr>
          <w:rFonts w:ascii="宋体" w:hAnsi="宋体" w:cs="宋体" w:eastAsia="宋体" w:hint="default"/>
          <w:sz w:val="21"/>
          <w:szCs w:val="21"/>
        </w:rPr>
      </w:pPr>
    </w:p>
    <w:p>
      <w:pPr>
        <w:pStyle w:val="BodyText"/>
        <w:spacing w:line="312" w:lineRule="exact"/>
        <w:ind w:left="817" w:right="121"/>
        <w:jc w:val="both"/>
      </w:pPr>
      <w:r>
        <w:rPr>
          <w:spacing w:val="-3"/>
        </w:rPr>
        <w:t>对于单项金额重大的应收款项，当存在客观证据表明本集团将无法按应收款项的原有条</w:t>
      </w:r>
      <w:r>
        <w:rPr>
          <w:spacing w:val="-102"/>
        </w:rPr>
        <w:t> </w:t>
      </w:r>
      <w:r>
        <w:rPr>
          <w:spacing w:val="-102"/>
        </w:rPr>
      </w:r>
      <w:r>
        <w:rPr>
          <w:spacing w:val="-3"/>
        </w:rPr>
        <w:t>款收回所有款项时，根据其预计未来现金流量现值低于其账面价值的差额，单独进行减</w:t>
      </w:r>
      <w:r>
        <w:rPr>
          <w:spacing w:val="-102"/>
        </w:rPr>
        <w:t> </w:t>
      </w:r>
      <w:r>
        <w:rPr>
          <w:spacing w:val="-102"/>
        </w:rPr>
      </w:r>
      <w:r>
        <w:rPr/>
        <w:t>值测试，计提坏账准备。</w:t>
      </w:r>
    </w:p>
    <w:p>
      <w:pPr>
        <w:spacing w:line="240" w:lineRule="auto" w:before="1"/>
        <w:rPr>
          <w:rFonts w:ascii="宋体" w:hAnsi="宋体" w:cs="宋体" w:eastAsia="宋体" w:hint="default"/>
          <w:sz w:val="21"/>
          <w:szCs w:val="21"/>
        </w:rPr>
      </w:pPr>
    </w:p>
    <w:p>
      <w:pPr>
        <w:pStyle w:val="BodyText"/>
        <w:spacing w:line="312" w:lineRule="exact"/>
        <w:ind w:left="817" w:right="116"/>
        <w:jc w:val="both"/>
      </w:pPr>
      <w:r>
        <w:rPr>
          <w:spacing w:val="-3"/>
        </w:rPr>
        <w:t>对于单项金额非重大的应收款项，与经单独测试后未减值的应收款项一起按信用风险特</w:t>
      </w:r>
      <w:r>
        <w:rPr>
          <w:spacing w:val="-102"/>
        </w:rPr>
        <w:t> </w:t>
      </w:r>
      <w:r>
        <w:rPr>
          <w:spacing w:val="-102"/>
        </w:rPr>
      </w:r>
      <w:r>
        <w:rPr>
          <w:spacing w:val="-3"/>
        </w:rPr>
        <w:t>征划分为若干组合，根据以前年度与之相同或相类似的、具有类似信用风险特征的应收</w:t>
      </w:r>
      <w:r>
        <w:rPr>
          <w:spacing w:val="-102"/>
        </w:rPr>
        <w:t> </w:t>
      </w:r>
      <w:r>
        <w:rPr>
          <w:spacing w:val="-102"/>
        </w:rPr>
      </w:r>
      <w:r>
        <w:rPr>
          <w:spacing w:val="4"/>
        </w:rPr>
        <w:t>账款组合的实际损失率为基础，结合现时情况确定本年度各项组合计提坏账准备的比</w:t>
      </w:r>
      <w:r>
        <w:rPr>
          <w:spacing w:val="4"/>
        </w:rPr>
        <w:t> </w:t>
      </w:r>
      <w:r>
        <w:rPr/>
        <w:t>例，据此计算本年度应计提的坏账准备。</w:t>
      </w:r>
    </w:p>
    <w:p>
      <w:pPr>
        <w:spacing w:line="240" w:lineRule="auto" w:before="1"/>
        <w:rPr>
          <w:rFonts w:ascii="宋体" w:hAnsi="宋体" w:cs="宋体" w:eastAsia="宋体" w:hint="default"/>
          <w:sz w:val="21"/>
          <w:szCs w:val="21"/>
        </w:rPr>
      </w:pPr>
    </w:p>
    <w:p>
      <w:pPr>
        <w:pStyle w:val="BodyText"/>
        <w:spacing w:line="312" w:lineRule="exact"/>
        <w:ind w:left="817" w:right="116"/>
        <w:jc w:val="both"/>
      </w:pPr>
      <w:r>
        <w:rPr/>
        <w:t>本集团向金融机构转让</w:t>
      </w:r>
      <w:r>
        <w:rPr>
          <w:rFonts w:ascii="Arial" w:hAnsi="Arial" w:cs="Arial" w:eastAsia="Arial" w:hint="default"/>
        </w:rPr>
        <w:t>/</w:t>
      </w:r>
      <w:r>
        <w:rPr/>
        <w:t>贴现附有追索权的应收账款及应收票据，由于与所贴现的应收</w:t>
      </w:r>
      <w:r>
        <w:rPr>
          <w:spacing w:val="-46"/>
        </w:rPr>
        <w:t> </w:t>
      </w:r>
      <w:r>
        <w:rPr>
          <w:spacing w:val="-3"/>
        </w:rPr>
        <w:t>账款及应收票据有关的风险和报酬并未转移，视同以应收账款及应收票据为质押取得的</w:t>
      </w:r>
      <w:r>
        <w:rPr>
          <w:spacing w:val="-102"/>
        </w:rPr>
        <w:t> </w:t>
      </w:r>
      <w:r>
        <w:rPr>
          <w:spacing w:val="-102"/>
        </w:rPr>
      </w:r>
      <w:r>
        <w:rPr/>
        <w:t>短期借款。</w:t>
      </w:r>
    </w:p>
    <w:p>
      <w:pPr>
        <w:spacing w:line="240" w:lineRule="auto" w:before="1"/>
        <w:rPr>
          <w:rFonts w:ascii="宋体" w:hAnsi="宋体" w:cs="宋体" w:eastAsia="宋体" w:hint="default"/>
          <w:sz w:val="21"/>
          <w:szCs w:val="21"/>
        </w:rPr>
      </w:pPr>
    </w:p>
    <w:p>
      <w:pPr>
        <w:pStyle w:val="BodyText"/>
        <w:spacing w:line="312" w:lineRule="exact"/>
        <w:ind w:left="817" w:right="121"/>
        <w:jc w:val="both"/>
      </w:pPr>
      <w:r>
        <w:rPr>
          <w:spacing w:val="-3"/>
        </w:rPr>
        <w:t>本集团向金融机构转让不附追索权的应收账款，按交易款项扣除已转销应收账款的账面</w:t>
      </w:r>
      <w:r>
        <w:rPr>
          <w:spacing w:val="-102"/>
        </w:rPr>
        <w:t> </w:t>
      </w:r>
      <w:r>
        <w:rPr>
          <w:spacing w:val="-102"/>
        </w:rPr>
      </w:r>
      <w:r>
        <w:rPr/>
        <w:t>价值和相关税费后的差额计入当期损益。</w:t>
      </w:r>
    </w:p>
    <w:p>
      <w:pPr>
        <w:spacing w:line="240" w:lineRule="auto" w:before="10"/>
        <w:rPr>
          <w:rFonts w:ascii="宋体" w:hAnsi="宋体" w:cs="宋体" w:eastAsia="宋体" w:hint="default"/>
          <w:sz w:val="18"/>
          <w:szCs w:val="18"/>
        </w:rPr>
      </w:pPr>
    </w:p>
    <w:p>
      <w:pPr>
        <w:pStyle w:val="BodyText"/>
        <w:tabs>
          <w:tab w:pos="817" w:val="left" w:leader="none"/>
        </w:tabs>
        <w:spacing w:line="448" w:lineRule="auto"/>
        <w:ind w:left="817" w:right="1705" w:hanging="710"/>
        <w:jc w:val="left"/>
      </w:pPr>
      <w:r>
        <w:rPr>
          <w:rFonts w:ascii="Arial" w:hAnsi="Arial" w:cs="Arial" w:eastAsia="Arial" w:hint="default"/>
          <w:position w:val="2"/>
        </w:rPr>
        <w:t>(6)</w:t>
        <w:tab/>
      </w:r>
      <w:r>
        <w:rPr/>
        <w:t>存货 存货包括库存商品和安装维修用备件，按成本与可变现净值孰低列示。</w:t>
      </w:r>
    </w:p>
    <w:p>
      <w:pPr>
        <w:pStyle w:val="BodyText"/>
        <w:spacing w:line="312" w:lineRule="exact" w:before="96"/>
        <w:ind w:left="817" w:right="121"/>
        <w:jc w:val="both"/>
      </w:pPr>
      <w:r>
        <w:rPr>
          <w:spacing w:val="2"/>
        </w:rPr>
        <w:t>库存商品和安装维修用备件按实际成本核算。库存商品销售时的成本按先进先出法核</w:t>
      </w:r>
      <w:r>
        <w:rPr>
          <w:spacing w:val="-85"/>
        </w:rPr>
        <w:t> </w:t>
      </w:r>
      <w:r>
        <w:rPr>
          <w:spacing w:val="-85"/>
        </w:rPr>
      </w:r>
      <w:r>
        <w:rPr/>
        <w:t>算，安装维修用备件在领用时采用一次转销法核算成本。</w:t>
      </w:r>
    </w:p>
    <w:p>
      <w:pPr>
        <w:spacing w:line="240" w:lineRule="auto" w:before="1"/>
        <w:rPr>
          <w:rFonts w:ascii="宋体" w:hAnsi="宋体" w:cs="宋体" w:eastAsia="宋体" w:hint="default"/>
          <w:sz w:val="21"/>
          <w:szCs w:val="21"/>
        </w:rPr>
      </w:pPr>
    </w:p>
    <w:p>
      <w:pPr>
        <w:pStyle w:val="BodyText"/>
        <w:spacing w:line="312" w:lineRule="exact"/>
        <w:ind w:left="817" w:right="121"/>
        <w:jc w:val="both"/>
      </w:pPr>
      <w:r>
        <w:rPr>
          <w:spacing w:val="-3"/>
        </w:rPr>
        <w:t>存货跌价准备按存货成本高于其可变现净值的差额计提。可变现净值按日常活动中，以</w:t>
      </w:r>
      <w:r>
        <w:rPr>
          <w:spacing w:val="-102"/>
        </w:rPr>
        <w:t> </w:t>
      </w:r>
      <w:r>
        <w:rPr>
          <w:spacing w:val="-102"/>
        </w:rPr>
      </w:r>
      <w:r>
        <w:rPr/>
        <w:t>存货的估计售价减去估计的销售费用以及相关税费后的金额确定。</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本集团的存货盘存制度采用永续盘存制。</w:t>
      </w:r>
    </w:p>
    <w:p>
      <w:pPr>
        <w:spacing w:after="0" w:line="240" w:lineRule="auto"/>
        <w:jc w:val="both"/>
        <w:sectPr>
          <w:footerReference w:type="default" r:id="rId30"/>
          <w:pgSz w:w="11910" w:h="16840"/>
          <w:pgMar w:footer="708" w:header="1458" w:top="1640" w:bottom="900" w:left="1020" w:right="920"/>
        </w:sectPr>
      </w:pPr>
    </w:p>
    <w:p>
      <w:pPr>
        <w:spacing w:line="240" w:lineRule="auto" w:before="11"/>
        <w:rPr>
          <w:rFonts w:ascii="宋体" w:hAnsi="宋体" w:cs="宋体" w:eastAsia="宋体" w:hint="default"/>
          <w:sz w:val="2"/>
          <w:szCs w:val="2"/>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440.65pt;height:.75pt;mso-position-horizontal-relative:char;mso-position-vertical-relative:line" coordorigin="0,0" coordsize="8813,15">
            <v:group style="position:absolute;left:7;top:7;width:8799;height:2" coordorigin="7,7" coordsize="8799,2">
              <v:shape style="position:absolute;left:7;top:7;width:8799;height:2" coordorigin="7,7" coordsize="8799,0" path="m7,7l88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3"/>
          <w:szCs w:val="13"/>
        </w:rPr>
      </w:pPr>
    </w:p>
    <w:p>
      <w:pPr>
        <w:pStyle w:val="Heading2"/>
        <w:tabs>
          <w:tab w:pos="817" w:val="left" w:leader="none"/>
        </w:tabs>
        <w:spacing w:line="240" w:lineRule="auto"/>
        <w:ind w:right="105"/>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105"/>
        <w:jc w:val="left"/>
      </w:pPr>
      <w:r>
        <w:rPr>
          <w:rFonts w:ascii="Arial" w:hAnsi="Arial" w:cs="Arial" w:eastAsia="Arial" w:hint="default"/>
          <w:position w:val="2"/>
        </w:rPr>
        <w:t>(7)</w:t>
        <w:tab/>
      </w:r>
      <w:r>
        <w:rPr/>
        <w:t>长期股权投资</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长期股权投资包括本公司对子公司的股权投资、本集团对合营企业的股权投资以及本</w:t>
      </w:r>
      <w:r>
        <w:rPr>
          <w:spacing w:val="-85"/>
        </w:rPr>
        <w:t> </w:t>
      </w:r>
      <w:r>
        <w:rPr>
          <w:spacing w:val="-85"/>
        </w:rPr>
      </w:r>
      <w:r>
        <w:rPr>
          <w:spacing w:val="2"/>
        </w:rPr>
        <w:t>集团对被投资单位不具有控制、共同控制或重大影响，并且在活跃市场中没有报价、</w:t>
      </w:r>
      <w:r>
        <w:rPr>
          <w:spacing w:val="-85"/>
        </w:rPr>
        <w:t> </w:t>
      </w:r>
      <w:r>
        <w:rPr>
          <w:spacing w:val="-85"/>
        </w:rPr>
      </w:r>
      <w:r>
        <w:rPr/>
        <w:t>公允价值不能可靠计量的长期股权投资。</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05"/>
        <w:jc w:val="left"/>
      </w:pPr>
      <w:r>
        <w:rPr>
          <w:rFonts w:ascii="Arial" w:hAnsi="Arial" w:cs="Arial" w:eastAsia="Arial" w:hint="default"/>
          <w:position w:val="2"/>
        </w:rPr>
        <w:t>(a)</w:t>
        <w:tab/>
      </w:r>
      <w:r>
        <w:rPr/>
        <w:t>子公司</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子公司是指本公司能够对其实施控制，即有权决定其财务和经营政策，并能据以从其</w:t>
      </w:r>
      <w:r>
        <w:rPr>
          <w:spacing w:val="-85"/>
        </w:rPr>
        <w:t> </w:t>
      </w:r>
      <w:r>
        <w:rPr>
          <w:spacing w:val="-85"/>
        </w:rPr>
      </w:r>
      <w:r>
        <w:rPr>
          <w:spacing w:val="2"/>
        </w:rPr>
        <w:t>经营活动中获取利益的被投资单位。在确定能否对被投资单位实施控制时，被投资单</w:t>
      </w:r>
      <w:r>
        <w:rPr>
          <w:spacing w:val="-85"/>
        </w:rPr>
        <w:t> </w:t>
      </w:r>
      <w:r>
        <w:rPr>
          <w:spacing w:val="-85"/>
        </w:rPr>
      </w:r>
      <w:r>
        <w:rPr>
          <w:spacing w:val="2"/>
        </w:rPr>
        <w:t>位当期可转换公司债券、当期可执行认股权证等潜在表决权因素亦同时予以考虑。对</w:t>
      </w:r>
      <w:r>
        <w:rPr>
          <w:spacing w:val="-85"/>
        </w:rPr>
        <w:t> </w:t>
      </w:r>
      <w:r>
        <w:rPr>
          <w:spacing w:val="-85"/>
        </w:rPr>
      </w:r>
      <w:r>
        <w:rPr>
          <w:spacing w:val="2"/>
        </w:rPr>
        <w:t>子公司投资，在本公司个别财务报表中按照成本法确定的金额列示，在编制合并财务</w:t>
      </w:r>
      <w:r>
        <w:rPr>
          <w:spacing w:val="-85"/>
        </w:rPr>
        <w:t> </w:t>
      </w:r>
      <w:r>
        <w:rPr>
          <w:spacing w:val="-85"/>
        </w:rPr>
      </w:r>
      <w:r>
        <w:rPr/>
        <w:t>报表时按权益法调整后进行合并。</w:t>
      </w:r>
    </w:p>
    <w:p>
      <w:pPr>
        <w:spacing w:line="240" w:lineRule="auto" w:before="1"/>
        <w:rPr>
          <w:rFonts w:ascii="宋体" w:hAnsi="宋体" w:cs="宋体" w:eastAsia="宋体" w:hint="default"/>
          <w:sz w:val="21"/>
          <w:szCs w:val="21"/>
        </w:rPr>
      </w:pPr>
    </w:p>
    <w:p>
      <w:pPr>
        <w:pStyle w:val="BodyText"/>
        <w:spacing w:line="312" w:lineRule="exact"/>
        <w:ind w:left="817" w:right="102"/>
        <w:jc w:val="both"/>
      </w:pPr>
      <w:r>
        <w:rPr>
          <w:spacing w:val="2"/>
        </w:rPr>
        <w:t>采用成本法核算的长期股权投资按照初始投资成本计量。被投资单位宣告分派的现金</w:t>
      </w:r>
      <w:r>
        <w:rPr>
          <w:spacing w:val="-85"/>
        </w:rPr>
        <w:t> </w:t>
      </w:r>
      <w:r>
        <w:rPr>
          <w:spacing w:val="-85"/>
        </w:rPr>
      </w:r>
      <w:r>
        <w:rPr>
          <w:spacing w:val="2"/>
        </w:rPr>
        <w:t>股利或利润，确认为当期投资收益。确认的投资收益，仅限于被投资单位接受投资后</w:t>
      </w:r>
      <w:r>
        <w:rPr>
          <w:spacing w:val="-85"/>
        </w:rPr>
        <w:t> </w:t>
      </w:r>
      <w:r>
        <w:rPr>
          <w:spacing w:val="-85"/>
        </w:rPr>
      </w:r>
      <w:r>
        <w:rPr>
          <w:spacing w:val="2"/>
        </w:rPr>
        <w:t>产生的累积净利润的分配额，所获得的利润或现金股利超过上述数额的部分作为初始</w:t>
      </w:r>
      <w:r>
        <w:rPr>
          <w:spacing w:val="-85"/>
        </w:rPr>
        <w:t> </w:t>
      </w:r>
      <w:r>
        <w:rPr>
          <w:spacing w:val="-85"/>
        </w:rPr>
      </w:r>
      <w:r>
        <w:rPr/>
        <w:t>投资成本的收回。</w:t>
      </w:r>
    </w:p>
    <w:p>
      <w:pPr>
        <w:spacing w:line="240" w:lineRule="auto" w:before="10"/>
        <w:rPr>
          <w:rFonts w:ascii="宋体" w:hAnsi="宋体" w:cs="宋体" w:eastAsia="宋体" w:hint="default"/>
          <w:sz w:val="18"/>
          <w:szCs w:val="18"/>
        </w:rPr>
      </w:pPr>
    </w:p>
    <w:p>
      <w:pPr>
        <w:pStyle w:val="BodyText"/>
        <w:tabs>
          <w:tab w:pos="817" w:val="left" w:leader="none"/>
        </w:tabs>
        <w:spacing w:line="448" w:lineRule="auto"/>
        <w:ind w:left="817" w:right="2385" w:hanging="710"/>
        <w:jc w:val="left"/>
      </w:pPr>
      <w:r>
        <w:rPr>
          <w:rFonts w:ascii="Arial" w:hAnsi="Arial" w:cs="Arial" w:eastAsia="Arial" w:hint="default"/>
          <w:position w:val="2"/>
        </w:rPr>
        <w:t>(b)</w:t>
        <w:tab/>
      </w:r>
      <w:r>
        <w:rPr/>
        <w:t>合营企业 合营企业是指本集团与其他方对其实施共同控制的被投资单位。</w:t>
      </w:r>
    </w:p>
    <w:p>
      <w:pPr>
        <w:pStyle w:val="BodyText"/>
        <w:spacing w:line="312" w:lineRule="exact" w:before="96"/>
        <w:ind w:left="817" w:right="102"/>
        <w:jc w:val="both"/>
      </w:pPr>
      <w:r>
        <w:rPr>
          <w:spacing w:val="2"/>
        </w:rPr>
        <w:t>对合营企业的投资按照实际成本进行初始计量，并采用权益法进行后续计量。初始投</w:t>
      </w:r>
      <w:r>
        <w:rPr>
          <w:spacing w:val="-85"/>
        </w:rPr>
        <w:t> </w:t>
      </w:r>
      <w:r>
        <w:rPr>
          <w:spacing w:val="-85"/>
        </w:rPr>
      </w:r>
      <w:r>
        <w:rPr>
          <w:spacing w:val="2"/>
        </w:rPr>
        <w:t>资成本大于投资时应享有被投资单位可辨认净资产公允价值份额的，其差额包含在初</w:t>
      </w:r>
      <w:r>
        <w:rPr>
          <w:spacing w:val="-85"/>
        </w:rPr>
        <w:t> </w:t>
      </w:r>
      <w:r>
        <w:rPr>
          <w:spacing w:val="-85"/>
        </w:rPr>
      </w:r>
      <w:r>
        <w:rPr>
          <w:spacing w:val="2"/>
        </w:rPr>
        <w:t>始投资成本中；初始投资成本小于投资时应享有被投资单位可辨认净资产公允价值份</w:t>
      </w:r>
      <w:r>
        <w:rPr>
          <w:spacing w:val="-85"/>
        </w:rPr>
        <w:t> </w:t>
      </w:r>
      <w:r>
        <w:rPr>
          <w:spacing w:val="-85"/>
        </w:rPr>
      </w:r>
      <w:r>
        <w:rPr/>
        <w:t>额的，其差额计入当期损益，同时调整长期股权投资成本。</w:t>
      </w:r>
    </w:p>
    <w:p>
      <w:pPr>
        <w:spacing w:after="0" w:line="312" w:lineRule="exact"/>
        <w:jc w:val="both"/>
        <w:sectPr>
          <w:footerReference w:type="default" r:id="rId31"/>
          <w:pgSz w:w="11910" w:h="16840"/>
          <w:pgMar w:footer="708" w:header="1458" w:top="1640" w:bottom="900" w:left="1020" w:right="960"/>
          <w:pgNumType w:start="101"/>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105"/>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105"/>
        <w:jc w:val="left"/>
        <w:rPr>
          <w:rFonts w:ascii="Arial" w:hAnsi="Arial" w:cs="Arial" w:eastAsia="Arial" w:hint="default"/>
        </w:rPr>
      </w:pPr>
      <w:r>
        <w:rPr>
          <w:rFonts w:ascii="Arial" w:hAnsi="Arial" w:cs="Arial" w:eastAsia="Arial" w:hint="default"/>
          <w:position w:val="2"/>
        </w:rPr>
        <w:t>(7)</w:t>
        <w:tab/>
      </w:r>
      <w:r>
        <w:rPr/>
        <w:t>长期股权投资</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817" w:val="left" w:leader="none"/>
        </w:tabs>
        <w:spacing w:line="240" w:lineRule="auto"/>
        <w:ind w:left="108" w:right="105"/>
        <w:jc w:val="left"/>
        <w:rPr>
          <w:rFonts w:ascii="Arial" w:hAnsi="Arial" w:cs="Arial" w:eastAsia="Arial" w:hint="default"/>
        </w:rPr>
      </w:pPr>
      <w:r>
        <w:rPr>
          <w:rFonts w:ascii="Arial" w:hAnsi="Arial" w:cs="Arial" w:eastAsia="Arial" w:hint="default"/>
          <w:position w:val="2"/>
        </w:rPr>
        <w:t>(b)</w:t>
        <w:tab/>
      </w:r>
      <w:r>
        <w:rPr/>
        <w:t>合营企业</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spacing w:line="312" w:lineRule="exact"/>
        <w:ind w:left="817" w:right="102"/>
        <w:jc w:val="both"/>
      </w:pPr>
      <w:r>
        <w:rPr>
          <w:spacing w:val="2"/>
        </w:rPr>
        <w:t>采用权益法核算时，本集团按应享有或应分担的被投资单位的净损益份额确认当期投</w:t>
      </w:r>
      <w:r>
        <w:rPr>
          <w:spacing w:val="-85"/>
        </w:rPr>
        <w:t> </w:t>
      </w:r>
      <w:r>
        <w:rPr>
          <w:spacing w:val="-85"/>
        </w:rPr>
      </w:r>
      <w:r>
        <w:rPr>
          <w:spacing w:val="2"/>
        </w:rPr>
        <w:t>资损益。确认被投资单位发生的净亏损，以长期股权投资的账面价值以及其他实质上</w:t>
      </w:r>
      <w:r>
        <w:rPr>
          <w:spacing w:val="-85"/>
        </w:rPr>
        <w:t> </w:t>
      </w:r>
      <w:r>
        <w:rPr>
          <w:spacing w:val="-85"/>
        </w:rPr>
      </w:r>
      <w:r>
        <w:rPr>
          <w:spacing w:val="2"/>
        </w:rPr>
        <w:t>构成对被投资单位净投资的长期权益减记至零为限，但本集团负有承担额外损失义务</w:t>
      </w:r>
      <w:r>
        <w:rPr>
          <w:spacing w:val="-85"/>
        </w:rPr>
        <w:t> </w:t>
      </w:r>
      <w:r>
        <w:rPr>
          <w:spacing w:val="-85"/>
        </w:rPr>
      </w:r>
      <w:r>
        <w:rPr>
          <w:spacing w:val="2"/>
        </w:rPr>
        <w:t>且符合或有事项准则所规定的预计负债确认条件的，继续确认投资损失和预计负债。</w:t>
      </w:r>
      <w:r>
        <w:rPr>
          <w:spacing w:val="-85"/>
        </w:rPr>
        <w:t> </w:t>
      </w:r>
      <w:r>
        <w:rPr>
          <w:spacing w:val="-85"/>
        </w:rPr>
      </w:r>
      <w:r>
        <w:rPr>
          <w:spacing w:val="2"/>
        </w:rPr>
        <w:t>被投资单位除净损益以外股东权益的其他变动，在持股比例不变的情况下，本集团按</w:t>
      </w:r>
      <w:r>
        <w:rPr>
          <w:spacing w:val="-85"/>
        </w:rPr>
        <w:t> </w:t>
      </w:r>
      <w:r>
        <w:rPr>
          <w:spacing w:val="-85"/>
        </w:rPr>
      </w:r>
      <w:r>
        <w:rPr>
          <w:spacing w:val="2"/>
        </w:rPr>
        <w:t>照持股比例计算应享有或承担的部分直接计入资本公积。被投资单位分派的利润或现</w:t>
      </w:r>
      <w:r>
        <w:rPr>
          <w:spacing w:val="-85"/>
        </w:rPr>
        <w:t> </w:t>
      </w:r>
      <w:r>
        <w:rPr>
          <w:spacing w:val="-85"/>
        </w:rPr>
      </w:r>
      <w:r>
        <w:rPr>
          <w:spacing w:val="2"/>
        </w:rPr>
        <w:t>金股利于宣告分派时按照本集团应分得的部分，相应减少长期股权投资的账面价值，</w:t>
      </w:r>
      <w:r>
        <w:rPr>
          <w:spacing w:val="-85"/>
        </w:rPr>
        <w:t> </w:t>
      </w:r>
      <w:r>
        <w:rPr>
          <w:spacing w:val="-85"/>
        </w:rPr>
      </w:r>
      <w:r>
        <w:rPr>
          <w:spacing w:val="2"/>
        </w:rPr>
        <w:t>但是，现金股利中超过已确认投资收益，但不超过投资后被投资企业实现的账面利润</w:t>
      </w:r>
      <w:r>
        <w:rPr>
          <w:spacing w:val="-85"/>
        </w:rPr>
        <w:t> </w:t>
      </w:r>
      <w:r>
        <w:rPr>
          <w:spacing w:val="-85"/>
        </w:rPr>
      </w:r>
      <w:r>
        <w:rPr>
          <w:spacing w:val="2"/>
        </w:rPr>
        <w:t>中由本集团按照持股比例计算享有的份额的部分，确认当期投资收益。本集团与被投</w:t>
      </w:r>
      <w:r>
        <w:rPr>
          <w:spacing w:val="-85"/>
        </w:rPr>
        <w:t> </w:t>
      </w:r>
      <w:r>
        <w:rPr>
          <w:spacing w:val="-85"/>
        </w:rPr>
      </w:r>
      <w:r>
        <w:rPr>
          <w:spacing w:val="2"/>
        </w:rPr>
        <w:t>资单位之间发生的内部交易损益按照持股比例计算归属于本集团的部分，予以抵销，</w:t>
      </w:r>
      <w:r>
        <w:rPr>
          <w:spacing w:val="-85"/>
        </w:rPr>
        <w:t> </w:t>
      </w:r>
      <w:r>
        <w:rPr>
          <w:spacing w:val="-85"/>
        </w:rPr>
      </w:r>
      <w:r>
        <w:rPr>
          <w:spacing w:val="2"/>
        </w:rPr>
        <w:t>在此基础上确认投资损益。本集团与被投资单位发生的内部交易损失，属于资产减值</w:t>
      </w:r>
      <w:r>
        <w:rPr>
          <w:spacing w:val="-85"/>
        </w:rPr>
        <w:t> </w:t>
      </w:r>
      <w:r>
        <w:rPr>
          <w:spacing w:val="-85"/>
        </w:rPr>
      </w:r>
      <w:r>
        <w:rPr/>
        <w:t>损失的，全额确认该损失，相应的未实现损益不予抵销。</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05"/>
        <w:jc w:val="left"/>
      </w:pPr>
      <w:r>
        <w:rPr>
          <w:rFonts w:ascii="Arial" w:hAnsi="Arial" w:cs="Arial" w:eastAsia="Arial" w:hint="default"/>
          <w:position w:val="2"/>
        </w:rPr>
        <w:t>(c)</w:t>
        <w:tab/>
      </w:r>
      <w:r>
        <w:rPr/>
        <w:t>其他长期股权投资</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其他本集团对被投资单位不具有控制、共同控制或重大影响，并且在活跃市场中没有</w:t>
      </w:r>
      <w:r>
        <w:rPr>
          <w:spacing w:val="-85"/>
        </w:rPr>
        <w:t> </w:t>
      </w:r>
      <w:r>
        <w:rPr>
          <w:spacing w:val="-85"/>
        </w:rPr>
      </w:r>
      <w:r>
        <w:rPr/>
        <w:t>报价、公允价值不能可靠计量的长期股权投资，采用成本法核算。</w:t>
      </w:r>
    </w:p>
    <w:p>
      <w:pPr>
        <w:pStyle w:val="BodyText"/>
        <w:tabs>
          <w:tab w:pos="817" w:val="left" w:leader="none"/>
        </w:tabs>
        <w:spacing w:line="588" w:lineRule="exact" w:before="55"/>
        <w:ind w:left="817" w:right="105" w:hanging="710"/>
        <w:jc w:val="left"/>
      </w:pPr>
      <w:r>
        <w:rPr>
          <w:rFonts w:ascii="Arial" w:hAnsi="Arial" w:cs="Arial" w:eastAsia="Arial" w:hint="default"/>
          <w:position w:val="2"/>
        </w:rPr>
        <w:t>(d)</w:t>
        <w:tab/>
      </w:r>
      <w:r>
        <w:rPr/>
        <w:t>长期股权投资减值 当长期股权投资的可收回金额低于其账面价值时，账面价值减记至可收回金额</w:t>
      </w:r>
      <w:r>
        <w:rPr>
          <w:rFonts w:ascii="Arial" w:hAnsi="Arial" w:cs="Arial" w:eastAsia="Arial" w:hint="default"/>
        </w:rPr>
        <w:t>(</w:t>
      </w:r>
      <w:r>
        <w:rPr/>
        <w:t>附注四</w:t>
      </w:r>
    </w:p>
    <w:p>
      <w:pPr>
        <w:pStyle w:val="BodyText"/>
        <w:spacing w:line="245" w:lineRule="exact"/>
        <w:ind w:left="817" w:right="0"/>
        <w:jc w:val="both"/>
      </w:pPr>
      <w:r>
        <w:rPr>
          <w:rFonts w:ascii="Arial" w:hAnsi="Arial" w:cs="Arial" w:eastAsia="Arial" w:hint="default"/>
        </w:rPr>
        <w:t>(13))</w:t>
      </w:r>
      <w:r>
        <w:rPr/>
        <w:t>。</w:t>
      </w:r>
    </w:p>
    <w:p>
      <w:pPr>
        <w:spacing w:after="0" w:line="245" w:lineRule="exact"/>
        <w:jc w:val="both"/>
        <w:sectPr>
          <w:pgSz w:w="11910" w:h="16840"/>
          <w:pgMar w:header="1458" w:footer="708" w:top="1640" w:bottom="900" w:left="1020" w:right="96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87"/>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87"/>
        <w:jc w:val="left"/>
      </w:pPr>
      <w:r>
        <w:rPr>
          <w:rFonts w:ascii="Arial" w:hAnsi="Arial" w:cs="Arial" w:eastAsia="Arial" w:hint="default"/>
          <w:position w:val="2"/>
        </w:rPr>
        <w:t>(8)</w:t>
        <w:tab/>
      </w:r>
      <w:r>
        <w:rPr/>
        <w:t>固定资产</w:t>
      </w:r>
    </w:p>
    <w:p>
      <w:pPr>
        <w:spacing w:line="240" w:lineRule="auto" w:before="4"/>
        <w:rPr>
          <w:rFonts w:ascii="宋体" w:hAnsi="宋体" w:cs="宋体" w:eastAsia="宋体" w:hint="default"/>
          <w:sz w:val="23"/>
          <w:szCs w:val="23"/>
        </w:rPr>
      </w:pPr>
    </w:p>
    <w:p>
      <w:pPr>
        <w:pStyle w:val="BodyText"/>
        <w:spacing w:line="312" w:lineRule="exact"/>
        <w:ind w:left="817" w:right="222"/>
        <w:jc w:val="both"/>
      </w:pPr>
      <w:r>
        <w:rPr>
          <w:spacing w:val="2"/>
        </w:rPr>
        <w:t>固定资产包括房屋及建筑物、机器设备、运输工具、电子设备以及其他设备等。购置</w:t>
      </w:r>
      <w:r>
        <w:rPr>
          <w:spacing w:val="-85"/>
        </w:rPr>
        <w:t> </w:t>
      </w:r>
      <w:r>
        <w:rPr>
          <w:spacing w:val="-85"/>
        </w:rPr>
      </w:r>
      <w:r>
        <w:rPr/>
        <w:t>或新建的固定资产按取得时的实际成本进行初始计量。</w:t>
      </w:r>
    </w:p>
    <w:p>
      <w:pPr>
        <w:spacing w:line="240" w:lineRule="auto" w:before="1"/>
        <w:rPr>
          <w:rFonts w:ascii="宋体" w:hAnsi="宋体" w:cs="宋体" w:eastAsia="宋体" w:hint="default"/>
          <w:sz w:val="21"/>
          <w:szCs w:val="21"/>
        </w:rPr>
      </w:pPr>
    </w:p>
    <w:p>
      <w:pPr>
        <w:pStyle w:val="BodyText"/>
        <w:spacing w:line="312" w:lineRule="exact"/>
        <w:ind w:left="817" w:right="222"/>
        <w:jc w:val="both"/>
      </w:pPr>
      <w:r>
        <w:rPr>
          <w:spacing w:val="2"/>
        </w:rPr>
        <w:t>与固定资产有关的后续支出，在相关的经济利益很可能流入本集团且其成本能够可靠</w:t>
      </w:r>
      <w:r>
        <w:rPr>
          <w:spacing w:val="-85"/>
        </w:rPr>
        <w:t> </w:t>
      </w:r>
      <w:r>
        <w:rPr>
          <w:spacing w:val="-85"/>
        </w:rPr>
      </w:r>
      <w:r>
        <w:rPr>
          <w:spacing w:val="2"/>
        </w:rPr>
        <w:t>的计量时，计入固定资产成本；对于被替换的部分，终止确认其账面价值；所有其他</w:t>
      </w:r>
      <w:r>
        <w:rPr>
          <w:spacing w:val="-85"/>
        </w:rPr>
        <w:t> </w:t>
      </w:r>
      <w:r>
        <w:rPr>
          <w:spacing w:val="-85"/>
        </w:rPr>
      </w:r>
      <w:r>
        <w:rPr/>
        <w:t>后续支出于发生时计入当期损益。</w:t>
      </w:r>
    </w:p>
    <w:p>
      <w:pPr>
        <w:spacing w:line="240" w:lineRule="auto" w:before="1"/>
        <w:rPr>
          <w:rFonts w:ascii="宋体" w:hAnsi="宋体" w:cs="宋体" w:eastAsia="宋体" w:hint="default"/>
          <w:sz w:val="21"/>
          <w:szCs w:val="21"/>
        </w:rPr>
      </w:pPr>
    </w:p>
    <w:p>
      <w:pPr>
        <w:pStyle w:val="BodyText"/>
        <w:spacing w:line="312" w:lineRule="exact"/>
        <w:ind w:left="817" w:right="222"/>
        <w:jc w:val="both"/>
      </w:pPr>
      <w:r>
        <w:rPr>
          <w:spacing w:val="2"/>
        </w:rPr>
        <w:t>固定资产折旧采用年限平均法并按其入账价值减去预计净残值后在预计使用寿命内计</w:t>
      </w:r>
      <w:r>
        <w:rPr>
          <w:spacing w:val="-85"/>
        </w:rPr>
        <w:t> </w:t>
      </w:r>
      <w:r>
        <w:rPr>
          <w:spacing w:val="-85"/>
        </w:rPr>
      </w:r>
      <w:r>
        <w:rPr>
          <w:spacing w:val="2"/>
        </w:rPr>
        <w:t>提。对计提了减值准备的固定资产，则在未来期间按扣除减值准备后的账面价值及依</w:t>
      </w:r>
      <w:r>
        <w:rPr>
          <w:spacing w:val="-85"/>
        </w:rPr>
        <w:t> </w:t>
      </w:r>
      <w:r>
        <w:rPr>
          <w:spacing w:val="-85"/>
        </w:rPr>
      </w:r>
      <w:r>
        <w:rPr/>
        <w:t>据尚可使用年限确定折旧额。</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固定资产的预计使用寿命、净残值率及年折旧率列示如下：</w:t>
      </w:r>
    </w:p>
    <w:p>
      <w:pPr>
        <w:spacing w:line="240" w:lineRule="auto" w:before="12"/>
        <w:rPr>
          <w:rFonts w:ascii="宋体" w:hAnsi="宋体" w:cs="宋体" w:eastAsia="宋体" w:hint="default"/>
          <w:sz w:val="18"/>
          <w:szCs w:val="18"/>
        </w:rPr>
      </w:pPr>
    </w:p>
    <w:tbl>
      <w:tblPr>
        <w:tblW w:w="0" w:type="auto"/>
        <w:jc w:val="left"/>
        <w:tblInd w:w="782" w:type="dxa"/>
        <w:tblLayout w:type="fixed"/>
        <w:tblCellMar>
          <w:top w:w="0" w:type="dxa"/>
          <w:left w:w="0" w:type="dxa"/>
          <w:bottom w:w="0" w:type="dxa"/>
          <w:right w:w="0" w:type="dxa"/>
        </w:tblCellMar>
        <w:tblLook w:val="01E0"/>
      </w:tblPr>
      <w:tblGrid>
        <w:gridCol w:w="2597"/>
        <w:gridCol w:w="2754"/>
        <w:gridCol w:w="1790"/>
        <w:gridCol w:w="1854"/>
      </w:tblGrid>
      <w:tr>
        <w:trPr>
          <w:trHeight w:val="967"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21" w:right="0"/>
              <w:jc w:val="left"/>
              <w:rPr>
                <w:rFonts w:ascii="宋体" w:hAnsi="宋体" w:cs="宋体" w:eastAsia="宋体" w:hint="default"/>
                <w:sz w:val="24"/>
                <w:szCs w:val="24"/>
              </w:rPr>
            </w:pPr>
            <w:r>
              <w:rPr>
                <w:rFonts w:ascii="宋体" w:hAnsi="宋体" w:cs="宋体" w:eastAsia="宋体" w:hint="default"/>
                <w:sz w:val="24"/>
                <w:szCs w:val="24"/>
              </w:rPr>
              <w:t>预计使用寿命</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22" w:right="0"/>
              <w:jc w:val="left"/>
              <w:rPr>
                <w:rFonts w:ascii="宋体" w:hAnsi="宋体" w:cs="宋体" w:eastAsia="宋体" w:hint="default"/>
                <w:sz w:val="24"/>
                <w:szCs w:val="24"/>
              </w:rPr>
            </w:pPr>
            <w:r>
              <w:rPr>
                <w:rFonts w:ascii="Arial" w:hAnsi="Arial" w:cs="Arial" w:eastAsia="Arial" w:hint="default"/>
                <w:sz w:val="24"/>
                <w:szCs w:val="24"/>
              </w:rPr>
              <w:t>20-40</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1" w:right="0"/>
              <w:jc w:val="left"/>
              <w:rPr>
                <w:rFonts w:ascii="宋体" w:hAnsi="宋体" w:cs="宋体" w:eastAsia="宋体" w:hint="default"/>
                <w:sz w:val="24"/>
                <w:szCs w:val="24"/>
              </w:rPr>
            </w:pPr>
            <w:r>
              <w:rPr>
                <w:rFonts w:ascii="宋体" w:hAnsi="宋体" w:cs="宋体" w:eastAsia="宋体" w:hint="default"/>
                <w:sz w:val="24"/>
                <w:szCs w:val="24"/>
              </w:rPr>
              <w:t>预计净残值率</w:t>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8" w:right="0"/>
              <w:jc w:val="left"/>
              <w:rPr>
                <w:rFonts w:ascii="宋体" w:hAnsi="宋体" w:cs="宋体" w:eastAsia="宋体" w:hint="default"/>
                <w:sz w:val="24"/>
                <w:szCs w:val="24"/>
              </w:rPr>
            </w:pPr>
            <w:r>
              <w:rPr>
                <w:rFonts w:ascii="宋体" w:hAnsi="宋体" w:cs="宋体" w:eastAsia="宋体" w:hint="default"/>
                <w:sz w:val="24"/>
                <w:szCs w:val="24"/>
              </w:rPr>
              <w:t>年折旧率</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8" w:right="0"/>
              <w:jc w:val="lef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9"/>
                <w:sz w:val="24"/>
                <w:szCs w:val="24"/>
              </w:rPr>
              <w:t> </w:t>
            </w:r>
            <w:r>
              <w:rPr>
                <w:rFonts w:ascii="Arial" w:hAnsi="Arial" w:cs="Arial" w:eastAsia="Arial" w:hint="default"/>
                <w:sz w:val="24"/>
                <w:szCs w:val="24"/>
              </w:rPr>
              <w:t>4.85%</w:t>
            </w:r>
          </w:p>
        </w:tc>
      </w:tr>
      <w:tr>
        <w:trPr>
          <w:trHeight w:val="31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9.70%</w:t>
            </w:r>
          </w:p>
        </w:tc>
      </w:tr>
      <w:tr>
        <w:trPr>
          <w:trHeight w:val="31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19.40%</w:t>
            </w:r>
          </w:p>
        </w:tc>
      </w:tr>
      <w:tr>
        <w:trPr>
          <w:trHeight w:val="31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19.40%</w:t>
            </w:r>
          </w:p>
        </w:tc>
      </w:tr>
      <w:tr>
        <w:trPr>
          <w:trHeight w:val="38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19.40%</w:t>
            </w:r>
          </w:p>
        </w:tc>
      </w:tr>
    </w:tbl>
    <w:p>
      <w:pPr>
        <w:spacing w:line="240" w:lineRule="auto" w:before="5"/>
        <w:rPr>
          <w:rFonts w:ascii="宋体" w:hAnsi="宋体" w:cs="宋体" w:eastAsia="宋体" w:hint="default"/>
          <w:sz w:val="10"/>
          <w:szCs w:val="10"/>
        </w:rPr>
      </w:pPr>
    </w:p>
    <w:p>
      <w:pPr>
        <w:pStyle w:val="BodyText"/>
        <w:spacing w:line="312" w:lineRule="exact" w:before="56"/>
        <w:ind w:left="817" w:right="87"/>
        <w:jc w:val="left"/>
      </w:pPr>
      <w:r>
        <w:rPr>
          <w:spacing w:val="2"/>
        </w:rPr>
        <w:t>于每年年度终了，对固定资产的预计使用寿命、预计净残值和折旧方法进行复核并作</w:t>
      </w:r>
      <w:r>
        <w:rPr>
          <w:spacing w:val="-85"/>
        </w:rPr>
        <w:t> </w:t>
      </w:r>
      <w:r>
        <w:rPr>
          <w:spacing w:val="-85"/>
        </w:rPr>
      </w:r>
      <w:r>
        <w:rPr/>
        <w:t>适当调整。</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当固定资产的可收回金额低于其账面价值时</w:t>
      </w:r>
      <w:r>
        <w:rPr>
          <w:spacing w:val="-108"/>
        </w:rPr>
        <w:t>，</w:t>
      </w:r>
      <w:r>
        <w:rPr/>
        <w:t>账面价值减记至可收回金额</w:t>
      </w:r>
      <w:r>
        <w:rPr>
          <w:rFonts w:ascii="Arial" w:hAnsi="Arial" w:cs="Arial" w:eastAsia="Arial" w:hint="default"/>
        </w:rPr>
        <w:t>(</w:t>
      </w:r>
      <w:r>
        <w:rPr/>
        <w:t>附注四</w:t>
      </w:r>
      <w:r>
        <w:rPr>
          <w:rFonts w:ascii="Arial" w:hAnsi="Arial" w:cs="Arial" w:eastAsia="Arial" w:hint="default"/>
        </w:rPr>
        <w:t>(13))</w:t>
      </w:r>
      <w:r>
        <w:rPr/>
        <w:t>。</w:t>
      </w:r>
    </w:p>
    <w:p>
      <w:pPr>
        <w:spacing w:line="240" w:lineRule="auto" w:before="13"/>
        <w:rPr>
          <w:rFonts w:ascii="宋体" w:hAnsi="宋体" w:cs="宋体" w:eastAsia="宋体" w:hint="default"/>
          <w:sz w:val="21"/>
          <w:szCs w:val="21"/>
        </w:rPr>
      </w:pPr>
    </w:p>
    <w:p>
      <w:pPr>
        <w:pStyle w:val="BodyText"/>
        <w:spacing w:line="312" w:lineRule="exact"/>
        <w:ind w:left="817" w:right="87"/>
        <w:jc w:val="left"/>
      </w:pPr>
      <w:r>
        <w:rPr>
          <w:spacing w:val="-1"/>
        </w:rPr>
        <w:t>符合持有待售条件的固定资产，以账面价值与公允价值减去处置费用孰低的金额列示。 </w:t>
      </w:r>
      <w:r>
        <w:rPr/>
        <w:t>公允价值减去处置费用低于原账面价值的金额，确认为资产减值损失。</w:t>
      </w:r>
    </w:p>
    <w:p>
      <w:pPr>
        <w:spacing w:line="240" w:lineRule="auto" w:before="1"/>
        <w:rPr>
          <w:rFonts w:ascii="宋体" w:hAnsi="宋体" w:cs="宋体" w:eastAsia="宋体" w:hint="default"/>
          <w:sz w:val="21"/>
          <w:szCs w:val="21"/>
        </w:rPr>
      </w:pPr>
    </w:p>
    <w:p>
      <w:pPr>
        <w:pStyle w:val="BodyText"/>
        <w:spacing w:line="312" w:lineRule="exact"/>
        <w:ind w:left="817" w:right="222"/>
        <w:jc w:val="both"/>
      </w:pPr>
      <w:r>
        <w:rPr>
          <w:spacing w:val="2"/>
        </w:rPr>
        <w:t>当固定资产被处置、或者预期通过使用或处置不能产生经济利益时，终止确认该固定</w:t>
      </w:r>
      <w:r>
        <w:rPr>
          <w:spacing w:val="-85"/>
        </w:rPr>
        <w:t> </w:t>
      </w:r>
      <w:r>
        <w:rPr>
          <w:spacing w:val="-85"/>
        </w:rPr>
      </w:r>
      <w:r>
        <w:rPr>
          <w:spacing w:val="2"/>
        </w:rPr>
        <w:t>资产。固定资产出售、转让、报废或毁损的处置收入扣除其账面价值和相关税费后的</w:t>
      </w:r>
      <w:r>
        <w:rPr>
          <w:spacing w:val="-85"/>
        </w:rPr>
        <w:t> </w:t>
      </w:r>
      <w:r>
        <w:rPr>
          <w:spacing w:val="-85"/>
        </w:rPr>
      </w:r>
      <w:r>
        <w:rPr/>
        <w:t>金额计入当期损益。</w:t>
      </w:r>
    </w:p>
    <w:p>
      <w:pPr>
        <w:spacing w:after="0" w:line="312" w:lineRule="exact"/>
        <w:jc w:val="both"/>
        <w:sectPr>
          <w:pgSz w:w="11910" w:h="16840"/>
          <w:pgMar w:header="1458" w:footer="708" w:top="1640" w:bottom="900" w:left="1020" w:right="84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87"/>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87"/>
        <w:jc w:val="left"/>
      </w:pPr>
      <w:r>
        <w:rPr>
          <w:rFonts w:ascii="Arial" w:hAnsi="Arial" w:cs="Arial" w:eastAsia="Arial" w:hint="default"/>
          <w:position w:val="2"/>
        </w:rPr>
        <w:t>(9)</w:t>
        <w:tab/>
      </w:r>
      <w:r>
        <w:rPr/>
        <w:t>在建工程</w:t>
      </w:r>
    </w:p>
    <w:p>
      <w:pPr>
        <w:spacing w:line="240" w:lineRule="auto" w:before="4"/>
        <w:rPr>
          <w:rFonts w:ascii="宋体" w:hAnsi="宋体" w:cs="宋体" w:eastAsia="宋体" w:hint="default"/>
          <w:sz w:val="23"/>
          <w:szCs w:val="23"/>
        </w:rPr>
      </w:pPr>
    </w:p>
    <w:p>
      <w:pPr>
        <w:pStyle w:val="BodyText"/>
        <w:spacing w:line="312" w:lineRule="exact"/>
        <w:ind w:left="817" w:right="105"/>
        <w:jc w:val="both"/>
      </w:pPr>
      <w:r>
        <w:rPr>
          <w:spacing w:val="2"/>
        </w:rPr>
        <w:t>在建工程按实际发生的成本计量。实际成本包括建筑费用、其他为使在建工程达到预</w:t>
      </w:r>
      <w:r>
        <w:rPr>
          <w:spacing w:val="-85"/>
        </w:rPr>
        <w:t> </w:t>
      </w:r>
      <w:r>
        <w:rPr>
          <w:spacing w:val="-85"/>
        </w:rPr>
      </w:r>
      <w:r>
        <w:rPr>
          <w:spacing w:val="2"/>
        </w:rPr>
        <w:t>定可使用状态所发生的必要支出以及在资产达到预定可使用状态之前所发生的符合资</w:t>
      </w:r>
      <w:r>
        <w:rPr>
          <w:spacing w:val="-85"/>
        </w:rPr>
        <w:t> </w:t>
      </w:r>
      <w:r>
        <w:rPr>
          <w:spacing w:val="-85"/>
        </w:rPr>
      </w:r>
      <w:r>
        <w:rPr>
          <w:spacing w:val="2"/>
        </w:rPr>
        <w:t>本化条件的借款费用。在建工程在达到预定可使用状态时，转入固定资产并自次月起</w:t>
      </w:r>
      <w:r>
        <w:rPr>
          <w:spacing w:val="-85"/>
        </w:rPr>
        <w:t> </w:t>
      </w:r>
      <w:r>
        <w:rPr>
          <w:spacing w:val="-85"/>
        </w:rPr>
      </w:r>
      <w:r>
        <w:rPr/>
        <w:t>开始计提折旧。</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当在建工程的可收回金额低于其账面价值时</w:t>
      </w:r>
      <w:r>
        <w:rPr>
          <w:spacing w:val="-108"/>
        </w:rPr>
        <w:t>，</w:t>
      </w:r>
      <w:r>
        <w:rPr/>
        <w:t>账面价值减记至可收回金额</w:t>
      </w:r>
      <w:r>
        <w:rPr>
          <w:rFonts w:ascii="Arial" w:hAnsi="Arial" w:cs="Arial" w:eastAsia="Arial" w:hint="default"/>
        </w:rPr>
        <w:t>(</w:t>
      </w:r>
      <w:r>
        <w:rPr/>
        <w:t>附注四</w:t>
      </w:r>
      <w:r>
        <w:rPr>
          <w:rFonts w:ascii="Arial" w:hAnsi="Arial" w:cs="Arial" w:eastAsia="Arial" w:hint="default"/>
        </w:rPr>
        <w:t>(13))</w:t>
      </w:r>
      <w:r>
        <w:rPr/>
        <w:t>。</w:t>
      </w:r>
    </w:p>
    <w:p>
      <w:pPr>
        <w:spacing w:line="240" w:lineRule="auto" w:before="8"/>
        <w:rPr>
          <w:rFonts w:ascii="宋体" w:hAnsi="宋体" w:cs="宋体" w:eastAsia="宋体" w:hint="default"/>
          <w:sz w:val="19"/>
          <w:szCs w:val="19"/>
        </w:rPr>
      </w:pPr>
    </w:p>
    <w:p>
      <w:pPr>
        <w:pStyle w:val="BodyText"/>
        <w:tabs>
          <w:tab w:pos="817" w:val="left" w:leader="none"/>
        </w:tabs>
        <w:spacing w:line="240" w:lineRule="auto"/>
        <w:ind w:left="108" w:right="87"/>
        <w:jc w:val="left"/>
      </w:pPr>
      <w:r>
        <w:rPr>
          <w:rFonts w:ascii="Arial" w:hAnsi="Arial" w:cs="Arial" w:eastAsia="Arial" w:hint="default"/>
          <w:position w:val="2"/>
        </w:rPr>
        <w:t>(10)</w:t>
        <w:tab/>
      </w:r>
      <w:r>
        <w:rPr/>
        <w:t>无形资产</w:t>
      </w:r>
    </w:p>
    <w:p>
      <w:pPr>
        <w:spacing w:line="240" w:lineRule="auto" w:before="12"/>
        <w:rPr>
          <w:rFonts w:ascii="宋体" w:hAnsi="宋体" w:cs="宋体" w:eastAsia="宋体" w:hint="default"/>
          <w:sz w:val="20"/>
          <w:szCs w:val="20"/>
        </w:rPr>
      </w:pPr>
    </w:p>
    <w:p>
      <w:pPr>
        <w:pStyle w:val="BodyText"/>
        <w:spacing w:line="240" w:lineRule="auto"/>
        <w:ind w:left="817" w:right="0"/>
        <w:jc w:val="both"/>
      </w:pPr>
      <w:r>
        <w:rPr/>
        <w:t>无形资产包括土地使用权、软件及优惠承租权等。</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87"/>
        <w:jc w:val="left"/>
      </w:pPr>
      <w:r>
        <w:rPr>
          <w:rFonts w:ascii="Arial" w:hAnsi="Arial" w:cs="Arial" w:eastAsia="Arial" w:hint="default"/>
          <w:position w:val="2"/>
        </w:rPr>
        <w:t>(a)</w:t>
        <w:tab/>
      </w:r>
      <w:r>
        <w:rPr/>
        <w:t>土地使用权</w:t>
      </w:r>
    </w:p>
    <w:p>
      <w:pPr>
        <w:spacing w:line="240" w:lineRule="auto" w:before="4"/>
        <w:rPr>
          <w:rFonts w:ascii="宋体" w:hAnsi="宋体" w:cs="宋体" w:eastAsia="宋体" w:hint="default"/>
          <w:sz w:val="23"/>
          <w:szCs w:val="23"/>
        </w:rPr>
      </w:pPr>
    </w:p>
    <w:p>
      <w:pPr>
        <w:pStyle w:val="BodyText"/>
        <w:spacing w:line="312" w:lineRule="exact"/>
        <w:ind w:left="817" w:right="87"/>
        <w:jc w:val="left"/>
      </w:pPr>
      <w:r>
        <w:rPr/>
        <w:t>土地使用权以实际成本计量，按使用年限</w:t>
      </w:r>
      <w:r>
        <w:rPr>
          <w:rFonts w:ascii="Arial" w:hAnsi="Arial" w:cs="Arial" w:eastAsia="Arial" w:hint="default"/>
        </w:rPr>
        <w:t>(50</w:t>
      </w:r>
      <w:r>
        <w:rPr>
          <w:rFonts w:ascii="Arial" w:hAnsi="Arial" w:cs="Arial" w:eastAsia="Arial" w:hint="default"/>
          <w:spacing w:val="17"/>
        </w:rPr>
        <w:t> </w:t>
      </w:r>
      <w:r>
        <w:rPr/>
        <w:t>年</w:t>
      </w:r>
      <w:r>
        <w:rPr>
          <w:rFonts w:ascii="Arial" w:hAnsi="Arial" w:cs="Arial" w:eastAsia="Arial" w:hint="default"/>
        </w:rPr>
        <w:t>)</w:t>
      </w:r>
      <w:r>
        <w:rPr/>
        <w:t>平均摊销。外购土地及建筑物的价款</w:t>
      </w:r>
      <w:r>
        <w:rPr>
          <w:spacing w:val="-115"/>
        </w:rPr>
        <w:t> </w:t>
      </w:r>
      <w:r>
        <w:rPr/>
        <w:t>难以在土地使用权与建筑物之间合理分配的，全部作为固定资产。</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7" w:right="87"/>
        <w:jc w:val="left"/>
      </w:pPr>
      <w:r>
        <w:rPr>
          <w:rFonts w:ascii="Arial" w:hAnsi="Arial" w:cs="Arial" w:eastAsia="Arial" w:hint="default"/>
          <w:position w:val="2"/>
        </w:rPr>
        <w:t>(b)</w:t>
        <w:tab/>
      </w:r>
      <w:r>
        <w:rPr/>
        <w:t>软件</w:t>
      </w:r>
    </w:p>
    <w:p>
      <w:pPr>
        <w:spacing w:line="240" w:lineRule="auto" w:before="12"/>
        <w:rPr>
          <w:rFonts w:ascii="宋体" w:hAnsi="宋体" w:cs="宋体" w:eastAsia="宋体" w:hint="default"/>
          <w:sz w:val="20"/>
          <w:szCs w:val="20"/>
        </w:rPr>
      </w:pPr>
    </w:p>
    <w:p>
      <w:pPr>
        <w:pStyle w:val="BodyText"/>
        <w:spacing w:line="240" w:lineRule="auto"/>
        <w:ind w:left="817" w:right="0"/>
        <w:jc w:val="both"/>
      </w:pPr>
      <w:r>
        <w:rPr/>
        <w:t>软件以实际成本计量，按预计使用年限</w:t>
      </w:r>
      <w:r>
        <w:rPr>
          <w:spacing w:val="-60"/>
        </w:rPr>
        <w:t> </w:t>
      </w:r>
      <w:r>
        <w:rPr>
          <w:rFonts w:ascii="Arial" w:hAnsi="Arial" w:cs="Arial" w:eastAsia="Arial" w:hint="default"/>
        </w:rPr>
        <w:t>5</w:t>
      </w:r>
      <w:r>
        <w:rPr>
          <w:rFonts w:ascii="Arial" w:hAnsi="Arial" w:cs="Arial" w:eastAsia="Arial" w:hint="default"/>
          <w:spacing w:val="-7"/>
        </w:rPr>
        <w:t> </w:t>
      </w:r>
      <w:r>
        <w:rPr/>
        <w:t>年平均摊销。</w:t>
      </w:r>
    </w:p>
    <w:p>
      <w:pPr>
        <w:spacing w:line="240" w:lineRule="auto" w:before="8"/>
        <w:rPr>
          <w:rFonts w:ascii="宋体" w:hAnsi="宋体" w:cs="宋体" w:eastAsia="宋体" w:hint="default"/>
          <w:sz w:val="19"/>
          <w:szCs w:val="19"/>
        </w:rPr>
      </w:pPr>
    </w:p>
    <w:p>
      <w:pPr>
        <w:pStyle w:val="BodyText"/>
        <w:tabs>
          <w:tab w:pos="817" w:val="left" w:leader="none"/>
        </w:tabs>
        <w:spacing w:line="240" w:lineRule="auto"/>
        <w:ind w:left="108" w:right="87"/>
        <w:jc w:val="left"/>
      </w:pPr>
      <w:r>
        <w:rPr>
          <w:rFonts w:ascii="Arial" w:hAnsi="Arial" w:cs="Arial" w:eastAsia="Arial" w:hint="default"/>
          <w:position w:val="2"/>
        </w:rPr>
        <w:t>(c)</w:t>
        <w:tab/>
      </w:r>
      <w:r>
        <w:rPr/>
        <w:t>优惠承租权</w:t>
      </w:r>
    </w:p>
    <w:p>
      <w:pPr>
        <w:spacing w:line="240" w:lineRule="auto" w:before="4"/>
        <w:rPr>
          <w:rFonts w:ascii="宋体" w:hAnsi="宋体" w:cs="宋体" w:eastAsia="宋体" w:hint="default"/>
          <w:sz w:val="23"/>
          <w:szCs w:val="23"/>
        </w:rPr>
      </w:pPr>
    </w:p>
    <w:p>
      <w:pPr>
        <w:pStyle w:val="BodyText"/>
        <w:spacing w:line="312" w:lineRule="exact"/>
        <w:ind w:left="817" w:right="87"/>
        <w:jc w:val="left"/>
      </w:pPr>
      <w:r>
        <w:rPr>
          <w:spacing w:val="2"/>
        </w:rPr>
        <w:t>优惠承租权是在业务合并过程中确认的无形资产，系本集团由于承接低于市场价格的</w:t>
      </w:r>
      <w:r>
        <w:rPr>
          <w:spacing w:val="-85"/>
        </w:rPr>
        <w:t> </w:t>
      </w:r>
      <w:r>
        <w:rPr>
          <w:spacing w:val="-85"/>
        </w:rPr>
      </w:r>
      <w:r>
        <w:rPr/>
        <w:t>租约而支付的对价。优惠承租权以公允价值入帐，并按其预计受益期间分期平均摊销。</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87"/>
        <w:jc w:val="left"/>
      </w:pPr>
      <w:r>
        <w:rPr>
          <w:rFonts w:ascii="Arial" w:hAnsi="Arial" w:cs="Arial" w:eastAsia="Arial" w:hint="default"/>
          <w:position w:val="2"/>
        </w:rPr>
        <w:t>(d)</w:t>
        <w:tab/>
      </w:r>
      <w:r>
        <w:rPr/>
        <w:t>无形资产减值</w:t>
      </w:r>
    </w:p>
    <w:p>
      <w:pPr>
        <w:spacing w:line="240" w:lineRule="auto" w:before="12"/>
        <w:rPr>
          <w:rFonts w:ascii="宋体" w:hAnsi="宋体" w:cs="宋体" w:eastAsia="宋体" w:hint="default"/>
          <w:sz w:val="20"/>
          <w:szCs w:val="20"/>
        </w:rPr>
      </w:pPr>
    </w:p>
    <w:p>
      <w:pPr>
        <w:pStyle w:val="BodyText"/>
        <w:spacing w:line="240" w:lineRule="auto"/>
        <w:ind w:left="817" w:right="0"/>
        <w:jc w:val="both"/>
      </w:pPr>
      <w:r>
        <w:rPr/>
        <w:t>当无形资产的可收回金额低于其账面价值时</w:t>
      </w:r>
      <w:r>
        <w:rPr>
          <w:spacing w:val="-108"/>
        </w:rPr>
        <w:t>，</w:t>
      </w:r>
      <w:r>
        <w:rPr/>
        <w:t>账面价值减记至可收回金额</w:t>
      </w:r>
      <w:r>
        <w:rPr>
          <w:rFonts w:ascii="Arial" w:hAnsi="Arial" w:cs="Arial" w:eastAsia="Arial" w:hint="default"/>
        </w:rPr>
        <w:t>(</w:t>
      </w:r>
      <w:r>
        <w:rPr/>
        <w:t>附注四</w:t>
      </w:r>
      <w:r>
        <w:rPr>
          <w:rFonts w:ascii="Arial" w:hAnsi="Arial" w:cs="Arial" w:eastAsia="Arial" w:hint="default"/>
        </w:rPr>
        <w:t>(13))</w:t>
      </w:r>
      <w:r>
        <w:rPr/>
        <w:t>。</w:t>
      </w:r>
    </w:p>
    <w:p>
      <w:pPr>
        <w:spacing w:line="240" w:lineRule="auto" w:before="8"/>
        <w:rPr>
          <w:rFonts w:ascii="宋体" w:hAnsi="宋体" w:cs="宋体" w:eastAsia="宋体" w:hint="default"/>
          <w:sz w:val="19"/>
          <w:szCs w:val="19"/>
        </w:rPr>
      </w:pPr>
    </w:p>
    <w:p>
      <w:pPr>
        <w:pStyle w:val="BodyText"/>
        <w:tabs>
          <w:tab w:pos="817" w:val="left" w:leader="none"/>
        </w:tabs>
        <w:spacing w:line="240" w:lineRule="auto"/>
        <w:ind w:left="108" w:right="87"/>
        <w:jc w:val="left"/>
      </w:pPr>
      <w:r>
        <w:rPr>
          <w:rFonts w:ascii="Arial" w:hAnsi="Arial" w:cs="Arial" w:eastAsia="Arial" w:hint="default"/>
          <w:position w:val="2"/>
        </w:rPr>
        <w:t>(e)</w:t>
        <w:tab/>
      </w:r>
      <w:r>
        <w:rPr/>
        <w:t>定期复核使用寿命和摊销方法</w:t>
      </w:r>
    </w:p>
    <w:p>
      <w:pPr>
        <w:spacing w:line="240" w:lineRule="auto" w:before="4"/>
        <w:rPr>
          <w:rFonts w:ascii="宋体" w:hAnsi="宋体" w:cs="宋体" w:eastAsia="宋体" w:hint="default"/>
          <w:sz w:val="23"/>
          <w:szCs w:val="23"/>
        </w:rPr>
      </w:pPr>
    </w:p>
    <w:p>
      <w:pPr>
        <w:pStyle w:val="BodyText"/>
        <w:spacing w:line="312" w:lineRule="exact"/>
        <w:ind w:left="817" w:right="87"/>
        <w:jc w:val="left"/>
      </w:pPr>
      <w:r>
        <w:rPr>
          <w:spacing w:val="2"/>
        </w:rPr>
        <w:t>对使用寿命有限的无形资产的预计使用寿命及摊销方法于每年年度终了进行复核并作</w:t>
      </w:r>
      <w:r>
        <w:rPr>
          <w:spacing w:val="-85"/>
        </w:rPr>
        <w:t> </w:t>
      </w:r>
      <w:r>
        <w:rPr>
          <w:spacing w:val="-85"/>
        </w:rPr>
      </w:r>
      <w:r>
        <w:rPr/>
        <w:t>适当调整。</w:t>
      </w:r>
    </w:p>
    <w:p>
      <w:pPr>
        <w:spacing w:after="0" w:line="312" w:lineRule="exact"/>
        <w:jc w:val="left"/>
        <w:sectPr>
          <w:pgSz w:w="11910" w:h="16840"/>
          <w:pgMar w:header="1458" w:footer="708" w:top="1640" w:bottom="900" w:left="1020" w:right="84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87"/>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87"/>
        <w:jc w:val="left"/>
      </w:pPr>
      <w:r>
        <w:rPr>
          <w:rFonts w:ascii="Arial" w:hAnsi="Arial" w:cs="Arial" w:eastAsia="Arial" w:hint="default"/>
          <w:spacing w:val="-5"/>
          <w:position w:val="2"/>
        </w:rPr>
        <w:t>(11)</w:t>
        <w:tab/>
      </w:r>
      <w:r>
        <w:rPr/>
        <w:t>研究与开发</w:t>
      </w:r>
    </w:p>
    <w:p>
      <w:pPr>
        <w:spacing w:line="240" w:lineRule="auto" w:before="4"/>
        <w:rPr>
          <w:rFonts w:ascii="宋体" w:hAnsi="宋体" w:cs="宋体" w:eastAsia="宋体" w:hint="default"/>
          <w:sz w:val="23"/>
          <w:szCs w:val="23"/>
        </w:rPr>
      </w:pPr>
    </w:p>
    <w:p>
      <w:pPr>
        <w:pStyle w:val="BodyText"/>
        <w:spacing w:line="312" w:lineRule="exact"/>
        <w:ind w:left="817" w:right="87"/>
        <w:jc w:val="left"/>
      </w:pPr>
      <w:r>
        <w:rPr>
          <w:spacing w:val="2"/>
        </w:rPr>
        <w:t>本集团开展系统软件的研究与开发。根据内部研究开发项目支出的性质以及研发活动</w:t>
      </w:r>
      <w:r>
        <w:rPr>
          <w:spacing w:val="-85"/>
        </w:rPr>
        <w:t> </w:t>
      </w:r>
      <w:r>
        <w:rPr>
          <w:spacing w:val="-85"/>
        </w:rPr>
      </w:r>
      <w:r>
        <w:rPr/>
        <w:t>最终形成无形资产是否具有较大不确定性，分为研究阶段支出和开发阶段支出。</w:t>
      </w:r>
    </w:p>
    <w:p>
      <w:pPr>
        <w:spacing w:line="240" w:lineRule="auto" w:before="1"/>
        <w:rPr>
          <w:rFonts w:ascii="宋体" w:hAnsi="宋体" w:cs="宋体" w:eastAsia="宋体" w:hint="default"/>
          <w:sz w:val="21"/>
          <w:szCs w:val="21"/>
        </w:rPr>
      </w:pPr>
    </w:p>
    <w:p>
      <w:pPr>
        <w:pStyle w:val="BodyText"/>
        <w:spacing w:line="312" w:lineRule="exact"/>
        <w:ind w:left="817" w:right="87"/>
        <w:jc w:val="left"/>
      </w:pPr>
      <w:r>
        <w:rPr>
          <w:spacing w:val="2"/>
        </w:rPr>
        <w:t>研究阶段的支出，于发生时计入当期损益；开发阶段的支出，同时满足下列条件的，</w:t>
      </w:r>
      <w:r>
        <w:rPr>
          <w:spacing w:val="-85"/>
        </w:rPr>
        <w:t> </w:t>
      </w:r>
      <w:r>
        <w:rPr>
          <w:spacing w:val="-85"/>
        </w:rPr>
      </w:r>
      <w:r>
        <w:rPr/>
        <w:t>确认为无形资产：</w:t>
      </w:r>
    </w:p>
    <w:p>
      <w:pPr>
        <w:spacing w:line="240" w:lineRule="auto" w:before="10"/>
        <w:rPr>
          <w:rFonts w:ascii="宋体" w:hAnsi="宋体" w:cs="宋体" w:eastAsia="宋体" w:hint="default"/>
          <w:sz w:val="18"/>
          <w:szCs w:val="18"/>
        </w:rPr>
      </w:pPr>
    </w:p>
    <w:p>
      <w:pPr>
        <w:pStyle w:val="BodyText"/>
        <w:spacing w:line="323" w:lineRule="exact"/>
        <w:ind w:left="850" w:right="87"/>
        <w:jc w:val="left"/>
      </w:pPr>
      <w:r>
        <w:rPr>
          <w:rFonts w:ascii="Symbol" w:hAnsi="Symbol" w:cs="Symbol" w:eastAsia="Symbol" w:hint="default"/>
        </w:rPr>
        <w:t></w:t>
      </w:r>
      <w:r>
        <w:rPr>
          <w:rFonts w:ascii="Symbol" w:hAnsi="Symbol" w:cs="Symbol" w:eastAsia="Symbol" w:hint="default"/>
          <w:spacing w:val="53"/>
        </w:rPr>
        <w:t></w:t>
      </w:r>
      <w:r>
        <w:rPr>
          <w:rFonts w:ascii="Times New Roman" w:hAnsi="Times New Roman" w:cs="Times New Roman" w:eastAsia="Times New Roman" w:hint="default"/>
          <w:spacing w:val="53"/>
        </w:rPr>
      </w:r>
      <w:r>
        <w:rPr/>
        <w:t>完成该无形资产以使其能够使用或出售在技术上具有可行性。</w:t>
      </w:r>
    </w:p>
    <w:p>
      <w:pPr>
        <w:pStyle w:val="BodyText"/>
        <w:spacing w:line="312" w:lineRule="exact"/>
        <w:ind w:left="850" w:right="87"/>
        <w:jc w:val="left"/>
      </w:pPr>
      <w:r>
        <w:rPr>
          <w:rFonts w:ascii="Symbol" w:hAnsi="Symbol" w:cs="Symbol" w:eastAsia="Symbol" w:hint="default"/>
        </w:rPr>
        <w:t></w:t>
      </w:r>
      <w:r>
        <w:rPr>
          <w:rFonts w:ascii="Symbol" w:hAnsi="Symbol" w:cs="Symbol" w:eastAsia="Symbol" w:hint="default"/>
          <w:spacing w:val="53"/>
        </w:rPr>
        <w:t></w:t>
      </w:r>
      <w:r>
        <w:rPr>
          <w:rFonts w:ascii="Times New Roman" w:hAnsi="Times New Roman" w:cs="Times New Roman" w:eastAsia="Times New Roman" w:hint="default"/>
          <w:spacing w:val="53"/>
        </w:rPr>
      </w:r>
      <w:r>
        <w:rPr/>
        <w:t>管理层具有完成该无形资产并使用或出售的意图。</w:t>
      </w:r>
    </w:p>
    <w:p>
      <w:pPr>
        <w:pStyle w:val="BodyText"/>
        <w:spacing w:line="312" w:lineRule="exact"/>
        <w:ind w:left="850" w:right="87"/>
        <w:jc w:val="left"/>
      </w:pPr>
      <w:r>
        <w:rPr>
          <w:rFonts w:ascii="Symbol" w:hAnsi="Symbol" w:cs="Symbol" w:eastAsia="Symbol" w:hint="default"/>
        </w:rPr>
        <w:t></w:t>
      </w:r>
      <w:r>
        <w:rPr>
          <w:rFonts w:ascii="Symbol" w:hAnsi="Symbol" w:cs="Symbol" w:eastAsia="Symbol" w:hint="default"/>
          <w:spacing w:val="53"/>
        </w:rPr>
        <w:t></w:t>
      </w:r>
      <w:r>
        <w:rPr>
          <w:rFonts w:ascii="Times New Roman" w:hAnsi="Times New Roman" w:cs="Times New Roman" w:eastAsia="Times New Roman" w:hint="default"/>
          <w:spacing w:val="53"/>
        </w:rPr>
      </w:r>
      <w:r>
        <w:rPr/>
        <w:t>能够证明该无形资产将如何产生经济利益。</w:t>
      </w:r>
    </w:p>
    <w:p>
      <w:pPr>
        <w:pStyle w:val="BodyText"/>
        <w:spacing w:line="312" w:lineRule="exact" w:before="20"/>
        <w:ind w:left="1135" w:right="87" w:hanging="285"/>
        <w:jc w:val="left"/>
      </w:pPr>
      <w:r>
        <w:rPr>
          <w:rFonts w:ascii="Symbol" w:hAnsi="Symbol" w:cs="Symbol" w:eastAsia="Symbol" w:hint="default"/>
        </w:rPr>
        <w:t></w:t>
      </w:r>
      <w:r>
        <w:rPr>
          <w:rFonts w:ascii="Symbol" w:hAnsi="Symbol" w:cs="Symbol" w:eastAsia="Symbol" w:hint="default"/>
          <w:spacing w:val="53"/>
        </w:rPr>
        <w:t></w:t>
      </w:r>
      <w:r>
        <w:rPr>
          <w:rFonts w:ascii="Times New Roman" w:hAnsi="Times New Roman" w:cs="Times New Roman" w:eastAsia="Times New Roman" w:hint="default"/>
          <w:spacing w:val="53"/>
        </w:rPr>
      </w:r>
      <w:r>
        <w:rPr/>
        <w:t>有足够的技术、财务资源和其他资源支持，以完成该无形资产的开发，并有能力使 用或出售该无形资产。</w:t>
      </w:r>
    </w:p>
    <w:p>
      <w:pPr>
        <w:pStyle w:val="BodyText"/>
        <w:spacing w:line="302" w:lineRule="exact"/>
        <w:ind w:left="850" w:right="87"/>
        <w:jc w:val="left"/>
      </w:pPr>
      <w:r>
        <w:rPr>
          <w:rFonts w:ascii="Symbol" w:hAnsi="Symbol" w:cs="Symbol" w:eastAsia="Symbol" w:hint="default"/>
        </w:rPr>
        <w:t></w:t>
      </w:r>
      <w:r>
        <w:rPr>
          <w:rFonts w:ascii="Symbol" w:hAnsi="Symbol" w:cs="Symbol" w:eastAsia="Symbol" w:hint="default"/>
          <w:spacing w:val="53"/>
        </w:rPr>
        <w:t></w:t>
      </w:r>
      <w:r>
        <w:rPr>
          <w:rFonts w:ascii="Times New Roman" w:hAnsi="Times New Roman" w:cs="Times New Roman" w:eastAsia="Times New Roman" w:hint="default"/>
          <w:spacing w:val="53"/>
        </w:rPr>
      </w:r>
      <w:r>
        <w:rPr/>
        <w:t>归属于该无形资产开发阶段的支出能够可靠地计量。</w:t>
      </w:r>
    </w:p>
    <w:p>
      <w:pPr>
        <w:spacing w:line="240" w:lineRule="auto" w:before="11"/>
        <w:rPr>
          <w:rFonts w:ascii="宋体" w:hAnsi="宋体" w:cs="宋体" w:eastAsia="宋体" w:hint="default"/>
          <w:sz w:val="21"/>
          <w:szCs w:val="21"/>
        </w:rPr>
      </w:pPr>
    </w:p>
    <w:p>
      <w:pPr>
        <w:pStyle w:val="BodyText"/>
        <w:spacing w:line="312" w:lineRule="exact"/>
        <w:ind w:left="817" w:right="105"/>
        <w:jc w:val="both"/>
      </w:pPr>
      <w:r>
        <w:rPr>
          <w:spacing w:val="2"/>
        </w:rPr>
        <w:t>不满足上述条件的开发阶段的支出，于发生时计入当期损益。前期已计入损益的开发</w:t>
      </w:r>
      <w:r>
        <w:rPr>
          <w:spacing w:val="-85"/>
        </w:rPr>
        <w:t> </w:t>
      </w:r>
      <w:r>
        <w:rPr>
          <w:spacing w:val="-85"/>
        </w:rPr>
      </w:r>
      <w:r>
        <w:rPr>
          <w:spacing w:val="2"/>
        </w:rPr>
        <w:t>支出不在以后期间确认为资产。已资本化的开发阶段的支出在资产负债表上列示为开</w:t>
      </w:r>
      <w:r>
        <w:rPr>
          <w:spacing w:val="-85"/>
        </w:rPr>
        <w:t> </w:t>
      </w:r>
      <w:r>
        <w:rPr>
          <w:spacing w:val="-85"/>
        </w:rPr>
      </w:r>
      <w:r>
        <w:rPr/>
        <w:t>发支出，自该项目达到预定可使用状态之日起转为无形资产。</w:t>
      </w:r>
    </w:p>
    <w:p>
      <w:pPr>
        <w:spacing w:line="240" w:lineRule="auto" w:before="10"/>
        <w:rPr>
          <w:rFonts w:ascii="宋体" w:hAnsi="宋体" w:cs="宋体" w:eastAsia="宋体" w:hint="default"/>
          <w:sz w:val="18"/>
          <w:szCs w:val="18"/>
        </w:rPr>
      </w:pPr>
    </w:p>
    <w:p>
      <w:pPr>
        <w:pStyle w:val="BodyText"/>
        <w:spacing w:line="240" w:lineRule="auto"/>
        <w:ind w:left="817" w:right="0"/>
        <w:jc w:val="left"/>
      </w:pPr>
      <w:r>
        <w:rPr/>
        <w:t>当开发支出的可收回金额低于其账面价值时</w:t>
      </w:r>
      <w:r>
        <w:rPr>
          <w:spacing w:val="-108"/>
        </w:rPr>
        <w:t>，</w:t>
      </w:r>
      <w:r>
        <w:rPr/>
        <w:t>账面价值减记至可收回金额</w:t>
      </w:r>
      <w:r>
        <w:rPr>
          <w:rFonts w:ascii="Arial" w:hAnsi="Arial" w:cs="Arial" w:eastAsia="Arial" w:hint="default"/>
        </w:rPr>
        <w:t>(</w:t>
      </w:r>
      <w:r>
        <w:rPr/>
        <w:t>附注四</w:t>
      </w:r>
      <w:r>
        <w:rPr>
          <w:rFonts w:ascii="Arial" w:hAnsi="Arial" w:cs="Arial" w:eastAsia="Arial" w:hint="default"/>
        </w:rPr>
        <w:t>(13))</w:t>
      </w:r>
      <w:r>
        <w:rPr/>
        <w:t>。</w:t>
      </w:r>
    </w:p>
    <w:p>
      <w:pPr>
        <w:spacing w:line="240" w:lineRule="auto" w:before="8"/>
        <w:rPr>
          <w:rFonts w:ascii="宋体" w:hAnsi="宋体" w:cs="宋体" w:eastAsia="宋体" w:hint="default"/>
          <w:sz w:val="19"/>
          <w:szCs w:val="19"/>
        </w:rPr>
      </w:pPr>
    </w:p>
    <w:p>
      <w:pPr>
        <w:pStyle w:val="BodyText"/>
        <w:tabs>
          <w:tab w:pos="817" w:val="left" w:leader="none"/>
        </w:tabs>
        <w:spacing w:line="240" w:lineRule="auto"/>
        <w:ind w:left="108" w:right="87"/>
        <w:jc w:val="left"/>
      </w:pPr>
      <w:r>
        <w:rPr>
          <w:rFonts w:ascii="Arial" w:hAnsi="Arial" w:cs="Arial" w:eastAsia="Arial" w:hint="default"/>
          <w:position w:val="2"/>
        </w:rPr>
        <w:t>(12)</w:t>
        <w:tab/>
      </w:r>
      <w:r>
        <w:rPr/>
        <w:t>长期待摊费用</w:t>
      </w:r>
    </w:p>
    <w:p>
      <w:pPr>
        <w:spacing w:line="240" w:lineRule="auto" w:before="4"/>
        <w:rPr>
          <w:rFonts w:ascii="宋体" w:hAnsi="宋体" w:cs="宋体" w:eastAsia="宋体" w:hint="default"/>
          <w:sz w:val="23"/>
          <w:szCs w:val="23"/>
        </w:rPr>
      </w:pPr>
    </w:p>
    <w:p>
      <w:pPr>
        <w:pStyle w:val="BodyText"/>
        <w:spacing w:line="312" w:lineRule="exact"/>
        <w:ind w:left="817" w:right="87"/>
        <w:jc w:val="left"/>
      </w:pPr>
      <w:r>
        <w:rPr>
          <w:spacing w:val="2"/>
        </w:rPr>
        <w:t>长期待摊费用包括经营租入固定资产改良、水电设施使用费及其他已经发生但应由本</w:t>
      </w:r>
      <w:r>
        <w:rPr>
          <w:spacing w:val="-85"/>
        </w:rPr>
        <w:t> </w:t>
      </w:r>
      <w:r>
        <w:rPr>
          <w:spacing w:val="-85"/>
        </w:rPr>
      </w:r>
      <w:r>
        <w:rPr>
          <w:spacing w:val="-1"/>
        </w:rPr>
        <w:t>期和以后各期负担的分摊期限在一年以上的各项费用，按预计受益期间分期平均摊销，</w:t>
      </w:r>
      <w:r>
        <w:rPr>
          <w:spacing w:val="-1"/>
        </w:rPr>
        <w:t> </w:t>
      </w:r>
      <w:r>
        <w:rPr/>
        <w:t>并以实际支出减去累计摊销后的净额列示。</w:t>
      </w:r>
    </w:p>
    <w:p>
      <w:pPr>
        <w:spacing w:after="0" w:line="312" w:lineRule="exact"/>
        <w:jc w:val="left"/>
        <w:sectPr>
          <w:pgSz w:w="11910" w:h="16840"/>
          <w:pgMar w:header="1458" w:footer="708" w:top="1640" w:bottom="900" w:left="1020" w:right="84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105"/>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105"/>
        <w:jc w:val="left"/>
      </w:pPr>
      <w:r>
        <w:rPr>
          <w:rFonts w:ascii="Arial" w:hAnsi="Arial" w:cs="Arial" w:eastAsia="Arial" w:hint="default"/>
          <w:position w:val="2"/>
        </w:rPr>
        <w:t>(13)</w:t>
        <w:tab/>
      </w:r>
      <w:r>
        <w:rPr/>
        <w:t>资产减值</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使用寿命不确定的无形资产，无论是否存在减值迹象，至少每年进行减值测试。固定</w:t>
      </w:r>
      <w:r>
        <w:rPr>
          <w:spacing w:val="-85"/>
        </w:rPr>
        <w:t> </w:t>
      </w:r>
      <w:r>
        <w:rPr>
          <w:spacing w:val="-85"/>
        </w:rPr>
      </w:r>
      <w:r>
        <w:rPr>
          <w:spacing w:val="2"/>
        </w:rPr>
        <w:t>资产、无形资产、在建工程、开发支出及长期股权投资等，于资产负债表日存在减值</w:t>
      </w:r>
      <w:r>
        <w:rPr>
          <w:spacing w:val="-85"/>
        </w:rPr>
        <w:t> </w:t>
      </w:r>
      <w:r>
        <w:rPr>
          <w:spacing w:val="-85"/>
        </w:rPr>
      </w:r>
      <w:r>
        <w:rPr>
          <w:spacing w:val="2"/>
        </w:rPr>
        <w:t>迹象的，进行减值测试。减值测试结果表明资产的可收回金额低于其账面价值的，按</w:t>
      </w:r>
      <w:r>
        <w:rPr>
          <w:spacing w:val="-85"/>
        </w:rPr>
        <w:t> </w:t>
      </w:r>
      <w:r>
        <w:rPr>
          <w:spacing w:val="-85"/>
        </w:rPr>
      </w:r>
      <w:r>
        <w:rPr>
          <w:spacing w:val="2"/>
        </w:rPr>
        <w:t>其差额计提减值准备并计入减值损失。可收回金额为资产的公允价值减去处置费用后</w:t>
      </w:r>
      <w:r>
        <w:rPr>
          <w:spacing w:val="-85"/>
        </w:rPr>
        <w:t> </w:t>
      </w:r>
      <w:r>
        <w:rPr>
          <w:spacing w:val="-85"/>
        </w:rPr>
      </w:r>
      <w:r>
        <w:rPr>
          <w:spacing w:val="2"/>
        </w:rPr>
        <w:t>的净额与资产预计未来现金流量的现值两者之间的较高者。资产减值准备按单项资产</w:t>
      </w:r>
      <w:r>
        <w:rPr>
          <w:spacing w:val="-85"/>
        </w:rPr>
        <w:t> </w:t>
      </w:r>
      <w:r>
        <w:rPr>
          <w:spacing w:val="-85"/>
        </w:rPr>
      </w:r>
      <w:r>
        <w:rPr>
          <w:spacing w:val="2"/>
        </w:rPr>
        <w:t>为基础计算并确认，如果难以对单项资产的可收回金额进行估计的，以该资产所属的</w:t>
      </w:r>
      <w:r>
        <w:rPr>
          <w:spacing w:val="-85"/>
        </w:rPr>
        <w:t> </w:t>
      </w:r>
      <w:r>
        <w:rPr>
          <w:spacing w:val="-85"/>
        </w:rPr>
      </w:r>
      <w:r>
        <w:rPr/>
        <w:t>资产组确定资产组的可收回金额。资产组是能够独立产生现金流入的最小资产组合。</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上述资产减值损失一经确认，如果在以后期间价值得以恢复，也不予转回。</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105"/>
        <w:jc w:val="left"/>
      </w:pPr>
      <w:r>
        <w:rPr>
          <w:rFonts w:ascii="Arial" w:hAnsi="Arial" w:cs="Arial" w:eastAsia="Arial" w:hint="default"/>
          <w:position w:val="2"/>
        </w:rPr>
        <w:t>(14)</w:t>
        <w:tab/>
      </w:r>
      <w:r>
        <w:rPr/>
        <w:t>借款费用</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发生的可直接归属于需要经过相当长时间的购建活动才能达到预定可使用状态之固定</w:t>
      </w:r>
      <w:r>
        <w:rPr>
          <w:spacing w:val="-85"/>
        </w:rPr>
        <w:t> </w:t>
      </w:r>
      <w:r>
        <w:rPr>
          <w:spacing w:val="-85"/>
        </w:rPr>
      </w:r>
      <w:r>
        <w:rPr>
          <w:spacing w:val="2"/>
        </w:rPr>
        <w:t>资产的购建的借款费用，在资产支出及借款费用已经发生、为使资产达到预定可使用</w:t>
      </w:r>
      <w:r>
        <w:rPr>
          <w:spacing w:val="-85"/>
        </w:rPr>
        <w:t> </w:t>
      </w:r>
      <w:r>
        <w:rPr>
          <w:spacing w:val="-85"/>
        </w:rPr>
      </w:r>
      <w:r>
        <w:rPr>
          <w:spacing w:val="2"/>
        </w:rPr>
        <w:t>状态所必要的购建活动已经开始时，开始资本化并计入该资产的成本。当购建的资产</w:t>
      </w:r>
      <w:r>
        <w:rPr>
          <w:spacing w:val="-85"/>
        </w:rPr>
        <w:t> </w:t>
      </w:r>
      <w:r>
        <w:rPr>
          <w:spacing w:val="-85"/>
        </w:rPr>
      </w:r>
      <w:r>
        <w:rPr>
          <w:spacing w:val="2"/>
        </w:rPr>
        <w:t>达到预定可使用状态时停止资本化，其后发生的借款费用计入当期损益。如果资产的</w:t>
      </w:r>
      <w:r>
        <w:rPr>
          <w:spacing w:val="-85"/>
        </w:rPr>
        <w:t> </w:t>
      </w:r>
      <w:r>
        <w:rPr>
          <w:spacing w:val="-85"/>
        </w:rPr>
      </w:r>
      <w:r>
        <w:rPr>
          <w:spacing w:val="-1"/>
        </w:rPr>
        <w:t>购建活动发生非正常中断，并且中断时间连续超过</w:t>
      </w:r>
      <w:r>
        <w:rPr>
          <w:rFonts w:ascii="Arial" w:hAnsi="Arial" w:cs="Arial" w:eastAsia="Arial" w:hint="default"/>
          <w:spacing w:val="-1"/>
        </w:rPr>
        <w:t>3</w:t>
      </w:r>
      <w:r>
        <w:rPr>
          <w:spacing w:val="-1"/>
        </w:rPr>
        <w:t>个月，暂停借款费用的资本化，直</w:t>
      </w:r>
      <w:r>
        <w:rPr>
          <w:spacing w:val="-98"/>
        </w:rPr>
        <w:t> </w:t>
      </w:r>
      <w:r>
        <w:rPr>
          <w:spacing w:val="-98"/>
        </w:rPr>
      </w:r>
      <w:r>
        <w:rPr/>
        <w:t>至资产的购建活动重新开始。</w:t>
      </w:r>
    </w:p>
    <w:p>
      <w:pPr>
        <w:spacing w:line="240" w:lineRule="auto" w:before="4"/>
        <w:rPr>
          <w:rFonts w:ascii="宋体" w:hAnsi="宋体" w:cs="宋体" w:eastAsia="宋体" w:hint="default"/>
          <w:sz w:val="19"/>
          <w:szCs w:val="19"/>
        </w:rPr>
      </w:pPr>
    </w:p>
    <w:p>
      <w:pPr>
        <w:tabs>
          <w:tab w:pos="817" w:val="left" w:leader="none"/>
        </w:tabs>
        <w:spacing w:before="0"/>
        <w:ind w:left="108" w:right="105" w:firstLine="0"/>
        <w:jc w:val="left"/>
        <w:rPr>
          <w:rFonts w:ascii="宋体" w:hAnsi="宋体" w:cs="宋体" w:eastAsia="宋体" w:hint="default"/>
          <w:sz w:val="21"/>
          <w:szCs w:val="21"/>
        </w:rPr>
      </w:pPr>
      <w:r>
        <w:rPr>
          <w:rFonts w:ascii="Arial" w:hAnsi="Arial" w:cs="Arial" w:eastAsia="Arial" w:hint="default"/>
          <w:sz w:val="24"/>
          <w:szCs w:val="24"/>
        </w:rPr>
        <w:t>(15)</w:t>
        <w:tab/>
      </w:r>
      <w:r>
        <w:rPr>
          <w:rFonts w:ascii="宋体" w:hAnsi="宋体" w:cs="宋体" w:eastAsia="宋体" w:hint="default"/>
          <w:position w:val="1"/>
          <w:sz w:val="21"/>
          <w:szCs w:val="21"/>
        </w:rPr>
        <w:t>借款</w:t>
      </w:r>
      <w:r>
        <w:rPr>
          <w:rFonts w:ascii="宋体" w:hAnsi="宋体" w:cs="宋体" w:eastAsia="宋体" w:hint="default"/>
          <w:sz w:val="21"/>
          <w:szCs w:val="21"/>
        </w:rPr>
      </w:r>
    </w:p>
    <w:p>
      <w:pPr>
        <w:spacing w:line="240" w:lineRule="auto" w:before="2"/>
        <w:rPr>
          <w:rFonts w:ascii="宋体" w:hAnsi="宋体" w:cs="宋体" w:eastAsia="宋体" w:hint="default"/>
          <w:sz w:val="34"/>
          <w:szCs w:val="34"/>
        </w:rPr>
      </w:pPr>
    </w:p>
    <w:p>
      <w:pPr>
        <w:spacing w:before="0"/>
        <w:ind w:left="817" w:right="107" w:firstLine="0"/>
        <w:jc w:val="both"/>
        <w:rPr>
          <w:rFonts w:ascii="宋体" w:hAnsi="宋体" w:cs="宋体" w:eastAsia="宋体" w:hint="default"/>
          <w:sz w:val="21"/>
          <w:szCs w:val="21"/>
        </w:rPr>
      </w:pPr>
      <w:r>
        <w:rPr>
          <w:rFonts w:ascii="宋体" w:hAnsi="宋体" w:cs="宋体" w:eastAsia="宋体" w:hint="default"/>
          <w:spacing w:val="3"/>
          <w:sz w:val="21"/>
          <w:szCs w:val="21"/>
        </w:rPr>
        <w:t>借款按公允价值扣除交易成本后的金额进行初始计量，并采用实际利率法按摊余成本进行后续计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量。于资产负债表日起</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个月</w:t>
      </w:r>
      <w:r>
        <w:rPr>
          <w:rFonts w:ascii="Arial" w:hAnsi="Arial" w:cs="Arial" w:eastAsia="Arial"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个月</w:t>
      </w:r>
      <w:r>
        <w:rPr>
          <w:rFonts w:ascii="Arial" w:hAnsi="Arial" w:cs="Arial" w:eastAsia="Arial" w:hint="default"/>
          <w:sz w:val="21"/>
          <w:szCs w:val="21"/>
        </w:rPr>
        <w:t>)</w:t>
      </w:r>
      <w:r>
        <w:rPr>
          <w:rFonts w:ascii="宋体" w:hAnsi="宋体" w:cs="宋体" w:eastAsia="宋体" w:hint="default"/>
          <w:sz w:val="21"/>
          <w:szCs w:val="21"/>
        </w:rPr>
        <w:t>内偿还的借款为短期借款，其余借款为长期借款。</w:t>
      </w:r>
    </w:p>
    <w:p>
      <w:pPr>
        <w:spacing w:line="240" w:lineRule="auto" w:before="0"/>
        <w:rPr>
          <w:rFonts w:ascii="宋体" w:hAnsi="宋体" w:cs="宋体" w:eastAsia="宋体" w:hint="default"/>
          <w:sz w:val="22"/>
          <w:szCs w:val="22"/>
        </w:rPr>
      </w:pPr>
    </w:p>
    <w:p>
      <w:pPr>
        <w:tabs>
          <w:tab w:pos="817" w:val="left" w:leader="none"/>
        </w:tabs>
        <w:spacing w:before="178"/>
        <w:ind w:left="107" w:right="105" w:firstLine="0"/>
        <w:jc w:val="left"/>
        <w:rPr>
          <w:rFonts w:ascii="宋体" w:hAnsi="宋体" w:cs="宋体" w:eastAsia="宋体" w:hint="default"/>
          <w:sz w:val="21"/>
          <w:szCs w:val="21"/>
        </w:rPr>
      </w:pPr>
      <w:r>
        <w:rPr>
          <w:rFonts w:ascii="Arial" w:hAnsi="Arial" w:cs="Arial" w:eastAsia="Arial" w:hint="default"/>
          <w:sz w:val="24"/>
          <w:szCs w:val="24"/>
        </w:rPr>
        <w:t>(16)</w:t>
        <w:tab/>
      </w:r>
      <w:r>
        <w:rPr>
          <w:rFonts w:ascii="宋体" w:hAnsi="宋体" w:cs="宋体" w:eastAsia="宋体" w:hint="default"/>
          <w:position w:val="1"/>
          <w:sz w:val="21"/>
          <w:szCs w:val="21"/>
        </w:rPr>
        <w:t>职工薪酬</w:t>
      </w:r>
      <w:r>
        <w:rPr>
          <w:rFonts w:ascii="宋体" w:hAnsi="宋体" w:cs="宋体" w:eastAsia="宋体" w:hint="default"/>
          <w:sz w:val="21"/>
          <w:szCs w:val="21"/>
        </w:rPr>
      </w:r>
    </w:p>
    <w:p>
      <w:pPr>
        <w:spacing w:line="240" w:lineRule="auto" w:before="2"/>
        <w:rPr>
          <w:rFonts w:ascii="宋体" w:hAnsi="宋体" w:cs="宋体" w:eastAsia="宋体" w:hint="default"/>
          <w:sz w:val="34"/>
          <w:szCs w:val="34"/>
        </w:rPr>
      </w:pPr>
    </w:p>
    <w:p>
      <w:pPr>
        <w:spacing w:before="0"/>
        <w:ind w:left="817" w:right="105" w:firstLine="0"/>
        <w:jc w:val="both"/>
        <w:rPr>
          <w:rFonts w:ascii="宋体" w:hAnsi="宋体" w:cs="宋体" w:eastAsia="宋体" w:hint="default"/>
          <w:sz w:val="21"/>
          <w:szCs w:val="21"/>
        </w:rPr>
      </w:pPr>
      <w:r>
        <w:rPr>
          <w:rFonts w:ascii="宋体" w:hAnsi="宋体" w:cs="宋体" w:eastAsia="宋体" w:hint="default"/>
          <w:spacing w:val="-1"/>
          <w:sz w:val="21"/>
          <w:szCs w:val="21"/>
        </w:rPr>
        <w:t>职工薪酬主要包括工资、奖金、津贴和补贴、职工福利费、社会保险费及住房公积金、工会经费和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职工教育经费等其他与获得职工提供的服务相关的支出。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817" w:right="106" w:firstLine="0"/>
        <w:jc w:val="both"/>
        <w:rPr>
          <w:rFonts w:ascii="宋体" w:hAnsi="宋体" w:cs="宋体" w:eastAsia="宋体" w:hint="default"/>
          <w:sz w:val="21"/>
          <w:szCs w:val="21"/>
        </w:rPr>
      </w:pPr>
      <w:r>
        <w:rPr>
          <w:rFonts w:ascii="宋体" w:hAnsi="宋体" w:cs="宋体" w:eastAsia="宋体" w:hint="default"/>
          <w:spacing w:val="-1"/>
          <w:sz w:val="21"/>
          <w:szCs w:val="21"/>
        </w:rPr>
        <w:t>于职工提供服务的期间确认应付的职工薪酬，并根据职工提供服务的受益对象计入相关资产成本和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费用。</w:t>
      </w:r>
    </w:p>
    <w:p>
      <w:pPr>
        <w:spacing w:after="0"/>
        <w:jc w:val="both"/>
        <w:rPr>
          <w:rFonts w:ascii="宋体" w:hAnsi="宋体" w:cs="宋体" w:eastAsia="宋体" w:hint="default"/>
          <w:sz w:val="21"/>
          <w:szCs w:val="21"/>
        </w:rPr>
        <w:sectPr>
          <w:pgSz w:w="11910" w:h="16840"/>
          <w:pgMar w:header="1458" w:footer="708" w:top="1640" w:bottom="900" w:left="1020" w:right="96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3845"/>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30"/>
          <w:szCs w:val="30"/>
        </w:rPr>
      </w:pPr>
    </w:p>
    <w:p>
      <w:pPr>
        <w:tabs>
          <w:tab w:pos="817" w:val="left" w:leader="none"/>
        </w:tabs>
        <w:spacing w:before="0"/>
        <w:ind w:left="107" w:right="3845" w:firstLine="0"/>
        <w:jc w:val="left"/>
        <w:rPr>
          <w:rFonts w:ascii="宋体" w:hAnsi="宋体" w:cs="宋体" w:eastAsia="宋体" w:hint="default"/>
          <w:sz w:val="21"/>
          <w:szCs w:val="21"/>
        </w:rPr>
      </w:pPr>
      <w:r>
        <w:rPr>
          <w:rFonts w:ascii="Arial" w:hAnsi="Arial" w:cs="Arial" w:eastAsia="Arial" w:hint="default"/>
          <w:sz w:val="24"/>
          <w:szCs w:val="24"/>
        </w:rPr>
        <w:t>(17)</w:t>
        <w:tab/>
      </w:r>
      <w:r>
        <w:rPr>
          <w:rFonts w:ascii="宋体" w:hAnsi="宋体" w:cs="宋体" w:eastAsia="宋体" w:hint="default"/>
          <w:position w:val="1"/>
          <w:sz w:val="21"/>
          <w:szCs w:val="21"/>
        </w:rPr>
        <w:t>递延所得税资产和递延所得税负债</w:t>
      </w:r>
      <w:r>
        <w:rPr>
          <w:rFonts w:ascii="宋体" w:hAnsi="宋体" w:cs="宋体" w:eastAsia="宋体" w:hint="default"/>
          <w:sz w:val="21"/>
          <w:szCs w:val="21"/>
        </w:rPr>
      </w:r>
    </w:p>
    <w:p>
      <w:pPr>
        <w:spacing w:line="240" w:lineRule="auto" w:before="6"/>
        <w:rPr>
          <w:rFonts w:ascii="宋体" w:hAnsi="宋体" w:cs="宋体" w:eastAsia="宋体" w:hint="default"/>
          <w:sz w:val="29"/>
          <w:szCs w:val="29"/>
        </w:rPr>
      </w:pPr>
    </w:p>
    <w:p>
      <w:pPr>
        <w:pStyle w:val="BodyText"/>
        <w:spacing w:line="312" w:lineRule="exact"/>
        <w:ind w:left="817" w:right="122"/>
        <w:jc w:val="both"/>
      </w:pPr>
      <w:r>
        <w:rPr/>
        <w:t>递延所得税资产和递延所得税负债根据资产和负债的计税基础与其账面价值的差额</w:t>
      </w:r>
      <w:r>
        <w:rPr>
          <w:rFonts w:ascii="Arial" w:hAnsi="Arial" w:cs="Arial" w:eastAsia="Arial" w:hint="default"/>
        </w:rPr>
        <w:t>(</w:t>
      </w:r>
      <w:r>
        <w:rPr/>
        <w:t>暂</w:t>
      </w:r>
      <w:r>
        <w:rPr>
          <w:spacing w:val="-99"/>
        </w:rPr>
        <w:t> </w:t>
      </w:r>
      <w:r>
        <w:rPr/>
        <w:t>时性差异</w:t>
      </w:r>
      <w:r>
        <w:rPr>
          <w:rFonts w:ascii="Arial" w:hAnsi="Arial" w:cs="Arial" w:eastAsia="Arial" w:hint="default"/>
        </w:rPr>
        <w:t>)</w:t>
      </w:r>
      <w:r>
        <w:rPr/>
        <w:t>计算确认。对于按照税法规定能够于以后年度抵减应纳税所得额的可抵扣亏</w:t>
      </w:r>
      <w:r>
        <w:rPr>
          <w:spacing w:val="-86"/>
        </w:rPr>
        <w:t> </w:t>
      </w:r>
      <w:r>
        <w:rPr>
          <w:spacing w:val="-86"/>
        </w:rPr>
      </w:r>
      <w:r>
        <w:rPr>
          <w:spacing w:val="2"/>
        </w:rPr>
        <w:t>损，视同暂时性差异确认相应的递延所得税资产。对于商誉的初始确认产生的暂时性</w:t>
      </w:r>
      <w:r>
        <w:rPr>
          <w:spacing w:val="-85"/>
        </w:rPr>
        <w:t> </w:t>
      </w:r>
      <w:r>
        <w:rPr>
          <w:spacing w:val="-85"/>
        </w:rPr>
      </w:r>
      <w:r>
        <w:rPr>
          <w:spacing w:val="-6"/>
        </w:rPr>
        <w:t>差异，不确认相应的递延所得税负债。对于既不影响会计利润也不影响应纳税所得额</w:t>
      </w:r>
      <w:r>
        <w:rPr>
          <w:rFonts w:ascii="Arial" w:hAnsi="Arial" w:cs="Arial" w:eastAsia="Arial" w:hint="default"/>
          <w:spacing w:val="-6"/>
        </w:rPr>
        <w:t>(</w:t>
      </w:r>
      <w:r>
        <w:rPr>
          <w:spacing w:val="-6"/>
        </w:rPr>
        <w:t>或</w:t>
      </w:r>
      <w:r>
        <w:rPr>
          <w:spacing w:val="-88"/>
        </w:rPr>
        <w:t> </w:t>
      </w:r>
      <w:r>
        <w:rPr/>
        <w:t>可抵扣亏损</w:t>
      </w:r>
      <w:r>
        <w:rPr>
          <w:rFonts w:ascii="Arial" w:hAnsi="Arial" w:cs="Arial" w:eastAsia="Arial" w:hint="default"/>
        </w:rPr>
        <w:t>)</w:t>
      </w:r>
      <w:r>
        <w:rPr/>
        <w:t>的非企业合并的交易中产生的资产或负债的初始确认形成的暂时性差异，</w:t>
      </w:r>
      <w:r>
        <w:rPr>
          <w:spacing w:val="-86"/>
        </w:rPr>
        <w:t> </w:t>
      </w:r>
      <w:r>
        <w:rPr>
          <w:spacing w:val="-86"/>
        </w:rPr>
      </w:r>
      <w:r>
        <w:rPr>
          <w:spacing w:val="2"/>
        </w:rPr>
        <w:t>不确认相应的递延所得税资产和递延所得税负债。于资产负债表日，递延所得税资产</w:t>
      </w:r>
      <w:r>
        <w:rPr>
          <w:spacing w:val="-85"/>
        </w:rPr>
        <w:t> </w:t>
      </w:r>
      <w:r>
        <w:rPr>
          <w:spacing w:val="-85"/>
        </w:rPr>
      </w:r>
      <w:r>
        <w:rPr/>
        <w:t>和递延所得税负债，按照预期收回该资产或清偿该负债期间的适用税率计量。</w:t>
      </w:r>
    </w:p>
    <w:p>
      <w:pPr>
        <w:spacing w:line="240" w:lineRule="auto" w:before="1"/>
        <w:rPr>
          <w:rFonts w:ascii="宋体" w:hAnsi="宋体" w:cs="宋体" w:eastAsia="宋体" w:hint="default"/>
          <w:sz w:val="21"/>
          <w:szCs w:val="21"/>
        </w:rPr>
      </w:pPr>
    </w:p>
    <w:p>
      <w:pPr>
        <w:pStyle w:val="BodyText"/>
        <w:spacing w:line="312" w:lineRule="exact"/>
        <w:ind w:left="817" w:right="122"/>
        <w:jc w:val="both"/>
      </w:pPr>
      <w:r>
        <w:rPr>
          <w:spacing w:val="2"/>
        </w:rPr>
        <w:t>递延所得税资产的确认以本集团很可能取得用来抵扣可抵扣暂时性差异、可抵扣亏损</w:t>
      </w:r>
      <w:r>
        <w:rPr>
          <w:spacing w:val="-85"/>
        </w:rPr>
        <w:t> </w:t>
      </w:r>
      <w:r>
        <w:rPr>
          <w:spacing w:val="-85"/>
        </w:rPr>
      </w:r>
      <w:r>
        <w:rPr/>
        <w:t>和税款抵减的应纳税所得额为限。</w:t>
      </w:r>
    </w:p>
    <w:p>
      <w:pPr>
        <w:spacing w:line="240" w:lineRule="auto" w:before="1"/>
        <w:rPr>
          <w:rFonts w:ascii="宋体" w:hAnsi="宋体" w:cs="宋体" w:eastAsia="宋体" w:hint="default"/>
          <w:sz w:val="21"/>
          <w:szCs w:val="21"/>
        </w:rPr>
      </w:pPr>
    </w:p>
    <w:p>
      <w:pPr>
        <w:pStyle w:val="BodyText"/>
        <w:spacing w:line="312" w:lineRule="exact"/>
        <w:ind w:left="817" w:right="115"/>
        <w:jc w:val="both"/>
      </w:pPr>
      <w:r>
        <w:rPr>
          <w:spacing w:val="10"/>
        </w:rPr>
        <w:t>对子公司及合营企业投资相关的暂时性差异产生的递延所得税资产和递延所得税负 </w:t>
      </w:r>
      <w:r>
        <w:rPr>
          <w:spacing w:val="2"/>
        </w:rPr>
        <w:t>债，予以确认。但本集团能够控制暂时性差异转回的时间且该暂时性差异在可预见的</w:t>
      </w:r>
      <w:r>
        <w:rPr>
          <w:spacing w:val="-85"/>
        </w:rPr>
        <w:t> </w:t>
      </w:r>
      <w:r>
        <w:rPr>
          <w:spacing w:val="-85"/>
        </w:rPr>
      </w:r>
      <w:r>
        <w:rPr/>
        <w:t>未来很可能不会转回的，不予确认。</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3845"/>
        <w:jc w:val="left"/>
      </w:pPr>
      <w:r>
        <w:rPr>
          <w:rFonts w:ascii="Arial" w:hAnsi="Arial" w:cs="Arial" w:eastAsia="Arial" w:hint="default"/>
          <w:position w:val="2"/>
        </w:rPr>
        <w:t>(18)</w:t>
        <w:tab/>
      </w:r>
      <w:r>
        <w:rPr/>
        <w:t>收入确认</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3845"/>
        <w:jc w:val="left"/>
      </w:pPr>
      <w:r>
        <w:rPr>
          <w:rFonts w:ascii="Arial" w:hAnsi="Arial" w:cs="Arial" w:eastAsia="Arial" w:hint="default"/>
          <w:position w:val="2"/>
        </w:rPr>
        <w:t>(a)</w:t>
        <w:tab/>
      </w:r>
      <w:r>
        <w:rPr/>
        <w:t>销售商品</w:t>
      </w:r>
    </w:p>
    <w:p>
      <w:pPr>
        <w:spacing w:line="240" w:lineRule="auto" w:before="4"/>
        <w:rPr>
          <w:rFonts w:ascii="宋体" w:hAnsi="宋体" w:cs="宋体" w:eastAsia="宋体" w:hint="default"/>
          <w:sz w:val="23"/>
          <w:szCs w:val="23"/>
        </w:rPr>
      </w:pPr>
    </w:p>
    <w:p>
      <w:pPr>
        <w:pStyle w:val="BodyText"/>
        <w:spacing w:line="312" w:lineRule="exact"/>
        <w:ind w:left="817" w:right="122"/>
        <w:jc w:val="both"/>
      </w:pPr>
      <w:r>
        <w:rPr>
          <w:spacing w:val="2"/>
        </w:rPr>
        <w:t>本集团从事商品零售业务，当本集团向消费者转移商品所有权凭证后，商品所有权上</w:t>
      </w:r>
      <w:r>
        <w:rPr>
          <w:spacing w:val="-85"/>
        </w:rPr>
        <w:t> </w:t>
      </w:r>
      <w:r>
        <w:rPr>
          <w:spacing w:val="-85"/>
        </w:rPr>
      </w:r>
      <w:r>
        <w:rPr>
          <w:spacing w:val="2"/>
        </w:rPr>
        <w:t>的主要风险和报酬随之转移，相关的收入已经收到，并且与销售该商品有关的成本能</w:t>
      </w:r>
      <w:r>
        <w:rPr>
          <w:spacing w:val="-85"/>
        </w:rPr>
        <w:t> </w:t>
      </w:r>
      <w:r>
        <w:rPr>
          <w:spacing w:val="-85"/>
        </w:rPr>
      </w:r>
      <w:r>
        <w:rPr/>
        <w:t>够可靠地计量，本集团在此时确认商品的销售收入。</w:t>
      </w:r>
    </w:p>
    <w:p>
      <w:pPr>
        <w:spacing w:line="240" w:lineRule="auto" w:before="1"/>
        <w:rPr>
          <w:rFonts w:ascii="宋体" w:hAnsi="宋体" w:cs="宋体" w:eastAsia="宋体" w:hint="default"/>
          <w:sz w:val="21"/>
          <w:szCs w:val="21"/>
        </w:rPr>
      </w:pPr>
    </w:p>
    <w:p>
      <w:pPr>
        <w:pStyle w:val="BodyText"/>
        <w:spacing w:line="312" w:lineRule="exact"/>
        <w:ind w:left="817" w:right="122"/>
        <w:jc w:val="both"/>
      </w:pPr>
      <w:r>
        <w:rPr>
          <w:spacing w:val="2"/>
        </w:rPr>
        <w:t>商品销售收入的金额按照本集团销售商品时，已收或应收价款的公允价值确定。收入</w:t>
      </w:r>
      <w:r>
        <w:rPr>
          <w:spacing w:val="-85"/>
        </w:rPr>
        <w:t> </w:t>
      </w:r>
      <w:r>
        <w:rPr>
          <w:spacing w:val="-85"/>
        </w:rPr>
      </w:r>
      <w:r>
        <w:rPr/>
        <w:t>按扣除增值税、商业折扣、销售折扣及销售退回的净额列示。</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3845"/>
        <w:jc w:val="left"/>
      </w:pPr>
      <w:r>
        <w:rPr>
          <w:rFonts w:ascii="Arial" w:hAnsi="Arial" w:cs="Arial" w:eastAsia="Arial" w:hint="default"/>
          <w:position w:val="2"/>
        </w:rPr>
        <w:t>(b)</w:t>
        <w:tab/>
      </w:r>
      <w:r>
        <w:rPr/>
        <w:t>提供劳务</w:t>
      </w:r>
    </w:p>
    <w:p>
      <w:pPr>
        <w:spacing w:line="240" w:lineRule="auto" w:before="4"/>
        <w:rPr>
          <w:rFonts w:ascii="宋体" w:hAnsi="宋体" w:cs="宋体" w:eastAsia="宋体" w:hint="default"/>
          <w:sz w:val="23"/>
          <w:szCs w:val="23"/>
        </w:rPr>
      </w:pPr>
    </w:p>
    <w:p>
      <w:pPr>
        <w:pStyle w:val="BodyText"/>
        <w:spacing w:line="312" w:lineRule="exact"/>
        <w:ind w:left="817" w:right="122"/>
        <w:jc w:val="both"/>
      </w:pPr>
      <w:r>
        <w:rPr>
          <w:spacing w:val="2"/>
        </w:rPr>
        <w:t>本集团对外提供业务培训劳务、安装维修劳务、代理劳务、连锁店服务劳务等，在劳</w:t>
      </w:r>
      <w:r>
        <w:rPr>
          <w:spacing w:val="-85"/>
        </w:rPr>
        <w:t> </w:t>
      </w:r>
      <w:r>
        <w:rPr>
          <w:spacing w:val="-85"/>
        </w:rPr>
      </w:r>
      <w:r>
        <w:rPr>
          <w:spacing w:val="2"/>
        </w:rPr>
        <w:t>务总收入和总成本能够可靠地计量，与交易相关的经济利益能够流入企业，劳务的完</w:t>
      </w:r>
      <w:r>
        <w:rPr>
          <w:spacing w:val="-85"/>
        </w:rPr>
        <w:t> </w:t>
      </w:r>
      <w:r>
        <w:rPr>
          <w:spacing w:val="-85"/>
        </w:rPr>
      </w:r>
      <w:r>
        <w:rPr/>
        <w:t>成程度能够可靠地确定时，确认劳务收入的实现。</w:t>
      </w:r>
    </w:p>
    <w:p>
      <w:pPr>
        <w:spacing w:after="0" w:line="312" w:lineRule="exact"/>
        <w:jc w:val="both"/>
        <w:sectPr>
          <w:pgSz w:w="11910" w:h="16840"/>
          <w:pgMar w:header="1458" w:footer="708" w:top="1640" w:bottom="900" w:left="1020" w:right="94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105"/>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427" w:lineRule="auto"/>
        <w:ind w:left="108" w:right="7425"/>
        <w:jc w:val="left"/>
      </w:pPr>
      <w:r>
        <w:rPr>
          <w:rFonts w:ascii="Arial" w:hAnsi="Arial" w:cs="Arial" w:eastAsia="Arial" w:hint="default"/>
          <w:position w:val="2"/>
        </w:rPr>
        <w:t>(18)</w:t>
        <w:tab/>
      </w:r>
      <w:r>
        <w:rPr/>
        <w:t>收入确认</w:t>
      </w:r>
      <w:r>
        <w:rPr>
          <w:rFonts w:ascii="Arial" w:hAnsi="Arial" w:cs="Arial" w:eastAsia="Arial" w:hint="default"/>
        </w:rPr>
        <w:t>(</w:t>
      </w:r>
      <w:r>
        <w:rPr/>
        <w:t>续</w:t>
      </w:r>
      <w:r>
        <w:rPr>
          <w:rFonts w:ascii="Arial" w:hAnsi="Arial" w:cs="Arial" w:eastAsia="Arial" w:hint="default"/>
        </w:rPr>
        <w:t>) </w:t>
      </w:r>
      <w:r>
        <w:rPr>
          <w:rFonts w:ascii="Arial" w:hAnsi="Arial" w:cs="Arial" w:eastAsia="Arial" w:hint="default"/>
          <w:position w:val="2"/>
        </w:rPr>
        <w:t>(c)</w:t>
        <w:tab/>
      </w:r>
      <w:r>
        <w:rPr/>
        <w:t>让渡资产使用权</w:t>
      </w:r>
    </w:p>
    <w:p>
      <w:pPr>
        <w:pStyle w:val="BodyText"/>
        <w:spacing w:line="448" w:lineRule="auto" w:before="62"/>
        <w:ind w:left="817" w:right="3327"/>
        <w:jc w:val="left"/>
      </w:pPr>
      <w:r>
        <w:rPr/>
        <w:t>利息收入按照时间比例为基础采用实际利率计算确定。 经营租赁收入按照直线法在租赁期内确认。 广告位使用费收入按照直线法在使用期间确认。</w:t>
      </w:r>
    </w:p>
    <w:p>
      <w:pPr>
        <w:pStyle w:val="BodyText"/>
        <w:tabs>
          <w:tab w:pos="817" w:val="left" w:leader="none"/>
        </w:tabs>
        <w:spacing w:line="240" w:lineRule="auto" w:before="65"/>
        <w:ind w:left="108" w:right="105"/>
        <w:jc w:val="left"/>
      </w:pPr>
      <w:r>
        <w:rPr>
          <w:rFonts w:ascii="Arial" w:hAnsi="Arial" w:cs="Arial" w:eastAsia="Arial" w:hint="default"/>
          <w:position w:val="2"/>
        </w:rPr>
        <w:t>(19)</w:t>
        <w:tab/>
      </w:r>
      <w:r>
        <w:rPr/>
        <w:t>政府补贴</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倘可合理地保证，本集团将会收到补贴及本集团将符合所有附带条件，则政府补贴按</w:t>
      </w:r>
      <w:r>
        <w:rPr>
          <w:spacing w:val="-85"/>
        </w:rPr>
        <w:t> </w:t>
      </w:r>
      <w:r>
        <w:rPr>
          <w:spacing w:val="-85"/>
        </w:rPr>
      </w:r>
      <w:r>
        <w:rPr>
          <w:spacing w:val="2"/>
        </w:rPr>
        <w:t>公平值确认。与资产有关之政府补贴作为递延政府补贴包括于非流动负债及于有关资</w:t>
      </w:r>
      <w:r>
        <w:rPr>
          <w:spacing w:val="-85"/>
        </w:rPr>
        <w:t> </w:t>
      </w:r>
      <w:r>
        <w:rPr>
          <w:spacing w:val="-85"/>
        </w:rPr>
      </w:r>
      <w:r>
        <w:rPr>
          <w:spacing w:val="2"/>
        </w:rPr>
        <w:t>产之预计年期内以直线法摊销计入损益表。与收益有关之政府补贴在补贴拟补偿之成</w:t>
      </w:r>
      <w:r>
        <w:rPr>
          <w:spacing w:val="-85"/>
        </w:rPr>
        <w:t> </w:t>
      </w:r>
      <w:r>
        <w:rPr>
          <w:spacing w:val="-85"/>
        </w:rPr>
      </w:r>
      <w:r>
        <w:rPr/>
        <w:t>本所发生之期间内于损益表内确认。</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05"/>
        <w:jc w:val="left"/>
      </w:pPr>
      <w:r>
        <w:rPr>
          <w:rFonts w:ascii="Arial" w:hAnsi="Arial" w:cs="Arial" w:eastAsia="Arial" w:hint="default"/>
          <w:position w:val="2"/>
        </w:rPr>
        <w:t>(20)</w:t>
        <w:tab/>
      </w:r>
      <w:r>
        <w:rPr/>
        <w:t>租赁</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实质上转移了与资产所有权有关的全部风险和报酬的租赁为融资租赁。其他的租赁为</w:t>
      </w:r>
      <w:r>
        <w:rPr>
          <w:spacing w:val="-85"/>
        </w:rPr>
        <w:t> </w:t>
      </w:r>
      <w:r>
        <w:rPr>
          <w:spacing w:val="-85"/>
        </w:rPr>
      </w:r>
      <w:r>
        <w:rPr/>
        <w:t>经营租赁。</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经营租赁的租金支出在租赁期内按照直线法计入相关资产成本或当期损益。</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105"/>
        <w:jc w:val="left"/>
      </w:pPr>
      <w:r>
        <w:rPr>
          <w:rFonts w:ascii="Arial" w:hAnsi="Arial" w:cs="Arial" w:eastAsia="Arial" w:hint="default"/>
          <w:position w:val="2"/>
        </w:rPr>
        <w:t>(21)</w:t>
        <w:tab/>
      </w:r>
      <w:r>
        <w:rPr/>
        <w:t>股利分配</w:t>
      </w:r>
    </w:p>
    <w:p>
      <w:pPr>
        <w:spacing w:line="240" w:lineRule="auto" w:before="12"/>
        <w:rPr>
          <w:rFonts w:ascii="宋体" w:hAnsi="宋体" w:cs="宋体" w:eastAsia="宋体" w:hint="default"/>
          <w:sz w:val="20"/>
          <w:szCs w:val="20"/>
        </w:rPr>
      </w:pPr>
    </w:p>
    <w:p>
      <w:pPr>
        <w:pStyle w:val="BodyText"/>
        <w:spacing w:line="240" w:lineRule="auto"/>
        <w:ind w:left="817" w:right="0"/>
        <w:jc w:val="both"/>
      </w:pPr>
      <w:r>
        <w:rPr/>
        <w:t>现金股利和股票股利于股东大会批准的当期，确认为负债或转为股本。</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105"/>
        <w:jc w:val="left"/>
      </w:pPr>
      <w:r>
        <w:rPr>
          <w:rFonts w:ascii="Arial" w:hAnsi="Arial" w:cs="Arial" w:eastAsia="Arial" w:hint="default"/>
          <w:position w:val="2"/>
        </w:rPr>
        <w:t>(22)</w:t>
        <w:tab/>
      </w:r>
      <w:r>
        <w:rPr/>
        <w:t>企业合并</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105"/>
        <w:jc w:val="left"/>
      </w:pPr>
      <w:r>
        <w:rPr>
          <w:rFonts w:ascii="Arial" w:hAnsi="Arial" w:cs="Arial" w:eastAsia="Arial" w:hint="default"/>
          <w:position w:val="2"/>
        </w:rPr>
        <w:t>(a)</w:t>
        <w:tab/>
      </w:r>
      <w:r>
        <w:rPr/>
        <w:t>同一控制下的企业合并</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合并方支付的合并对价和合并方取得的净资产均按账面价值计量。合并方取得的净资</w:t>
      </w:r>
      <w:r>
        <w:rPr>
          <w:spacing w:val="-85"/>
        </w:rPr>
        <w:t> </w:t>
      </w:r>
      <w:r>
        <w:rPr>
          <w:spacing w:val="-85"/>
        </w:rPr>
      </w:r>
      <w:r>
        <w:rPr>
          <w:spacing w:val="2"/>
        </w:rPr>
        <w:t>产账面价值与支付的合并对价账面价值的差额，调整资本公积。资本公积不足以冲减</w:t>
      </w:r>
      <w:r>
        <w:rPr>
          <w:spacing w:val="-85"/>
        </w:rPr>
        <w:t> </w:t>
      </w:r>
      <w:r>
        <w:rPr>
          <w:spacing w:val="-85"/>
        </w:rPr>
      </w:r>
      <w:r>
        <w:rPr/>
        <w:t>的，调整留存收益。</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为进行企业合并发生的直接相关费用于发生时计入当期损益。</w:t>
      </w:r>
    </w:p>
    <w:p>
      <w:pPr>
        <w:spacing w:after="0" w:line="240" w:lineRule="auto"/>
        <w:jc w:val="both"/>
        <w:sectPr>
          <w:pgSz w:w="11910" w:h="16840"/>
          <w:pgMar w:header="1458" w:footer="708" w:top="1640" w:bottom="900" w:left="1020" w:right="96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105"/>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105"/>
        <w:jc w:val="left"/>
        <w:rPr>
          <w:rFonts w:ascii="Arial" w:hAnsi="Arial" w:cs="Arial" w:eastAsia="Arial" w:hint="default"/>
        </w:rPr>
      </w:pPr>
      <w:r>
        <w:rPr>
          <w:rFonts w:ascii="Arial" w:hAnsi="Arial" w:cs="Arial" w:eastAsia="Arial" w:hint="default"/>
          <w:position w:val="2"/>
        </w:rPr>
        <w:t>(22)</w:t>
        <w:tab/>
      </w:r>
      <w:r>
        <w:rPr/>
        <w:t>企业合并</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817" w:val="left" w:leader="none"/>
        </w:tabs>
        <w:spacing w:line="240" w:lineRule="auto"/>
        <w:ind w:left="108" w:right="105"/>
        <w:jc w:val="left"/>
      </w:pPr>
      <w:r>
        <w:rPr>
          <w:rFonts w:ascii="Arial" w:hAnsi="Arial" w:cs="Arial" w:eastAsia="Arial" w:hint="default"/>
          <w:position w:val="2"/>
        </w:rPr>
        <w:t>(b)</w:t>
        <w:tab/>
      </w:r>
      <w:r>
        <w:rPr/>
        <w:t>非同一控制下的企业合并</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购买方的合并成本和购买方在合并中取得的可辨认净资产按购买日的公允价值计量。</w:t>
      </w:r>
      <w:r>
        <w:rPr>
          <w:spacing w:val="-85"/>
        </w:rPr>
        <w:t> </w:t>
      </w:r>
      <w:r>
        <w:rPr>
          <w:spacing w:val="-85"/>
        </w:rPr>
      </w:r>
      <w:r>
        <w:rPr>
          <w:spacing w:val="2"/>
        </w:rPr>
        <w:t>合并成本大于合并中取得的被购买方于购买日可辨认净资产公允价值份额的差额，确</w:t>
      </w:r>
      <w:r>
        <w:rPr>
          <w:spacing w:val="-85"/>
        </w:rPr>
        <w:t> </w:t>
      </w:r>
      <w:r>
        <w:rPr>
          <w:spacing w:val="-85"/>
        </w:rPr>
      </w:r>
      <w:r>
        <w:rPr>
          <w:spacing w:val="2"/>
        </w:rPr>
        <w:t>认为商誉；合并成本小于合并中取得的被购买方可辨认净资产公允价值份额的差额，</w:t>
      </w:r>
      <w:r>
        <w:rPr>
          <w:spacing w:val="-85"/>
        </w:rPr>
        <w:t> </w:t>
      </w:r>
      <w:r>
        <w:rPr>
          <w:spacing w:val="-85"/>
        </w:rPr>
      </w:r>
      <w:r>
        <w:rPr/>
        <w:t>计入当期损益。</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为进行企业合并发生的直接相关费用计入企业合并成本。</w:t>
      </w:r>
    </w:p>
    <w:p>
      <w:pPr>
        <w:spacing w:line="240" w:lineRule="auto" w:before="12"/>
        <w:rPr>
          <w:rFonts w:ascii="宋体" w:hAnsi="宋体" w:cs="宋体" w:eastAsia="宋体" w:hint="default"/>
          <w:sz w:val="20"/>
          <w:szCs w:val="20"/>
        </w:rPr>
      </w:pPr>
    </w:p>
    <w:p>
      <w:pPr>
        <w:pStyle w:val="BodyText"/>
        <w:tabs>
          <w:tab w:pos="817" w:val="left" w:leader="none"/>
        </w:tabs>
        <w:spacing w:line="448" w:lineRule="auto"/>
        <w:ind w:left="817" w:right="4065" w:hanging="710"/>
        <w:jc w:val="left"/>
      </w:pPr>
      <w:r>
        <w:rPr>
          <w:rFonts w:ascii="Arial" w:hAnsi="Arial" w:cs="Arial" w:eastAsia="Arial" w:hint="default"/>
          <w:position w:val="2"/>
        </w:rPr>
        <w:t>(23)</w:t>
        <w:tab/>
      </w:r>
      <w:r>
        <w:rPr/>
        <w:t>合并财务报表的编制方法 合并财务报表的合并范围包括本公司及子公司。</w:t>
      </w:r>
    </w:p>
    <w:p>
      <w:pPr>
        <w:pStyle w:val="BodyText"/>
        <w:spacing w:line="312" w:lineRule="exact" w:before="96"/>
        <w:ind w:left="817" w:right="102"/>
        <w:jc w:val="both"/>
      </w:pPr>
      <w:r>
        <w:rPr>
          <w:spacing w:val="2"/>
        </w:rPr>
        <w:t>从取得子公司的实际控制权之日起，本集团开始将其予以合并；从丧失实际控制权之</w:t>
      </w:r>
      <w:r>
        <w:rPr>
          <w:spacing w:val="-85"/>
        </w:rPr>
        <w:t> </w:t>
      </w:r>
      <w:r>
        <w:rPr>
          <w:spacing w:val="-85"/>
        </w:rPr>
      </w:r>
      <w:r>
        <w:rPr>
          <w:spacing w:val="2"/>
        </w:rPr>
        <w:t>日起停止合并。集团内所有重大往来余额、交易及未实现利润在合并财务报表编制时</w:t>
      </w:r>
      <w:r>
        <w:rPr>
          <w:spacing w:val="-85"/>
        </w:rPr>
        <w:t> </w:t>
      </w:r>
      <w:r>
        <w:rPr>
          <w:spacing w:val="-85"/>
        </w:rPr>
      </w:r>
      <w:r>
        <w:rPr>
          <w:spacing w:val="2"/>
        </w:rPr>
        <w:t>予以抵销。子公司的股东权益中不属于母公司所拥有的部分作为少数股东权益在合并</w:t>
      </w:r>
      <w:r>
        <w:rPr>
          <w:spacing w:val="-85"/>
        </w:rPr>
        <w:t> </w:t>
      </w:r>
      <w:r>
        <w:rPr>
          <w:spacing w:val="-85"/>
        </w:rPr>
      </w:r>
      <w:r>
        <w:rPr/>
        <w:t>财务报表中股东权益项下单独列示。</w:t>
      </w:r>
    </w:p>
    <w:p>
      <w:pPr>
        <w:spacing w:line="240" w:lineRule="auto" w:before="1"/>
        <w:rPr>
          <w:rFonts w:ascii="宋体" w:hAnsi="宋体" w:cs="宋体" w:eastAsia="宋体" w:hint="default"/>
          <w:sz w:val="21"/>
          <w:szCs w:val="21"/>
        </w:rPr>
      </w:pPr>
    </w:p>
    <w:p>
      <w:pPr>
        <w:pStyle w:val="BodyText"/>
        <w:spacing w:line="312" w:lineRule="exact"/>
        <w:ind w:left="817" w:right="102"/>
        <w:jc w:val="both"/>
      </w:pPr>
      <w:r>
        <w:rPr>
          <w:spacing w:val="2"/>
        </w:rPr>
        <w:t>子公司与本公司采用的会计政策或会计期间不一致的，在编制合并财务报表时，按照</w:t>
      </w:r>
      <w:r>
        <w:rPr>
          <w:spacing w:val="-85"/>
        </w:rPr>
        <w:t> </w:t>
      </w:r>
      <w:r>
        <w:rPr>
          <w:spacing w:val="-85"/>
        </w:rPr>
      </w:r>
      <w:r>
        <w:rPr/>
        <w:t>本公司的会计政策或会计期间对子公司财务报表进行必要的调整。</w:t>
      </w:r>
    </w:p>
    <w:p>
      <w:pPr>
        <w:spacing w:line="240" w:lineRule="auto" w:before="1"/>
        <w:rPr>
          <w:rFonts w:ascii="宋体" w:hAnsi="宋体" w:cs="宋体" w:eastAsia="宋体" w:hint="default"/>
          <w:sz w:val="21"/>
          <w:szCs w:val="21"/>
        </w:rPr>
      </w:pPr>
    </w:p>
    <w:p>
      <w:pPr>
        <w:pStyle w:val="BodyText"/>
        <w:spacing w:line="312" w:lineRule="exact"/>
        <w:ind w:left="817" w:right="102"/>
        <w:jc w:val="both"/>
      </w:pPr>
      <w:r>
        <w:rPr>
          <w:spacing w:val="2"/>
        </w:rPr>
        <w:t>对于因非同一控制下企业合并取得的子公司，在编制合并财务报表时，以购买日可辨</w:t>
      </w:r>
      <w:r>
        <w:rPr>
          <w:spacing w:val="-85"/>
        </w:rPr>
        <w:t> </w:t>
      </w:r>
      <w:r>
        <w:rPr>
          <w:spacing w:val="-85"/>
        </w:rPr>
      </w:r>
      <w:r>
        <w:rPr>
          <w:spacing w:val="2"/>
        </w:rPr>
        <w:t>认净资产公允价值为基础对其个别财务报表进行调整；对于因同一控制下企业合并取</w:t>
      </w:r>
      <w:r>
        <w:rPr>
          <w:spacing w:val="-85"/>
        </w:rPr>
        <w:t> </w:t>
      </w:r>
      <w:r>
        <w:rPr>
          <w:spacing w:val="-85"/>
        </w:rPr>
      </w:r>
      <w:r>
        <w:rPr>
          <w:spacing w:val="2"/>
        </w:rPr>
        <w:t>得的子公司，在编制合并财务报表时，视同该企业合并于报告期最早期间的期初已经</w:t>
      </w:r>
      <w:r>
        <w:rPr>
          <w:spacing w:val="-85"/>
        </w:rPr>
        <w:t> </w:t>
      </w:r>
      <w:r>
        <w:rPr>
          <w:spacing w:val="-85"/>
        </w:rPr>
      </w:r>
      <w:r>
        <w:rPr>
          <w:spacing w:val="2"/>
        </w:rPr>
        <w:t>发生，从报告期最早期间的期初起将其资产、负债、经营成果和现金流量纳入合并财</w:t>
      </w:r>
      <w:r>
        <w:rPr>
          <w:spacing w:val="-85"/>
        </w:rPr>
        <w:t> </w:t>
      </w:r>
      <w:r>
        <w:rPr>
          <w:spacing w:val="-85"/>
        </w:rPr>
      </w:r>
      <w:r>
        <w:rPr/>
        <w:t>务报表，且其合并日前实现的净利润在合并利润表中单列项目反映。</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05"/>
        <w:jc w:val="left"/>
      </w:pPr>
      <w:r>
        <w:rPr>
          <w:rFonts w:ascii="Arial" w:hAnsi="Arial" w:cs="Arial" w:eastAsia="Arial" w:hint="default"/>
          <w:position w:val="2"/>
        </w:rPr>
        <w:t>(24)</w:t>
        <w:tab/>
      </w:r>
      <w:r>
        <w:rPr/>
        <w:t>分部报告</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业务分部是指本集团内可区分的、能够提供单项或一组相关产品或劳务的组成部分，</w:t>
      </w:r>
      <w:r>
        <w:rPr>
          <w:spacing w:val="-85"/>
        </w:rPr>
        <w:t> </w:t>
      </w:r>
      <w:r>
        <w:rPr>
          <w:spacing w:val="-85"/>
        </w:rPr>
      </w:r>
      <w:r>
        <w:rPr>
          <w:spacing w:val="2"/>
        </w:rPr>
        <w:t>该组成部分承担了不同于其他组成部分的风险和报酬。地区分部是指本集团内可区分</w:t>
      </w:r>
      <w:r>
        <w:rPr>
          <w:spacing w:val="-85"/>
        </w:rPr>
        <w:t> </w:t>
      </w:r>
      <w:r>
        <w:rPr>
          <w:spacing w:val="-85"/>
        </w:rPr>
      </w:r>
      <w:r>
        <w:rPr>
          <w:spacing w:val="2"/>
        </w:rPr>
        <w:t>的、能够在一个特定的经济环境内提供产品或劳务的组成部分。该组成部分承担了不</w:t>
      </w:r>
      <w:r>
        <w:rPr>
          <w:spacing w:val="-85"/>
        </w:rPr>
        <w:t> </w:t>
      </w:r>
      <w:r>
        <w:rPr>
          <w:spacing w:val="-85"/>
        </w:rPr>
      </w:r>
      <w:r>
        <w:rPr/>
        <w:t>同于在其他经济环境内提供产品或劳务的组成部分的风险和报酬。</w:t>
      </w:r>
    </w:p>
    <w:p>
      <w:pPr>
        <w:spacing w:line="240" w:lineRule="auto" w:before="1"/>
        <w:rPr>
          <w:rFonts w:ascii="宋体" w:hAnsi="宋体" w:cs="宋体" w:eastAsia="宋体" w:hint="default"/>
          <w:sz w:val="21"/>
          <w:szCs w:val="21"/>
        </w:rPr>
      </w:pPr>
    </w:p>
    <w:p>
      <w:pPr>
        <w:pStyle w:val="BodyText"/>
        <w:spacing w:line="312" w:lineRule="exact"/>
        <w:ind w:left="817" w:right="102"/>
        <w:jc w:val="both"/>
      </w:pPr>
      <w:r>
        <w:rPr/>
        <w:t>由于本集团收入及业绩超过</w:t>
      </w:r>
      <w:r>
        <w:rPr>
          <w:spacing w:val="-4"/>
        </w:rPr>
        <w:t> </w:t>
      </w:r>
      <w:r>
        <w:rPr>
          <w:rFonts w:ascii="Arial" w:hAnsi="Arial" w:cs="Arial" w:eastAsia="Arial" w:hint="default"/>
        </w:rPr>
        <w:t>90%</w:t>
      </w:r>
      <w:r>
        <w:rPr/>
        <w:t>源自电器及消费电子产品的零售业务，因此并无呈列 </w:t>
      </w:r>
      <w:r>
        <w:rPr>
          <w:spacing w:val="2"/>
        </w:rPr>
        <w:t>业务分部分析。由于本集团的收入全部源自中国的客户且本集团资产全部位于中国，</w:t>
      </w:r>
      <w:r>
        <w:rPr>
          <w:spacing w:val="-85"/>
        </w:rPr>
        <w:t> </w:t>
      </w:r>
      <w:r>
        <w:rPr>
          <w:spacing w:val="-85"/>
        </w:rPr>
      </w:r>
      <w:r>
        <w:rPr/>
        <w:t>故未呈列地区分部分析。</w:t>
      </w:r>
    </w:p>
    <w:p>
      <w:pPr>
        <w:spacing w:after="0" w:line="312" w:lineRule="exact"/>
        <w:jc w:val="both"/>
        <w:sectPr>
          <w:pgSz w:w="11910" w:h="16840"/>
          <w:pgMar w:header="1458" w:footer="708" w:top="1640" w:bottom="900" w:left="1020" w:right="960"/>
        </w:sectPr>
      </w:pPr>
    </w:p>
    <w:p>
      <w:pPr>
        <w:spacing w:line="240" w:lineRule="auto" w:before="0"/>
        <w:rPr>
          <w:rFonts w:ascii="宋体" w:hAnsi="宋体" w:cs="宋体" w:eastAsia="宋体" w:hint="default"/>
          <w:sz w:val="20"/>
          <w:szCs w:val="20"/>
        </w:rPr>
      </w:pPr>
    </w:p>
    <w:p>
      <w:pPr>
        <w:pStyle w:val="Heading2"/>
        <w:tabs>
          <w:tab w:pos="817" w:val="left" w:leader="none"/>
        </w:tabs>
        <w:spacing w:line="240" w:lineRule="auto"/>
        <w:ind w:right="105"/>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105"/>
        <w:jc w:val="left"/>
      </w:pPr>
      <w:r>
        <w:rPr>
          <w:rFonts w:ascii="Arial" w:hAnsi="Arial" w:cs="Arial" w:eastAsia="Arial" w:hint="default"/>
          <w:position w:val="2"/>
        </w:rPr>
        <w:t>(25)</w:t>
        <w:tab/>
      </w:r>
      <w:r>
        <w:rPr/>
        <w:t>重要会计估计和判断</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本集团根据历史经验和其它因素，包括对未来事项的合理预期，对所采用的重要会计</w:t>
      </w:r>
      <w:r>
        <w:rPr>
          <w:spacing w:val="-85"/>
        </w:rPr>
        <w:t> </w:t>
      </w:r>
      <w:r>
        <w:rPr>
          <w:spacing w:val="-85"/>
        </w:rPr>
      </w:r>
      <w:r>
        <w:rPr/>
        <w:t>估计和关键假设进行持续的评价。</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05"/>
        <w:jc w:val="left"/>
      </w:pPr>
      <w:r>
        <w:rPr>
          <w:rFonts w:ascii="Arial" w:hAnsi="Arial" w:cs="Arial" w:eastAsia="Arial" w:hint="default"/>
          <w:position w:val="2"/>
        </w:rPr>
        <w:t>(a)</w:t>
        <w:tab/>
      </w:r>
      <w:r>
        <w:rPr/>
        <w:t>存货跌价准备</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本集团将大量的流动资金投入存货，对于存货跌价准备的风险，本集团已经执行了严</w:t>
      </w:r>
      <w:r>
        <w:rPr>
          <w:spacing w:val="-85"/>
        </w:rPr>
        <w:t> </w:t>
      </w:r>
      <w:r>
        <w:rPr>
          <w:spacing w:val="-85"/>
        </w:rPr>
      </w:r>
      <w:r>
        <w:rPr>
          <w:spacing w:val="2"/>
        </w:rPr>
        <w:t>格的措施加以监控。对于低于采购价的商品销售，除非有供应商的商业折扣确认函，</w:t>
      </w:r>
      <w:r>
        <w:rPr>
          <w:spacing w:val="-85"/>
        </w:rPr>
        <w:t> </w:t>
      </w:r>
      <w:r>
        <w:rPr>
          <w:spacing w:val="-85"/>
        </w:rPr>
      </w:r>
      <w:r>
        <w:rPr/>
        <w:t>否则</w:t>
      </w:r>
      <w:r>
        <w:rPr>
          <w:spacing w:val="-57"/>
        </w:rPr>
        <w:t> </w:t>
      </w:r>
      <w:r>
        <w:rPr>
          <w:rFonts w:ascii="Arial" w:hAnsi="Arial" w:cs="Arial" w:eastAsia="Arial" w:hint="default"/>
        </w:rPr>
        <w:t>SAP/ERP</w:t>
      </w:r>
      <w:r>
        <w:rPr>
          <w:rFonts w:ascii="Arial" w:hAnsi="Arial" w:cs="Arial" w:eastAsia="Arial" w:hint="default"/>
          <w:spacing w:val="-5"/>
        </w:rPr>
        <w:t> </w:t>
      </w:r>
      <w:r>
        <w:rPr>
          <w:spacing w:val="-3"/>
        </w:rPr>
        <w:t>系统不能产生提货单实现销售。对于存货账龄清单上滞销的存货，大部</w:t>
      </w:r>
      <w:r>
        <w:rPr/>
        <w:t> </w:t>
      </w:r>
      <w:r>
        <w:rPr>
          <w:spacing w:val="2"/>
        </w:rPr>
        <w:t>分可以根据供应商的退货保证退回供应商；对于供应商没有退货保证的，或者已经不</w:t>
      </w:r>
      <w:r>
        <w:rPr>
          <w:spacing w:val="-85"/>
        </w:rPr>
        <w:t> </w:t>
      </w:r>
      <w:r>
        <w:rPr>
          <w:spacing w:val="-85"/>
        </w:rPr>
      </w:r>
      <w:r>
        <w:rPr>
          <w:spacing w:val="2"/>
        </w:rPr>
        <w:t>再交易的供应商，本集团根据滞销存货的账面价值和各自的可变现净值计提存货跌价</w:t>
      </w:r>
      <w:r>
        <w:rPr>
          <w:spacing w:val="-85"/>
        </w:rPr>
        <w:t> </w:t>
      </w:r>
      <w:r>
        <w:rPr>
          <w:spacing w:val="-85"/>
        </w:rPr>
      </w:r>
      <w:r>
        <w:rPr/>
        <w:t>准备。</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05"/>
        <w:jc w:val="left"/>
      </w:pPr>
      <w:r>
        <w:rPr>
          <w:rFonts w:ascii="Arial" w:hAnsi="Arial" w:cs="Arial" w:eastAsia="Arial" w:hint="default"/>
          <w:position w:val="2"/>
        </w:rPr>
        <w:t>(b)</w:t>
        <w:tab/>
      </w:r>
      <w:r>
        <w:rPr/>
        <w:t>所得税</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spacing w:val="2"/>
        </w:rPr>
        <w:t>本集团在多个地区缴纳企业所得税。在正常的经营活动中，涉及的很多交易和事项的</w:t>
      </w:r>
      <w:r>
        <w:rPr>
          <w:spacing w:val="-85"/>
        </w:rPr>
        <w:t> </w:t>
      </w:r>
      <w:r>
        <w:rPr>
          <w:spacing w:val="-85"/>
        </w:rPr>
      </w:r>
      <w:r>
        <w:rPr>
          <w:spacing w:val="2"/>
        </w:rPr>
        <w:t>最终的税务处理都存在不确定性，在计提各个地区的所得税费用时本集团需要作出重</w:t>
      </w:r>
      <w:r>
        <w:rPr>
          <w:spacing w:val="-85"/>
        </w:rPr>
        <w:t> </w:t>
      </w:r>
      <w:r>
        <w:rPr>
          <w:spacing w:val="-85"/>
        </w:rPr>
      </w:r>
      <w:r>
        <w:rPr>
          <w:spacing w:val="2"/>
        </w:rPr>
        <w:t>大判断。本集团就未来是否需要缴纳额外税款进行估计，并确认相应的所得税负债。</w:t>
      </w:r>
      <w:r>
        <w:rPr>
          <w:spacing w:val="-85"/>
        </w:rPr>
        <w:t> </w:t>
      </w:r>
      <w:r>
        <w:rPr>
          <w:spacing w:val="-85"/>
        </w:rPr>
      </w:r>
      <w:r>
        <w:rPr>
          <w:spacing w:val="2"/>
        </w:rPr>
        <w:t>如果这些税务事项的最终认定结果与最初入账的金额存在差异，该差异将对作出上述</w:t>
      </w:r>
      <w:r>
        <w:rPr>
          <w:spacing w:val="-85"/>
        </w:rPr>
        <w:t> </w:t>
      </w:r>
      <w:r>
        <w:rPr>
          <w:spacing w:val="-85"/>
        </w:rPr>
      </w:r>
      <w:r>
        <w:rPr/>
        <w:t>最终认定期间的所得税费用和递延所得税的金额产生影响。</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t>全国人民代表大会于</w:t>
      </w:r>
      <w:r>
        <w:rPr>
          <w:spacing w:val="-59"/>
        </w:rPr>
        <w:t> </w:t>
      </w:r>
      <w:r>
        <w:rPr>
          <w:rFonts w:ascii="Arial" w:hAnsi="Arial" w:cs="Arial" w:eastAsia="Arial" w:hint="default"/>
        </w:rPr>
        <w:t>2007</w:t>
      </w:r>
      <w:r>
        <w:rPr>
          <w:rFonts w:ascii="Arial" w:hAnsi="Arial" w:cs="Arial" w:eastAsia="Arial" w:hint="default"/>
          <w:spacing w:val="-6"/>
        </w:rPr>
        <w:t> </w:t>
      </w:r>
      <w:r>
        <w:rPr/>
        <w:t>年</w:t>
      </w:r>
      <w:r>
        <w:rPr>
          <w:spacing w:val="-59"/>
        </w:rPr>
        <w:t> </w:t>
      </w:r>
      <w:r>
        <w:rPr>
          <w:rFonts w:ascii="Arial" w:hAnsi="Arial" w:cs="Arial" w:eastAsia="Arial" w:hint="default"/>
        </w:rPr>
        <w:t>3</w:t>
      </w:r>
      <w:r>
        <w:rPr>
          <w:rFonts w:ascii="Arial" w:hAnsi="Arial" w:cs="Arial" w:eastAsia="Arial" w:hint="default"/>
          <w:spacing w:val="-5"/>
        </w:rPr>
        <w:t> </w:t>
      </w:r>
      <w:r>
        <w:rPr/>
        <w:t>月</w:t>
      </w:r>
      <w:r>
        <w:rPr>
          <w:spacing w:val="-59"/>
        </w:rPr>
        <w:t> </w:t>
      </w:r>
      <w:r>
        <w:rPr>
          <w:rFonts w:ascii="Arial" w:hAnsi="Arial" w:cs="Arial" w:eastAsia="Arial" w:hint="default"/>
        </w:rPr>
        <w:t>16</w:t>
      </w:r>
      <w:r>
        <w:rPr>
          <w:rFonts w:ascii="Arial" w:hAnsi="Arial" w:cs="Arial" w:eastAsia="Arial" w:hint="default"/>
          <w:spacing w:val="-6"/>
        </w:rPr>
        <w:t> </w:t>
      </w:r>
      <w:r>
        <w:rPr>
          <w:spacing w:val="-3"/>
        </w:rPr>
        <w:t>日通过了《中华人民共和国企业所得税法》</w:t>
      </w:r>
      <w:r>
        <w:rPr>
          <w:rFonts w:ascii="Arial" w:hAnsi="Arial" w:cs="Arial" w:eastAsia="Arial" w:hint="default"/>
          <w:spacing w:val="-3"/>
        </w:rPr>
        <w:t>(</w:t>
      </w:r>
      <w:r>
        <w:rPr>
          <w:spacing w:val="-3"/>
        </w:rPr>
        <w:t>“新</w:t>
      </w:r>
    </w:p>
    <w:p>
      <w:pPr>
        <w:pStyle w:val="BodyText"/>
        <w:spacing w:line="312" w:lineRule="exact"/>
        <w:ind w:left="817" w:right="0"/>
        <w:jc w:val="both"/>
      </w:pPr>
      <w:r>
        <w:rPr/>
        <w:t>所得税法”</w:t>
      </w:r>
      <w:r>
        <w:rPr>
          <w:rFonts w:ascii="Arial" w:hAnsi="Arial" w:cs="Arial" w:eastAsia="Arial" w:hint="default"/>
        </w:rPr>
        <w:t>)</w:t>
      </w:r>
      <w:r>
        <w:rPr/>
        <w:t>，新所得税法将自</w:t>
      </w:r>
      <w:r>
        <w:rPr>
          <w:spacing w:val="-48"/>
        </w:rPr>
        <w:t> </w:t>
      </w:r>
      <w:r>
        <w:rPr>
          <w:rFonts w:ascii="Arial" w:hAnsi="Arial" w:cs="Arial" w:eastAsia="Arial" w:hint="default"/>
        </w:rPr>
        <w:t>2008</w:t>
      </w:r>
      <w:r>
        <w:rPr>
          <w:rFonts w:ascii="Arial" w:hAnsi="Arial" w:cs="Arial" w:eastAsia="Arial" w:hint="default"/>
          <w:spacing w:val="5"/>
        </w:rPr>
        <w:t> </w:t>
      </w:r>
      <w:r>
        <w:rPr/>
        <w:t>年</w:t>
      </w:r>
      <w:r>
        <w:rPr>
          <w:spacing w:val="-48"/>
        </w:rPr>
        <w:t> </w:t>
      </w:r>
      <w:r>
        <w:rPr>
          <w:rFonts w:ascii="Arial" w:hAnsi="Arial" w:cs="Arial" w:eastAsia="Arial" w:hint="default"/>
        </w:rPr>
        <w:t>1</w:t>
      </w:r>
      <w:r>
        <w:rPr>
          <w:rFonts w:ascii="Arial" w:hAnsi="Arial" w:cs="Arial" w:eastAsia="Arial" w:hint="default"/>
          <w:spacing w:val="5"/>
        </w:rPr>
        <w:t> </w:t>
      </w:r>
      <w:r>
        <w:rPr/>
        <w:t>月</w:t>
      </w:r>
      <w:r>
        <w:rPr>
          <w:spacing w:val="-48"/>
        </w:rPr>
        <w:t> </w:t>
      </w:r>
      <w:r>
        <w:rPr>
          <w:rFonts w:ascii="Arial" w:hAnsi="Arial" w:cs="Arial" w:eastAsia="Arial" w:hint="default"/>
        </w:rPr>
        <w:t>1</w:t>
      </w:r>
      <w:r>
        <w:rPr>
          <w:rFonts w:ascii="Arial" w:hAnsi="Arial" w:cs="Arial" w:eastAsia="Arial" w:hint="default"/>
          <w:spacing w:val="5"/>
        </w:rPr>
        <w:t> </w:t>
      </w:r>
      <w:r>
        <w:rPr/>
        <w:t>日起施行。一般而言，内资企业的所得</w:t>
      </w:r>
    </w:p>
    <w:p>
      <w:pPr>
        <w:pStyle w:val="BodyText"/>
        <w:spacing w:line="312" w:lineRule="exact" w:before="21"/>
        <w:ind w:left="817" w:right="102"/>
        <w:jc w:val="both"/>
      </w:pPr>
      <w:r>
        <w:rPr/>
        <w:t>税率自</w:t>
      </w:r>
      <w:r>
        <w:rPr>
          <w:spacing w:val="-54"/>
        </w:rPr>
        <w:t> </w:t>
      </w:r>
      <w:r>
        <w:rPr>
          <w:rFonts w:ascii="Arial" w:hAnsi="Arial" w:cs="Arial" w:eastAsia="Arial" w:hint="default"/>
        </w:rPr>
        <w:t>2008</w:t>
      </w:r>
      <w:r>
        <w:rPr>
          <w:rFonts w:ascii="Arial" w:hAnsi="Arial" w:cs="Arial" w:eastAsia="Arial" w:hint="default"/>
          <w:spacing w:val="-1"/>
        </w:rPr>
        <w:t> </w:t>
      </w:r>
      <w:r>
        <w:rPr/>
        <w:t>年</w:t>
      </w:r>
      <w:r>
        <w:rPr>
          <w:spacing w:val="-54"/>
        </w:rPr>
        <w:t> </w:t>
      </w:r>
      <w:r>
        <w:rPr>
          <w:rFonts w:ascii="Arial" w:hAnsi="Arial" w:cs="Arial" w:eastAsia="Arial" w:hint="default"/>
        </w:rPr>
        <w:t>1</w:t>
      </w:r>
      <w:r>
        <w:rPr>
          <w:rFonts w:ascii="Arial" w:hAnsi="Arial" w:cs="Arial" w:eastAsia="Arial" w:hint="default"/>
          <w:spacing w:val="-1"/>
        </w:rPr>
        <w:t> </w:t>
      </w:r>
      <w:r>
        <w:rPr/>
        <w:t>月</w:t>
      </w:r>
      <w:r>
        <w:rPr>
          <w:spacing w:val="-54"/>
        </w:rPr>
        <w:t> </w:t>
      </w:r>
      <w:r>
        <w:rPr>
          <w:rFonts w:ascii="Arial" w:hAnsi="Arial" w:cs="Arial" w:eastAsia="Arial" w:hint="default"/>
        </w:rPr>
        <w:t>1</w:t>
      </w:r>
      <w:r>
        <w:rPr>
          <w:rFonts w:ascii="Arial" w:hAnsi="Arial" w:cs="Arial" w:eastAsia="Arial" w:hint="default"/>
          <w:spacing w:val="-2"/>
        </w:rPr>
        <w:t> </w:t>
      </w:r>
      <w:r>
        <w:rPr/>
        <w:t>日起从原适用税率调整为</w:t>
      </w:r>
      <w:r>
        <w:rPr>
          <w:spacing w:val="-54"/>
        </w:rPr>
        <w:t> </w:t>
      </w:r>
      <w:r>
        <w:rPr>
          <w:rFonts w:ascii="Arial" w:hAnsi="Arial" w:cs="Arial" w:eastAsia="Arial" w:hint="default"/>
        </w:rPr>
        <w:t>25%</w:t>
      </w:r>
      <w:r>
        <w:rPr/>
        <w:t>。根据国发</w:t>
      </w:r>
      <w:r>
        <w:rPr>
          <w:rFonts w:ascii="Arial" w:hAnsi="Arial" w:cs="Arial" w:eastAsia="Arial" w:hint="default"/>
        </w:rPr>
        <w:t>[2007]39</w:t>
      </w:r>
      <w:r>
        <w:rPr>
          <w:rFonts w:ascii="Arial" w:hAnsi="Arial" w:cs="Arial" w:eastAsia="Arial" w:hint="default"/>
          <w:spacing w:val="-1"/>
        </w:rPr>
        <w:t> </w:t>
      </w:r>
      <w:r>
        <w:rPr/>
        <w:t>号文，本集 团的部分子公司在过渡期间将继续享受低于</w:t>
      </w:r>
      <w:r>
        <w:rPr>
          <w:spacing w:val="-45"/>
        </w:rPr>
        <w:t> </w:t>
      </w:r>
      <w:r>
        <w:rPr>
          <w:rFonts w:ascii="Arial" w:hAnsi="Arial" w:cs="Arial" w:eastAsia="Arial" w:hint="default"/>
          <w:spacing w:val="-6"/>
        </w:rPr>
        <w:t>25%</w:t>
      </w:r>
      <w:r>
        <w:rPr>
          <w:spacing w:val="-6"/>
        </w:rPr>
        <w:t>的优惠税率</w:t>
      </w:r>
      <w:r>
        <w:rPr>
          <w:rFonts w:ascii="Arial" w:hAnsi="Arial" w:cs="Arial" w:eastAsia="Arial" w:hint="default"/>
          <w:spacing w:val="-6"/>
        </w:rPr>
        <w:t>(</w:t>
      </w:r>
      <w:r>
        <w:rPr>
          <w:spacing w:val="-6"/>
        </w:rPr>
        <w:t>见附注六</w:t>
      </w:r>
      <w:r>
        <w:rPr>
          <w:rFonts w:ascii="Arial" w:hAnsi="Arial" w:cs="Arial" w:eastAsia="Arial" w:hint="default"/>
          <w:spacing w:val="-6"/>
        </w:rPr>
        <w:t>)</w:t>
      </w:r>
      <w:r>
        <w:rPr>
          <w:spacing w:val="-6"/>
        </w:rPr>
        <w:t>。然而，本集团</w:t>
      </w:r>
      <w:r>
        <w:rPr>
          <w:spacing w:val="-116"/>
        </w:rPr>
        <w:t> </w:t>
      </w:r>
      <w:r>
        <w:rPr>
          <w:spacing w:val="-116"/>
        </w:rPr>
      </w:r>
      <w:r>
        <w:rPr>
          <w:spacing w:val="2"/>
        </w:rPr>
        <w:t>部分子公司在新企业所得税法实施后，现在享有的优惠政策是否继续有效，目前尚不</w:t>
      </w:r>
      <w:r>
        <w:rPr>
          <w:spacing w:val="-85"/>
        </w:rPr>
        <w:t> </w:t>
      </w:r>
      <w:r>
        <w:rPr>
          <w:spacing w:val="-85"/>
        </w:rPr>
      </w:r>
      <w:r>
        <w:rPr/>
        <w:t>明确。对此，本集团根据</w:t>
      </w:r>
      <w:r>
        <w:rPr>
          <w:spacing w:val="-4"/>
        </w:rPr>
        <w:t> </w:t>
      </w:r>
      <w:r>
        <w:rPr>
          <w:rFonts w:ascii="Arial" w:hAnsi="Arial" w:cs="Arial" w:eastAsia="Arial" w:hint="default"/>
        </w:rPr>
        <w:t>25%</w:t>
      </w:r>
      <w:r>
        <w:rPr/>
        <w:t>计算递延所得税资产或递延所得税负债。如果未来有进 </w:t>
      </w:r>
      <w:r>
        <w:rPr>
          <w:spacing w:val="2"/>
        </w:rPr>
        <w:t>一步指引导致有额外奖励或使用不同税率，则有关影响将于指引公布时运用未来适用</w:t>
      </w:r>
      <w:r>
        <w:rPr>
          <w:spacing w:val="-85"/>
        </w:rPr>
        <w:t> </w:t>
      </w:r>
      <w:r>
        <w:rPr>
          <w:spacing w:val="-85"/>
        </w:rPr>
      </w:r>
      <w:r>
        <w:rPr/>
        <w:t>法进行调整。</w:t>
      </w:r>
    </w:p>
    <w:p>
      <w:pPr>
        <w:spacing w:after="0" w:line="312" w:lineRule="exact"/>
        <w:jc w:val="both"/>
        <w:sectPr>
          <w:pgSz w:w="11910" w:h="16840"/>
          <w:pgMar w:header="1458" w:footer="708" w:top="1640" w:bottom="900" w:left="1020" w:right="96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87"/>
        <w:jc w:val="left"/>
        <w:rPr>
          <w:b w:val="0"/>
          <w:bCs w:val="0"/>
        </w:rPr>
      </w:pPr>
      <w:r>
        <w:rPr>
          <w:w w:val="95"/>
        </w:rPr>
        <w:t>五</w:t>
        <w:tab/>
      </w:r>
      <w:r>
        <w:rPr/>
        <w:t>前期会计调整</w:t>
      </w:r>
      <w:r>
        <w:rPr>
          <w:b w:val="0"/>
          <w:bCs w:val="0"/>
        </w:rPr>
      </w:r>
    </w:p>
    <w:p>
      <w:pPr>
        <w:spacing w:line="240" w:lineRule="auto" w:before="12"/>
        <w:rPr>
          <w:rFonts w:ascii="宋体" w:hAnsi="宋体" w:cs="宋体" w:eastAsia="宋体" w:hint="default"/>
          <w:b/>
          <w:bCs/>
          <w:sz w:val="20"/>
          <w:szCs w:val="20"/>
        </w:rPr>
      </w:pPr>
    </w:p>
    <w:p>
      <w:pPr>
        <w:pStyle w:val="BodyText"/>
        <w:tabs>
          <w:tab w:pos="817" w:val="left" w:leader="none"/>
        </w:tabs>
        <w:spacing w:line="240" w:lineRule="auto"/>
        <w:ind w:left="107" w:right="87"/>
        <w:jc w:val="left"/>
      </w:pPr>
      <w:r>
        <w:rPr>
          <w:rFonts w:ascii="Arial" w:hAnsi="Arial" w:cs="Arial" w:eastAsia="Arial" w:hint="default"/>
          <w:position w:val="2"/>
        </w:rPr>
        <w:t>(a)</w:t>
        <w:tab/>
      </w:r>
      <w:r>
        <w:rPr/>
        <w:t>供应商提供的商业折扣</w:t>
      </w:r>
    </w:p>
    <w:p>
      <w:pPr>
        <w:spacing w:line="240" w:lineRule="auto" w:before="4"/>
        <w:rPr>
          <w:rFonts w:ascii="宋体" w:hAnsi="宋体" w:cs="宋体" w:eastAsia="宋体" w:hint="default"/>
          <w:sz w:val="23"/>
          <w:szCs w:val="23"/>
        </w:rPr>
      </w:pPr>
    </w:p>
    <w:p>
      <w:pPr>
        <w:pStyle w:val="BodyText"/>
        <w:spacing w:line="312" w:lineRule="exact"/>
        <w:ind w:left="817" w:right="221"/>
        <w:jc w:val="both"/>
      </w:pPr>
      <w:r>
        <w:rPr/>
        <w:t>于</w:t>
      </w:r>
      <w:r>
        <w:rPr>
          <w:rFonts w:ascii="Arial" w:hAnsi="Arial" w:cs="Arial" w:eastAsia="Arial" w:hint="default"/>
        </w:rPr>
        <w:t>2007</w:t>
      </w:r>
      <w:r>
        <w:rPr/>
        <w:t>年以前，本集团对于供应商提供的商业折扣的会计处理方法为：如果采购时在</w:t>
      </w:r>
      <w:r>
        <w:rPr>
          <w:spacing w:val="-69"/>
        </w:rPr>
        <w:t> </w:t>
      </w:r>
      <w:r>
        <w:rPr>
          <w:spacing w:val="-69"/>
        </w:rPr>
      </w:r>
      <w:r>
        <w:rPr>
          <w:spacing w:val="2"/>
        </w:rPr>
        <w:t>发票上直接列明的折扣，减记该批次商品的采购成本；如果在以后的采购发票上体现</w:t>
      </w:r>
      <w:r>
        <w:rPr>
          <w:spacing w:val="-85"/>
        </w:rPr>
        <w:t> </w:t>
      </w:r>
      <w:r>
        <w:rPr>
          <w:spacing w:val="-85"/>
        </w:rPr>
      </w:r>
      <w:r>
        <w:rPr>
          <w:spacing w:val="2"/>
        </w:rPr>
        <w:t>或本集团开具发票收取的折扣，则本集团基于谨慎的原则，在收到采购发票或本集团</w:t>
      </w:r>
      <w:r>
        <w:rPr>
          <w:spacing w:val="-85"/>
        </w:rPr>
        <w:t> </w:t>
      </w:r>
      <w:r>
        <w:rPr>
          <w:spacing w:val="-85"/>
        </w:rPr>
      </w:r>
      <w:r>
        <w:rPr/>
        <w:t>开具发票时，确认当期利润。</w:t>
      </w:r>
    </w:p>
    <w:p>
      <w:pPr>
        <w:spacing w:line="240" w:lineRule="auto" w:before="1"/>
        <w:rPr>
          <w:rFonts w:ascii="宋体" w:hAnsi="宋体" w:cs="宋体" w:eastAsia="宋体" w:hint="default"/>
          <w:sz w:val="21"/>
          <w:szCs w:val="21"/>
        </w:rPr>
      </w:pPr>
    </w:p>
    <w:p>
      <w:pPr>
        <w:pStyle w:val="BodyText"/>
        <w:spacing w:line="312" w:lineRule="exact"/>
        <w:ind w:left="817" w:right="210"/>
        <w:jc w:val="both"/>
      </w:pPr>
      <w:r>
        <w:rPr>
          <w:spacing w:val="2"/>
        </w:rPr>
        <w:t>近年来，随着家电连锁零售行业的发展变化，供应商和零售商之间的业务操作模式也</w:t>
      </w:r>
      <w:r>
        <w:rPr>
          <w:spacing w:val="-85"/>
        </w:rPr>
        <w:t> </w:t>
      </w:r>
      <w:r>
        <w:rPr>
          <w:spacing w:val="-85"/>
        </w:rPr>
      </w:r>
      <w:r>
        <w:rPr/>
        <w:t>不断完善和简化。加之</w:t>
      </w:r>
      <w:r>
        <w:rPr>
          <w:rFonts w:ascii="Arial" w:hAnsi="Arial" w:cs="Arial" w:eastAsia="Arial" w:hint="default"/>
        </w:rPr>
        <w:t>2006</w:t>
      </w:r>
      <w:r>
        <w:rPr/>
        <w:t>年</w:t>
      </w:r>
      <w:r>
        <w:rPr>
          <w:rFonts w:ascii="Arial" w:hAnsi="Arial" w:cs="Arial" w:eastAsia="Arial" w:hint="default"/>
        </w:rPr>
        <w:t>4</w:t>
      </w:r>
      <w:r>
        <w:rPr/>
        <w:t>月，本集团的</w:t>
      </w:r>
      <w:r>
        <w:rPr>
          <w:rFonts w:ascii="Arial" w:hAnsi="Arial" w:cs="Arial" w:eastAsia="Arial" w:hint="default"/>
        </w:rPr>
        <w:t>SAP/ERP</w:t>
      </w:r>
      <w:r>
        <w:rPr/>
        <w:t>系统建立后，能够更及时、可</w:t>
      </w:r>
      <w:r>
        <w:rPr>
          <w:spacing w:val="-60"/>
        </w:rPr>
        <w:t> </w:t>
      </w:r>
      <w:r>
        <w:rPr>
          <w:spacing w:val="2"/>
        </w:rPr>
        <w:t>靠地提供供应商折扣的产生、确认和结算等信息。因此，为了能够提供更可靠，更相</w:t>
      </w:r>
      <w:r>
        <w:rPr>
          <w:spacing w:val="-85"/>
        </w:rPr>
        <w:t> </w:t>
      </w:r>
      <w:r>
        <w:rPr>
          <w:spacing w:val="-85"/>
        </w:rPr>
      </w:r>
      <w:r>
        <w:rPr/>
        <w:t>关的会计信息，本集团于</w:t>
      </w:r>
      <w:r>
        <w:rPr>
          <w:rFonts w:ascii="Arial" w:hAnsi="Arial" w:cs="Arial" w:eastAsia="Arial" w:hint="default"/>
        </w:rPr>
        <w:t>2007</w:t>
      </w:r>
      <w:r>
        <w:rPr/>
        <w:t>年度更正了供应商商业折扣的会计处理方法：基于供应</w:t>
      </w:r>
      <w:r>
        <w:rPr>
          <w:spacing w:val="-74"/>
        </w:rPr>
        <w:t> </w:t>
      </w:r>
      <w:r>
        <w:rPr>
          <w:spacing w:val="-74"/>
        </w:rPr>
      </w:r>
      <w:r>
        <w:rPr/>
        <w:t>商合同</w:t>
      </w:r>
      <w:r>
        <w:rPr>
          <w:rFonts w:ascii="Arial" w:hAnsi="Arial" w:cs="Arial" w:eastAsia="Arial" w:hint="default"/>
        </w:rPr>
        <w:t>/</w:t>
      </w:r>
      <w:r>
        <w:rPr/>
        <w:t>协议</w:t>
      </w:r>
      <w:r>
        <w:rPr>
          <w:rFonts w:ascii="Arial" w:hAnsi="Arial" w:cs="Arial" w:eastAsia="Arial" w:hint="default"/>
        </w:rPr>
        <w:t>/</w:t>
      </w:r>
      <w:r>
        <w:rPr/>
        <w:t>确认函等明确依据，确认供应商商业折扣，并与所对应的商品予以配比， 并追溯调整了前期财务报表。</w:t>
      </w:r>
    </w:p>
    <w:p>
      <w:pPr>
        <w:spacing w:line="240" w:lineRule="auto" w:before="1"/>
        <w:rPr>
          <w:rFonts w:ascii="宋体" w:hAnsi="宋体" w:cs="宋体" w:eastAsia="宋体" w:hint="default"/>
          <w:sz w:val="21"/>
          <w:szCs w:val="21"/>
        </w:rPr>
      </w:pPr>
    </w:p>
    <w:p>
      <w:pPr>
        <w:pStyle w:val="BodyText"/>
        <w:spacing w:line="312" w:lineRule="exact"/>
        <w:ind w:left="817" w:right="216"/>
        <w:jc w:val="both"/>
      </w:pPr>
      <w:r>
        <w:rPr>
          <w:spacing w:val="-2"/>
        </w:rPr>
        <w:t>供应商提供的商业折扣涉及的供应商及数据量庞大，且于</w:t>
      </w:r>
      <w:r>
        <w:rPr>
          <w:rFonts w:ascii="Arial" w:hAnsi="Arial" w:cs="Arial" w:eastAsia="Arial" w:hint="default"/>
          <w:spacing w:val="-2"/>
        </w:rPr>
        <w:t>2006</w:t>
      </w:r>
      <w:r>
        <w:rPr>
          <w:spacing w:val="-2"/>
        </w:rPr>
        <w:t>年</w:t>
      </w:r>
      <w:r>
        <w:rPr>
          <w:rFonts w:ascii="Arial" w:hAnsi="Arial" w:cs="Arial" w:eastAsia="Arial" w:hint="default"/>
          <w:spacing w:val="-2"/>
        </w:rPr>
        <w:t>4</w:t>
      </w:r>
      <w:r>
        <w:rPr>
          <w:spacing w:val="-2"/>
        </w:rPr>
        <w:t>月之前，本集团未建</w:t>
      </w:r>
      <w:r>
        <w:rPr>
          <w:spacing w:val="-113"/>
        </w:rPr>
        <w:t> </w:t>
      </w:r>
      <w:r>
        <w:rPr>
          <w:spacing w:val="-113"/>
        </w:rPr>
      </w:r>
      <w:r>
        <w:rPr>
          <w:spacing w:val="2"/>
        </w:rPr>
        <w:t>立系统记录供应商提供的各项商业折扣的产生、确认和结算过程。因此，本集团确定</w:t>
      </w:r>
      <w:r>
        <w:rPr>
          <w:spacing w:val="-85"/>
        </w:rPr>
        <w:t> </w:t>
      </w:r>
      <w:r>
        <w:rPr>
          <w:spacing w:val="-85"/>
        </w:rPr>
      </w:r>
      <w:r>
        <w:rPr>
          <w:rFonts w:ascii="Arial" w:hAnsi="Arial" w:cs="Arial" w:eastAsia="Arial" w:hint="default"/>
          <w:spacing w:val="6"/>
        </w:rPr>
        <w:t>2006</w:t>
      </w:r>
      <w:r>
        <w:rPr>
          <w:spacing w:val="6"/>
        </w:rPr>
        <w:t>年</w:t>
      </w:r>
      <w:r>
        <w:rPr>
          <w:rFonts w:ascii="Arial" w:hAnsi="Arial" w:cs="Arial" w:eastAsia="Arial" w:hint="default"/>
          <w:spacing w:val="6"/>
        </w:rPr>
        <w:t>1</w:t>
      </w:r>
      <w:r>
        <w:rPr>
          <w:spacing w:val="6"/>
        </w:rPr>
        <w:t>月</w:t>
      </w:r>
      <w:r>
        <w:rPr>
          <w:rFonts w:ascii="Arial" w:hAnsi="Arial" w:cs="Arial" w:eastAsia="Arial" w:hint="default"/>
          <w:spacing w:val="6"/>
        </w:rPr>
        <w:t>1</w:t>
      </w:r>
      <w:r>
        <w:rPr>
          <w:spacing w:val="6"/>
        </w:rPr>
        <w:t>日的影响数不切实可行，上述前期会计调整从可追溯重述的最早期间－</w:t>
      </w:r>
      <w:r>
        <w:rPr/>
      </w:r>
    </w:p>
    <w:p>
      <w:pPr>
        <w:pStyle w:val="BodyText"/>
        <w:spacing w:line="300" w:lineRule="exact"/>
        <w:ind w:left="817" w:right="0"/>
        <w:jc w:val="both"/>
      </w:pPr>
      <w:r>
        <w:rPr>
          <w:rFonts w:ascii="Arial" w:hAnsi="Arial" w:cs="Arial" w:eastAsia="Arial" w:hint="default"/>
        </w:rPr>
        <w:t>2006</w:t>
      </w:r>
      <w:r>
        <w:rPr/>
        <w:t>年</w:t>
      </w:r>
      <w:r>
        <w:rPr>
          <w:rFonts w:ascii="Arial" w:hAnsi="Arial" w:cs="Arial" w:eastAsia="Arial" w:hint="default"/>
        </w:rPr>
        <w:t>4</w:t>
      </w:r>
      <w:r>
        <w:rPr/>
        <w:t>月开始调整。</w:t>
      </w:r>
    </w:p>
    <w:p>
      <w:pPr>
        <w:spacing w:line="240" w:lineRule="auto" w:before="13"/>
        <w:rPr>
          <w:rFonts w:ascii="宋体" w:hAnsi="宋体" w:cs="宋体" w:eastAsia="宋体" w:hint="default"/>
          <w:sz w:val="16"/>
          <w:szCs w:val="16"/>
        </w:rPr>
      </w:pPr>
    </w:p>
    <w:p>
      <w:pPr>
        <w:pStyle w:val="BodyText"/>
        <w:tabs>
          <w:tab w:pos="817" w:val="left" w:leader="none"/>
        </w:tabs>
        <w:spacing w:line="240" w:lineRule="auto"/>
        <w:ind w:left="107" w:right="87"/>
        <w:jc w:val="left"/>
      </w:pPr>
      <w:r>
        <w:rPr>
          <w:rFonts w:ascii="Arial" w:hAnsi="Arial" w:cs="Arial" w:eastAsia="Arial" w:hint="default"/>
          <w:position w:val="2"/>
        </w:rPr>
        <w:t>(b)</w:t>
        <w:tab/>
      </w:r>
      <w:r>
        <w:rPr/>
        <w:t>供应商提供的广告位使用费收入</w:t>
      </w:r>
    </w:p>
    <w:p>
      <w:pPr>
        <w:spacing w:line="240" w:lineRule="auto" w:before="12"/>
        <w:rPr>
          <w:rFonts w:ascii="宋体" w:hAnsi="宋体" w:cs="宋体" w:eastAsia="宋体" w:hint="default"/>
          <w:sz w:val="20"/>
          <w:szCs w:val="20"/>
        </w:rPr>
      </w:pPr>
    </w:p>
    <w:p>
      <w:pPr>
        <w:pStyle w:val="BodyText"/>
        <w:spacing w:line="240" w:lineRule="auto"/>
        <w:ind w:left="817" w:right="0"/>
        <w:jc w:val="both"/>
      </w:pPr>
      <w:r>
        <w:rPr/>
        <w:t>于 </w:t>
      </w:r>
      <w:r>
        <w:rPr>
          <w:rFonts w:ascii="Arial" w:hAnsi="Arial" w:cs="Arial" w:eastAsia="Arial" w:hint="default"/>
        </w:rPr>
        <w:t>2007</w:t>
      </w:r>
      <w:r>
        <w:rPr>
          <w:rFonts w:ascii="Arial" w:hAnsi="Arial" w:cs="Arial" w:eastAsia="Arial" w:hint="default"/>
          <w:spacing w:val="-36"/>
        </w:rPr>
        <w:t> </w:t>
      </w:r>
      <w:r>
        <w:rPr>
          <w:spacing w:val="-6"/>
        </w:rPr>
        <w:t>年以前，本集团在实际收到广告位使用费收入的时候，全部计入当期营业收入。</w:t>
      </w:r>
    </w:p>
    <w:p>
      <w:pPr>
        <w:spacing w:line="240" w:lineRule="auto" w:before="13"/>
        <w:rPr>
          <w:rFonts w:ascii="宋体" w:hAnsi="宋体" w:cs="宋体" w:eastAsia="宋体" w:hint="default"/>
          <w:sz w:val="21"/>
          <w:szCs w:val="21"/>
        </w:rPr>
      </w:pPr>
    </w:p>
    <w:p>
      <w:pPr>
        <w:pStyle w:val="BodyText"/>
        <w:spacing w:line="312" w:lineRule="exact"/>
        <w:ind w:left="817" w:right="87"/>
        <w:jc w:val="left"/>
      </w:pPr>
      <w:r>
        <w:rPr/>
        <w:t>于</w:t>
      </w:r>
      <w:r>
        <w:rPr>
          <w:spacing w:val="-74"/>
        </w:rPr>
        <w:t> </w:t>
      </w:r>
      <w:r>
        <w:rPr>
          <w:rFonts w:ascii="Arial" w:hAnsi="Arial" w:cs="Arial" w:eastAsia="Arial" w:hint="default"/>
        </w:rPr>
        <w:t>2007</w:t>
      </w:r>
      <w:r>
        <w:rPr>
          <w:rFonts w:ascii="Arial" w:hAnsi="Arial" w:cs="Arial" w:eastAsia="Arial" w:hint="default"/>
          <w:spacing w:val="-21"/>
        </w:rPr>
        <w:t> </w:t>
      </w:r>
      <w:r>
        <w:rPr/>
        <w:t>年度，为了能够提供更可靠、更相关的会计信息，本集团更正了广告位使用费 </w:t>
      </w:r>
      <w:r>
        <w:rPr>
          <w:spacing w:val="-1"/>
        </w:rPr>
        <w:t>收入确认的会计处理：将广告位使用费收入在合同规定的广告位使用期间内分期确认，</w:t>
      </w:r>
      <w:r>
        <w:rPr>
          <w:spacing w:val="-1"/>
        </w:rPr>
        <w:t> </w:t>
      </w:r>
      <w:r>
        <w:rPr/>
        <w:t>并追溯调整了前期财务报表。</w:t>
      </w:r>
    </w:p>
    <w:p>
      <w:pPr>
        <w:spacing w:line="240" w:lineRule="auto" w:before="1"/>
        <w:rPr>
          <w:rFonts w:ascii="宋体" w:hAnsi="宋体" w:cs="宋体" w:eastAsia="宋体" w:hint="default"/>
          <w:sz w:val="21"/>
          <w:szCs w:val="21"/>
        </w:rPr>
      </w:pPr>
    </w:p>
    <w:p>
      <w:pPr>
        <w:pStyle w:val="BodyText"/>
        <w:spacing w:line="312" w:lineRule="exact"/>
        <w:ind w:left="817" w:right="157"/>
        <w:jc w:val="both"/>
      </w:pPr>
      <w:r>
        <w:rPr/>
        <w:t>供应商提供的广告位使用费收入涉及的供应商及数据量庞大，且于</w:t>
      </w:r>
      <w:r>
        <w:rPr>
          <w:spacing w:val="-61"/>
        </w:rPr>
        <w:t> </w:t>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4</w:t>
      </w:r>
      <w:r>
        <w:rPr>
          <w:rFonts w:ascii="Arial" w:hAnsi="Arial" w:cs="Arial" w:eastAsia="Arial" w:hint="default"/>
          <w:spacing w:val="-8"/>
        </w:rPr>
        <w:t> </w:t>
      </w:r>
      <w:r>
        <w:rPr/>
        <w:t>月之前， </w:t>
      </w:r>
      <w:r>
        <w:rPr>
          <w:spacing w:val="2"/>
        </w:rPr>
        <w:t>本集团未建立系统记录广告位使用费收入的产生、确认和结算过程。因此，本集团确</w:t>
      </w:r>
      <w:r>
        <w:rPr>
          <w:spacing w:val="-85"/>
        </w:rPr>
        <w:t> </w:t>
      </w:r>
      <w:r>
        <w:rPr>
          <w:spacing w:val="-85"/>
        </w:rPr>
      </w:r>
      <w:r>
        <w:rPr/>
        <w:t>定</w:t>
      </w:r>
      <w:r>
        <w:rPr>
          <w:spacing w:val="-60"/>
        </w:rPr>
        <w:t> </w:t>
      </w:r>
      <w:r>
        <w:rPr>
          <w:rFonts w:ascii="Arial" w:hAnsi="Arial" w:cs="Arial" w:eastAsia="Arial" w:hint="default"/>
        </w:rPr>
        <w:t>2006</w:t>
      </w:r>
      <w:r>
        <w:rPr>
          <w:rFonts w:ascii="Arial" w:hAnsi="Arial" w:cs="Arial" w:eastAsia="Arial" w:hint="default"/>
          <w:spacing w:val="-7"/>
        </w:rPr>
        <w:t> </w:t>
      </w:r>
      <w:r>
        <w:rPr/>
        <w:t>年</w:t>
      </w:r>
      <w:r>
        <w:rPr>
          <w:spacing w:val="-59"/>
        </w:rPr>
        <w:t> </w:t>
      </w:r>
      <w:r>
        <w:rPr>
          <w:rFonts w:ascii="Arial" w:hAnsi="Arial" w:cs="Arial" w:eastAsia="Arial" w:hint="default"/>
        </w:rPr>
        <w:t>1</w:t>
      </w:r>
      <w:r>
        <w:rPr>
          <w:rFonts w:ascii="Arial" w:hAnsi="Arial" w:cs="Arial" w:eastAsia="Arial" w:hint="default"/>
          <w:spacing w:val="-7"/>
        </w:rPr>
        <w:t> </w:t>
      </w:r>
      <w:r>
        <w:rPr/>
        <w:t>月</w:t>
      </w:r>
      <w:r>
        <w:rPr>
          <w:spacing w:val="-60"/>
        </w:rPr>
        <w:t> </w:t>
      </w:r>
      <w:r>
        <w:rPr>
          <w:rFonts w:ascii="Arial" w:hAnsi="Arial" w:cs="Arial" w:eastAsia="Arial" w:hint="default"/>
        </w:rPr>
        <w:t>1</w:t>
      </w:r>
      <w:r>
        <w:rPr>
          <w:rFonts w:ascii="Arial" w:hAnsi="Arial" w:cs="Arial" w:eastAsia="Arial" w:hint="default"/>
          <w:spacing w:val="-7"/>
        </w:rPr>
        <w:t> </w:t>
      </w:r>
      <w:r>
        <w:rPr>
          <w:spacing w:val="-3"/>
        </w:rPr>
        <w:t>日的影响数不切实可行，上述前期会计调整从可追溯重述的最早期间</w:t>
      </w:r>
    </w:p>
    <w:p>
      <w:pPr>
        <w:pStyle w:val="BodyText"/>
        <w:spacing w:line="300" w:lineRule="exact"/>
        <w:ind w:left="817" w:right="0"/>
        <w:jc w:val="both"/>
      </w:pPr>
      <w:r>
        <w:rPr/>
        <w:t>－</w:t>
      </w:r>
      <w:r>
        <w:rPr>
          <w:rFonts w:ascii="Arial" w:hAnsi="Arial" w:cs="Arial" w:eastAsia="Arial" w:hint="default"/>
        </w:rPr>
        <w:t>2006</w:t>
      </w:r>
      <w:r>
        <w:rPr>
          <w:rFonts w:ascii="Arial" w:hAnsi="Arial" w:cs="Arial" w:eastAsia="Arial" w:hint="default"/>
          <w:spacing w:val="-8"/>
        </w:rPr>
        <w:t> </w:t>
      </w:r>
      <w:r>
        <w:rPr/>
        <w:t>年</w:t>
      </w:r>
      <w:r>
        <w:rPr>
          <w:spacing w:val="-60"/>
        </w:rPr>
        <w:t> </w:t>
      </w:r>
      <w:r>
        <w:rPr>
          <w:rFonts w:ascii="Arial" w:hAnsi="Arial" w:cs="Arial" w:eastAsia="Arial" w:hint="default"/>
        </w:rPr>
        <w:t>4</w:t>
      </w:r>
      <w:r>
        <w:rPr>
          <w:rFonts w:ascii="Arial" w:hAnsi="Arial" w:cs="Arial" w:eastAsia="Arial" w:hint="default"/>
          <w:spacing w:val="-8"/>
        </w:rPr>
        <w:t> </w:t>
      </w:r>
      <w:r>
        <w:rPr/>
        <w:t>月开始调整。</w:t>
      </w:r>
    </w:p>
    <w:p>
      <w:pPr>
        <w:spacing w:after="0" w:line="300" w:lineRule="exact"/>
        <w:jc w:val="both"/>
        <w:sectPr>
          <w:pgSz w:w="11910" w:h="16840"/>
          <w:pgMar w:header="1458" w:footer="708" w:top="1640" w:bottom="900" w:left="1020" w:right="840"/>
        </w:sectPr>
      </w:pPr>
    </w:p>
    <w:p>
      <w:pPr>
        <w:spacing w:line="240" w:lineRule="auto" w:before="5"/>
        <w:rPr>
          <w:rFonts w:ascii="宋体" w:hAnsi="宋体" w:cs="宋体" w:eastAsia="宋体" w:hint="default"/>
          <w:sz w:val="17"/>
          <w:szCs w:val="17"/>
        </w:rPr>
      </w:pPr>
    </w:p>
    <w:p>
      <w:pPr>
        <w:pStyle w:val="Heading2"/>
        <w:tabs>
          <w:tab w:pos="937" w:val="left" w:leader="none"/>
        </w:tabs>
        <w:spacing w:line="240" w:lineRule="auto"/>
        <w:ind w:left="227" w:right="0"/>
        <w:jc w:val="left"/>
        <w:rPr>
          <w:rFonts w:ascii="Arial" w:hAnsi="Arial" w:cs="Arial" w:eastAsia="Arial" w:hint="default"/>
          <w:b w:val="0"/>
          <w:bCs w:val="0"/>
        </w:rPr>
      </w:pPr>
      <w:r>
        <w:rPr>
          <w:w w:val="95"/>
        </w:rPr>
        <w:t>五</w:t>
        <w:tab/>
      </w:r>
      <w:r>
        <w:rPr/>
        <w:t>前期会计调整</w:t>
      </w:r>
      <w:r>
        <w:rPr>
          <w:spacing w:val="-7"/>
        </w:rPr>
        <w:t> </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pStyle w:val="BodyText"/>
        <w:tabs>
          <w:tab w:pos="937" w:val="left" w:leader="none"/>
        </w:tabs>
        <w:spacing w:line="240" w:lineRule="auto"/>
        <w:ind w:left="227" w:right="0"/>
        <w:jc w:val="left"/>
      </w:pPr>
      <w:r>
        <w:rPr>
          <w:rFonts w:ascii="Arial" w:hAnsi="Arial" w:cs="Arial" w:eastAsia="Arial" w:hint="default"/>
          <w:position w:val="2"/>
        </w:rPr>
        <w:t>(c)</w:t>
        <w:tab/>
      </w:r>
      <w:r>
        <w:rPr/>
        <w:t>重分类调整</w:t>
      </w:r>
    </w:p>
    <w:p>
      <w:pPr>
        <w:spacing w:line="240" w:lineRule="auto" w:before="4"/>
        <w:rPr>
          <w:rFonts w:ascii="宋体" w:hAnsi="宋体" w:cs="宋体" w:eastAsia="宋体" w:hint="default"/>
          <w:sz w:val="23"/>
          <w:szCs w:val="23"/>
        </w:rPr>
      </w:pPr>
    </w:p>
    <w:p>
      <w:pPr>
        <w:pStyle w:val="BodyText"/>
        <w:spacing w:line="312" w:lineRule="exact"/>
        <w:ind w:left="937" w:right="645"/>
        <w:jc w:val="both"/>
      </w:pPr>
      <w:r>
        <w:rPr/>
        <w:t>于以往年度，对于供应商给予本集团预付款项的现金折扣</w:t>
      </w:r>
      <w:r>
        <w:rPr>
          <w:rFonts w:ascii="Arial" w:hAnsi="Arial" w:cs="Arial" w:eastAsia="Arial" w:hint="default"/>
        </w:rPr>
        <w:t>(</w:t>
      </w:r>
      <w:r>
        <w:rPr/>
        <w:t>名为投款折扣</w:t>
      </w:r>
      <w:r>
        <w:rPr>
          <w:rFonts w:ascii="Arial" w:hAnsi="Arial" w:cs="Arial" w:eastAsia="Arial" w:hint="default"/>
        </w:rPr>
        <w:t>)</w:t>
      </w:r>
      <w:r>
        <w:rPr/>
        <w:t>，由于通过商 业折扣的方式体现，本集团在收到时减计当期营业成本。于</w:t>
      </w:r>
      <w:r>
        <w:rPr>
          <w:spacing w:val="-74"/>
        </w:rPr>
        <w:t> </w:t>
      </w:r>
      <w:r>
        <w:rPr>
          <w:rFonts w:ascii="Arial" w:hAnsi="Arial" w:cs="Arial" w:eastAsia="Arial" w:hint="default"/>
        </w:rPr>
        <w:t>2007</w:t>
      </w:r>
      <w:r>
        <w:rPr>
          <w:rFonts w:ascii="Arial" w:hAnsi="Arial" w:cs="Arial" w:eastAsia="Arial" w:hint="default"/>
          <w:spacing w:val="-21"/>
        </w:rPr>
        <w:t> </w:t>
      </w:r>
      <w:r>
        <w:rPr/>
        <w:t>年度，本集团从实质 </w:t>
      </w:r>
      <w:r>
        <w:rPr>
          <w:spacing w:val="2"/>
        </w:rPr>
        <w:t>重于形式的角度考虑，认为供应商提供的投款折扣实质属于存货采购过程中发生的现</w:t>
      </w:r>
      <w:r>
        <w:rPr>
          <w:spacing w:val="-85"/>
        </w:rPr>
        <w:t> </w:t>
      </w:r>
      <w:r>
        <w:rPr>
          <w:spacing w:val="-85"/>
        </w:rPr>
      </w:r>
      <w:r>
        <w:rPr>
          <w:spacing w:val="-13"/>
        </w:rPr>
        <w:t>金折扣。因此，将其重分类至财务收入，并相应调整 </w:t>
      </w:r>
      <w:r>
        <w:rPr>
          <w:rFonts w:ascii="Arial" w:hAnsi="Arial" w:cs="Arial" w:eastAsia="Arial" w:hint="default"/>
        </w:rPr>
        <w:t>2006</w:t>
      </w:r>
      <w:r>
        <w:rPr>
          <w:rFonts w:ascii="Arial" w:hAnsi="Arial" w:cs="Arial" w:eastAsia="Arial" w:hint="default"/>
          <w:spacing w:val="-37"/>
        </w:rPr>
        <w:t> </w:t>
      </w:r>
      <w:r>
        <w:rPr/>
        <w:t>年度的比较数据</w:t>
      </w:r>
      <w:r>
        <w:rPr>
          <w:rFonts w:ascii="Arial" w:hAnsi="Arial" w:cs="Arial" w:eastAsia="Arial" w:hint="default"/>
        </w:rPr>
        <w:t>(</w:t>
      </w:r>
      <w:r>
        <w:rPr/>
        <w:t>附注八</w:t>
      </w:r>
      <w:r>
        <w:rPr>
          <w:rFonts w:ascii="Arial" w:hAnsi="Arial" w:cs="Arial" w:eastAsia="Arial" w:hint="default"/>
        </w:rPr>
        <w:t>(29))</w:t>
      </w:r>
      <w:r>
        <w:rPr/>
        <w:t>。</w:t>
      </w:r>
    </w:p>
    <w:p>
      <w:pPr>
        <w:spacing w:line="240" w:lineRule="auto" w:before="1"/>
        <w:rPr>
          <w:rFonts w:ascii="宋体" w:hAnsi="宋体" w:cs="宋体" w:eastAsia="宋体" w:hint="default"/>
          <w:sz w:val="21"/>
          <w:szCs w:val="21"/>
        </w:rPr>
      </w:pPr>
    </w:p>
    <w:p>
      <w:pPr>
        <w:pStyle w:val="BodyText"/>
        <w:spacing w:line="312" w:lineRule="exact"/>
        <w:ind w:left="937" w:right="710"/>
        <w:jc w:val="both"/>
      </w:pPr>
      <w:r>
        <w:rPr>
          <w:spacing w:val="2"/>
        </w:rPr>
        <w:t>于以往年度，对于售后服务业务发生的人工成本，本集团在业务发生时计入当期营业</w:t>
      </w:r>
      <w:r>
        <w:rPr>
          <w:spacing w:val="-85"/>
        </w:rPr>
        <w:t> </w:t>
      </w:r>
      <w:r>
        <w:rPr>
          <w:spacing w:val="-85"/>
        </w:rPr>
      </w:r>
      <w:r>
        <w:rPr/>
        <w:t>费用。于</w:t>
      </w:r>
      <w:r>
        <w:rPr>
          <w:spacing w:val="-62"/>
        </w:rPr>
        <w:t> </w:t>
      </w:r>
      <w:r>
        <w:rPr>
          <w:rFonts w:ascii="Arial" w:hAnsi="Arial" w:cs="Arial" w:eastAsia="Arial" w:hint="default"/>
        </w:rPr>
        <w:t>2007</w:t>
      </w:r>
      <w:r>
        <w:rPr>
          <w:rFonts w:ascii="Arial" w:hAnsi="Arial" w:cs="Arial" w:eastAsia="Arial" w:hint="default"/>
          <w:spacing w:val="-9"/>
        </w:rPr>
        <w:t> </w:t>
      </w:r>
      <w:r>
        <w:rPr/>
        <w:t>年度，本集团认为售后服务人员的人工成本属于营业成本范畴。因此，</w:t>
      </w:r>
    </w:p>
    <w:p>
      <w:pPr>
        <w:pStyle w:val="BodyText"/>
        <w:spacing w:line="300" w:lineRule="exact"/>
        <w:ind w:left="937" w:right="0"/>
        <w:jc w:val="both"/>
      </w:pPr>
      <w:r>
        <w:rPr/>
        <w:t>将其应重分类至营业成本，并相应调整</w:t>
      </w:r>
      <w:r>
        <w:rPr>
          <w:spacing w:val="-62"/>
        </w:rPr>
        <w:t> </w:t>
      </w:r>
      <w:r>
        <w:rPr>
          <w:rFonts w:ascii="Arial" w:hAnsi="Arial" w:cs="Arial" w:eastAsia="Arial" w:hint="default"/>
        </w:rPr>
        <w:t>2006</w:t>
      </w:r>
      <w:r>
        <w:rPr>
          <w:rFonts w:ascii="Arial" w:hAnsi="Arial" w:cs="Arial" w:eastAsia="Arial" w:hint="default"/>
          <w:spacing w:val="-8"/>
        </w:rPr>
        <w:t> </w:t>
      </w:r>
      <w:r>
        <w:rPr/>
        <w:t>年度的比较数据。</w:t>
      </w:r>
    </w:p>
    <w:p>
      <w:pPr>
        <w:spacing w:line="240" w:lineRule="auto" w:before="8"/>
        <w:rPr>
          <w:rFonts w:ascii="宋体" w:hAnsi="宋体" w:cs="宋体" w:eastAsia="宋体" w:hint="default"/>
          <w:sz w:val="19"/>
          <w:szCs w:val="19"/>
        </w:rPr>
      </w:pPr>
    </w:p>
    <w:p>
      <w:pPr>
        <w:pStyle w:val="BodyText"/>
        <w:spacing w:line="240" w:lineRule="auto"/>
        <w:ind w:left="937" w:right="0"/>
        <w:jc w:val="both"/>
      </w:pPr>
      <w:r>
        <w:rPr/>
        <w:t>上述前期会计调整对</w:t>
      </w:r>
      <w:r>
        <w:rPr>
          <w:spacing w:val="-62"/>
        </w:rPr>
        <w:t> </w:t>
      </w:r>
      <w:r>
        <w:rPr>
          <w:rFonts w:ascii="Arial" w:hAnsi="Arial" w:cs="Arial" w:eastAsia="Arial" w:hint="default"/>
        </w:rPr>
        <w:t>2006</w:t>
      </w:r>
      <w:r>
        <w:rPr>
          <w:rFonts w:ascii="Arial" w:hAnsi="Arial" w:cs="Arial" w:eastAsia="Arial" w:hint="default"/>
          <w:spacing w:val="-9"/>
        </w:rPr>
        <w:t> </w:t>
      </w:r>
      <w:r>
        <w:rPr/>
        <w:t>年度比较数据的影响如下所示：</w:t>
      </w:r>
    </w:p>
    <w:p>
      <w:pPr>
        <w:spacing w:line="240" w:lineRule="auto" w:before="1"/>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1858"/>
        <w:gridCol w:w="1218"/>
        <w:gridCol w:w="1276"/>
        <w:gridCol w:w="1276"/>
        <w:gridCol w:w="1114"/>
        <w:gridCol w:w="1070"/>
        <w:gridCol w:w="1302"/>
        <w:gridCol w:w="1358"/>
      </w:tblGrid>
      <w:tr>
        <w:trPr>
          <w:trHeight w:val="282" w:hRule="exact"/>
        </w:trPr>
        <w:tc>
          <w:tcPr>
            <w:tcW w:w="185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04" w:right="503"/>
              <w:jc w:val="left"/>
              <w:rPr>
                <w:rFonts w:ascii="宋体" w:hAnsi="宋体" w:cs="宋体" w:eastAsia="宋体" w:hint="default"/>
                <w:sz w:val="21"/>
                <w:szCs w:val="21"/>
              </w:rPr>
            </w:pPr>
            <w:r>
              <w:rPr>
                <w:rFonts w:ascii="宋体" w:hAnsi="宋体" w:cs="宋体" w:eastAsia="宋体" w:hint="default"/>
                <w:sz w:val="21"/>
                <w:szCs w:val="21"/>
              </w:rPr>
              <w:t>受影响的 会计科目</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3" w:right="287" w:hanging="105"/>
              <w:jc w:val="left"/>
              <w:rPr>
                <w:rFonts w:ascii="宋体" w:hAnsi="宋体" w:cs="宋体" w:eastAsia="宋体" w:hint="default"/>
                <w:sz w:val="21"/>
                <w:szCs w:val="21"/>
              </w:rPr>
            </w:pPr>
            <w:r>
              <w:rPr>
                <w:rFonts w:ascii="宋体" w:hAnsi="宋体" w:cs="宋体" w:eastAsia="宋体" w:hint="default"/>
                <w:sz w:val="21"/>
                <w:szCs w:val="21"/>
              </w:rPr>
              <w:t>原列报 金额</w:t>
            </w:r>
          </w:p>
        </w:tc>
        <w:tc>
          <w:tcPr>
            <w:tcW w:w="47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2" w:right="0"/>
              <w:jc w:val="left"/>
              <w:rPr>
                <w:rFonts w:ascii="宋体" w:hAnsi="宋体" w:cs="宋体" w:eastAsia="宋体" w:hint="default"/>
                <w:sz w:val="21"/>
                <w:szCs w:val="21"/>
              </w:rPr>
            </w:pPr>
            <w:r>
              <w:rPr>
                <w:rFonts w:ascii="宋体" w:hAnsi="宋体" w:cs="宋体" w:eastAsia="宋体" w:hint="default"/>
                <w:sz w:val="21"/>
                <w:szCs w:val="21"/>
              </w:rPr>
              <w:t>前期会计调整项目</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1" w:right="119"/>
              <w:jc w:val="left"/>
              <w:rPr>
                <w:rFonts w:ascii="宋体" w:hAnsi="宋体" w:cs="宋体" w:eastAsia="宋体" w:hint="default"/>
                <w:sz w:val="21"/>
                <w:szCs w:val="21"/>
              </w:rPr>
            </w:pPr>
            <w:r>
              <w:rPr>
                <w:rFonts w:ascii="宋体" w:hAnsi="宋体" w:cs="宋体" w:eastAsia="宋体" w:hint="default"/>
                <w:sz w:val="21"/>
                <w:szCs w:val="21"/>
              </w:rPr>
              <w:t>首次执行新 准则的调整</w:t>
            </w:r>
          </w:p>
        </w:tc>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54" w:right="252" w:firstLine="104"/>
              <w:jc w:val="left"/>
              <w:rPr>
                <w:rFonts w:ascii="宋体" w:hAnsi="宋体" w:cs="宋体" w:eastAsia="宋体" w:hint="default"/>
                <w:sz w:val="21"/>
                <w:szCs w:val="21"/>
              </w:rPr>
            </w:pPr>
            <w:r>
              <w:rPr>
                <w:rFonts w:ascii="宋体" w:hAnsi="宋体" w:cs="宋体" w:eastAsia="宋体" w:hint="default"/>
                <w:sz w:val="21"/>
                <w:szCs w:val="21"/>
              </w:rPr>
              <w:t>更正后 列报金额</w:t>
            </w:r>
          </w:p>
        </w:tc>
      </w:tr>
      <w:tr>
        <w:trPr>
          <w:trHeight w:val="557" w:hRule="exact"/>
        </w:trPr>
        <w:tc>
          <w:tcPr>
            <w:tcW w:w="1858"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供应商提供</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的商业折扣</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广告位使用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费收入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投款折扣</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售后业务</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302" w:type="dxa"/>
            <w:vMerge/>
            <w:tcBorders>
              <w:left w:val="single" w:sz="4" w:space="0" w:color="000000"/>
              <w:bottom w:val="single" w:sz="4" w:space="0" w:color="000000"/>
              <w:right w:val="single" w:sz="4" w:space="0" w:color="000000"/>
            </w:tcBorders>
          </w:tcPr>
          <w:p>
            <w:pPr/>
          </w:p>
        </w:tc>
        <w:tc>
          <w:tcPr>
            <w:tcW w:w="1358" w:type="dxa"/>
            <w:vMerge/>
            <w:tcBorders>
              <w:left w:val="single" w:sz="4" w:space="0" w:color="000000"/>
              <w:bottom w:val="single" w:sz="4" w:space="0" w:color="000000"/>
              <w:right w:val="single" w:sz="4" w:space="0" w:color="000000"/>
            </w:tcBorders>
          </w:tcPr>
          <w:p>
            <w:pP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附注十三</w:t>
            </w:r>
            <w:r>
              <w:rPr>
                <w:rFonts w:ascii="Times New Roman" w:hAnsi="Times New Roman" w:cs="Times New Roman" w:eastAsia="Times New Roman" w:hint="default"/>
                <w:sz w:val="21"/>
                <w:szCs w:val="21"/>
              </w:rPr>
              <w:t>)</w:t>
            </w: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8614" w:type="dxa"/>
            <w:gridSpan w:val="7"/>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r>
      <w:tr>
        <w:trPr>
          <w:trHeight w:val="283" w:hRule="exact"/>
        </w:trPr>
        <w:tc>
          <w:tcPr>
            <w:tcW w:w="104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日合并资产负债表</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sz w:val="21"/>
              </w:rPr>
              <w:t>3,494,631</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21"/>
                <w:szCs w:val="21"/>
              </w:rPr>
            </w:pPr>
            <w:r>
              <w:rPr>
                <w:rFonts w:ascii="Arial"/>
                <w:spacing w:val="-1"/>
                <w:sz w:val="21"/>
              </w:rPr>
              <w:t>(87,362)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0" w:right="0"/>
              <w:jc w:val="left"/>
              <w:rPr>
                <w:rFonts w:ascii="Arial" w:hAnsi="Arial" w:cs="Arial" w:eastAsia="Arial" w:hint="default"/>
                <w:sz w:val="21"/>
                <w:szCs w:val="21"/>
              </w:rPr>
            </w:pPr>
            <w:r>
              <w:rPr>
                <w:rFonts w:ascii="Arial"/>
                <w:sz w:val="21"/>
              </w:rPr>
              <w:t>3,407,269</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1"/>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2"/>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2"/>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2"/>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2"/>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76" w:right="0"/>
              <w:jc w:val="left"/>
              <w:rPr>
                <w:rFonts w:ascii="Arial" w:hAnsi="Arial" w:cs="Arial" w:eastAsia="Arial" w:hint="default"/>
                <w:sz w:val="21"/>
                <w:szCs w:val="21"/>
              </w:rPr>
            </w:pPr>
            <w:r>
              <w:rPr>
                <w:rFonts w:ascii="Arial"/>
                <w:sz w:val="21"/>
              </w:rPr>
              <w:t>67,512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32" w:right="0"/>
              <w:jc w:val="left"/>
              <w:rPr>
                <w:rFonts w:ascii="Arial" w:hAnsi="Arial" w:cs="Arial" w:eastAsia="Arial" w:hint="default"/>
                <w:sz w:val="21"/>
                <w:szCs w:val="21"/>
              </w:rPr>
            </w:pPr>
            <w:r>
              <w:rPr>
                <w:rFonts w:ascii="Arial"/>
                <w:sz w:val="21"/>
              </w:rPr>
              <w:t>67,512</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sz w:val="21"/>
              </w:rPr>
              <w:t>1,905,222</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Arial" w:hAnsi="Arial" w:cs="Arial" w:eastAsia="Arial" w:hint="default"/>
                <w:sz w:val="21"/>
                <w:szCs w:val="21"/>
              </w:rPr>
            </w:pPr>
            <w:r>
              <w:rPr>
                <w:rFonts w:ascii="Arial"/>
                <w:spacing w:val="-1"/>
                <w:sz w:val="21"/>
              </w:rPr>
              <w:t>(218,980)</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0" w:right="0"/>
              <w:jc w:val="left"/>
              <w:rPr>
                <w:rFonts w:ascii="Arial" w:hAnsi="Arial" w:cs="Arial" w:eastAsia="Arial" w:hint="default"/>
                <w:sz w:val="21"/>
                <w:szCs w:val="21"/>
              </w:rPr>
            </w:pPr>
            <w:r>
              <w:rPr>
                <w:rFonts w:ascii="Arial"/>
                <w:sz w:val="21"/>
              </w:rPr>
              <w:t>1,686,242</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Arial" w:hAnsi="Arial" w:cs="Arial" w:eastAsia="Arial" w:hint="default"/>
                <w:sz w:val="21"/>
                <w:szCs w:val="21"/>
              </w:rPr>
            </w:pPr>
            <w:r>
              <w:rPr>
                <w:rFonts w:ascii="Arial"/>
                <w:spacing w:val="-1"/>
                <w:sz w:val="21"/>
              </w:rPr>
              <w:t>(97,292)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pacing w:val="-1"/>
                <w:sz w:val="21"/>
              </w:rPr>
              <w:t>40,064</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Arial" w:hAnsi="Arial" w:cs="Arial" w:eastAsia="Arial" w:hint="default"/>
                <w:sz w:val="21"/>
                <w:szCs w:val="21"/>
              </w:rPr>
            </w:pPr>
            <w:r>
              <w:rPr>
                <w:rFonts w:ascii="Arial"/>
                <w:spacing w:val="-1"/>
                <w:sz w:val="21"/>
              </w:rPr>
              <w:t>(32,712)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4"/>
              <w:jc w:val="right"/>
              <w:rPr>
                <w:rFonts w:ascii="Arial" w:hAnsi="Arial" w:cs="Arial" w:eastAsia="Arial" w:hint="default"/>
                <w:sz w:val="21"/>
                <w:szCs w:val="21"/>
              </w:rPr>
            </w:pPr>
            <w:r>
              <w:rPr>
                <w:rFonts w:ascii="Arial"/>
                <w:spacing w:val="-1"/>
                <w:w w:val="95"/>
                <w:sz w:val="21"/>
              </w:rPr>
              <w:t>4,406</w:t>
            </w:r>
            <w:r>
              <w:rPr>
                <w:rFonts w:ascii="Arial"/>
                <w:w w:val="95"/>
                <w:sz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Arial" w:hAnsi="Arial" w:cs="Arial" w:eastAsia="Arial" w:hint="default"/>
                <w:sz w:val="21"/>
                <w:szCs w:val="21"/>
              </w:rPr>
            </w:pPr>
            <w:r>
              <w:rPr>
                <w:rFonts w:ascii="Arial"/>
                <w:spacing w:val="-1"/>
                <w:sz w:val="21"/>
              </w:rPr>
              <w:t>(85,534)</w:t>
            </w:r>
          </w:p>
        </w:tc>
      </w:tr>
      <w:tr>
        <w:trPr>
          <w:trHeight w:val="28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其他应交款</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w w:val="95"/>
                <w:sz w:val="21"/>
              </w:rPr>
              <w:t>4,406</w:t>
            </w:r>
            <w:r>
              <w:rPr>
                <w:rFonts w:ascii="Arial"/>
                <w:w w:val="95"/>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21"/>
                <w:szCs w:val="21"/>
              </w:rPr>
            </w:pPr>
            <w:r>
              <w:rPr>
                <w:rFonts w:ascii="Arial"/>
                <w:spacing w:val="-1"/>
                <w:sz w:val="21"/>
              </w:rPr>
              <w:t>(4,406)</w:t>
            </w:r>
            <w:r>
              <w:rPr>
                <w:rFonts w:ascii="Arial"/>
                <w:sz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r>
      <w:tr>
        <w:trPr>
          <w:trHeight w:val="557"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一年内到期</w:t>
            </w:r>
            <w:r>
              <w:rPr>
                <w:rFonts w:ascii="宋体" w:hAnsi="宋体" w:cs="宋体" w:eastAsia="宋体" w:hint="default"/>
                <w:spacing w:val="-77"/>
                <w:sz w:val="21"/>
                <w:szCs w:val="21"/>
              </w:rPr>
              <w:t> </w:t>
            </w:r>
            <w:r>
              <w:rPr>
                <w:rFonts w:ascii="宋体" w:hAnsi="宋体" w:cs="宋体" w:eastAsia="宋体" w:hint="default"/>
                <w:spacing w:val="14"/>
                <w:sz w:val="21"/>
                <w:szCs w:val="21"/>
              </w:rPr>
              <w:t>的非</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1"/>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72"/>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33" w:right="0"/>
              <w:jc w:val="left"/>
              <w:rPr>
                <w:rFonts w:ascii="Arial" w:hAnsi="Arial" w:cs="Arial" w:eastAsia="Arial" w:hint="default"/>
                <w:sz w:val="21"/>
                <w:szCs w:val="21"/>
              </w:rPr>
            </w:pPr>
            <w:r>
              <w:rPr>
                <w:rFonts w:ascii="Arial"/>
                <w:sz w:val="21"/>
              </w:rPr>
              <w:t>107,182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73"/>
              <w:jc w:val="right"/>
              <w:rPr>
                <w:rFonts w:ascii="Arial" w:hAnsi="Arial" w:cs="Arial" w:eastAsia="Arial" w:hint="default"/>
                <w:sz w:val="21"/>
                <w:szCs w:val="21"/>
              </w:rPr>
            </w:pPr>
            <w:r>
              <w:rPr>
                <w:rFonts w:ascii="Arial"/>
                <w:sz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16" w:right="0"/>
              <w:jc w:val="left"/>
              <w:rPr>
                <w:rFonts w:ascii="Arial" w:hAnsi="Arial" w:cs="Arial" w:eastAsia="Arial" w:hint="default"/>
                <w:sz w:val="21"/>
                <w:szCs w:val="21"/>
              </w:rPr>
            </w:pPr>
            <w:r>
              <w:rPr>
                <w:rFonts w:ascii="Arial"/>
                <w:sz w:val="21"/>
              </w:rPr>
              <w:t>107,182</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sz w:val="21"/>
              </w:rPr>
              <w:t>3,084,367</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pacing w:val="-1"/>
                <w:sz w:val="21"/>
              </w:rPr>
              <w:t>91,554</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21"/>
                <w:szCs w:val="21"/>
              </w:rPr>
            </w:pPr>
            <w:r>
              <w:rPr>
                <w:rFonts w:ascii="Arial"/>
                <w:spacing w:val="-1"/>
                <w:sz w:val="21"/>
              </w:rPr>
              <w:t>(74,471)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2"/>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2"/>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60" w:right="0"/>
              <w:jc w:val="left"/>
              <w:rPr>
                <w:rFonts w:ascii="Arial" w:hAnsi="Arial" w:cs="Arial" w:eastAsia="Arial" w:hint="default"/>
                <w:sz w:val="21"/>
                <w:szCs w:val="21"/>
              </w:rPr>
            </w:pPr>
            <w:r>
              <w:rPr>
                <w:rFonts w:ascii="Arial"/>
                <w:sz w:val="21"/>
              </w:rPr>
              <w:t>192,314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1" w:right="0"/>
              <w:jc w:val="left"/>
              <w:rPr>
                <w:rFonts w:ascii="Arial" w:hAnsi="Arial" w:cs="Arial" w:eastAsia="Arial" w:hint="default"/>
                <w:sz w:val="21"/>
                <w:szCs w:val="21"/>
              </w:rPr>
            </w:pPr>
            <w:r>
              <w:rPr>
                <w:rFonts w:ascii="Arial"/>
                <w:sz w:val="21"/>
              </w:rPr>
              <w:t>3,293,764</w:t>
            </w:r>
          </w:p>
        </w:tc>
      </w:tr>
      <w:tr>
        <w:trPr>
          <w:trHeight w:val="251"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4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年度合并利润表</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3"/>
              <w:jc w:val="right"/>
              <w:rPr>
                <w:rFonts w:ascii="Arial" w:hAnsi="Arial" w:cs="Arial" w:eastAsia="Arial" w:hint="default"/>
                <w:sz w:val="21"/>
                <w:szCs w:val="21"/>
              </w:rPr>
            </w:pPr>
            <w:r>
              <w:rPr>
                <w:rFonts w:ascii="Arial"/>
                <w:spacing w:val="-1"/>
                <w:sz w:val="21"/>
              </w:rPr>
              <w:t>24,927,395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21"/>
                <w:szCs w:val="21"/>
              </w:rPr>
            </w:pPr>
            <w:r>
              <w:rPr>
                <w:rFonts w:ascii="Arial"/>
                <w:spacing w:val="-1"/>
                <w:sz w:val="21"/>
              </w:rPr>
              <w:t>(107,182)</w:t>
            </w:r>
            <w:r>
              <w:rPr>
                <w:rFonts w:ascii="Arial"/>
                <w:sz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21"/>
                <w:szCs w:val="21"/>
              </w:rPr>
            </w:pPr>
            <w:r>
              <w:rPr>
                <w:rFonts w:ascii="Arial"/>
                <w:spacing w:val="-1"/>
                <w:sz w:val="21"/>
              </w:rPr>
              <w:t>(4,761)</w:t>
            </w:r>
            <w:r>
              <w:rPr>
                <w:rFonts w:ascii="Arial"/>
                <w:sz w:val="21"/>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2"/>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85" w:right="0"/>
              <w:jc w:val="left"/>
              <w:rPr>
                <w:rFonts w:ascii="Arial" w:hAnsi="Arial" w:cs="Arial" w:eastAsia="Arial" w:hint="default"/>
                <w:sz w:val="21"/>
                <w:szCs w:val="21"/>
              </w:rPr>
            </w:pPr>
            <w:r>
              <w:rPr>
                <w:rFonts w:ascii="Arial"/>
                <w:sz w:val="21"/>
              </w:rPr>
              <w:t>1,345,800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22" w:right="0"/>
              <w:jc w:val="left"/>
              <w:rPr>
                <w:rFonts w:ascii="Arial" w:hAnsi="Arial" w:cs="Arial" w:eastAsia="Arial" w:hint="default"/>
                <w:sz w:val="21"/>
                <w:szCs w:val="21"/>
              </w:rPr>
            </w:pPr>
            <w:r>
              <w:rPr>
                <w:rFonts w:ascii="Arial"/>
                <w:sz w:val="21"/>
              </w:rPr>
              <w:t>26,161,252</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3"/>
              <w:jc w:val="right"/>
              <w:rPr>
                <w:rFonts w:ascii="Arial" w:hAnsi="Arial" w:cs="Arial" w:eastAsia="Arial" w:hint="default"/>
                <w:sz w:val="21"/>
                <w:szCs w:val="21"/>
              </w:rPr>
            </w:pPr>
            <w:r>
              <w:rPr>
                <w:rFonts w:ascii="Arial"/>
                <w:spacing w:val="-1"/>
                <w:sz w:val="21"/>
              </w:rPr>
              <w:t>22,329,719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Arial" w:hAnsi="Arial" w:cs="Arial" w:eastAsia="Arial" w:hint="default"/>
                <w:sz w:val="21"/>
                <w:szCs w:val="21"/>
              </w:rPr>
            </w:pPr>
            <w:r>
              <w:rPr>
                <w:rFonts w:ascii="Arial"/>
                <w:spacing w:val="-1"/>
                <w:sz w:val="21"/>
              </w:rPr>
              <w:t>(131,618)</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4"/>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2"/>
              <w:jc w:val="right"/>
              <w:rPr>
                <w:rFonts w:ascii="Arial" w:hAnsi="Arial" w:cs="Arial" w:eastAsia="Arial" w:hint="default"/>
                <w:sz w:val="21"/>
                <w:szCs w:val="21"/>
              </w:rPr>
            </w:pPr>
            <w:r>
              <w:rPr>
                <w:rFonts w:ascii="Arial"/>
                <w:spacing w:val="-1"/>
                <w:sz w:val="21"/>
              </w:rPr>
              <w:t>22,406</w:t>
            </w:r>
            <w:r>
              <w:rPr>
                <w:rFonts w:ascii="Arial"/>
                <w:sz w:val="21"/>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4" w:right="0"/>
              <w:jc w:val="left"/>
              <w:rPr>
                <w:rFonts w:ascii="Arial" w:hAnsi="Arial" w:cs="Arial" w:eastAsia="Arial" w:hint="default"/>
                <w:sz w:val="21"/>
                <w:szCs w:val="21"/>
              </w:rPr>
            </w:pPr>
            <w:r>
              <w:rPr>
                <w:rFonts w:ascii="Arial"/>
                <w:sz w:val="21"/>
              </w:rPr>
              <w:t>44,466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pacing w:val="-1"/>
                <w:w w:val="95"/>
                <w:sz w:val="21"/>
              </w:rPr>
              <w:t>3,833</w:t>
            </w:r>
            <w:r>
              <w:rPr>
                <w:rFonts w:ascii="Arial"/>
                <w:w w:val="95"/>
                <w:sz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21" w:right="0"/>
              <w:jc w:val="left"/>
              <w:rPr>
                <w:rFonts w:ascii="Arial" w:hAnsi="Arial" w:cs="Arial" w:eastAsia="Arial" w:hint="default"/>
                <w:sz w:val="21"/>
                <w:szCs w:val="21"/>
              </w:rPr>
            </w:pPr>
            <w:r>
              <w:rPr>
                <w:rFonts w:ascii="Arial"/>
                <w:sz w:val="21"/>
              </w:rPr>
              <w:t>22,268,806</w:t>
            </w:r>
          </w:p>
        </w:tc>
      </w:tr>
      <w:tr>
        <w:trPr>
          <w:trHeight w:val="28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sz w:val="21"/>
              </w:rPr>
              <w:t>44,923</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76" w:right="0"/>
              <w:jc w:val="left"/>
              <w:rPr>
                <w:rFonts w:ascii="Arial" w:hAnsi="Arial" w:cs="Arial" w:eastAsia="Arial" w:hint="default"/>
                <w:sz w:val="21"/>
                <w:szCs w:val="21"/>
              </w:rPr>
            </w:pPr>
            <w:r>
              <w:rPr>
                <w:rFonts w:ascii="Arial"/>
                <w:sz w:val="21"/>
              </w:rPr>
              <w:t>73,872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31" w:right="0"/>
              <w:jc w:val="left"/>
              <w:rPr>
                <w:rFonts w:ascii="Arial" w:hAnsi="Arial" w:cs="Arial" w:eastAsia="Arial" w:hint="default"/>
                <w:sz w:val="21"/>
                <w:szCs w:val="21"/>
              </w:rPr>
            </w:pPr>
            <w:r>
              <w:rPr>
                <w:rFonts w:ascii="Arial"/>
                <w:spacing w:val="-4"/>
                <w:sz w:val="21"/>
              </w:rPr>
              <w:t>118,795</w:t>
            </w:r>
            <w:r>
              <w:rPr>
                <w:rFonts w:ascii="Arial"/>
                <w:sz w:val="21"/>
              </w:rPr>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其他业务利润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sz w:val="21"/>
              </w:rPr>
              <w:t>1,268,095</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3" w:right="0"/>
              <w:jc w:val="left"/>
              <w:rPr>
                <w:rFonts w:ascii="Arial" w:hAnsi="Arial" w:cs="Arial" w:eastAsia="Arial" w:hint="default"/>
                <w:sz w:val="21"/>
                <w:szCs w:val="21"/>
              </w:rPr>
            </w:pPr>
            <w:r>
              <w:rPr>
                <w:rFonts w:ascii="Arial"/>
                <w:sz w:val="21"/>
              </w:rPr>
              <w:t>(1,268,095)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sz w:val="21"/>
              </w:rPr>
              <w:t>2,252,328</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21"/>
                <w:szCs w:val="21"/>
              </w:rPr>
            </w:pPr>
            <w:r>
              <w:rPr>
                <w:rFonts w:ascii="Arial"/>
                <w:spacing w:val="-1"/>
                <w:sz w:val="21"/>
              </w:rPr>
              <w:t>(44,466)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0" w:right="0"/>
              <w:jc w:val="left"/>
              <w:rPr>
                <w:rFonts w:ascii="Arial" w:hAnsi="Arial" w:cs="Arial" w:eastAsia="Arial" w:hint="default"/>
                <w:sz w:val="21"/>
                <w:szCs w:val="21"/>
              </w:rPr>
            </w:pPr>
            <w:r>
              <w:rPr>
                <w:rFonts w:ascii="Arial"/>
                <w:sz w:val="21"/>
              </w:rPr>
              <w:t>2,207,862</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sz w:val="21"/>
              </w:rPr>
              <w:t>50,748</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21"/>
                <w:szCs w:val="21"/>
              </w:rPr>
            </w:pPr>
            <w:r>
              <w:rPr>
                <w:rFonts w:ascii="Arial"/>
                <w:spacing w:val="-1"/>
                <w:sz w:val="21"/>
              </w:rPr>
              <w:t>(27,167)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32" w:right="0"/>
              <w:jc w:val="left"/>
              <w:rPr>
                <w:rFonts w:ascii="Arial" w:hAnsi="Arial" w:cs="Arial" w:eastAsia="Arial" w:hint="default"/>
                <w:sz w:val="21"/>
                <w:szCs w:val="21"/>
              </w:rPr>
            </w:pPr>
            <w:r>
              <w:rPr>
                <w:rFonts w:ascii="Arial"/>
                <w:sz w:val="21"/>
              </w:rPr>
              <w:t>23,581</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投资亏损</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w w:val="95"/>
                <w:sz w:val="21"/>
              </w:rPr>
              <w:t>1,098</w:t>
            </w:r>
            <w:r>
              <w:rPr>
                <w:rFonts w:ascii="Arial"/>
                <w:w w:val="95"/>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Arial" w:hAnsi="Arial" w:cs="Arial" w:eastAsia="Arial" w:hint="default"/>
                <w:sz w:val="21"/>
                <w:szCs w:val="21"/>
              </w:rPr>
            </w:pPr>
            <w:r>
              <w:rPr>
                <w:rFonts w:ascii="Arial"/>
                <w:spacing w:val="-1"/>
                <w:sz w:val="21"/>
              </w:rPr>
              <w:t>(1,096)</w:t>
            </w:r>
            <w:r>
              <w:rPr>
                <w:rFonts w:ascii="Arial"/>
                <w:sz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2</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sz w:val="21"/>
              </w:rPr>
              <w:t>366,094</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pacing w:val="-1"/>
                <w:sz w:val="21"/>
              </w:rPr>
              <w:t>40,064</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Arial" w:hAnsi="Arial" w:cs="Arial" w:eastAsia="Arial" w:hint="default"/>
                <w:sz w:val="21"/>
                <w:szCs w:val="21"/>
              </w:rPr>
            </w:pPr>
            <w:r>
              <w:rPr>
                <w:rFonts w:ascii="Arial"/>
                <w:spacing w:val="-3"/>
                <w:sz w:val="21"/>
              </w:rPr>
              <w:t>(32,711)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Arial" w:hAnsi="Arial" w:cs="Arial" w:eastAsia="Arial" w:hint="default"/>
                <w:sz w:val="21"/>
                <w:szCs w:val="21"/>
              </w:rPr>
            </w:pPr>
            <w:r>
              <w:rPr>
                <w:rFonts w:ascii="Arial"/>
                <w:spacing w:val="-1"/>
                <w:sz w:val="21"/>
              </w:rPr>
              <w:t>(23,505)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15" w:right="0"/>
              <w:jc w:val="left"/>
              <w:rPr>
                <w:rFonts w:ascii="Arial" w:hAnsi="Arial" w:cs="Arial" w:eastAsia="Arial" w:hint="default"/>
                <w:sz w:val="21"/>
                <w:szCs w:val="21"/>
              </w:rPr>
            </w:pPr>
            <w:r>
              <w:rPr>
                <w:rFonts w:ascii="Arial"/>
                <w:sz w:val="21"/>
              </w:rPr>
              <w:t>349,942</w:t>
            </w:r>
          </w:p>
        </w:tc>
      </w:tr>
      <w:tr>
        <w:trPr>
          <w:trHeight w:val="28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2"/>
              <w:jc w:val="right"/>
              <w:rPr>
                <w:rFonts w:ascii="Arial" w:hAnsi="Arial" w:cs="Arial" w:eastAsia="Arial" w:hint="default"/>
                <w:sz w:val="21"/>
                <w:szCs w:val="21"/>
              </w:rPr>
            </w:pPr>
            <w:r>
              <w:rPr>
                <w:rFonts w:ascii="Arial"/>
                <w:spacing w:val="-1"/>
                <w:sz w:val="21"/>
              </w:rPr>
              <w:t>720,300</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pacing w:val="-1"/>
                <w:sz w:val="21"/>
              </w:rPr>
              <w:t>91,554</w:t>
            </w:r>
            <w:r>
              <w:rPr>
                <w:rFonts w:ascii="Arial"/>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Arial" w:hAnsi="Arial" w:cs="Arial" w:eastAsia="Arial" w:hint="default"/>
                <w:sz w:val="21"/>
                <w:szCs w:val="21"/>
              </w:rPr>
            </w:pPr>
            <w:r>
              <w:rPr>
                <w:rFonts w:ascii="Arial"/>
                <w:spacing w:val="-1"/>
                <w:sz w:val="21"/>
              </w:rPr>
              <w:t>(74,471)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3"/>
              <w:jc w:val="right"/>
              <w:rPr>
                <w:rFonts w:ascii="Arial" w:hAnsi="Arial" w:cs="Arial" w:eastAsia="Arial" w:hint="default"/>
                <w:sz w:val="21"/>
                <w:szCs w:val="21"/>
              </w:rPr>
            </w:pPr>
            <w:r>
              <w:rPr>
                <w:rFonts w:ascii="Arial"/>
                <w:sz w:val="21"/>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75" w:right="0"/>
              <w:jc w:val="left"/>
              <w:rPr>
                <w:rFonts w:ascii="Arial" w:hAnsi="Arial" w:cs="Arial" w:eastAsia="Arial" w:hint="default"/>
                <w:sz w:val="21"/>
                <w:szCs w:val="21"/>
              </w:rPr>
            </w:pPr>
            <w:r>
              <w:rPr>
                <w:rFonts w:ascii="Arial"/>
                <w:sz w:val="21"/>
              </w:rPr>
              <w:t>60,153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15" w:right="0"/>
              <w:jc w:val="left"/>
              <w:rPr>
                <w:rFonts w:ascii="Arial" w:hAnsi="Arial" w:cs="Arial" w:eastAsia="Arial" w:hint="default"/>
                <w:sz w:val="21"/>
                <w:szCs w:val="21"/>
              </w:rPr>
            </w:pPr>
            <w:r>
              <w:rPr>
                <w:rFonts w:ascii="Arial"/>
                <w:sz w:val="21"/>
              </w:rPr>
              <w:t>797,536</w:t>
            </w:r>
          </w:p>
        </w:tc>
      </w:tr>
    </w:tbl>
    <w:p>
      <w:pPr>
        <w:spacing w:after="0" w:line="240" w:lineRule="auto"/>
        <w:jc w:val="left"/>
        <w:rPr>
          <w:rFonts w:ascii="Arial" w:hAnsi="Arial" w:cs="Arial" w:eastAsia="Arial" w:hint="default"/>
          <w:sz w:val="21"/>
          <w:szCs w:val="21"/>
        </w:rPr>
        <w:sectPr>
          <w:pgSz w:w="11910" w:h="16840"/>
          <w:pgMar w:header="1458" w:footer="708" w:top="1640" w:bottom="900" w:left="900" w:right="300"/>
        </w:sectPr>
      </w:pPr>
    </w:p>
    <w:p>
      <w:pPr>
        <w:spacing w:line="240" w:lineRule="auto" w:before="5"/>
        <w:rPr>
          <w:rFonts w:ascii="宋体" w:hAnsi="宋体" w:cs="宋体" w:eastAsia="宋体" w:hint="default"/>
          <w:sz w:val="17"/>
          <w:szCs w:val="17"/>
        </w:rPr>
      </w:pPr>
    </w:p>
    <w:p>
      <w:pPr>
        <w:pStyle w:val="BodyText"/>
        <w:tabs>
          <w:tab w:pos="817" w:val="left" w:leader="none"/>
        </w:tabs>
        <w:spacing w:line="448" w:lineRule="auto" w:before="26"/>
        <w:ind w:left="817" w:right="3845" w:hanging="710"/>
        <w:jc w:val="left"/>
      </w:pPr>
      <w:r>
        <w:rPr>
          <w:rFonts w:ascii="宋体" w:hAnsi="宋体" w:cs="宋体" w:eastAsia="宋体" w:hint="default"/>
          <w:b/>
          <w:bCs/>
          <w:w w:val="95"/>
        </w:rPr>
        <w:t>六</w:t>
        <w:tab/>
      </w:r>
      <w:r>
        <w:rPr>
          <w:rFonts w:ascii="宋体" w:hAnsi="宋体" w:cs="宋体" w:eastAsia="宋体" w:hint="default"/>
          <w:b/>
          <w:bCs/>
        </w:rPr>
        <w:t>税项</w:t>
      </w:r>
      <w:r>
        <w:rPr>
          <w:rFonts w:ascii="宋体" w:hAnsi="宋体" w:cs="宋体" w:eastAsia="宋体" w:hint="default"/>
          <w:b/>
          <w:bCs/>
          <w:w w:val="99"/>
        </w:rPr>
        <w:t> </w:t>
      </w:r>
      <w:r>
        <w:rPr/>
        <w:t>本集团本年度适用的主要税种及其税率列示如下：</w:t>
      </w:r>
    </w:p>
    <w:p>
      <w:pPr>
        <w:pStyle w:val="BodyText"/>
        <w:tabs>
          <w:tab w:pos="2455" w:val="left" w:leader="none"/>
          <w:tab w:pos="7745" w:val="left" w:leader="none"/>
        </w:tabs>
        <w:spacing w:line="240" w:lineRule="auto" w:before="65"/>
        <w:ind w:left="817" w:right="0"/>
        <w:jc w:val="left"/>
      </w:pPr>
      <w:r>
        <w:rPr/>
      </w:r>
      <w:r>
        <w:rPr>
          <w:u w:val="single" w:color="000000"/>
        </w:rPr>
        <w:t>税种</w:t>
      </w:r>
      <w:r>
        <w:rPr/>
        <w:tab/>
      </w:r>
      <w:r>
        <w:rPr>
          <w:u w:val="single" w:color="000000"/>
        </w:rPr>
        <w:t>税率</w:t>
      </w:r>
      <w:r>
        <w:rPr/>
        <w:tab/>
      </w:r>
      <w:r>
        <w:rPr>
          <w:u w:val="single" w:color="000000"/>
        </w:rPr>
        <w:t>税基</w:t>
      </w:r>
      <w:r>
        <w:rPr/>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458" w:footer="708" w:top="1640" w:bottom="900" w:left="1020" w:right="940"/>
        </w:sectPr>
      </w:pPr>
    </w:p>
    <w:p>
      <w:pPr>
        <w:pStyle w:val="BodyText"/>
        <w:tabs>
          <w:tab w:pos="2455" w:val="left" w:leader="none"/>
        </w:tabs>
        <w:spacing w:line="312" w:lineRule="exact" w:before="56"/>
        <w:ind w:left="2455" w:right="2" w:hanging="1638"/>
        <w:jc w:val="left"/>
      </w:pPr>
      <w:r>
        <w:rPr/>
        <w:t>增值税</w:t>
        <w:tab/>
      </w:r>
      <w:r>
        <w:rPr>
          <w:spacing w:val="6"/>
        </w:rPr>
        <w:t>家用电器销售：小规模纳税人增值税税率</w:t>
      </w:r>
      <w:r>
        <w:rPr>
          <w:spacing w:val="6"/>
        </w:rPr>
        <w:t> </w:t>
      </w:r>
      <w:r>
        <w:rPr/>
        <w:t>为</w:t>
      </w:r>
      <w:r>
        <w:rPr>
          <w:spacing w:val="-62"/>
        </w:rPr>
        <w:t> </w:t>
      </w:r>
      <w:r>
        <w:rPr>
          <w:rFonts w:ascii="Arial" w:hAnsi="Arial" w:cs="Arial" w:eastAsia="Arial" w:hint="default"/>
        </w:rPr>
        <w:t>4%</w:t>
      </w:r>
      <w:r>
        <w:rPr/>
        <w:t>，一般纳税人增值税税率为</w:t>
      </w:r>
      <w:r>
        <w:rPr>
          <w:spacing w:val="-62"/>
        </w:rPr>
        <w:t> </w:t>
      </w:r>
      <w:r>
        <w:rPr>
          <w:rFonts w:ascii="Arial" w:hAnsi="Arial" w:cs="Arial" w:eastAsia="Arial" w:hint="default"/>
        </w:rPr>
        <w:t>17%</w:t>
      </w:r>
      <w:r>
        <w:rPr/>
        <w:t>；</w:t>
      </w:r>
    </w:p>
    <w:p>
      <w:pPr>
        <w:spacing w:line="240" w:lineRule="auto" w:before="10"/>
        <w:rPr>
          <w:rFonts w:ascii="宋体" w:hAnsi="宋体" w:cs="宋体" w:eastAsia="宋体" w:hint="default"/>
          <w:sz w:val="18"/>
          <w:szCs w:val="18"/>
        </w:rPr>
      </w:pPr>
    </w:p>
    <w:p>
      <w:pPr>
        <w:pStyle w:val="BodyText"/>
        <w:spacing w:line="244" w:lineRule="auto"/>
        <w:ind w:left="2455" w:right="0"/>
        <w:jc w:val="both"/>
        <w:rPr>
          <w:rFonts w:ascii="Arial" w:hAnsi="Arial" w:cs="Arial" w:eastAsia="Arial" w:hint="default"/>
        </w:rPr>
      </w:pPr>
      <w:r>
        <w:rPr>
          <w:spacing w:val="6"/>
        </w:rPr>
        <w:t>家用电器维修：小规模纳税人增值税税率 </w:t>
      </w:r>
      <w:r>
        <w:rPr/>
        <w:t>为 </w:t>
      </w:r>
      <w:r>
        <w:rPr>
          <w:rFonts w:ascii="Arial" w:hAnsi="Arial" w:cs="Arial" w:eastAsia="Arial" w:hint="default"/>
          <w:spacing w:val="2"/>
        </w:rPr>
        <w:t>4%</w:t>
      </w:r>
      <w:r>
        <w:rPr>
          <w:spacing w:val="2"/>
        </w:rPr>
        <w:t>和</w:t>
      </w:r>
      <w:r>
        <w:rPr>
          <w:spacing w:val="22"/>
        </w:rPr>
        <w:t> </w:t>
      </w:r>
      <w:r>
        <w:rPr>
          <w:rFonts w:ascii="Arial" w:hAnsi="Arial" w:cs="Arial" w:eastAsia="Arial" w:hint="default"/>
          <w:spacing w:val="8"/>
        </w:rPr>
        <w:t>6%</w:t>
      </w:r>
      <w:r>
        <w:rPr>
          <w:spacing w:val="8"/>
        </w:rPr>
        <w:t>，一般纳税人增值税税率为</w:t>
      </w:r>
      <w:r>
        <w:rPr>
          <w:spacing w:val="9"/>
        </w:rPr>
        <w:t> </w:t>
      </w:r>
      <w:r>
        <w:rPr>
          <w:rFonts w:ascii="Arial" w:hAnsi="Arial" w:cs="Arial" w:eastAsia="Arial" w:hint="default"/>
        </w:rPr>
        <w:t>17%</w:t>
      </w:r>
    </w:p>
    <w:p>
      <w:pPr>
        <w:pStyle w:val="BodyText"/>
        <w:spacing w:line="312" w:lineRule="exact" w:before="56"/>
        <w:ind w:left="808" w:right="103"/>
        <w:jc w:val="both"/>
        <w:rPr>
          <w:rFonts w:ascii="Arial" w:hAnsi="Arial" w:cs="Arial" w:eastAsia="Arial" w:hint="default"/>
        </w:rPr>
      </w:pPr>
      <w:r>
        <w:rPr>
          <w:spacing w:val="9"/>
        </w:rPr>
        <w:br w:type="column"/>
      </w:r>
      <w:r>
        <w:rPr>
          <w:spacing w:val="9"/>
        </w:rPr>
        <w:t>应纳税增值额</w:t>
      </w:r>
      <w:r>
        <w:rPr>
          <w:rFonts w:ascii="Arial" w:hAnsi="Arial" w:cs="Arial" w:eastAsia="Arial" w:hint="default"/>
          <w:spacing w:val="9"/>
        </w:rPr>
        <w:t>(</w:t>
      </w:r>
      <w:r>
        <w:rPr>
          <w:spacing w:val="9"/>
        </w:rPr>
        <w:t>应纳 </w:t>
      </w:r>
      <w:r>
        <w:rPr>
          <w:spacing w:val="18"/>
        </w:rPr>
        <w:t>税额按应纳税销售</w:t>
      </w:r>
      <w:r>
        <w:rPr>
          <w:spacing w:val="-118"/>
        </w:rPr>
        <w:t> </w:t>
      </w:r>
      <w:r>
        <w:rPr>
          <w:spacing w:val="18"/>
        </w:rPr>
        <w:t>额乘以适用税率扣</w:t>
      </w:r>
      <w:r>
        <w:rPr>
          <w:spacing w:val="-118"/>
        </w:rPr>
        <w:t> </w:t>
      </w:r>
      <w:r>
        <w:rPr>
          <w:spacing w:val="18"/>
        </w:rPr>
        <w:t>除当期允计抵扣的</w:t>
      </w:r>
      <w:r>
        <w:rPr>
          <w:spacing w:val="-118"/>
        </w:rPr>
        <w:t> </w:t>
      </w:r>
      <w:r>
        <w:rPr>
          <w:spacing w:val="18"/>
        </w:rPr>
        <w:t>进项税后的余额计</w:t>
      </w:r>
      <w:r>
        <w:rPr>
          <w:spacing w:val="-118"/>
        </w:rPr>
        <w:t> </w:t>
      </w:r>
      <w:r>
        <w:rPr/>
        <w:t>算</w:t>
      </w:r>
      <w:r>
        <w:rPr>
          <w:rFonts w:ascii="Arial" w:hAnsi="Arial" w:cs="Arial" w:eastAsia="Arial" w:hint="default"/>
        </w:rPr>
        <w:t>)</w:t>
      </w:r>
    </w:p>
    <w:p>
      <w:pPr>
        <w:spacing w:after="0" w:line="312" w:lineRule="exact"/>
        <w:jc w:val="both"/>
        <w:rPr>
          <w:rFonts w:ascii="Arial" w:hAnsi="Arial" w:cs="Arial" w:eastAsia="Arial" w:hint="default"/>
        </w:rPr>
        <w:sectPr>
          <w:type w:val="continuous"/>
          <w:pgSz w:w="11910" w:h="16840"/>
          <w:pgMar w:top="1600" w:bottom="280" w:left="1020" w:right="940"/>
          <w:cols w:num="2" w:equalWidth="0">
            <w:col w:w="6898" w:space="40"/>
            <w:col w:w="3012"/>
          </w:cols>
        </w:sectPr>
      </w:pPr>
    </w:p>
    <w:p>
      <w:pPr>
        <w:spacing w:line="240" w:lineRule="auto" w:before="1"/>
        <w:rPr>
          <w:rFonts w:ascii="Arial" w:hAnsi="Arial" w:cs="Arial" w:eastAsia="Arial" w:hint="default"/>
          <w:sz w:val="19"/>
          <w:szCs w:val="19"/>
        </w:rPr>
      </w:pPr>
    </w:p>
    <w:p>
      <w:pPr>
        <w:spacing w:after="0" w:line="240" w:lineRule="auto"/>
        <w:rPr>
          <w:rFonts w:ascii="Arial" w:hAnsi="Arial" w:cs="Arial" w:eastAsia="Arial" w:hint="default"/>
          <w:sz w:val="19"/>
          <w:szCs w:val="19"/>
        </w:rPr>
        <w:sectPr>
          <w:type w:val="continuous"/>
          <w:pgSz w:w="11910" w:h="16840"/>
          <w:pgMar w:top="1600" w:bottom="280" w:left="1020" w:right="940"/>
        </w:sectPr>
      </w:pPr>
    </w:p>
    <w:p>
      <w:pPr>
        <w:pStyle w:val="BodyText"/>
        <w:tabs>
          <w:tab w:pos="2455" w:val="left" w:leader="none"/>
        </w:tabs>
        <w:spacing w:line="312" w:lineRule="exact" w:before="56"/>
        <w:ind w:left="2455" w:right="0" w:hanging="1638"/>
        <w:jc w:val="left"/>
      </w:pPr>
      <w:r>
        <w:rPr/>
        <w:t>营业税</w:t>
        <w:tab/>
      </w:r>
      <w:r>
        <w:rPr>
          <w:spacing w:val="6"/>
        </w:rPr>
        <w:t>培训业务收入、安装业务收入营业税税率</w:t>
      </w:r>
      <w:r>
        <w:rPr>
          <w:spacing w:val="6"/>
        </w:rPr>
        <w:t> </w:t>
      </w:r>
      <w:r>
        <w:rPr/>
        <w:t>为</w:t>
      </w:r>
      <w:r>
        <w:rPr>
          <w:spacing w:val="-61"/>
        </w:rPr>
        <w:t> </w:t>
      </w:r>
      <w:r>
        <w:rPr>
          <w:rFonts w:ascii="Arial" w:hAnsi="Arial" w:cs="Arial" w:eastAsia="Arial" w:hint="default"/>
        </w:rPr>
        <w:t>3%</w:t>
      </w:r>
      <w:r>
        <w:rPr/>
        <w:t>；</w:t>
      </w:r>
    </w:p>
    <w:p>
      <w:pPr>
        <w:spacing w:line="240" w:lineRule="auto" w:before="1"/>
        <w:rPr>
          <w:rFonts w:ascii="宋体" w:hAnsi="宋体" w:cs="宋体" w:eastAsia="宋体" w:hint="default"/>
          <w:sz w:val="21"/>
          <w:szCs w:val="21"/>
        </w:rPr>
      </w:pPr>
    </w:p>
    <w:p>
      <w:pPr>
        <w:pStyle w:val="BodyText"/>
        <w:spacing w:line="312" w:lineRule="exact"/>
        <w:ind w:left="2455" w:right="0"/>
        <w:jc w:val="both"/>
      </w:pPr>
      <w:r>
        <w:rPr>
          <w:spacing w:val="6"/>
        </w:rPr>
        <w:t>代理收入、连锁店服务收入包括广告促销 收入、进场收入及广告位使用费收入等营 </w:t>
      </w:r>
      <w:r>
        <w:rPr/>
        <w:t>业税税率为</w:t>
      </w:r>
      <w:r>
        <w:rPr>
          <w:spacing w:val="-61"/>
        </w:rPr>
        <w:t> </w:t>
      </w:r>
      <w:r>
        <w:rPr>
          <w:rFonts w:ascii="Arial" w:hAnsi="Arial" w:cs="Arial" w:eastAsia="Arial" w:hint="default"/>
        </w:rPr>
        <w:t>5%</w:t>
      </w:r>
      <w:r>
        <w:rPr/>
        <w:t>；</w:t>
      </w:r>
    </w:p>
    <w:p>
      <w:pPr>
        <w:spacing w:line="240" w:lineRule="auto" w:before="10"/>
        <w:rPr>
          <w:rFonts w:ascii="宋体" w:hAnsi="宋体" w:cs="宋体" w:eastAsia="宋体" w:hint="default"/>
          <w:sz w:val="18"/>
          <w:szCs w:val="18"/>
        </w:rPr>
      </w:pPr>
    </w:p>
    <w:p>
      <w:pPr>
        <w:pStyle w:val="BodyText"/>
        <w:spacing w:line="240" w:lineRule="auto"/>
        <w:ind w:left="2455" w:right="0"/>
        <w:jc w:val="both"/>
        <w:rPr>
          <w:rFonts w:ascii="Arial" w:hAnsi="Arial" w:cs="Arial" w:eastAsia="Arial" w:hint="default"/>
        </w:rPr>
      </w:pPr>
      <w:r>
        <w:rPr/>
        <w:t>其他服务收入的营业税税率为</w:t>
      </w:r>
      <w:r>
        <w:rPr>
          <w:spacing w:val="-62"/>
        </w:rPr>
        <w:t> </w:t>
      </w:r>
      <w:r>
        <w:rPr>
          <w:rFonts w:ascii="Arial" w:hAnsi="Arial" w:cs="Arial" w:eastAsia="Arial" w:hint="default"/>
        </w:rPr>
        <w:t>5%</w:t>
      </w:r>
    </w:p>
    <w:p>
      <w:pPr>
        <w:pStyle w:val="BodyText"/>
        <w:spacing w:line="240" w:lineRule="auto" w:before="26"/>
        <w:ind w:left="812" w:right="0"/>
        <w:jc w:val="left"/>
      </w:pPr>
      <w:r>
        <w:rPr/>
        <w:br w:type="column"/>
      </w:r>
      <w:r>
        <w:rPr/>
        <w:t>应纳税营业额</w:t>
      </w:r>
    </w:p>
    <w:p>
      <w:pPr>
        <w:spacing w:after="0" w:line="240" w:lineRule="auto"/>
        <w:jc w:val="left"/>
        <w:sectPr>
          <w:type w:val="continuous"/>
          <w:pgSz w:w="11910" w:h="16840"/>
          <w:pgMar w:top="1600" w:bottom="280" w:left="1020" w:right="940"/>
          <w:cols w:num="2" w:equalWidth="0">
            <w:col w:w="6894" w:space="40"/>
            <w:col w:w="3016"/>
          </w:cols>
        </w:sectPr>
      </w:pP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020" w:right="940"/>
        </w:sectPr>
      </w:pPr>
    </w:p>
    <w:p>
      <w:pPr>
        <w:pStyle w:val="BodyText"/>
        <w:tabs>
          <w:tab w:pos="2455" w:val="left" w:leader="none"/>
        </w:tabs>
        <w:spacing w:line="312" w:lineRule="exact" w:before="56"/>
        <w:ind w:left="2455" w:right="0" w:hanging="1638"/>
        <w:jc w:val="left"/>
      </w:pPr>
      <w:r>
        <w:rPr/>
        <w:t>企业所得税</w:t>
        <w:tab/>
        <w:t>对于年应纳税所得额</w:t>
      </w:r>
      <w:r>
        <w:rPr>
          <w:rFonts w:ascii="Arial" w:hAnsi="Arial" w:cs="Arial" w:eastAsia="Arial" w:hint="default"/>
        </w:rPr>
        <w:t>≤</w:t>
      </w:r>
      <w:r>
        <w:rPr/>
        <w:t>人民币</w:t>
      </w:r>
      <w:r>
        <w:rPr>
          <w:spacing w:val="-60"/>
        </w:rPr>
        <w:t> </w:t>
      </w:r>
      <w:r>
        <w:rPr>
          <w:rFonts w:ascii="Arial" w:hAnsi="Arial" w:cs="Arial" w:eastAsia="Arial" w:hint="default"/>
        </w:rPr>
        <w:t>3</w:t>
      </w:r>
      <w:r>
        <w:rPr>
          <w:rFonts w:ascii="Arial" w:hAnsi="Arial" w:cs="Arial" w:eastAsia="Arial" w:hint="default"/>
          <w:spacing w:val="-7"/>
        </w:rPr>
        <w:t> </w:t>
      </w:r>
      <w:r>
        <w:rPr>
          <w:spacing w:val="-7"/>
        </w:rPr>
        <w:t>万元，企业</w:t>
      </w:r>
      <w:r>
        <w:rPr/>
        <w:t> 所得税税率为</w:t>
      </w:r>
      <w:r>
        <w:rPr>
          <w:spacing w:val="-62"/>
        </w:rPr>
        <w:t> </w:t>
      </w:r>
      <w:r>
        <w:rPr>
          <w:rFonts w:ascii="Arial" w:hAnsi="Arial" w:cs="Arial" w:eastAsia="Arial" w:hint="default"/>
        </w:rPr>
        <w:t>18%</w:t>
      </w:r>
      <w:r>
        <w:rPr/>
        <w:t>；</w:t>
      </w:r>
    </w:p>
    <w:p>
      <w:pPr>
        <w:spacing w:line="240" w:lineRule="auto" w:before="1"/>
        <w:rPr>
          <w:rFonts w:ascii="宋体" w:hAnsi="宋体" w:cs="宋体" w:eastAsia="宋体" w:hint="default"/>
          <w:sz w:val="21"/>
          <w:szCs w:val="21"/>
        </w:rPr>
      </w:pPr>
    </w:p>
    <w:p>
      <w:pPr>
        <w:pStyle w:val="BodyText"/>
        <w:spacing w:line="312" w:lineRule="exact"/>
        <w:ind w:left="2455" w:right="0"/>
        <w:jc w:val="both"/>
      </w:pPr>
      <w:r>
        <w:rPr/>
        <w:t>对于年应纳税所得额＞人民币</w:t>
      </w:r>
      <w:r>
        <w:rPr>
          <w:spacing w:val="-78"/>
        </w:rPr>
        <w:t> </w:t>
      </w:r>
      <w:r>
        <w:rPr>
          <w:rFonts w:ascii="Arial" w:hAnsi="Arial" w:cs="Arial" w:eastAsia="Arial" w:hint="default"/>
        </w:rPr>
        <w:t>3</w:t>
      </w:r>
      <w:r>
        <w:rPr>
          <w:rFonts w:ascii="Arial" w:hAnsi="Arial" w:cs="Arial" w:eastAsia="Arial" w:hint="default"/>
          <w:spacing w:val="-25"/>
        </w:rPr>
        <w:t> </w:t>
      </w:r>
      <w:r>
        <w:rPr/>
        <w:t>万元但</w:t>
      </w:r>
      <w:r>
        <w:rPr>
          <w:rFonts w:ascii="Arial" w:hAnsi="Arial" w:cs="Arial" w:eastAsia="Arial" w:hint="default"/>
        </w:rPr>
        <w:t>≤</w:t>
      </w:r>
      <w:r>
        <w:rPr/>
        <w:t>人 民币</w:t>
      </w:r>
      <w:r>
        <w:rPr>
          <w:spacing w:val="-61"/>
        </w:rPr>
        <w:t> </w:t>
      </w:r>
      <w:r>
        <w:rPr>
          <w:rFonts w:ascii="Arial" w:hAnsi="Arial" w:cs="Arial" w:eastAsia="Arial" w:hint="default"/>
        </w:rPr>
        <w:t>10</w:t>
      </w:r>
      <w:r>
        <w:rPr>
          <w:rFonts w:ascii="Arial" w:hAnsi="Arial" w:cs="Arial" w:eastAsia="Arial" w:hint="default"/>
          <w:spacing w:val="-8"/>
        </w:rPr>
        <w:t> </w:t>
      </w:r>
      <w:r>
        <w:rPr/>
        <w:t>万元，企业所得税税率为</w:t>
      </w:r>
      <w:r>
        <w:rPr>
          <w:spacing w:val="-61"/>
        </w:rPr>
        <w:t> </w:t>
      </w:r>
      <w:r>
        <w:rPr>
          <w:rFonts w:ascii="Arial" w:hAnsi="Arial" w:cs="Arial" w:eastAsia="Arial" w:hint="default"/>
        </w:rPr>
        <w:t>27%</w:t>
      </w:r>
      <w:r>
        <w:rPr/>
        <w:t>；</w:t>
      </w:r>
    </w:p>
    <w:p>
      <w:pPr>
        <w:spacing w:line="240" w:lineRule="auto" w:before="1"/>
        <w:rPr>
          <w:rFonts w:ascii="宋体" w:hAnsi="宋体" w:cs="宋体" w:eastAsia="宋体" w:hint="default"/>
          <w:sz w:val="21"/>
          <w:szCs w:val="21"/>
        </w:rPr>
      </w:pPr>
    </w:p>
    <w:p>
      <w:pPr>
        <w:pStyle w:val="BodyText"/>
        <w:spacing w:line="312" w:lineRule="exact"/>
        <w:ind w:left="2455" w:right="1"/>
        <w:jc w:val="both"/>
      </w:pPr>
      <w:r>
        <w:rPr/>
        <w:t>对于年应纳税所得额＞人民币</w:t>
      </w:r>
      <w:r>
        <w:rPr>
          <w:spacing w:val="-61"/>
        </w:rPr>
        <w:t> </w:t>
      </w:r>
      <w:r>
        <w:rPr>
          <w:rFonts w:ascii="Arial" w:hAnsi="Arial" w:cs="Arial" w:eastAsia="Arial" w:hint="default"/>
        </w:rPr>
        <w:t>10</w:t>
      </w:r>
      <w:r>
        <w:rPr>
          <w:rFonts w:ascii="Arial" w:hAnsi="Arial" w:cs="Arial" w:eastAsia="Arial" w:hint="default"/>
          <w:spacing w:val="-8"/>
        </w:rPr>
        <w:t> </w:t>
      </w:r>
      <w:r>
        <w:rPr>
          <w:spacing w:val="-9"/>
        </w:rPr>
        <w:t>万元，企</w:t>
      </w:r>
      <w:r>
        <w:rPr/>
        <w:t> 业所得税税率为</w:t>
      </w:r>
      <w:r>
        <w:rPr>
          <w:spacing w:val="-12"/>
        </w:rPr>
        <w:t> </w:t>
      </w:r>
      <w:r>
        <w:rPr>
          <w:rFonts w:ascii="Arial" w:hAnsi="Arial" w:cs="Arial" w:eastAsia="Arial" w:hint="default"/>
        </w:rPr>
        <w:t>33%</w:t>
      </w:r>
      <w:r>
        <w:rPr/>
        <w:t>，其中部分子公司可 以享受优惠企业所得税税率</w:t>
      </w:r>
    </w:p>
    <w:p>
      <w:pPr>
        <w:pStyle w:val="BodyText"/>
        <w:spacing w:line="240" w:lineRule="auto" w:before="26"/>
        <w:ind w:left="817" w:right="0"/>
        <w:jc w:val="left"/>
      </w:pPr>
      <w:r>
        <w:rPr/>
        <w:br w:type="column"/>
      </w:r>
      <w:r>
        <w:rPr/>
        <w:t>应纳税所得额</w:t>
      </w:r>
    </w:p>
    <w:p>
      <w:pPr>
        <w:spacing w:after="0" w:line="240" w:lineRule="auto"/>
        <w:jc w:val="left"/>
        <w:sectPr>
          <w:type w:val="continuous"/>
          <w:pgSz w:w="11910" w:h="16840"/>
          <w:pgMar w:top="1600" w:bottom="280" w:left="1020" w:right="940"/>
          <w:cols w:num="2" w:equalWidth="0">
            <w:col w:w="6887" w:space="41"/>
            <w:col w:w="3022"/>
          </w:cols>
        </w:sectPr>
      </w:pPr>
    </w:p>
    <w:p>
      <w:pPr>
        <w:spacing w:line="240" w:lineRule="auto" w:before="4"/>
        <w:rPr>
          <w:rFonts w:ascii="宋体" w:hAnsi="宋体" w:cs="宋体" w:eastAsia="宋体" w:hint="default"/>
          <w:sz w:val="16"/>
          <w:szCs w:val="16"/>
        </w:rPr>
      </w:pPr>
    </w:p>
    <w:p>
      <w:pPr>
        <w:pStyle w:val="BodyText"/>
        <w:tabs>
          <w:tab w:pos="2455" w:val="left" w:leader="none"/>
          <w:tab w:pos="7745" w:val="left" w:leader="none"/>
        </w:tabs>
        <w:spacing w:line="322" w:lineRule="exact" w:before="32"/>
        <w:ind w:left="817" w:right="0"/>
        <w:jc w:val="left"/>
      </w:pPr>
      <w:r>
        <w:rPr/>
        <w:t>城建税</w:t>
        <w:tab/>
      </w:r>
      <w:r>
        <w:rPr>
          <w:rFonts w:ascii="Arial" w:hAnsi="Arial" w:cs="Arial" w:eastAsia="Arial" w:hint="default"/>
          <w:position w:val="2"/>
        </w:rPr>
        <w:t>1%-7%</w:t>
        <w:tab/>
      </w:r>
      <w:r>
        <w:rPr>
          <w:spacing w:val="10"/>
        </w:rPr>
        <w:t>营业税</w:t>
      </w:r>
      <w:r>
        <w:rPr>
          <w:rFonts w:ascii="Arial" w:hAnsi="Arial" w:cs="Arial" w:eastAsia="Arial" w:hint="default"/>
          <w:spacing w:val="10"/>
        </w:rPr>
        <w:t>/</w:t>
      </w:r>
      <w:r>
        <w:rPr>
          <w:spacing w:val="10"/>
        </w:rPr>
        <w:t>增值税的应</w:t>
      </w:r>
      <w:r>
        <w:rPr/>
      </w:r>
    </w:p>
    <w:p>
      <w:pPr>
        <w:pStyle w:val="BodyText"/>
        <w:spacing w:line="304" w:lineRule="exact"/>
        <w:ind w:left="0" w:right="1476"/>
        <w:jc w:val="right"/>
      </w:pPr>
      <w:r>
        <w:rPr/>
        <w:t>纳税额</w:t>
      </w:r>
    </w:p>
    <w:p>
      <w:pPr>
        <w:spacing w:line="240" w:lineRule="auto" w:before="12"/>
        <w:rPr>
          <w:rFonts w:ascii="宋体" w:hAnsi="宋体" w:cs="宋体" w:eastAsia="宋体" w:hint="default"/>
          <w:sz w:val="20"/>
          <w:szCs w:val="20"/>
        </w:rPr>
      </w:pPr>
    </w:p>
    <w:p>
      <w:pPr>
        <w:pStyle w:val="BodyText"/>
        <w:tabs>
          <w:tab w:pos="2455" w:val="left" w:leader="none"/>
          <w:tab w:pos="7745" w:val="left" w:leader="none"/>
        </w:tabs>
        <w:spacing w:line="322" w:lineRule="exact"/>
        <w:ind w:left="817" w:right="0"/>
        <w:jc w:val="left"/>
      </w:pPr>
      <w:r>
        <w:rPr/>
        <w:t>教育费附加</w:t>
        <w:tab/>
      </w:r>
      <w:r>
        <w:rPr>
          <w:rFonts w:ascii="Arial" w:hAnsi="Arial" w:cs="Arial" w:eastAsia="Arial" w:hint="default"/>
          <w:position w:val="2"/>
        </w:rPr>
        <w:t>3%-4%</w:t>
        <w:tab/>
      </w:r>
      <w:r>
        <w:rPr>
          <w:spacing w:val="10"/>
        </w:rPr>
        <w:t>营业税</w:t>
      </w:r>
      <w:r>
        <w:rPr>
          <w:rFonts w:ascii="Arial" w:hAnsi="Arial" w:cs="Arial" w:eastAsia="Arial" w:hint="default"/>
          <w:spacing w:val="10"/>
        </w:rPr>
        <w:t>/</w:t>
      </w:r>
      <w:r>
        <w:rPr>
          <w:spacing w:val="10"/>
        </w:rPr>
        <w:t>增值税的应</w:t>
      </w:r>
      <w:r>
        <w:rPr/>
      </w:r>
    </w:p>
    <w:p>
      <w:pPr>
        <w:pStyle w:val="BodyText"/>
        <w:spacing w:line="304" w:lineRule="exact"/>
        <w:ind w:left="0" w:right="1476"/>
        <w:jc w:val="right"/>
      </w:pPr>
      <w:r>
        <w:rPr/>
        <w:t>纳税额</w:t>
      </w:r>
    </w:p>
    <w:p>
      <w:pPr>
        <w:spacing w:after="0" w:line="304" w:lineRule="exact"/>
        <w:jc w:val="right"/>
        <w:sectPr>
          <w:type w:val="continuous"/>
          <w:pgSz w:w="11910" w:h="16840"/>
          <w:pgMar w:top="1600" w:bottom="280" w:left="1020" w:right="940"/>
        </w:sectPr>
      </w:pPr>
    </w:p>
    <w:p>
      <w:pPr>
        <w:spacing w:line="240" w:lineRule="auto" w:before="5"/>
        <w:rPr>
          <w:rFonts w:ascii="宋体" w:hAnsi="宋体" w:cs="宋体" w:eastAsia="宋体" w:hint="default"/>
          <w:sz w:val="17"/>
          <w:szCs w:val="17"/>
        </w:rPr>
      </w:pPr>
    </w:p>
    <w:p>
      <w:pPr>
        <w:pStyle w:val="Heading2"/>
        <w:tabs>
          <w:tab w:pos="817" w:val="left" w:leader="none"/>
        </w:tabs>
        <w:spacing w:line="240" w:lineRule="auto"/>
        <w:ind w:right="3845"/>
        <w:jc w:val="left"/>
        <w:rPr>
          <w:rFonts w:ascii="Arial" w:hAnsi="Arial" w:cs="Arial" w:eastAsia="Arial" w:hint="default"/>
          <w:b w:val="0"/>
          <w:bCs w:val="0"/>
        </w:rPr>
      </w:pPr>
      <w:r>
        <w:rPr>
          <w:w w:val="95"/>
        </w:rPr>
        <w:t>六</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spacing w:line="322" w:lineRule="exact"/>
        <w:ind w:left="817" w:right="0"/>
        <w:jc w:val="both"/>
      </w:pPr>
      <w:r>
        <w:rPr/>
        <w:t>全国人民代表大会于</w:t>
      </w:r>
      <w:r>
        <w:rPr>
          <w:spacing w:val="-60"/>
        </w:rPr>
        <w:t> </w:t>
      </w:r>
      <w:r>
        <w:rPr>
          <w:rFonts w:ascii="Arial" w:hAnsi="Arial" w:cs="Arial" w:eastAsia="Arial" w:hint="default"/>
        </w:rPr>
        <w:t>2007</w:t>
      </w:r>
      <w:r>
        <w:rPr>
          <w:rFonts w:ascii="Arial" w:hAnsi="Arial" w:cs="Arial" w:eastAsia="Arial" w:hint="default"/>
          <w:spacing w:val="-7"/>
        </w:rPr>
        <w:t> </w:t>
      </w:r>
      <w:r>
        <w:rPr/>
        <w:t>年</w:t>
      </w:r>
      <w:r>
        <w:rPr>
          <w:spacing w:val="-60"/>
        </w:rPr>
        <w:t> </w:t>
      </w:r>
      <w:r>
        <w:rPr>
          <w:rFonts w:ascii="Arial" w:hAnsi="Arial" w:cs="Arial" w:eastAsia="Arial" w:hint="default"/>
        </w:rPr>
        <w:t>3</w:t>
      </w:r>
      <w:r>
        <w:rPr>
          <w:rFonts w:ascii="Arial" w:hAnsi="Arial" w:cs="Arial" w:eastAsia="Arial" w:hint="default"/>
          <w:spacing w:val="-6"/>
        </w:rPr>
        <w:t> </w:t>
      </w:r>
      <w:r>
        <w:rPr/>
        <w:t>月</w:t>
      </w:r>
      <w:r>
        <w:rPr>
          <w:spacing w:val="-60"/>
        </w:rPr>
        <w:t> </w:t>
      </w:r>
      <w:r>
        <w:rPr>
          <w:rFonts w:ascii="Arial" w:hAnsi="Arial" w:cs="Arial" w:eastAsia="Arial" w:hint="default"/>
        </w:rPr>
        <w:t>16</w:t>
      </w:r>
      <w:r>
        <w:rPr>
          <w:rFonts w:ascii="Arial" w:hAnsi="Arial" w:cs="Arial" w:eastAsia="Arial" w:hint="default"/>
          <w:spacing w:val="-7"/>
        </w:rPr>
        <w:t> </w:t>
      </w:r>
      <w:r>
        <w:rPr>
          <w:spacing w:val="-5"/>
        </w:rPr>
        <w:t>日通过了《中华人民共和国企业所得税法》</w:t>
      </w:r>
      <w:r>
        <w:rPr>
          <w:rFonts w:ascii="Arial" w:hAnsi="Arial" w:cs="Arial" w:eastAsia="Arial" w:hint="default"/>
          <w:spacing w:val="-5"/>
        </w:rPr>
        <w:t>(“</w:t>
      </w:r>
      <w:r>
        <w:rPr>
          <w:spacing w:val="-5"/>
        </w:rPr>
        <w:t>新所</w:t>
      </w:r>
    </w:p>
    <w:p>
      <w:pPr>
        <w:pStyle w:val="BodyText"/>
        <w:spacing w:line="312" w:lineRule="exact"/>
        <w:ind w:left="817" w:right="0"/>
        <w:jc w:val="both"/>
        <w:rPr>
          <w:rFonts w:ascii="Arial" w:hAnsi="Arial" w:cs="Arial" w:eastAsia="Arial" w:hint="default"/>
        </w:rPr>
      </w:pPr>
      <w:r>
        <w:rPr/>
        <w:t>得税法</w:t>
      </w:r>
      <w:r>
        <w:rPr>
          <w:rFonts w:ascii="Arial" w:hAnsi="Arial" w:cs="Arial" w:eastAsia="Arial" w:hint="default"/>
        </w:rPr>
        <w:t>”)</w:t>
      </w:r>
      <w:r>
        <w:rPr>
          <w:spacing w:val="-122"/>
        </w:rPr>
        <w:t>，</w:t>
      </w:r>
      <w:r>
        <w:rPr/>
        <w:t>新所得税法将自</w:t>
      </w:r>
      <w:r>
        <w:rPr>
          <w:spacing w:val="-74"/>
        </w:rPr>
        <w:t> </w:t>
      </w:r>
      <w:r>
        <w:rPr>
          <w:rFonts w:ascii="Arial" w:hAnsi="Arial" w:cs="Arial" w:eastAsia="Arial" w:hint="default"/>
        </w:rPr>
        <w:t>2008</w:t>
      </w:r>
      <w:r>
        <w:rPr>
          <w:rFonts w:ascii="Arial" w:hAnsi="Arial" w:cs="Arial" w:eastAsia="Arial" w:hint="default"/>
          <w:spacing w:val="-19"/>
        </w:rPr>
        <w:t> </w:t>
      </w:r>
      <w:r>
        <w:rPr/>
        <w:t>年</w:t>
      </w:r>
      <w:r>
        <w:rPr>
          <w:spacing w:val="-74"/>
        </w:rPr>
        <w:t> </w:t>
      </w:r>
      <w:r>
        <w:rPr>
          <w:rFonts w:ascii="Arial" w:hAnsi="Arial" w:cs="Arial" w:eastAsia="Arial" w:hint="default"/>
        </w:rPr>
        <w:t>1</w:t>
      </w:r>
      <w:r>
        <w:rPr>
          <w:rFonts w:ascii="Arial" w:hAnsi="Arial" w:cs="Arial" w:eastAsia="Arial" w:hint="default"/>
          <w:spacing w:val="-19"/>
        </w:rPr>
        <w:t> </w:t>
      </w:r>
      <w:r>
        <w:rPr/>
        <w:t>月</w:t>
      </w:r>
      <w:r>
        <w:rPr>
          <w:spacing w:val="-74"/>
        </w:rPr>
        <w:t> </w:t>
      </w:r>
      <w:r>
        <w:rPr>
          <w:rFonts w:ascii="Arial" w:hAnsi="Arial" w:cs="Arial" w:eastAsia="Arial" w:hint="default"/>
        </w:rPr>
        <w:t>1</w:t>
      </w:r>
      <w:r>
        <w:rPr>
          <w:rFonts w:ascii="Arial" w:hAnsi="Arial" w:cs="Arial" w:eastAsia="Arial" w:hint="default"/>
          <w:spacing w:val="-19"/>
        </w:rPr>
        <w:t> </w:t>
      </w:r>
      <w:r>
        <w:rPr/>
        <w:t>日起施行</w:t>
      </w:r>
      <w:r>
        <w:rPr>
          <w:spacing w:val="-120"/>
        </w:rPr>
        <w:t>。</w:t>
      </w:r>
      <w:r>
        <w:rPr/>
        <w:t>本公司适用的企业所得税率自</w:t>
      </w:r>
      <w:r>
        <w:rPr>
          <w:spacing w:val="-72"/>
        </w:rPr>
        <w:t> </w:t>
      </w:r>
      <w:r>
        <w:rPr>
          <w:rFonts w:ascii="Arial" w:hAnsi="Arial" w:cs="Arial" w:eastAsia="Arial" w:hint="default"/>
          <w:spacing w:val="-1"/>
        </w:rPr>
        <w:t>2008</w:t>
      </w:r>
      <w:r>
        <w:rPr>
          <w:rFonts w:ascii="Arial" w:hAnsi="Arial" w:cs="Arial" w:eastAsia="Arial" w:hint="default"/>
        </w:rPr>
      </w:r>
    </w:p>
    <w:p>
      <w:pPr>
        <w:pStyle w:val="BodyText"/>
        <w:spacing w:line="427" w:lineRule="auto"/>
        <w:ind w:left="817" w:right="2387"/>
        <w:jc w:val="left"/>
      </w:pPr>
      <w:r>
        <w:rPr/>
        <w:t>年</w:t>
      </w:r>
      <w:r>
        <w:rPr>
          <w:spacing w:val="-61"/>
        </w:rPr>
        <w:t> </w:t>
      </w:r>
      <w:r>
        <w:rPr>
          <w:rFonts w:ascii="Arial" w:hAnsi="Arial" w:cs="Arial" w:eastAsia="Arial" w:hint="default"/>
        </w:rPr>
        <w:t>1</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日从</w:t>
      </w:r>
      <w:r>
        <w:rPr>
          <w:spacing w:val="-61"/>
        </w:rPr>
        <w:t> </w:t>
      </w:r>
      <w:r>
        <w:rPr>
          <w:rFonts w:ascii="Arial" w:hAnsi="Arial" w:cs="Arial" w:eastAsia="Arial" w:hint="default"/>
        </w:rPr>
        <w:t>33%</w:t>
      </w:r>
      <w:r>
        <w:rPr/>
        <w:t>调整为</w:t>
      </w:r>
      <w:r>
        <w:rPr>
          <w:spacing w:val="-61"/>
        </w:rPr>
        <w:t> </w:t>
      </w:r>
      <w:r>
        <w:rPr>
          <w:rFonts w:ascii="Arial" w:hAnsi="Arial" w:cs="Arial" w:eastAsia="Arial" w:hint="default"/>
        </w:rPr>
        <w:t>25%</w:t>
      </w:r>
      <w:r>
        <w:rPr/>
        <w:t>。 本集团的部分子公司享受企业所得税优惠政策，具体如下所示：</w:t>
      </w:r>
    </w:p>
    <w:p>
      <w:pPr>
        <w:pStyle w:val="BodyText"/>
        <w:tabs>
          <w:tab w:pos="817" w:val="left" w:leader="none"/>
        </w:tabs>
        <w:spacing w:line="240" w:lineRule="auto" w:before="86"/>
        <w:ind w:left="107" w:right="3845"/>
        <w:jc w:val="left"/>
      </w:pPr>
      <w:r>
        <w:rPr>
          <w:rFonts w:ascii="Arial" w:hAnsi="Arial" w:cs="Arial" w:eastAsia="Arial" w:hint="default"/>
          <w:position w:val="2"/>
        </w:rPr>
        <w:t>(1)</w:t>
        <w:tab/>
      </w:r>
      <w:r>
        <w:rPr/>
        <w:t>经济特区优惠政策</w:t>
      </w:r>
    </w:p>
    <w:p>
      <w:pPr>
        <w:spacing w:line="240" w:lineRule="auto" w:before="4"/>
        <w:rPr>
          <w:rFonts w:ascii="宋体" w:hAnsi="宋体" w:cs="宋体" w:eastAsia="宋体" w:hint="default"/>
          <w:sz w:val="23"/>
          <w:szCs w:val="23"/>
        </w:rPr>
      </w:pPr>
    </w:p>
    <w:p>
      <w:pPr>
        <w:pStyle w:val="BodyText"/>
        <w:spacing w:line="312" w:lineRule="exact"/>
        <w:ind w:left="817" w:right="122"/>
        <w:jc w:val="both"/>
      </w:pPr>
      <w:r>
        <w:rPr>
          <w:spacing w:val="-2"/>
        </w:rPr>
        <w:t>根据《广东省经济特区条例》，国函字</w:t>
      </w:r>
      <w:r>
        <w:rPr>
          <w:rFonts w:ascii="Arial" w:hAnsi="Arial" w:cs="Arial" w:eastAsia="Arial" w:hint="default"/>
          <w:spacing w:val="-2"/>
        </w:rPr>
        <w:t>[80]88</w:t>
      </w:r>
      <w:r>
        <w:rPr>
          <w:spacing w:val="-2"/>
        </w:rPr>
        <w:t>号及国发</w:t>
      </w:r>
      <w:r>
        <w:rPr>
          <w:rFonts w:ascii="Arial" w:hAnsi="Arial" w:cs="Arial" w:eastAsia="Arial" w:hint="default"/>
          <w:spacing w:val="-2"/>
        </w:rPr>
        <w:t>[1988]26</w:t>
      </w:r>
      <w:r>
        <w:rPr>
          <w:spacing w:val="-2"/>
        </w:rPr>
        <w:t>号文，广东省深圳、珠</w:t>
      </w:r>
      <w:r>
        <w:rPr>
          <w:spacing w:val="-92"/>
        </w:rPr>
        <w:t> </w:t>
      </w:r>
      <w:r>
        <w:rPr/>
        <w:t>海、汕头和厦门经济特区，以及海南岛的企业所得税税率为</w:t>
      </w:r>
      <w:r>
        <w:rPr>
          <w:rFonts w:ascii="Arial" w:hAnsi="Arial" w:cs="Arial" w:eastAsia="Arial" w:hint="default"/>
        </w:rPr>
        <w:t>15%</w:t>
      </w:r>
      <w:r>
        <w:rPr/>
        <w:t>。</w:t>
      </w:r>
    </w:p>
    <w:p>
      <w:pPr>
        <w:spacing w:line="240" w:lineRule="auto" w:before="1"/>
        <w:rPr>
          <w:rFonts w:ascii="宋体" w:hAnsi="宋体" w:cs="宋体" w:eastAsia="宋体" w:hint="default"/>
          <w:sz w:val="21"/>
          <w:szCs w:val="21"/>
        </w:rPr>
      </w:pPr>
    </w:p>
    <w:p>
      <w:pPr>
        <w:pStyle w:val="BodyText"/>
        <w:spacing w:line="312" w:lineRule="exact"/>
        <w:ind w:left="817" w:right="121"/>
        <w:jc w:val="both"/>
      </w:pPr>
      <w:r>
        <w:rPr/>
        <w:t>本公司的子公司 –</w:t>
      </w:r>
      <w:r>
        <w:rPr>
          <w:spacing w:val="23"/>
        </w:rPr>
        <w:t> </w:t>
      </w:r>
      <w:r>
        <w:rPr>
          <w:spacing w:val="-5"/>
        </w:rPr>
        <w:t>深圳市苏宁电器有限公司、深圳市苏宁电器售后服务有限公司、珠</w:t>
      </w:r>
      <w:r>
        <w:rPr/>
        <w:t> </w:t>
      </w:r>
      <w:r>
        <w:rPr>
          <w:spacing w:val="-4"/>
        </w:rPr>
        <w:t>海苏宁电器有限公司、汕头苏宁电器有限公司、厦门福厦苏宁电器有限公司、厦门福厦</w:t>
      </w:r>
      <w:r>
        <w:rPr>
          <w:spacing w:val="-88"/>
        </w:rPr>
        <w:t> </w:t>
      </w:r>
      <w:r>
        <w:rPr>
          <w:spacing w:val="-88"/>
        </w:rPr>
      </w:r>
      <w:r>
        <w:rPr>
          <w:spacing w:val="-4"/>
        </w:rPr>
        <w:t>苏宁电器售后服务有限公司、海南苏宁电器有限公司为设立于上述地区的企业，其适用</w:t>
      </w:r>
      <w:r>
        <w:rPr>
          <w:spacing w:val="-88"/>
        </w:rPr>
        <w:t> </w:t>
      </w:r>
      <w:r>
        <w:rPr>
          <w:spacing w:val="-88"/>
        </w:rPr>
      </w:r>
      <w:r>
        <w:rPr/>
        <w:t>的企业所得税税率为</w:t>
      </w:r>
      <w:r>
        <w:rPr>
          <w:rFonts w:ascii="Arial" w:hAnsi="Arial" w:cs="Arial" w:eastAsia="Arial" w:hint="default"/>
        </w:rPr>
        <w:t>15%</w:t>
      </w:r>
      <w:r>
        <w:rPr/>
        <w:t>。</w:t>
      </w:r>
    </w:p>
    <w:p>
      <w:pPr>
        <w:spacing w:line="240" w:lineRule="auto" w:before="1"/>
        <w:rPr>
          <w:rFonts w:ascii="宋体" w:hAnsi="宋体" w:cs="宋体" w:eastAsia="宋体" w:hint="default"/>
          <w:sz w:val="21"/>
          <w:szCs w:val="21"/>
        </w:rPr>
      </w:pPr>
    </w:p>
    <w:p>
      <w:pPr>
        <w:pStyle w:val="BodyText"/>
        <w:spacing w:line="312" w:lineRule="exact"/>
        <w:ind w:left="817" w:right="101"/>
        <w:jc w:val="both"/>
      </w:pPr>
      <w:r>
        <w:rPr/>
        <w:t>根据国发</w:t>
      </w:r>
      <w:r>
        <w:rPr>
          <w:rFonts w:ascii="Arial" w:hAnsi="Arial" w:cs="Arial" w:eastAsia="Arial" w:hint="default"/>
        </w:rPr>
        <w:t>[2007]39</w:t>
      </w:r>
      <w:r>
        <w:rPr/>
        <w:t>号文第一条，上述企业享受的低税率可以自</w:t>
      </w:r>
      <w:r>
        <w:rPr>
          <w:rFonts w:ascii="Arial" w:hAnsi="Arial" w:cs="Arial" w:eastAsia="Arial" w:hint="default"/>
        </w:rPr>
        <w:t>2008</w:t>
      </w:r>
      <w:r>
        <w:rPr/>
        <w:t>年</w:t>
      </w:r>
      <w:r>
        <w:rPr>
          <w:rFonts w:ascii="Arial" w:hAnsi="Arial" w:cs="Arial" w:eastAsia="Arial" w:hint="default"/>
        </w:rPr>
        <w:t>1</w:t>
      </w:r>
      <w:r>
        <w:rPr/>
        <w:t>月</w:t>
      </w:r>
      <w:r>
        <w:rPr>
          <w:rFonts w:ascii="Arial" w:hAnsi="Arial" w:cs="Arial" w:eastAsia="Arial" w:hint="default"/>
        </w:rPr>
        <w:t>1</w:t>
      </w:r>
      <w:r>
        <w:rPr/>
        <w:t>日起，在新</w:t>
      </w:r>
      <w:r>
        <w:rPr>
          <w:spacing w:val="-65"/>
        </w:rPr>
        <w:t> </w:t>
      </w:r>
      <w:r>
        <w:rPr>
          <w:spacing w:val="2"/>
        </w:rPr>
        <w:t>税法施行后</w:t>
      </w:r>
      <w:r>
        <w:rPr>
          <w:rFonts w:ascii="Arial" w:hAnsi="Arial" w:cs="Arial" w:eastAsia="Arial" w:hint="default"/>
          <w:spacing w:val="2"/>
        </w:rPr>
        <w:t>5</w:t>
      </w:r>
      <w:r>
        <w:rPr>
          <w:spacing w:val="2"/>
        </w:rPr>
        <w:t>年内逐步过渡到法定税率。即</w:t>
      </w:r>
      <w:r>
        <w:rPr>
          <w:rFonts w:ascii="Arial" w:hAnsi="Arial" w:cs="Arial" w:eastAsia="Arial" w:hint="default"/>
          <w:spacing w:val="2"/>
        </w:rPr>
        <w:t>2008</w:t>
      </w:r>
      <w:r>
        <w:rPr>
          <w:spacing w:val="2"/>
        </w:rPr>
        <w:t>年按</w:t>
      </w:r>
      <w:r>
        <w:rPr>
          <w:rFonts w:ascii="Arial" w:hAnsi="Arial" w:cs="Arial" w:eastAsia="Arial" w:hint="default"/>
          <w:spacing w:val="2"/>
        </w:rPr>
        <w:t>18%</w:t>
      </w:r>
      <w:r>
        <w:rPr>
          <w:spacing w:val="2"/>
        </w:rPr>
        <w:t>税率执行，</w:t>
      </w:r>
      <w:r>
        <w:rPr>
          <w:rFonts w:ascii="Arial" w:hAnsi="Arial" w:cs="Arial" w:eastAsia="Arial" w:hint="default"/>
          <w:spacing w:val="2"/>
        </w:rPr>
        <w:t>2009</w:t>
      </w:r>
      <w:r>
        <w:rPr>
          <w:spacing w:val="2"/>
        </w:rPr>
        <w:t>年按</w:t>
      </w:r>
      <w:r>
        <w:rPr>
          <w:rFonts w:ascii="Arial" w:hAnsi="Arial" w:cs="Arial" w:eastAsia="Arial" w:hint="default"/>
          <w:spacing w:val="2"/>
        </w:rPr>
        <w:t>20%</w:t>
      </w:r>
      <w:r>
        <w:rPr>
          <w:spacing w:val="2"/>
        </w:rPr>
        <w:t>税</w:t>
      </w:r>
      <w:r>
        <w:rPr>
          <w:spacing w:val="-114"/>
        </w:rPr>
        <w:t> </w:t>
      </w:r>
      <w:r>
        <w:rPr>
          <w:spacing w:val="-1"/>
        </w:rPr>
        <w:t>率执行，</w:t>
      </w:r>
      <w:r>
        <w:rPr>
          <w:rFonts w:ascii="Arial" w:hAnsi="Arial" w:cs="Arial" w:eastAsia="Arial" w:hint="default"/>
          <w:spacing w:val="-1"/>
        </w:rPr>
        <w:t>2010</w:t>
      </w:r>
      <w:r>
        <w:rPr>
          <w:spacing w:val="-1"/>
        </w:rPr>
        <w:t>年按</w:t>
      </w:r>
      <w:r>
        <w:rPr>
          <w:rFonts w:ascii="Arial" w:hAnsi="Arial" w:cs="Arial" w:eastAsia="Arial" w:hint="default"/>
          <w:spacing w:val="-1"/>
        </w:rPr>
        <w:t>22%</w:t>
      </w:r>
      <w:r>
        <w:rPr>
          <w:spacing w:val="-1"/>
        </w:rPr>
        <w:t>税率执行，</w:t>
      </w:r>
      <w:r>
        <w:rPr>
          <w:rFonts w:ascii="Arial" w:hAnsi="Arial" w:cs="Arial" w:eastAsia="Arial" w:hint="default"/>
          <w:spacing w:val="-1"/>
        </w:rPr>
        <w:t>2011</w:t>
      </w:r>
      <w:r>
        <w:rPr>
          <w:spacing w:val="-1"/>
        </w:rPr>
        <w:t>年按</w:t>
      </w:r>
      <w:r>
        <w:rPr>
          <w:rFonts w:ascii="Arial" w:hAnsi="Arial" w:cs="Arial" w:eastAsia="Arial" w:hint="default"/>
          <w:spacing w:val="-1"/>
        </w:rPr>
        <w:t>24%</w:t>
      </w:r>
      <w:r>
        <w:rPr>
          <w:spacing w:val="-1"/>
        </w:rPr>
        <w:t>税率执行，</w:t>
      </w:r>
      <w:r>
        <w:rPr>
          <w:rFonts w:ascii="Arial" w:hAnsi="Arial" w:cs="Arial" w:eastAsia="Arial" w:hint="default"/>
          <w:spacing w:val="-1"/>
        </w:rPr>
        <w:t>2012</w:t>
      </w:r>
      <w:r>
        <w:rPr>
          <w:spacing w:val="-1"/>
        </w:rPr>
        <w:t>年按</w:t>
      </w:r>
      <w:r>
        <w:rPr>
          <w:rFonts w:ascii="Arial" w:hAnsi="Arial" w:cs="Arial" w:eastAsia="Arial" w:hint="default"/>
          <w:spacing w:val="-1"/>
        </w:rPr>
        <w:t>25%</w:t>
      </w:r>
      <w:r>
        <w:rPr>
          <w:spacing w:val="-1"/>
        </w:rPr>
        <w:t>税率执行。</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7" w:right="3845"/>
        <w:jc w:val="left"/>
      </w:pPr>
      <w:r>
        <w:rPr>
          <w:rFonts w:ascii="Arial" w:hAnsi="Arial" w:cs="Arial" w:eastAsia="Arial" w:hint="default"/>
          <w:position w:val="2"/>
        </w:rPr>
        <w:t>(2)</w:t>
        <w:tab/>
      </w:r>
      <w:r>
        <w:rPr/>
        <w:t>西部大开发税收优惠政策</w:t>
      </w:r>
    </w:p>
    <w:p>
      <w:pPr>
        <w:spacing w:line="240" w:lineRule="auto" w:before="4"/>
        <w:rPr>
          <w:rFonts w:ascii="宋体" w:hAnsi="宋体" w:cs="宋体" w:eastAsia="宋体" w:hint="default"/>
          <w:sz w:val="23"/>
          <w:szCs w:val="23"/>
        </w:rPr>
      </w:pPr>
    </w:p>
    <w:p>
      <w:pPr>
        <w:pStyle w:val="BodyText"/>
        <w:spacing w:line="312" w:lineRule="exact"/>
        <w:ind w:left="817" w:right="122"/>
        <w:jc w:val="both"/>
      </w:pPr>
      <w:r>
        <w:rPr>
          <w:spacing w:val="-1"/>
        </w:rPr>
        <w:t>根据财税</w:t>
      </w:r>
      <w:r>
        <w:rPr>
          <w:rFonts w:ascii="Arial" w:hAnsi="Arial" w:cs="Arial" w:eastAsia="Arial" w:hint="default"/>
          <w:spacing w:val="-1"/>
        </w:rPr>
        <w:t>[2001]202</w:t>
      </w:r>
      <w:r>
        <w:rPr>
          <w:rFonts w:ascii="Arial" w:hAnsi="Arial" w:cs="Arial" w:eastAsia="Arial" w:hint="default"/>
        </w:rPr>
        <w:t> </w:t>
      </w:r>
      <w:r>
        <w:rPr>
          <w:spacing w:val="-2"/>
        </w:rPr>
        <w:t>号文第二条，对设在西部地区国家鼓励类产业的内资企业，其主营</w:t>
      </w:r>
      <w:r>
        <w:rPr>
          <w:spacing w:val="-111"/>
        </w:rPr>
        <w:t> </w:t>
      </w:r>
      <w:r>
        <w:rPr>
          <w:spacing w:val="-111"/>
        </w:rPr>
      </w:r>
      <w:r>
        <w:rPr/>
        <w:t>业务收入占企业总收入</w:t>
      </w:r>
      <w:r>
        <w:rPr>
          <w:spacing w:val="-61"/>
        </w:rPr>
        <w:t> </w:t>
      </w:r>
      <w:r>
        <w:rPr>
          <w:rFonts w:ascii="Arial" w:hAnsi="Arial" w:cs="Arial" w:eastAsia="Arial" w:hint="default"/>
          <w:spacing w:val="-7"/>
        </w:rPr>
        <w:t>70%</w:t>
      </w:r>
      <w:r>
        <w:rPr>
          <w:spacing w:val="-7"/>
        </w:rPr>
        <w:t>以上的，在</w:t>
      </w:r>
      <w:r>
        <w:rPr>
          <w:spacing w:val="-61"/>
        </w:rPr>
        <w:t> </w:t>
      </w:r>
      <w:r>
        <w:rPr>
          <w:rFonts w:ascii="Arial" w:hAnsi="Arial" w:cs="Arial" w:eastAsia="Arial" w:hint="default"/>
        </w:rPr>
        <w:t>2001</w:t>
      </w:r>
      <w:r>
        <w:rPr>
          <w:rFonts w:ascii="Arial" w:hAnsi="Arial" w:cs="Arial" w:eastAsia="Arial" w:hint="default"/>
          <w:spacing w:val="-8"/>
        </w:rPr>
        <w:t> </w:t>
      </w:r>
      <w:r>
        <w:rPr/>
        <w:t>年至</w:t>
      </w:r>
      <w:r>
        <w:rPr>
          <w:spacing w:val="-61"/>
        </w:rPr>
        <w:t> </w:t>
      </w:r>
      <w:r>
        <w:rPr>
          <w:rFonts w:ascii="Arial" w:hAnsi="Arial" w:cs="Arial" w:eastAsia="Arial" w:hint="default"/>
        </w:rPr>
        <w:t>2010</w:t>
      </w:r>
      <w:r>
        <w:rPr>
          <w:rFonts w:ascii="Arial" w:hAnsi="Arial" w:cs="Arial" w:eastAsia="Arial" w:hint="default"/>
          <w:spacing w:val="-8"/>
        </w:rPr>
        <w:t> </w:t>
      </w:r>
      <w:r>
        <w:rPr>
          <w:spacing w:val="-9"/>
        </w:rPr>
        <w:t>年期间，减按</w:t>
      </w:r>
      <w:r>
        <w:rPr>
          <w:spacing w:val="-62"/>
        </w:rPr>
        <w:t> </w:t>
      </w:r>
      <w:r>
        <w:rPr>
          <w:rFonts w:ascii="Arial" w:hAnsi="Arial" w:cs="Arial" w:eastAsia="Arial" w:hint="default"/>
        </w:rPr>
        <w:t>15%</w:t>
      </w:r>
      <w:r>
        <w:rPr/>
        <w:t>的税率征收 </w:t>
      </w:r>
      <w:r>
        <w:rPr>
          <w:spacing w:val="-4"/>
        </w:rPr>
        <w:t>企业所得税。另外，经省级人民政府批准，民族自治地方的内资企业可以定期减征或免</w:t>
      </w:r>
      <w:r>
        <w:rPr>
          <w:spacing w:val="-88"/>
        </w:rPr>
        <w:t> </w:t>
      </w:r>
      <w:r>
        <w:rPr>
          <w:spacing w:val="-88"/>
        </w:rPr>
      </w:r>
      <w:r>
        <w:rPr/>
        <w:t>征企业所得税。本集团享受该项优惠政策的子公司情况如下：</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rFonts w:ascii="Arial" w:hAnsi="Arial" w:cs="Arial" w:eastAsia="Arial" w:hint="default"/>
        </w:rPr>
        <w:t>2006</w:t>
      </w:r>
      <w:r>
        <w:rPr>
          <w:rFonts w:ascii="Arial" w:hAnsi="Arial" w:cs="Arial" w:eastAsia="Arial" w:hint="default"/>
          <w:spacing w:val="-1"/>
        </w:rPr>
        <w:t> </w:t>
      </w:r>
      <w:r>
        <w:rPr/>
        <w:t>年</w:t>
      </w:r>
      <w:r>
        <w:rPr>
          <w:spacing w:val="-53"/>
        </w:rPr>
        <w:t> </w:t>
      </w:r>
      <w:r>
        <w:rPr>
          <w:rFonts w:ascii="Arial" w:hAnsi="Arial" w:cs="Arial" w:eastAsia="Arial" w:hint="default"/>
        </w:rPr>
        <w:t>3 </w:t>
      </w:r>
      <w:r>
        <w:rPr/>
        <w:t>月</w:t>
      </w:r>
      <w:r>
        <w:rPr>
          <w:spacing w:val="-54"/>
        </w:rPr>
        <w:t> </w:t>
      </w:r>
      <w:r>
        <w:rPr>
          <w:rFonts w:ascii="Arial" w:hAnsi="Arial" w:cs="Arial" w:eastAsia="Arial" w:hint="default"/>
        </w:rPr>
        <w:t>6</w:t>
      </w:r>
      <w:r>
        <w:rPr>
          <w:rFonts w:ascii="Arial" w:hAnsi="Arial" w:cs="Arial" w:eastAsia="Arial" w:hint="default"/>
          <w:spacing w:val="-1"/>
        </w:rPr>
        <w:t> </w:t>
      </w:r>
      <w:r>
        <w:rPr/>
        <w:t>日，经陕西省国家税务局陕国税函</w:t>
      </w:r>
      <w:r>
        <w:rPr>
          <w:rFonts w:ascii="Arial" w:hAnsi="Arial" w:cs="Arial" w:eastAsia="Arial" w:hint="default"/>
        </w:rPr>
        <w:t>[2006]100</w:t>
      </w:r>
      <w:r>
        <w:rPr>
          <w:rFonts w:ascii="Arial" w:hAnsi="Arial" w:cs="Arial" w:eastAsia="Arial" w:hint="default"/>
          <w:spacing w:val="-1"/>
        </w:rPr>
        <w:t> </w:t>
      </w:r>
      <w:r>
        <w:rPr/>
        <w:t>号文批准：同意陕西苏宁</w:t>
      </w:r>
    </w:p>
    <w:p>
      <w:pPr>
        <w:pStyle w:val="BodyText"/>
        <w:spacing w:line="322" w:lineRule="exact"/>
        <w:ind w:left="817" w:right="0"/>
        <w:jc w:val="both"/>
      </w:pPr>
      <w:r>
        <w:rPr/>
        <w:t>电器有限责任公司渭南分公司</w:t>
      </w:r>
      <w:r>
        <w:rPr>
          <w:spacing w:val="-61"/>
        </w:rPr>
        <w:t> </w:t>
      </w:r>
      <w:r>
        <w:rPr>
          <w:rFonts w:ascii="Arial" w:hAnsi="Arial" w:cs="Arial" w:eastAsia="Arial" w:hint="default"/>
        </w:rPr>
        <w:t>2006</w:t>
      </w:r>
      <w:r>
        <w:rPr>
          <w:rFonts w:ascii="Arial" w:hAnsi="Arial" w:cs="Arial" w:eastAsia="Arial" w:hint="default"/>
          <w:spacing w:val="-8"/>
        </w:rPr>
        <w:t> </w:t>
      </w:r>
      <w:r>
        <w:rPr/>
        <w:t>年至</w:t>
      </w:r>
      <w:r>
        <w:rPr>
          <w:spacing w:val="-61"/>
        </w:rPr>
        <w:t> </w:t>
      </w:r>
      <w:r>
        <w:rPr>
          <w:rFonts w:ascii="Arial" w:hAnsi="Arial" w:cs="Arial" w:eastAsia="Arial" w:hint="default"/>
        </w:rPr>
        <w:t>2010</w:t>
      </w:r>
      <w:r>
        <w:rPr>
          <w:rFonts w:ascii="Arial" w:hAnsi="Arial" w:cs="Arial" w:eastAsia="Arial" w:hint="default"/>
          <w:spacing w:val="-8"/>
        </w:rPr>
        <w:t> </w:t>
      </w:r>
      <w:r>
        <w:rPr/>
        <w:t>年期间享受</w:t>
      </w:r>
      <w:r>
        <w:rPr>
          <w:spacing w:val="-61"/>
        </w:rPr>
        <w:t> </w:t>
      </w:r>
      <w:r>
        <w:rPr>
          <w:rFonts w:ascii="Arial" w:hAnsi="Arial" w:cs="Arial" w:eastAsia="Arial" w:hint="default"/>
        </w:rPr>
        <w:t>15%</w:t>
      </w:r>
      <w:r>
        <w:rPr/>
        <w:t>的企业所得税税率。</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2006</w:t>
      </w:r>
      <w:r>
        <w:rPr>
          <w:rFonts w:ascii="Arial" w:hAnsi="Arial" w:cs="Arial" w:eastAsia="Arial" w:hint="default"/>
          <w:spacing w:val="-1"/>
        </w:rPr>
        <w:t> </w:t>
      </w:r>
      <w:r>
        <w:rPr/>
        <w:t>年</w:t>
      </w:r>
      <w:r>
        <w:rPr>
          <w:spacing w:val="-53"/>
        </w:rPr>
        <w:t> </w:t>
      </w:r>
      <w:r>
        <w:rPr>
          <w:rFonts w:ascii="Arial" w:hAnsi="Arial" w:cs="Arial" w:eastAsia="Arial" w:hint="default"/>
        </w:rPr>
        <w:t>4 </w:t>
      </w:r>
      <w:r>
        <w:rPr/>
        <w:t>月</w:t>
      </w:r>
      <w:r>
        <w:rPr>
          <w:spacing w:val="-54"/>
        </w:rPr>
        <w:t> </w:t>
      </w:r>
      <w:r>
        <w:rPr>
          <w:rFonts w:ascii="Arial" w:hAnsi="Arial" w:cs="Arial" w:eastAsia="Arial" w:hint="default"/>
        </w:rPr>
        <w:t>27</w:t>
      </w:r>
      <w:r>
        <w:rPr>
          <w:rFonts w:ascii="Arial" w:hAnsi="Arial" w:cs="Arial" w:eastAsia="Arial" w:hint="default"/>
          <w:spacing w:val="-1"/>
        </w:rPr>
        <w:t> </w:t>
      </w:r>
      <w:r>
        <w:rPr/>
        <w:t>日，经咸阳市国家税务局咸国税函</w:t>
      </w:r>
      <w:r>
        <w:rPr>
          <w:rFonts w:ascii="Arial" w:hAnsi="Arial" w:cs="Arial" w:eastAsia="Arial" w:hint="default"/>
        </w:rPr>
        <w:t>[2006]52</w:t>
      </w:r>
      <w:r>
        <w:rPr>
          <w:rFonts w:ascii="Arial" w:hAnsi="Arial" w:cs="Arial" w:eastAsia="Arial" w:hint="default"/>
          <w:spacing w:val="-1"/>
        </w:rPr>
        <w:t> </w:t>
      </w:r>
      <w:r>
        <w:rPr/>
        <w:t>号文批准：同意咸阳苏宁</w:t>
      </w:r>
    </w:p>
    <w:p>
      <w:pPr>
        <w:pStyle w:val="BodyText"/>
        <w:spacing w:line="322" w:lineRule="exact"/>
        <w:ind w:left="817" w:right="0"/>
        <w:jc w:val="both"/>
      </w:pPr>
      <w:r>
        <w:rPr/>
        <w:t>电器有限公司</w:t>
      </w:r>
      <w:r>
        <w:rPr>
          <w:spacing w:val="-62"/>
        </w:rPr>
        <w:t> </w:t>
      </w:r>
      <w:r>
        <w:rPr>
          <w:rFonts w:ascii="Arial" w:hAnsi="Arial" w:cs="Arial" w:eastAsia="Arial" w:hint="default"/>
        </w:rPr>
        <w:t>2006</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年期间享受</w:t>
      </w:r>
      <w:r>
        <w:rPr>
          <w:spacing w:val="-62"/>
        </w:rPr>
        <w:t> </w:t>
      </w:r>
      <w:r>
        <w:rPr>
          <w:rFonts w:ascii="Arial" w:hAnsi="Arial" w:cs="Arial" w:eastAsia="Arial" w:hint="default"/>
        </w:rPr>
        <w:t>15%</w:t>
      </w:r>
      <w:r>
        <w:rPr/>
        <w:t>的企业所得税税率。</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1"/>
        </w:rPr>
        <w:t> </w:t>
      </w:r>
      <w:r>
        <w:rPr/>
        <w:t>年</w:t>
      </w:r>
      <w:r>
        <w:rPr>
          <w:spacing w:val="-53"/>
        </w:rPr>
        <w:t> </w:t>
      </w:r>
      <w:r>
        <w:rPr>
          <w:rFonts w:ascii="Arial" w:hAnsi="Arial" w:cs="Arial" w:eastAsia="Arial" w:hint="default"/>
        </w:rPr>
        <w:t>2 </w:t>
      </w:r>
      <w:r>
        <w:rPr/>
        <w:t>月</w:t>
      </w:r>
      <w:r>
        <w:rPr>
          <w:spacing w:val="-54"/>
        </w:rPr>
        <w:t> </w:t>
      </w:r>
      <w:r>
        <w:rPr>
          <w:rFonts w:ascii="Arial" w:hAnsi="Arial" w:cs="Arial" w:eastAsia="Arial" w:hint="default"/>
        </w:rPr>
        <w:t>25</w:t>
      </w:r>
      <w:r>
        <w:rPr>
          <w:rFonts w:ascii="Arial" w:hAnsi="Arial" w:cs="Arial" w:eastAsia="Arial" w:hint="default"/>
          <w:spacing w:val="-1"/>
        </w:rPr>
        <w:t> </w:t>
      </w:r>
      <w:r>
        <w:rPr/>
        <w:t>日，经新疆维吾尔自治区国家税务局新国税办</w:t>
      </w:r>
      <w:r>
        <w:rPr>
          <w:rFonts w:ascii="Arial" w:hAnsi="Arial" w:cs="Arial" w:eastAsia="Arial" w:hint="default"/>
        </w:rPr>
        <w:t>[2007]91</w:t>
      </w:r>
      <w:r>
        <w:rPr>
          <w:rFonts w:ascii="Arial" w:hAnsi="Arial" w:cs="Arial" w:eastAsia="Arial" w:hint="default"/>
          <w:spacing w:val="-1"/>
        </w:rPr>
        <w:t> </w:t>
      </w:r>
      <w:r>
        <w:rPr/>
        <w:t>号文批准：同</w:t>
      </w:r>
    </w:p>
    <w:p>
      <w:pPr>
        <w:pStyle w:val="BodyText"/>
        <w:spacing w:line="322" w:lineRule="exact"/>
        <w:ind w:left="817" w:right="0"/>
        <w:jc w:val="both"/>
      </w:pPr>
      <w:r>
        <w:rPr/>
        <w:t>意免征新疆苏宁电器有限公司</w:t>
      </w:r>
      <w:r>
        <w:rPr>
          <w:spacing w:val="-60"/>
        </w:rPr>
        <w:t> </w:t>
      </w:r>
      <w:r>
        <w:rPr>
          <w:rFonts w:ascii="Arial" w:hAnsi="Arial" w:cs="Arial" w:eastAsia="Arial" w:hint="default"/>
        </w:rPr>
        <w:t>2006</w:t>
      </w:r>
      <w:r>
        <w:rPr>
          <w:rFonts w:ascii="Arial" w:hAnsi="Arial" w:cs="Arial" w:eastAsia="Arial" w:hint="default"/>
          <w:spacing w:val="-7"/>
        </w:rPr>
        <w:t> </w:t>
      </w:r>
      <w:r>
        <w:rPr/>
        <w:t>年至</w:t>
      </w:r>
      <w:r>
        <w:rPr>
          <w:spacing w:val="-60"/>
        </w:rPr>
        <w:t> </w:t>
      </w:r>
      <w:r>
        <w:rPr>
          <w:rFonts w:ascii="Arial" w:hAnsi="Arial" w:cs="Arial" w:eastAsia="Arial" w:hint="default"/>
        </w:rPr>
        <w:t>2008</w:t>
      </w:r>
      <w:r>
        <w:rPr>
          <w:rFonts w:ascii="Arial" w:hAnsi="Arial" w:cs="Arial" w:eastAsia="Arial" w:hint="default"/>
          <w:spacing w:val="-7"/>
        </w:rPr>
        <w:t> </w:t>
      </w:r>
      <w:r>
        <w:rPr/>
        <w:t>年企业所得税。</w:t>
      </w:r>
    </w:p>
    <w:p>
      <w:pPr>
        <w:spacing w:after="0" w:line="322" w:lineRule="exact"/>
        <w:jc w:val="both"/>
        <w:sectPr>
          <w:pgSz w:w="11910" w:h="16840"/>
          <w:pgMar w:header="1458" w:footer="708" w:top="1640" w:bottom="900" w:left="1020" w:right="940"/>
        </w:sectPr>
      </w:pPr>
    </w:p>
    <w:p>
      <w:pPr>
        <w:pStyle w:val="Heading2"/>
        <w:tabs>
          <w:tab w:pos="817" w:val="left" w:leader="none"/>
        </w:tabs>
        <w:spacing w:line="240" w:lineRule="auto" w:before="12"/>
        <w:ind w:right="105"/>
        <w:jc w:val="left"/>
        <w:rPr>
          <w:rFonts w:ascii="Arial" w:hAnsi="Arial" w:cs="Arial" w:eastAsia="Arial" w:hint="default"/>
          <w:b w:val="0"/>
          <w:bCs w:val="0"/>
        </w:rPr>
      </w:pPr>
      <w:r>
        <w:rPr/>
        <w:pict>
          <v:group style="position:absolute;margin-left:84.959999pt;margin-top:2.195945pt;width:439.95pt;height:.1pt;mso-position-horizontal-relative:page;mso-position-vertical-relative:paragraph;z-index:-577792" coordorigin="1699,44" coordsize="8799,2">
            <v:shape style="position:absolute;left:1699;top:44;width:8799;height:2" coordorigin="1699,44" coordsize="8799,0" path="m1699,44l10498,44e" filled="false" stroked="true" strokeweight=".71997pt" strokecolor="#000000">
              <v:path arrowok="t"/>
            </v:shape>
            <w10:wrap type="none"/>
          </v:group>
        </w:pict>
      </w:r>
      <w:r>
        <w:rPr>
          <w:w w:val="95"/>
        </w:rPr>
        <w:t>六</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7" w:right="105"/>
        <w:jc w:val="left"/>
        <w:rPr>
          <w:rFonts w:ascii="Arial" w:hAnsi="Arial" w:cs="Arial" w:eastAsia="Arial" w:hint="default"/>
        </w:rPr>
      </w:pPr>
      <w:r>
        <w:rPr>
          <w:rFonts w:ascii="Arial" w:hAnsi="Arial" w:cs="Arial" w:eastAsia="Arial" w:hint="default"/>
          <w:position w:val="2"/>
        </w:rPr>
        <w:t>(2)</w:t>
        <w:tab/>
      </w:r>
      <w:r>
        <w:rPr/>
        <w:t>西部大开发税收优惠政策</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spacing w:line="312" w:lineRule="exact"/>
        <w:ind w:left="817" w:right="102"/>
        <w:jc w:val="both"/>
      </w:pPr>
      <w:r>
        <w:rPr>
          <w:rFonts w:ascii="Arial" w:hAnsi="Arial" w:cs="Arial" w:eastAsia="Arial" w:hint="default"/>
        </w:rPr>
        <w:t>2007</w:t>
      </w:r>
      <w:r>
        <w:rPr>
          <w:rFonts w:ascii="Arial" w:hAnsi="Arial" w:cs="Arial" w:eastAsia="Arial" w:hint="default"/>
          <w:spacing w:val="-5"/>
        </w:rPr>
        <w:t> </w:t>
      </w:r>
      <w:r>
        <w:rPr/>
        <w:t>年</w:t>
      </w:r>
      <w:r>
        <w:rPr>
          <w:spacing w:val="-58"/>
        </w:rPr>
        <w:t> </w:t>
      </w:r>
      <w:r>
        <w:rPr>
          <w:rFonts w:ascii="Arial" w:hAnsi="Arial" w:cs="Arial" w:eastAsia="Arial" w:hint="default"/>
        </w:rPr>
        <w:t>2</w:t>
      </w:r>
      <w:r>
        <w:rPr>
          <w:rFonts w:ascii="Arial" w:hAnsi="Arial" w:cs="Arial" w:eastAsia="Arial" w:hint="default"/>
          <w:spacing w:val="-4"/>
        </w:rPr>
        <w:t> </w:t>
      </w:r>
      <w:r>
        <w:rPr/>
        <w:t>月</w:t>
      </w:r>
      <w:r>
        <w:rPr>
          <w:spacing w:val="-58"/>
        </w:rPr>
        <w:t> </w:t>
      </w:r>
      <w:r>
        <w:rPr>
          <w:rFonts w:ascii="Arial" w:hAnsi="Arial" w:cs="Arial" w:eastAsia="Arial" w:hint="default"/>
        </w:rPr>
        <w:t>26</w:t>
      </w:r>
      <w:r>
        <w:rPr>
          <w:rFonts w:ascii="Arial" w:hAnsi="Arial" w:cs="Arial" w:eastAsia="Arial" w:hint="default"/>
          <w:spacing w:val="-5"/>
        </w:rPr>
        <w:t> </w:t>
      </w:r>
      <w:r>
        <w:rPr>
          <w:spacing w:val="-3"/>
        </w:rPr>
        <w:t>日，经西宁市国家税务局宁国税函</w:t>
      </w:r>
      <w:r>
        <w:rPr>
          <w:rFonts w:ascii="Arial" w:hAnsi="Arial" w:cs="Arial" w:eastAsia="Arial" w:hint="default"/>
          <w:spacing w:val="-3"/>
        </w:rPr>
        <w:t>[2007]115</w:t>
      </w:r>
      <w:r>
        <w:rPr>
          <w:rFonts w:ascii="Arial" w:hAnsi="Arial" w:cs="Arial" w:eastAsia="Arial" w:hint="default"/>
          <w:spacing w:val="-5"/>
        </w:rPr>
        <w:t> </w:t>
      </w:r>
      <w:r>
        <w:rPr>
          <w:spacing w:val="-3"/>
        </w:rPr>
        <w:t>号文批准：同意免征西宁</w:t>
      </w:r>
      <w:r>
        <w:rPr/>
        <w:t> 苏宁电器有限责任公司 </w:t>
      </w:r>
      <w:r>
        <w:rPr>
          <w:rFonts w:ascii="Arial" w:hAnsi="Arial" w:cs="Arial" w:eastAsia="Arial" w:hint="default"/>
        </w:rPr>
        <w:t>2006 </w:t>
      </w:r>
      <w:r>
        <w:rPr/>
        <w:t>年企业所得税税率，</w:t>
      </w:r>
      <w:r>
        <w:rPr>
          <w:rFonts w:ascii="Arial" w:hAnsi="Arial" w:cs="Arial" w:eastAsia="Arial" w:hint="default"/>
        </w:rPr>
        <w:t>2007</w:t>
      </w:r>
      <w:r>
        <w:rPr>
          <w:rFonts w:ascii="Arial" w:hAnsi="Arial" w:cs="Arial" w:eastAsia="Arial" w:hint="default"/>
          <w:spacing w:val="-4"/>
        </w:rPr>
        <w:t> </w:t>
      </w:r>
      <w:r>
        <w:rPr/>
        <w:t>年的审核将在年度纳税汇算清 缴后批复。</w:t>
      </w:r>
    </w:p>
    <w:p>
      <w:pPr>
        <w:spacing w:line="240" w:lineRule="auto" w:before="10"/>
        <w:rPr>
          <w:rFonts w:ascii="宋体" w:hAnsi="宋体" w:cs="宋体" w:eastAsia="宋体" w:hint="default"/>
          <w:sz w:val="18"/>
          <w:szCs w:val="18"/>
        </w:rPr>
      </w:pPr>
    </w:p>
    <w:p>
      <w:pPr>
        <w:pStyle w:val="BodyText"/>
        <w:spacing w:line="322" w:lineRule="exact"/>
        <w:ind w:left="817" w:right="0"/>
        <w:jc w:val="both"/>
        <w:rPr>
          <w:rFonts w:ascii="Arial" w:hAnsi="Arial" w:cs="Arial" w:eastAsia="Arial" w:hint="default"/>
        </w:rPr>
      </w:pPr>
      <w:r>
        <w:rPr>
          <w:rFonts w:ascii="Arial" w:hAnsi="Arial" w:cs="Arial" w:eastAsia="Arial" w:hint="default"/>
        </w:rPr>
        <w:t>2004</w:t>
      </w:r>
      <w:r>
        <w:rPr>
          <w:rFonts w:ascii="Arial" w:hAnsi="Arial" w:cs="Arial" w:eastAsia="Arial" w:hint="default"/>
          <w:spacing w:val="-14"/>
        </w:rPr>
        <w:t> </w:t>
      </w:r>
      <w:r>
        <w:rPr/>
        <w:t>年</w:t>
      </w:r>
      <w:r>
        <w:rPr>
          <w:spacing w:val="-67"/>
        </w:rPr>
        <w:t> </w:t>
      </w:r>
      <w:r>
        <w:rPr>
          <w:rFonts w:ascii="Arial" w:hAnsi="Arial" w:cs="Arial" w:eastAsia="Arial" w:hint="default"/>
        </w:rPr>
        <w:t>8</w:t>
      </w:r>
      <w:r>
        <w:rPr>
          <w:rFonts w:ascii="Arial" w:hAnsi="Arial" w:cs="Arial" w:eastAsia="Arial" w:hint="default"/>
          <w:spacing w:val="-13"/>
        </w:rPr>
        <w:t> </w:t>
      </w:r>
      <w:r>
        <w:rPr/>
        <w:t>月</w:t>
      </w:r>
      <w:r>
        <w:rPr>
          <w:spacing w:val="-67"/>
        </w:rPr>
        <w:t> </w:t>
      </w:r>
      <w:r>
        <w:rPr>
          <w:rFonts w:ascii="Arial" w:hAnsi="Arial" w:cs="Arial" w:eastAsia="Arial" w:hint="default"/>
        </w:rPr>
        <w:t>24</w:t>
      </w:r>
      <w:r>
        <w:rPr>
          <w:rFonts w:ascii="Arial" w:hAnsi="Arial" w:cs="Arial" w:eastAsia="Arial" w:hint="default"/>
          <w:spacing w:val="-14"/>
        </w:rPr>
        <w:t> </w:t>
      </w:r>
      <w:r>
        <w:rPr/>
        <w:t>日，经陕西省发展和改革委员会陕发改产业函</w:t>
      </w:r>
      <w:r>
        <w:rPr>
          <w:rFonts w:ascii="Arial" w:hAnsi="Arial" w:cs="Arial" w:eastAsia="Arial" w:hint="default"/>
        </w:rPr>
        <w:t>[2004]63</w:t>
      </w:r>
      <w:r>
        <w:rPr>
          <w:rFonts w:ascii="Arial" w:hAnsi="Arial" w:cs="Arial" w:eastAsia="Arial" w:hint="default"/>
          <w:spacing w:val="-14"/>
        </w:rPr>
        <w:t> </w:t>
      </w:r>
      <w:r>
        <w:rPr>
          <w:spacing w:val="-8"/>
        </w:rPr>
        <w:t>号文，及</w:t>
      </w:r>
      <w:r>
        <w:rPr>
          <w:spacing w:val="-67"/>
        </w:rPr>
        <w:t> </w:t>
      </w:r>
      <w:r>
        <w:rPr>
          <w:rFonts w:ascii="Arial" w:hAnsi="Arial" w:cs="Arial" w:eastAsia="Arial" w:hint="default"/>
        </w:rPr>
        <w:t>2007</w:t>
      </w:r>
    </w:p>
    <w:p>
      <w:pPr>
        <w:pStyle w:val="BodyText"/>
        <w:spacing w:line="312" w:lineRule="exact"/>
        <w:ind w:left="817" w:right="0"/>
        <w:jc w:val="both"/>
      </w:pPr>
      <w:r>
        <w:rPr/>
        <w:t>年</w:t>
      </w:r>
      <w:r>
        <w:rPr>
          <w:spacing w:val="-50"/>
        </w:rPr>
        <w:t> </w:t>
      </w:r>
      <w:r>
        <w:rPr>
          <w:rFonts w:ascii="Arial" w:hAnsi="Arial" w:cs="Arial" w:eastAsia="Arial" w:hint="default"/>
        </w:rPr>
        <w:t>4</w:t>
      </w:r>
      <w:r>
        <w:rPr>
          <w:rFonts w:ascii="Arial" w:hAnsi="Arial" w:cs="Arial" w:eastAsia="Arial" w:hint="default"/>
          <w:spacing w:val="3"/>
        </w:rPr>
        <w:t> </w:t>
      </w:r>
      <w:r>
        <w:rPr/>
        <w:t>月</w:t>
      </w:r>
      <w:r>
        <w:rPr>
          <w:spacing w:val="-50"/>
        </w:rPr>
        <w:t> </w:t>
      </w:r>
      <w:r>
        <w:rPr>
          <w:rFonts w:ascii="Arial" w:hAnsi="Arial" w:cs="Arial" w:eastAsia="Arial" w:hint="default"/>
        </w:rPr>
        <w:t>2</w:t>
      </w:r>
      <w:r>
        <w:rPr>
          <w:rFonts w:ascii="Arial" w:hAnsi="Arial" w:cs="Arial" w:eastAsia="Arial" w:hint="default"/>
          <w:spacing w:val="3"/>
        </w:rPr>
        <w:t> </w:t>
      </w:r>
      <w:r>
        <w:rPr/>
        <w:t>日，经陕西省发展和改革委员会陕发改产业确认函</w:t>
      </w:r>
      <w:r>
        <w:rPr>
          <w:rFonts w:ascii="Arial" w:hAnsi="Arial" w:cs="Arial" w:eastAsia="Arial" w:hint="default"/>
        </w:rPr>
        <w:t>[2007]26</w:t>
      </w:r>
      <w:r>
        <w:rPr>
          <w:rFonts w:ascii="Arial" w:hAnsi="Arial" w:cs="Arial" w:eastAsia="Arial" w:hint="default"/>
          <w:spacing w:val="3"/>
        </w:rPr>
        <w:t> </w:t>
      </w:r>
      <w:r>
        <w:rPr/>
        <w:t>号批准：同意陕</w:t>
      </w:r>
    </w:p>
    <w:p>
      <w:pPr>
        <w:pStyle w:val="BodyText"/>
        <w:spacing w:line="312" w:lineRule="exact"/>
        <w:ind w:left="817" w:right="0"/>
        <w:jc w:val="both"/>
        <w:rPr>
          <w:rFonts w:ascii="Arial" w:hAnsi="Arial" w:cs="Arial" w:eastAsia="Arial" w:hint="default"/>
        </w:rPr>
      </w:pPr>
      <w:r>
        <w:rPr/>
        <w:t>西苏宁电器有限责任公司商场分公司及汉中分公司在每年按规定审核确认后享受</w:t>
      </w:r>
      <w:r>
        <w:rPr>
          <w:spacing w:val="-3"/>
        </w:rPr>
        <w:t> </w:t>
      </w:r>
      <w:r>
        <w:rPr>
          <w:rFonts w:ascii="Arial" w:hAnsi="Arial" w:cs="Arial" w:eastAsia="Arial" w:hint="default"/>
        </w:rPr>
        <w:t>15%</w:t>
      </w:r>
    </w:p>
    <w:p>
      <w:pPr>
        <w:pStyle w:val="BodyText"/>
        <w:spacing w:line="322" w:lineRule="exact"/>
        <w:ind w:left="817" w:right="0"/>
        <w:jc w:val="both"/>
      </w:pPr>
      <w:r>
        <w:rPr/>
        <w:t>的企业所得税税率，</w:t>
      </w:r>
      <w:r>
        <w:rPr>
          <w:rFonts w:ascii="Arial" w:hAnsi="Arial" w:cs="Arial" w:eastAsia="Arial" w:hint="default"/>
        </w:rPr>
        <w:t>2007</w:t>
      </w:r>
      <w:r>
        <w:rPr>
          <w:rFonts w:ascii="Arial" w:hAnsi="Arial" w:cs="Arial" w:eastAsia="Arial" w:hint="default"/>
          <w:spacing w:val="-10"/>
        </w:rPr>
        <w:t> </w:t>
      </w:r>
      <w:r>
        <w:rPr/>
        <w:t>年的审核将在年度纳税汇算清缴后批复。</w:t>
      </w:r>
    </w:p>
    <w:p>
      <w:pPr>
        <w:spacing w:line="240" w:lineRule="auto" w:before="8"/>
        <w:rPr>
          <w:rFonts w:ascii="宋体" w:hAnsi="宋体" w:cs="宋体" w:eastAsia="宋体" w:hint="default"/>
          <w:sz w:val="19"/>
          <w:szCs w:val="19"/>
        </w:rPr>
      </w:pPr>
    </w:p>
    <w:p>
      <w:pPr>
        <w:pStyle w:val="BodyText"/>
        <w:spacing w:line="322" w:lineRule="exact"/>
        <w:ind w:left="817" w:right="0"/>
        <w:jc w:val="both"/>
        <w:rPr>
          <w:rFonts w:ascii="Arial" w:hAnsi="Arial" w:cs="Arial" w:eastAsia="Arial" w:hint="default"/>
        </w:rPr>
      </w:pPr>
      <w:r>
        <w:rPr>
          <w:rFonts w:ascii="Arial" w:hAnsi="Arial" w:cs="Arial" w:eastAsia="Arial" w:hint="default"/>
        </w:rPr>
        <w:t>2007</w:t>
      </w:r>
      <w:r>
        <w:rPr>
          <w:rFonts w:ascii="Arial" w:hAnsi="Arial" w:cs="Arial" w:eastAsia="Arial" w:hint="default"/>
          <w:spacing w:val="-10"/>
        </w:rPr>
        <w:t> </w:t>
      </w:r>
      <w:r>
        <w:rPr/>
        <w:t>年</w:t>
      </w:r>
      <w:r>
        <w:rPr>
          <w:spacing w:val="-63"/>
        </w:rPr>
        <w:t> </w:t>
      </w:r>
      <w:r>
        <w:rPr>
          <w:rFonts w:ascii="Arial" w:hAnsi="Arial" w:cs="Arial" w:eastAsia="Arial" w:hint="default"/>
        </w:rPr>
        <w:t>5</w:t>
      </w:r>
      <w:r>
        <w:rPr>
          <w:rFonts w:ascii="Arial" w:hAnsi="Arial" w:cs="Arial" w:eastAsia="Arial" w:hint="default"/>
          <w:spacing w:val="-9"/>
        </w:rPr>
        <w:t> </w:t>
      </w:r>
      <w:r>
        <w:rPr/>
        <w:t>月</w:t>
      </w:r>
      <w:r>
        <w:rPr>
          <w:spacing w:val="-63"/>
        </w:rPr>
        <w:t> </w:t>
      </w:r>
      <w:r>
        <w:rPr>
          <w:rFonts w:ascii="Arial" w:hAnsi="Arial" w:cs="Arial" w:eastAsia="Arial" w:hint="default"/>
          <w:spacing w:val="-10"/>
        </w:rPr>
        <w:t>11 </w:t>
      </w:r>
      <w:r>
        <w:rPr/>
        <w:t>日，经广西壮族自治区南宁市西塘区国家税务局南市国税函</w:t>
      </w:r>
      <w:r>
        <w:rPr>
          <w:rFonts w:ascii="Arial" w:hAnsi="Arial" w:cs="Arial" w:eastAsia="Arial" w:hint="default"/>
        </w:rPr>
        <w:t>[2007]228</w:t>
      </w:r>
    </w:p>
    <w:p>
      <w:pPr>
        <w:pStyle w:val="BodyText"/>
        <w:spacing w:line="322" w:lineRule="exact"/>
        <w:ind w:left="817" w:right="0"/>
        <w:jc w:val="both"/>
      </w:pPr>
      <w:r>
        <w:rPr/>
        <w:t>号文批准：同意免征广西苏宁电器有限公司</w:t>
      </w:r>
      <w:r>
        <w:rPr>
          <w:spacing w:val="-61"/>
        </w:rPr>
        <w:t> </w:t>
      </w:r>
      <w:r>
        <w:rPr>
          <w:rFonts w:ascii="Arial" w:hAnsi="Arial" w:cs="Arial" w:eastAsia="Arial" w:hint="default"/>
        </w:rPr>
        <w:t>2006</w:t>
      </w:r>
      <w:r>
        <w:rPr>
          <w:rFonts w:ascii="Arial" w:hAnsi="Arial" w:cs="Arial" w:eastAsia="Arial" w:hint="default"/>
          <w:spacing w:val="-8"/>
        </w:rPr>
        <w:t> </w:t>
      </w:r>
      <w:r>
        <w:rPr/>
        <w:t>年至</w:t>
      </w:r>
      <w:r>
        <w:rPr>
          <w:spacing w:val="-61"/>
        </w:rPr>
        <w:t> </w:t>
      </w:r>
      <w:r>
        <w:rPr>
          <w:rFonts w:ascii="Arial" w:hAnsi="Arial" w:cs="Arial" w:eastAsia="Arial" w:hint="default"/>
        </w:rPr>
        <w:t>2010</w:t>
      </w:r>
      <w:r>
        <w:rPr>
          <w:rFonts w:ascii="Arial" w:hAnsi="Arial" w:cs="Arial" w:eastAsia="Arial" w:hint="default"/>
          <w:spacing w:val="-8"/>
        </w:rPr>
        <w:t> </w:t>
      </w:r>
      <w:r>
        <w:rPr/>
        <w:t>年期间企业所得税。</w:t>
      </w:r>
    </w:p>
    <w:p>
      <w:pPr>
        <w:spacing w:line="240" w:lineRule="auto" w:before="13"/>
        <w:rPr>
          <w:rFonts w:ascii="宋体" w:hAnsi="宋体" w:cs="宋体" w:eastAsia="宋体" w:hint="default"/>
          <w:sz w:val="21"/>
          <w:szCs w:val="21"/>
        </w:rPr>
      </w:pPr>
    </w:p>
    <w:p>
      <w:pPr>
        <w:pStyle w:val="BodyText"/>
        <w:spacing w:line="312" w:lineRule="exact"/>
        <w:ind w:left="817" w:right="102"/>
        <w:jc w:val="both"/>
      </w:pPr>
      <w:r>
        <w:rPr>
          <w:rFonts w:ascii="Arial" w:hAnsi="Arial" w:cs="Arial" w:eastAsia="Arial" w:hint="default"/>
        </w:rPr>
        <w:t>2007</w:t>
      </w:r>
      <w:r>
        <w:rPr>
          <w:rFonts w:ascii="Arial" w:hAnsi="Arial" w:cs="Arial" w:eastAsia="Arial" w:hint="default"/>
          <w:spacing w:val="-7"/>
        </w:rPr>
        <w:t> </w:t>
      </w:r>
      <w:r>
        <w:rPr/>
        <w:t>年</w:t>
      </w:r>
      <w:r>
        <w:rPr>
          <w:spacing w:val="-61"/>
        </w:rPr>
        <w:t> </w:t>
      </w:r>
      <w:r>
        <w:rPr>
          <w:rFonts w:ascii="Arial" w:hAnsi="Arial" w:cs="Arial" w:eastAsia="Arial" w:hint="default"/>
        </w:rPr>
        <w:t>10</w:t>
      </w:r>
      <w:r>
        <w:rPr>
          <w:rFonts w:ascii="Arial" w:hAnsi="Arial" w:cs="Arial" w:eastAsia="Arial" w:hint="default"/>
          <w:spacing w:val="-8"/>
        </w:rPr>
        <w:t> </w:t>
      </w:r>
      <w:r>
        <w:rPr/>
        <w:t>月</w:t>
      </w:r>
      <w:r>
        <w:rPr>
          <w:spacing w:val="-61"/>
        </w:rPr>
        <w:t> </w:t>
      </w:r>
      <w:r>
        <w:rPr>
          <w:rFonts w:ascii="Arial" w:hAnsi="Arial" w:cs="Arial" w:eastAsia="Arial" w:hint="default"/>
        </w:rPr>
        <w:t>10</w:t>
      </w:r>
      <w:r>
        <w:rPr>
          <w:rFonts w:ascii="Arial" w:hAnsi="Arial" w:cs="Arial" w:eastAsia="Arial" w:hint="default"/>
          <w:spacing w:val="-8"/>
        </w:rPr>
        <w:t> </w:t>
      </w:r>
      <w:r>
        <w:rPr/>
        <w:t>日，经昌吉市国家税务局昌市国税减免</w:t>
      </w:r>
      <w:r>
        <w:rPr>
          <w:rFonts w:ascii="Arial" w:hAnsi="Arial" w:cs="Arial" w:eastAsia="Arial" w:hint="default"/>
        </w:rPr>
        <w:t>[2007]588</w:t>
      </w:r>
      <w:r>
        <w:rPr>
          <w:rFonts w:ascii="Arial" w:hAnsi="Arial" w:cs="Arial" w:eastAsia="Arial" w:hint="default"/>
          <w:spacing w:val="-8"/>
        </w:rPr>
        <w:t> </w:t>
      </w:r>
      <w:r>
        <w:rPr/>
        <w:t>号文批准：同意昌 </w:t>
      </w:r>
      <w:r>
        <w:rPr>
          <w:spacing w:val="-1"/>
        </w:rPr>
        <w:t>吉苏宁电器有限公司享受</w:t>
      </w:r>
      <w:r>
        <w:rPr>
          <w:rFonts w:ascii="Arial" w:hAnsi="Arial" w:cs="Arial" w:eastAsia="Arial" w:hint="default"/>
          <w:spacing w:val="-1"/>
        </w:rPr>
        <w:t>“</w:t>
      </w:r>
      <w:r>
        <w:rPr>
          <w:spacing w:val="-1"/>
        </w:rPr>
        <w:t>三免三减半</w:t>
      </w:r>
      <w:r>
        <w:rPr>
          <w:rFonts w:ascii="Arial" w:hAnsi="Arial" w:cs="Arial" w:eastAsia="Arial" w:hint="default"/>
          <w:spacing w:val="-1"/>
        </w:rPr>
        <w:t>”</w:t>
      </w:r>
      <w:r>
        <w:rPr>
          <w:spacing w:val="-1"/>
        </w:rPr>
        <w:t>的税收优惠政策，即免征昌吉苏宁电器有限公司</w:t>
      </w:r>
      <w:r>
        <w:rPr/>
        <w:t> </w:t>
      </w:r>
      <w:r>
        <w:rPr>
          <w:rFonts w:ascii="Arial" w:hAnsi="Arial" w:cs="Arial" w:eastAsia="Arial" w:hint="default"/>
        </w:rPr>
        <w:t>2007</w:t>
      </w:r>
      <w:r>
        <w:rPr>
          <w:rFonts w:ascii="Arial" w:hAnsi="Arial" w:cs="Arial" w:eastAsia="Arial" w:hint="default"/>
          <w:spacing w:val="-9"/>
        </w:rPr>
        <w:t> </w:t>
      </w:r>
      <w:r>
        <w:rPr/>
        <w:t>年至</w:t>
      </w:r>
      <w:r>
        <w:rPr>
          <w:spacing w:val="-61"/>
        </w:rPr>
        <w:t> </w:t>
      </w:r>
      <w:r>
        <w:rPr>
          <w:rFonts w:ascii="Arial" w:hAnsi="Arial" w:cs="Arial" w:eastAsia="Arial" w:hint="default"/>
        </w:rPr>
        <w:t>2009</w:t>
      </w:r>
      <w:r>
        <w:rPr>
          <w:rFonts w:ascii="Arial" w:hAnsi="Arial" w:cs="Arial" w:eastAsia="Arial" w:hint="default"/>
          <w:spacing w:val="-9"/>
        </w:rPr>
        <w:t> </w:t>
      </w:r>
      <w:r>
        <w:rPr>
          <w:spacing w:val="-4"/>
        </w:rPr>
        <w:t>年企业所得税，并于</w:t>
      </w:r>
      <w:r>
        <w:rPr>
          <w:spacing w:val="-62"/>
        </w:rPr>
        <w:t> </w:t>
      </w:r>
      <w:r>
        <w:rPr>
          <w:rFonts w:ascii="Arial" w:hAnsi="Arial" w:cs="Arial" w:eastAsia="Arial" w:hint="default"/>
        </w:rPr>
        <w:t>2010</w:t>
      </w:r>
      <w:r>
        <w:rPr>
          <w:rFonts w:ascii="Arial" w:hAnsi="Arial" w:cs="Arial" w:eastAsia="Arial" w:hint="default"/>
          <w:spacing w:val="-8"/>
        </w:rPr>
        <w:t> </w:t>
      </w:r>
      <w:r>
        <w:rPr/>
        <w:t>年至</w:t>
      </w:r>
      <w:r>
        <w:rPr>
          <w:spacing w:val="-62"/>
        </w:rPr>
        <w:t> </w:t>
      </w:r>
      <w:r>
        <w:rPr>
          <w:rFonts w:ascii="Arial" w:hAnsi="Arial" w:cs="Arial" w:eastAsia="Arial" w:hint="default"/>
        </w:rPr>
        <w:t>2012</w:t>
      </w:r>
      <w:r>
        <w:rPr>
          <w:rFonts w:ascii="Arial" w:hAnsi="Arial" w:cs="Arial" w:eastAsia="Arial" w:hint="default"/>
          <w:spacing w:val="-8"/>
        </w:rPr>
        <w:t> </w:t>
      </w:r>
      <w:r>
        <w:rPr/>
        <w:t>年期间享受减半征收企业所得税</w:t>
      </w:r>
    </w:p>
    <w:p>
      <w:pPr>
        <w:pStyle w:val="BodyText"/>
        <w:spacing w:line="300" w:lineRule="exact"/>
        <w:ind w:left="817" w:right="0"/>
        <w:jc w:val="both"/>
      </w:pPr>
      <w:r>
        <w:rPr>
          <w:rFonts w:ascii="Arial" w:hAnsi="Arial" w:cs="Arial" w:eastAsia="Arial" w:hint="default"/>
        </w:rPr>
        <w:t>3</w:t>
      </w:r>
      <w:r>
        <w:rPr>
          <w:rFonts w:ascii="Arial" w:hAnsi="Arial" w:cs="Arial" w:eastAsia="Arial" w:hint="default"/>
          <w:spacing w:val="-7"/>
        </w:rPr>
        <w:t> </w:t>
      </w:r>
      <w:r>
        <w:rPr/>
        <w:t>年优惠政策。</w:t>
      </w:r>
    </w:p>
    <w:p>
      <w:pPr>
        <w:spacing w:line="240" w:lineRule="auto" w:before="13"/>
        <w:rPr>
          <w:rFonts w:ascii="宋体" w:hAnsi="宋体" w:cs="宋体" w:eastAsia="宋体" w:hint="default"/>
          <w:sz w:val="21"/>
          <w:szCs w:val="21"/>
        </w:rPr>
      </w:pPr>
    </w:p>
    <w:p>
      <w:pPr>
        <w:pStyle w:val="BodyText"/>
        <w:spacing w:line="312" w:lineRule="exact"/>
        <w:ind w:left="817" w:right="101"/>
        <w:jc w:val="both"/>
      </w:pPr>
      <w:r>
        <w:rPr/>
        <w:t>根据国发</w:t>
      </w:r>
      <w:r>
        <w:rPr>
          <w:rFonts w:ascii="Arial" w:hAnsi="Arial" w:cs="Arial" w:eastAsia="Arial" w:hint="default"/>
        </w:rPr>
        <w:t>[2007]39</w:t>
      </w:r>
      <w:r>
        <w:rPr>
          <w:rFonts w:ascii="Arial" w:hAnsi="Arial" w:cs="Arial" w:eastAsia="Arial" w:hint="default"/>
          <w:spacing w:val="50"/>
        </w:rPr>
        <w:t> </w:t>
      </w:r>
      <w:r>
        <w:rPr/>
        <w:t>号文第二条，新企业所得税法生效后，上述西部大开发企业所得税 优惠政策继续执行。</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05"/>
        <w:jc w:val="left"/>
      </w:pPr>
      <w:r>
        <w:rPr>
          <w:rFonts w:ascii="Arial" w:hAnsi="Arial" w:cs="Arial" w:eastAsia="Arial" w:hint="default"/>
          <w:position w:val="2"/>
        </w:rPr>
        <w:t>(3)</w:t>
        <w:tab/>
      </w:r>
      <w:r>
        <w:rPr/>
        <w:t>新办商业企业的优惠政策</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t>根据财税字</w:t>
      </w:r>
      <w:r>
        <w:rPr>
          <w:rFonts w:ascii="Arial" w:hAnsi="Arial" w:cs="Arial" w:eastAsia="Arial" w:hint="default"/>
        </w:rPr>
        <w:t>[1994]1</w:t>
      </w:r>
      <w:r>
        <w:rPr>
          <w:rFonts w:ascii="Arial" w:hAnsi="Arial" w:cs="Arial" w:eastAsia="Arial" w:hint="default"/>
          <w:spacing w:val="-24"/>
        </w:rPr>
        <w:t> </w:t>
      </w:r>
      <w:r>
        <w:rPr/>
        <w:t>号第一条第二款，对新办的独立核算的从事公用事业、商业、物资 </w:t>
      </w:r>
      <w:r>
        <w:rPr>
          <w:spacing w:val="-4"/>
        </w:rPr>
        <w:t>业、对外贸易业、旅游业、仓储业、居民服务业、饮食业、教育文化事业、卫生事业的</w:t>
      </w:r>
      <w:r>
        <w:rPr>
          <w:spacing w:val="-87"/>
        </w:rPr>
        <w:t> </w:t>
      </w:r>
      <w:r>
        <w:rPr>
          <w:spacing w:val="-87"/>
        </w:rPr>
      </w:r>
      <w:r>
        <w:rPr>
          <w:spacing w:val="-2"/>
        </w:rPr>
        <w:t>企业或经营单位</w:t>
      </w:r>
      <w:r>
        <w:rPr>
          <w:rFonts w:ascii="Arial" w:hAnsi="Arial" w:cs="Arial" w:eastAsia="Arial" w:hint="default"/>
          <w:spacing w:val="-2"/>
        </w:rPr>
        <w:t>,</w:t>
      </w:r>
      <w:r>
        <w:rPr>
          <w:spacing w:val="-2"/>
        </w:rPr>
        <w:t>自开业之日起</w:t>
      </w:r>
      <w:r>
        <w:rPr>
          <w:rFonts w:ascii="Arial" w:hAnsi="Arial" w:cs="Arial" w:eastAsia="Arial" w:hint="default"/>
          <w:spacing w:val="-2"/>
        </w:rPr>
        <w:t>,</w:t>
      </w:r>
      <w:r>
        <w:rPr>
          <w:spacing w:val="-2"/>
        </w:rPr>
        <w:t>报经主管税务机关批准</w:t>
      </w:r>
      <w:r>
        <w:rPr>
          <w:rFonts w:ascii="Arial" w:hAnsi="Arial" w:cs="Arial" w:eastAsia="Arial" w:hint="default"/>
          <w:spacing w:val="-2"/>
        </w:rPr>
        <w:t>,</w:t>
      </w:r>
      <w:r>
        <w:rPr>
          <w:spacing w:val="-2"/>
        </w:rPr>
        <w:t>可减征或者免征所得税一年。本</w:t>
      </w:r>
      <w:r>
        <w:rPr/>
        <w:t> 集团享受该项优惠政策的子公司情况如下：</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11"/>
        </w:rPr>
        <w:t> </w:t>
      </w:r>
      <w:r>
        <w:rPr/>
        <w:t>年</w:t>
      </w:r>
      <w:r>
        <w:rPr>
          <w:spacing w:val="-64"/>
        </w:rPr>
        <w:t> </w:t>
      </w:r>
      <w:r>
        <w:rPr>
          <w:rFonts w:ascii="Arial" w:hAnsi="Arial" w:cs="Arial" w:eastAsia="Arial" w:hint="default"/>
        </w:rPr>
        <w:t>2</w:t>
      </w:r>
      <w:r>
        <w:rPr>
          <w:rFonts w:ascii="Arial" w:hAnsi="Arial" w:cs="Arial" w:eastAsia="Arial" w:hint="default"/>
          <w:spacing w:val="-10"/>
        </w:rPr>
        <w:t> </w:t>
      </w:r>
      <w:r>
        <w:rPr/>
        <w:t>月</w:t>
      </w:r>
      <w:r>
        <w:rPr>
          <w:spacing w:val="-64"/>
        </w:rPr>
        <w:t> </w:t>
      </w:r>
      <w:r>
        <w:rPr>
          <w:rFonts w:ascii="Arial" w:hAnsi="Arial" w:cs="Arial" w:eastAsia="Arial" w:hint="default"/>
        </w:rPr>
        <w:t>8</w:t>
      </w:r>
      <w:r>
        <w:rPr>
          <w:rFonts w:ascii="Arial" w:hAnsi="Arial" w:cs="Arial" w:eastAsia="Arial" w:hint="default"/>
          <w:spacing w:val="-11"/>
        </w:rPr>
        <w:t> </w:t>
      </w:r>
      <w:r>
        <w:rPr/>
        <w:t>日，经珠海市国家税务局珠国税函</w:t>
      </w:r>
      <w:r>
        <w:rPr>
          <w:rFonts w:ascii="Arial" w:hAnsi="Arial" w:cs="Arial" w:eastAsia="Arial" w:hint="default"/>
        </w:rPr>
        <w:t>[2007]21</w:t>
      </w:r>
      <w:r>
        <w:rPr>
          <w:rFonts w:ascii="Arial" w:hAnsi="Arial" w:cs="Arial" w:eastAsia="Arial" w:hint="default"/>
          <w:spacing w:val="-12"/>
        </w:rPr>
        <w:t> </w:t>
      </w:r>
      <w:r>
        <w:rPr>
          <w:spacing w:val="-3"/>
        </w:rPr>
        <w:t>号文批准：同意免征珠海苏</w:t>
      </w:r>
    </w:p>
    <w:p>
      <w:pPr>
        <w:pStyle w:val="BodyText"/>
        <w:spacing w:line="322" w:lineRule="exact"/>
        <w:ind w:left="817" w:right="0"/>
        <w:jc w:val="both"/>
      </w:pPr>
      <w:r>
        <w:rPr/>
        <w:t>宁电器有限公司</w:t>
      </w:r>
      <w:r>
        <w:rPr>
          <w:spacing w:val="-62"/>
        </w:rPr>
        <w:t> </w:t>
      </w:r>
      <w:r>
        <w:rPr>
          <w:rFonts w:ascii="Arial" w:hAnsi="Arial" w:cs="Arial" w:eastAsia="Arial" w:hint="default"/>
        </w:rPr>
        <w:t>2007</w:t>
      </w:r>
      <w:r>
        <w:rPr>
          <w:rFonts w:ascii="Arial" w:hAnsi="Arial" w:cs="Arial" w:eastAsia="Arial" w:hint="default"/>
          <w:spacing w:val="-8"/>
        </w:rPr>
        <w:t> </w:t>
      </w:r>
      <w:r>
        <w:rPr/>
        <w:t>年度企业所得税。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spacing w:val="-62"/>
        </w:rPr>
        <w:t> </w:t>
      </w:r>
      <w:r>
        <w:rPr>
          <w:rFonts w:ascii="Arial" w:hAnsi="Arial" w:cs="Arial" w:eastAsia="Arial" w:hint="default"/>
        </w:rPr>
        <w:t>16</w:t>
      </w:r>
      <w:r>
        <w:rPr>
          <w:rFonts w:ascii="Arial" w:hAnsi="Arial" w:cs="Arial" w:eastAsia="Arial" w:hint="default"/>
          <w:spacing w:val="-9"/>
        </w:rPr>
        <w:t> </w:t>
      </w:r>
      <w:r>
        <w:rPr/>
        <w:t>日，经锦州市凌河区国家税务局锦国税凌免</w:t>
      </w:r>
      <w:r>
        <w:rPr>
          <w:rFonts w:ascii="Arial" w:hAnsi="Arial" w:cs="Arial" w:eastAsia="Arial" w:hint="default"/>
        </w:rPr>
        <w:t>[2007]44</w:t>
      </w:r>
      <w:r>
        <w:rPr>
          <w:rFonts w:ascii="Arial" w:hAnsi="Arial" w:cs="Arial" w:eastAsia="Arial" w:hint="default"/>
          <w:spacing w:val="-10"/>
        </w:rPr>
        <w:t> </w:t>
      </w:r>
      <w:r>
        <w:rPr/>
        <w:t>号文批准：同意</w:t>
      </w:r>
    </w:p>
    <w:p>
      <w:pPr>
        <w:pStyle w:val="BodyText"/>
        <w:spacing w:line="322" w:lineRule="exact"/>
        <w:ind w:left="817" w:right="0"/>
        <w:jc w:val="both"/>
      </w:pPr>
      <w:r>
        <w:rPr/>
        <w:t>免征锦州苏宁电器有限公司</w:t>
      </w:r>
      <w:r>
        <w:rPr>
          <w:spacing w:val="-62"/>
        </w:rPr>
        <w:t> </w:t>
      </w:r>
      <w:r>
        <w:rPr>
          <w:rFonts w:ascii="Arial" w:hAnsi="Arial" w:cs="Arial" w:eastAsia="Arial" w:hint="default"/>
        </w:rPr>
        <w:t>2007</w:t>
      </w:r>
      <w:r>
        <w:rPr>
          <w:rFonts w:ascii="Arial" w:hAnsi="Arial" w:cs="Arial" w:eastAsia="Arial" w:hint="default"/>
          <w:spacing w:val="-8"/>
        </w:rPr>
        <w:t> </w:t>
      </w:r>
      <w:r>
        <w:rPr/>
        <w:t>年度企业所得税。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13"/>
        </w:rPr>
        <w:t> </w:t>
      </w:r>
      <w:r>
        <w:rPr/>
        <w:t>年</w:t>
      </w:r>
      <w:r>
        <w:rPr>
          <w:spacing w:val="-66"/>
        </w:rPr>
        <w:t> </w:t>
      </w:r>
      <w:r>
        <w:rPr>
          <w:rFonts w:ascii="Arial" w:hAnsi="Arial" w:cs="Arial" w:eastAsia="Arial" w:hint="default"/>
        </w:rPr>
        <w:t>4</w:t>
      </w:r>
      <w:r>
        <w:rPr>
          <w:rFonts w:ascii="Arial" w:hAnsi="Arial" w:cs="Arial" w:eastAsia="Arial" w:hint="default"/>
          <w:spacing w:val="-12"/>
        </w:rPr>
        <w:t> </w:t>
      </w:r>
      <w:r>
        <w:rPr/>
        <w:t>月</w:t>
      </w:r>
      <w:r>
        <w:rPr>
          <w:spacing w:val="-66"/>
        </w:rPr>
        <w:t> </w:t>
      </w:r>
      <w:r>
        <w:rPr>
          <w:rFonts w:ascii="Arial" w:hAnsi="Arial" w:cs="Arial" w:eastAsia="Arial" w:hint="default"/>
        </w:rPr>
        <w:t>17</w:t>
      </w:r>
      <w:r>
        <w:rPr>
          <w:rFonts w:ascii="Arial" w:hAnsi="Arial" w:cs="Arial" w:eastAsia="Arial" w:hint="default"/>
          <w:spacing w:val="-13"/>
        </w:rPr>
        <w:t> </w:t>
      </w:r>
      <w:r>
        <w:rPr/>
        <w:t>日，经佳木斯市向阳区国家税务局向国减</w:t>
      </w:r>
      <w:r>
        <w:rPr>
          <w:rFonts w:ascii="Arial" w:hAnsi="Arial" w:cs="Arial" w:eastAsia="Arial" w:hint="default"/>
        </w:rPr>
        <w:t>[2007]5</w:t>
      </w:r>
      <w:r>
        <w:rPr>
          <w:rFonts w:ascii="Arial" w:hAnsi="Arial" w:cs="Arial" w:eastAsia="Arial" w:hint="default"/>
          <w:spacing w:val="-14"/>
        </w:rPr>
        <w:t> </w:t>
      </w:r>
      <w:r>
        <w:rPr>
          <w:spacing w:val="-3"/>
        </w:rPr>
        <w:t>号文批准：同意免征</w:t>
      </w:r>
    </w:p>
    <w:p>
      <w:pPr>
        <w:pStyle w:val="BodyText"/>
        <w:spacing w:line="322" w:lineRule="exact"/>
        <w:ind w:left="817" w:right="0"/>
        <w:jc w:val="both"/>
      </w:pPr>
      <w:r>
        <w:rPr/>
        <w:t>佳木斯苏宁电器有限公司</w:t>
      </w:r>
      <w:r>
        <w:rPr>
          <w:spacing w:val="-62"/>
        </w:rPr>
        <w:t> </w:t>
      </w:r>
      <w:r>
        <w:rPr>
          <w:rFonts w:ascii="Arial" w:hAnsi="Arial" w:cs="Arial" w:eastAsia="Arial" w:hint="default"/>
        </w:rPr>
        <w:t>2007</w:t>
      </w:r>
      <w:r>
        <w:rPr>
          <w:rFonts w:ascii="Arial" w:hAnsi="Arial" w:cs="Arial" w:eastAsia="Arial" w:hint="default"/>
          <w:spacing w:val="-9"/>
        </w:rPr>
        <w:t> </w:t>
      </w:r>
      <w:r>
        <w:rPr/>
        <w:t>年度企业所得税。</w:t>
      </w:r>
    </w:p>
    <w:p>
      <w:pPr>
        <w:spacing w:after="0" w:line="322" w:lineRule="exact"/>
        <w:jc w:val="both"/>
        <w:sectPr>
          <w:pgSz w:w="11910" w:h="16840"/>
          <w:pgMar w:header="1458" w:footer="708" w:top="1640" w:bottom="900" w:left="1020" w:right="960"/>
        </w:sectPr>
      </w:pPr>
    </w:p>
    <w:p>
      <w:pPr>
        <w:spacing w:line="240" w:lineRule="auto" w:before="11"/>
        <w:rPr>
          <w:rFonts w:ascii="宋体" w:hAnsi="宋体" w:cs="宋体" w:eastAsia="宋体" w:hint="default"/>
          <w:sz w:val="2"/>
          <w:szCs w:val="2"/>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440.65pt;height:.75pt;mso-position-horizontal-relative:char;mso-position-vertical-relative:line" coordorigin="0,0" coordsize="8813,15">
            <v:group style="position:absolute;left:7;top:7;width:8799;height:2" coordorigin="7,7" coordsize="8799,2">
              <v:shape style="position:absolute;left:7;top:7;width:8799;height:2" coordorigin="7,7" coordsize="8799,0" path="m7,7l88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3"/>
          <w:szCs w:val="13"/>
        </w:rPr>
      </w:pPr>
    </w:p>
    <w:p>
      <w:pPr>
        <w:pStyle w:val="Heading2"/>
        <w:tabs>
          <w:tab w:pos="817" w:val="left" w:leader="none"/>
        </w:tabs>
        <w:spacing w:line="240" w:lineRule="auto"/>
        <w:ind w:right="3845"/>
        <w:jc w:val="left"/>
        <w:rPr>
          <w:rFonts w:ascii="Arial" w:hAnsi="Arial" w:cs="Arial" w:eastAsia="Arial" w:hint="default"/>
          <w:b w:val="0"/>
          <w:bCs w:val="0"/>
        </w:rPr>
      </w:pPr>
      <w:r>
        <w:rPr>
          <w:w w:val="95"/>
        </w:rPr>
        <w:t>六</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tabs>
          <w:tab w:pos="817" w:val="left" w:leader="none"/>
        </w:tabs>
        <w:spacing w:line="580" w:lineRule="atLeast" w:before="8"/>
        <w:ind w:left="817" w:right="121" w:hanging="710"/>
        <w:jc w:val="left"/>
      </w:pPr>
      <w:r>
        <w:rPr>
          <w:rFonts w:ascii="Arial" w:hAnsi="Arial" w:cs="Arial" w:eastAsia="Arial" w:hint="default"/>
          <w:position w:val="2"/>
        </w:rPr>
        <w:t>(3)</w:t>
        <w:tab/>
      </w:r>
      <w:r>
        <w:rPr/>
        <w:t>新办商业企业的优惠政策</w:t>
      </w:r>
      <w:r>
        <w:rPr>
          <w:rFonts w:ascii="Arial" w:hAnsi="Arial" w:cs="Arial" w:eastAsia="Arial" w:hint="default"/>
        </w:rPr>
        <w:t>(</w:t>
      </w:r>
      <w:r>
        <w:rPr/>
        <w:t>续</w:t>
      </w:r>
      <w:r>
        <w:rPr>
          <w:rFonts w:ascii="Arial" w:hAnsi="Arial" w:cs="Arial" w:eastAsia="Arial" w:hint="default"/>
        </w:rPr>
        <w:t>) </w:t>
      </w:r>
      <w:r>
        <w:rPr>
          <w:rFonts w:ascii="Arial" w:hAnsi="Arial" w:cs="Arial" w:eastAsia="Arial" w:hint="default"/>
          <w:spacing w:val="3"/>
        </w:rPr>
        <w:t>2007</w:t>
      </w:r>
      <w:r>
        <w:rPr>
          <w:spacing w:val="3"/>
        </w:rPr>
        <w:t>年</w:t>
      </w:r>
      <w:r>
        <w:rPr>
          <w:rFonts w:ascii="Arial" w:hAnsi="Arial" w:cs="Arial" w:eastAsia="Arial" w:hint="default"/>
          <w:spacing w:val="3"/>
        </w:rPr>
        <w:t>4</w:t>
      </w:r>
      <w:r>
        <w:rPr>
          <w:spacing w:val="3"/>
        </w:rPr>
        <w:t>月</w:t>
      </w:r>
      <w:r>
        <w:rPr>
          <w:rFonts w:ascii="Arial" w:hAnsi="Arial" w:cs="Arial" w:eastAsia="Arial" w:hint="default"/>
          <w:spacing w:val="3"/>
        </w:rPr>
        <w:t>24</w:t>
      </w:r>
      <w:r>
        <w:rPr>
          <w:spacing w:val="3"/>
        </w:rPr>
        <w:t>日，经鄂州市西城区国家税务局批准：同意免征鄂州苏宁电器有限公司</w:t>
      </w:r>
      <w:r>
        <w:rPr/>
      </w:r>
    </w:p>
    <w:p>
      <w:pPr>
        <w:pStyle w:val="BodyText"/>
        <w:spacing w:line="312" w:lineRule="exact"/>
        <w:ind w:left="817" w:right="0"/>
        <w:jc w:val="both"/>
      </w:pPr>
      <w:r>
        <w:rPr>
          <w:rFonts w:ascii="Arial" w:hAnsi="Arial" w:cs="Arial" w:eastAsia="Arial" w:hint="default"/>
        </w:rPr>
        <w:t>2007</w:t>
      </w:r>
      <w:r>
        <w:rPr/>
        <w:t>年度企业所得税。</w:t>
      </w:r>
    </w:p>
    <w:p>
      <w:pPr>
        <w:spacing w:line="240" w:lineRule="auto" w:before="13"/>
        <w:rPr>
          <w:rFonts w:ascii="宋体" w:hAnsi="宋体" w:cs="宋体" w:eastAsia="宋体" w:hint="default"/>
          <w:sz w:val="21"/>
          <w:szCs w:val="21"/>
        </w:rPr>
      </w:pPr>
    </w:p>
    <w:p>
      <w:pPr>
        <w:pStyle w:val="BodyText"/>
        <w:spacing w:line="312" w:lineRule="exact"/>
        <w:ind w:left="817" w:right="0"/>
        <w:jc w:val="left"/>
      </w:pPr>
      <w:r>
        <w:rPr>
          <w:rFonts w:ascii="Arial" w:hAnsi="Arial" w:cs="Arial" w:eastAsia="Arial" w:hint="default"/>
        </w:rPr>
        <w:t>2007</w:t>
      </w:r>
      <w:r>
        <w:rPr/>
        <w:t>年</w:t>
      </w:r>
      <w:r>
        <w:rPr>
          <w:rFonts w:ascii="Arial" w:hAnsi="Arial" w:cs="Arial" w:eastAsia="Arial" w:hint="default"/>
        </w:rPr>
        <w:t>5</w:t>
      </w:r>
      <w:r>
        <w:rPr/>
        <w:t>月</w:t>
      </w:r>
      <w:r>
        <w:rPr>
          <w:rFonts w:ascii="Arial" w:hAnsi="Arial" w:cs="Arial" w:eastAsia="Arial" w:hint="default"/>
        </w:rPr>
        <w:t>30</w:t>
      </w:r>
      <w:r>
        <w:rPr/>
        <w:t>日，经黄岗市黄州区国家税务局黄州国减</w:t>
      </w:r>
      <w:r>
        <w:rPr>
          <w:rFonts w:ascii="Arial" w:hAnsi="Arial" w:cs="Arial" w:eastAsia="Arial" w:hint="default"/>
        </w:rPr>
        <w:t>[2007]2</w:t>
      </w:r>
      <w:r>
        <w:rPr/>
        <w:t>号文批准：同意免征黄</w:t>
      </w:r>
      <w:r>
        <w:rPr>
          <w:spacing w:val="-76"/>
        </w:rPr>
        <w:t> </w:t>
      </w:r>
      <w:r>
        <w:rPr/>
        <w:t>岗苏宁电器有限公司</w:t>
      </w:r>
      <w:r>
        <w:rPr>
          <w:rFonts w:ascii="Arial" w:hAnsi="Arial" w:cs="Arial" w:eastAsia="Arial" w:hint="default"/>
        </w:rPr>
        <w:t>2007</w:t>
      </w:r>
      <w:r>
        <w:rPr/>
        <w:t>年度企业所得税。</w:t>
      </w:r>
    </w:p>
    <w:p>
      <w:pPr>
        <w:spacing w:line="240" w:lineRule="auto" w:before="1"/>
        <w:rPr>
          <w:rFonts w:ascii="宋体" w:hAnsi="宋体" w:cs="宋体" w:eastAsia="宋体" w:hint="default"/>
          <w:sz w:val="21"/>
          <w:szCs w:val="21"/>
        </w:rPr>
      </w:pPr>
    </w:p>
    <w:p>
      <w:pPr>
        <w:pStyle w:val="BodyText"/>
        <w:spacing w:line="312" w:lineRule="exact"/>
        <w:ind w:left="817" w:right="0"/>
        <w:jc w:val="left"/>
      </w:pPr>
      <w:r>
        <w:rPr>
          <w:rFonts w:ascii="Arial" w:hAnsi="Arial" w:cs="Arial" w:eastAsia="Arial" w:hint="default"/>
        </w:rPr>
        <w:t>2007 </w:t>
      </w:r>
      <w:r>
        <w:rPr/>
        <w:t>年</w:t>
      </w:r>
      <w:r>
        <w:rPr>
          <w:rFonts w:ascii="Arial" w:hAnsi="Arial" w:cs="Arial" w:eastAsia="Arial" w:hint="default"/>
        </w:rPr>
        <w:t>6</w:t>
      </w:r>
      <w:r>
        <w:rPr/>
        <w:t>月</w:t>
      </w:r>
      <w:r>
        <w:rPr>
          <w:rFonts w:ascii="Arial" w:hAnsi="Arial" w:cs="Arial" w:eastAsia="Arial" w:hint="default"/>
        </w:rPr>
        <w:t>21</w:t>
      </w:r>
      <w:r>
        <w:rPr/>
        <w:t>日，经大同市城区国家税务局同城国税发</w:t>
      </w:r>
      <w:r>
        <w:rPr>
          <w:rFonts w:ascii="Arial" w:hAnsi="Arial" w:cs="Arial" w:eastAsia="Arial" w:hint="default"/>
        </w:rPr>
        <w:t>[2007]44</w:t>
      </w:r>
      <w:r>
        <w:rPr/>
        <w:t>号文批准：同意免征</w:t>
      </w:r>
      <w:r>
        <w:rPr>
          <w:spacing w:val="-109"/>
        </w:rPr>
        <w:t> </w:t>
      </w:r>
      <w:r>
        <w:rPr/>
        <w:t>大同苏宁电器有限公司</w:t>
      </w:r>
      <w:r>
        <w:rPr>
          <w:rFonts w:ascii="Arial" w:hAnsi="Arial" w:cs="Arial" w:eastAsia="Arial" w:hint="default"/>
        </w:rPr>
        <w:t>2007</w:t>
      </w:r>
      <w:r>
        <w:rPr/>
        <w:t>年</w:t>
      </w:r>
      <w:r>
        <w:rPr>
          <w:rFonts w:ascii="Arial" w:hAnsi="Arial" w:cs="Arial" w:eastAsia="Arial" w:hint="default"/>
        </w:rPr>
        <w:t>5</w:t>
      </w:r>
      <w:r>
        <w:rPr/>
        <w:t>月</w:t>
      </w:r>
      <w:r>
        <w:rPr>
          <w:rFonts w:ascii="Arial" w:hAnsi="Arial" w:cs="Arial" w:eastAsia="Arial" w:hint="default"/>
        </w:rPr>
        <w:t>1</w:t>
      </w:r>
      <w:r>
        <w:rPr/>
        <w:t>日至</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31</w:t>
      </w:r>
      <w:r>
        <w:rPr/>
        <w:t>日期间的企业所得税。</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12"/>
        </w:rPr>
        <w:t> </w:t>
      </w:r>
      <w:r>
        <w:rPr/>
        <w:t>年</w:t>
      </w:r>
      <w:r>
        <w:rPr>
          <w:spacing w:val="-65"/>
        </w:rPr>
        <w:t> </w:t>
      </w:r>
      <w:r>
        <w:rPr>
          <w:rFonts w:ascii="Arial" w:hAnsi="Arial" w:cs="Arial" w:eastAsia="Arial" w:hint="default"/>
        </w:rPr>
        <w:t>7</w:t>
      </w:r>
      <w:r>
        <w:rPr>
          <w:rFonts w:ascii="Arial" w:hAnsi="Arial" w:cs="Arial" w:eastAsia="Arial" w:hint="default"/>
          <w:spacing w:val="-12"/>
        </w:rPr>
        <w:t> </w:t>
      </w:r>
      <w:r>
        <w:rPr/>
        <w:t>月</w:t>
      </w:r>
      <w:r>
        <w:rPr>
          <w:spacing w:val="-65"/>
        </w:rPr>
        <w:t> </w:t>
      </w:r>
      <w:r>
        <w:rPr>
          <w:rFonts w:ascii="Arial" w:hAnsi="Arial" w:cs="Arial" w:eastAsia="Arial" w:hint="default"/>
        </w:rPr>
        <w:t>2</w:t>
      </w:r>
      <w:r>
        <w:rPr>
          <w:rFonts w:ascii="Arial" w:hAnsi="Arial" w:cs="Arial" w:eastAsia="Arial" w:hint="default"/>
          <w:spacing w:val="-12"/>
        </w:rPr>
        <w:t> </w:t>
      </w:r>
      <w:r>
        <w:rPr/>
        <w:t>日，经荆州市沙市区国家税务局荆沙国减</w:t>
      </w:r>
      <w:r>
        <w:rPr>
          <w:rFonts w:ascii="Arial" w:hAnsi="Arial" w:cs="Arial" w:eastAsia="Arial" w:hint="default"/>
        </w:rPr>
        <w:t>[2007]13</w:t>
      </w:r>
      <w:r>
        <w:rPr>
          <w:rFonts w:ascii="Arial" w:hAnsi="Arial" w:cs="Arial" w:eastAsia="Arial" w:hint="default"/>
          <w:spacing w:val="-13"/>
        </w:rPr>
        <w:t> </w:t>
      </w:r>
      <w:r>
        <w:rPr>
          <w:spacing w:val="-3"/>
        </w:rPr>
        <w:t>号文批准：同意免征</w:t>
      </w:r>
    </w:p>
    <w:p>
      <w:pPr>
        <w:pStyle w:val="BodyText"/>
        <w:spacing w:line="322" w:lineRule="exact"/>
        <w:ind w:left="817" w:right="0"/>
        <w:jc w:val="both"/>
      </w:pPr>
      <w:r>
        <w:rPr/>
        <w:t>荆州苏宁电器有限公司</w:t>
      </w:r>
      <w:r>
        <w:rPr>
          <w:spacing w:val="-62"/>
        </w:rPr>
        <w:t> </w:t>
      </w:r>
      <w:r>
        <w:rPr>
          <w:rFonts w:ascii="Arial" w:hAnsi="Arial" w:cs="Arial" w:eastAsia="Arial" w:hint="default"/>
        </w:rPr>
        <w:t>2007</w:t>
      </w:r>
      <w:r>
        <w:rPr>
          <w:rFonts w:ascii="Arial" w:hAnsi="Arial" w:cs="Arial" w:eastAsia="Arial" w:hint="default"/>
          <w:spacing w:val="-9"/>
        </w:rPr>
        <w:t> </w:t>
      </w:r>
      <w:r>
        <w:rPr/>
        <w:t>年度企业所得税。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10"/>
        </w:rPr>
        <w:t> </w:t>
      </w:r>
      <w:r>
        <w:rPr/>
        <w:t>年</w:t>
      </w:r>
      <w:r>
        <w:rPr>
          <w:spacing w:val="-45"/>
        </w:rPr>
        <w:t> </w:t>
      </w:r>
      <w:r>
        <w:rPr>
          <w:rFonts w:ascii="Arial" w:hAnsi="Arial" w:cs="Arial" w:eastAsia="Arial" w:hint="default"/>
        </w:rPr>
        <w:t>8</w:t>
      </w:r>
      <w:r>
        <w:rPr>
          <w:rFonts w:ascii="Arial" w:hAnsi="Arial" w:cs="Arial" w:eastAsia="Arial" w:hint="default"/>
          <w:spacing w:val="10"/>
        </w:rPr>
        <w:t> </w:t>
      </w:r>
      <w:r>
        <w:rPr/>
        <w:t>月</w:t>
      </w:r>
      <w:r>
        <w:rPr>
          <w:spacing w:val="-45"/>
        </w:rPr>
        <w:t> </w:t>
      </w:r>
      <w:r>
        <w:rPr>
          <w:rFonts w:ascii="Arial" w:hAnsi="Arial" w:cs="Arial" w:eastAsia="Arial" w:hint="default"/>
        </w:rPr>
        <w:t>14</w:t>
      </w:r>
      <w:r>
        <w:rPr>
          <w:rFonts w:ascii="Arial" w:hAnsi="Arial" w:cs="Arial" w:eastAsia="Arial" w:hint="default"/>
          <w:spacing w:val="8"/>
        </w:rPr>
        <w:t> </w:t>
      </w:r>
      <w:r>
        <w:rPr/>
        <w:t>日，经莆田市城厢区国家税务局批准：同意免征莆田苏宁电器有限公</w:t>
      </w:r>
    </w:p>
    <w:p>
      <w:pPr>
        <w:pStyle w:val="BodyText"/>
        <w:spacing w:line="322" w:lineRule="exact"/>
        <w:ind w:left="817" w:right="0"/>
        <w:jc w:val="both"/>
      </w:pPr>
      <w:r>
        <w:rPr/>
        <w:t>司</w:t>
      </w:r>
      <w:r>
        <w:rPr>
          <w:spacing w:val="-62"/>
        </w:rPr>
        <w:t> </w:t>
      </w:r>
      <w:r>
        <w:rPr>
          <w:rFonts w:ascii="Arial" w:hAnsi="Arial" w:cs="Arial" w:eastAsia="Arial" w:hint="default"/>
        </w:rPr>
        <w:t>2007</w:t>
      </w:r>
      <w:r>
        <w:rPr>
          <w:rFonts w:ascii="Arial" w:hAnsi="Arial" w:cs="Arial" w:eastAsia="Arial" w:hint="default"/>
          <w:spacing w:val="-9"/>
        </w:rPr>
        <w:t> </w:t>
      </w:r>
      <w:r>
        <w:rPr/>
        <w:t>年度企业所得税。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16"/>
        </w:rPr>
        <w:t> </w:t>
      </w:r>
      <w:r>
        <w:rPr/>
        <w:t>年</w:t>
      </w:r>
      <w:r>
        <w:rPr>
          <w:spacing w:val="-69"/>
        </w:rPr>
        <w:t> </w:t>
      </w:r>
      <w:r>
        <w:rPr>
          <w:rFonts w:ascii="Arial" w:hAnsi="Arial" w:cs="Arial" w:eastAsia="Arial" w:hint="default"/>
        </w:rPr>
        <w:t>9</w:t>
      </w:r>
      <w:r>
        <w:rPr>
          <w:rFonts w:ascii="Arial" w:hAnsi="Arial" w:cs="Arial" w:eastAsia="Arial" w:hint="default"/>
          <w:spacing w:val="-15"/>
        </w:rPr>
        <w:t> </w:t>
      </w:r>
      <w:r>
        <w:rPr/>
        <w:t>月</w:t>
      </w:r>
      <w:r>
        <w:rPr>
          <w:spacing w:val="-69"/>
        </w:rPr>
        <w:t> </w:t>
      </w:r>
      <w:r>
        <w:rPr>
          <w:rFonts w:ascii="Arial" w:hAnsi="Arial" w:cs="Arial" w:eastAsia="Arial" w:hint="default"/>
        </w:rPr>
        <w:t>10</w:t>
      </w:r>
      <w:r>
        <w:rPr>
          <w:rFonts w:ascii="Arial" w:hAnsi="Arial" w:cs="Arial" w:eastAsia="Arial" w:hint="default"/>
          <w:spacing w:val="-16"/>
        </w:rPr>
        <w:t> </w:t>
      </w:r>
      <w:r>
        <w:rPr/>
        <w:t>日，经株洲市国家税务局株国税审</w:t>
      </w:r>
      <w:r>
        <w:rPr>
          <w:rFonts w:ascii="Arial" w:hAnsi="Arial" w:cs="Arial" w:eastAsia="Arial" w:hint="default"/>
        </w:rPr>
        <w:t>[2007]076</w:t>
      </w:r>
      <w:r>
        <w:rPr>
          <w:rFonts w:ascii="Arial" w:hAnsi="Arial" w:cs="Arial" w:eastAsia="Arial" w:hint="default"/>
          <w:spacing w:val="-16"/>
        </w:rPr>
        <w:t> </w:t>
      </w:r>
      <w:r>
        <w:rPr>
          <w:spacing w:val="-4"/>
        </w:rPr>
        <w:t>号文批准：同意免征株洲</w:t>
      </w:r>
    </w:p>
    <w:p>
      <w:pPr>
        <w:pStyle w:val="BodyText"/>
        <w:spacing w:line="322" w:lineRule="exact"/>
        <w:ind w:left="817" w:right="0"/>
        <w:jc w:val="both"/>
      </w:pPr>
      <w:r>
        <w:rPr/>
        <w:t>市真诚苏宁电器有限公司</w:t>
      </w:r>
      <w:r>
        <w:rPr>
          <w:spacing w:val="-62"/>
        </w:rPr>
        <w:t> </w:t>
      </w:r>
      <w:r>
        <w:rPr>
          <w:rFonts w:ascii="Arial" w:hAnsi="Arial" w:cs="Arial" w:eastAsia="Arial" w:hint="default"/>
        </w:rPr>
        <w:t>2007</w:t>
      </w:r>
      <w:r>
        <w:rPr>
          <w:rFonts w:ascii="Arial" w:hAnsi="Arial" w:cs="Arial" w:eastAsia="Arial" w:hint="default"/>
          <w:spacing w:val="-9"/>
        </w:rPr>
        <w:t> </w:t>
      </w:r>
      <w:r>
        <w:rPr/>
        <w:t>年度企业所得税。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1"/>
        </w:rPr>
        <w:t> </w:t>
      </w:r>
      <w:r>
        <w:rPr/>
        <w:t>年</w:t>
      </w:r>
      <w:r>
        <w:rPr>
          <w:spacing w:val="-53"/>
        </w:rPr>
        <w:t> </w:t>
      </w:r>
      <w:r>
        <w:rPr>
          <w:rFonts w:ascii="Arial" w:hAnsi="Arial" w:cs="Arial" w:eastAsia="Arial" w:hint="default"/>
        </w:rPr>
        <w:t>9 </w:t>
      </w:r>
      <w:r>
        <w:rPr/>
        <w:t>月</w:t>
      </w:r>
      <w:r>
        <w:rPr>
          <w:spacing w:val="-54"/>
        </w:rPr>
        <w:t> </w:t>
      </w:r>
      <w:r>
        <w:rPr>
          <w:rFonts w:ascii="Arial" w:hAnsi="Arial" w:cs="Arial" w:eastAsia="Arial" w:hint="default"/>
        </w:rPr>
        <w:t>17</w:t>
      </w:r>
      <w:r>
        <w:rPr>
          <w:rFonts w:ascii="Arial" w:hAnsi="Arial" w:cs="Arial" w:eastAsia="Arial" w:hint="default"/>
          <w:spacing w:val="-1"/>
        </w:rPr>
        <w:t> </w:t>
      </w:r>
      <w:r>
        <w:rPr/>
        <w:t>日，经通化市东昌区国家税务局通东国减</w:t>
      </w:r>
      <w:r>
        <w:rPr>
          <w:rFonts w:ascii="Arial" w:hAnsi="Arial" w:cs="Arial" w:eastAsia="Arial" w:hint="default"/>
        </w:rPr>
        <w:t>[2007]20</w:t>
      </w:r>
      <w:r>
        <w:rPr>
          <w:rFonts w:ascii="Arial" w:hAnsi="Arial" w:cs="Arial" w:eastAsia="Arial" w:hint="default"/>
          <w:spacing w:val="-1"/>
        </w:rPr>
        <w:t> </w:t>
      </w:r>
      <w:r>
        <w:rPr/>
        <w:t>号文批准：同意免</w:t>
      </w:r>
    </w:p>
    <w:p>
      <w:pPr>
        <w:pStyle w:val="BodyText"/>
        <w:spacing w:line="322" w:lineRule="exact"/>
        <w:ind w:left="817" w:right="0"/>
        <w:jc w:val="both"/>
      </w:pPr>
      <w:r>
        <w:rPr/>
        <w:t>征通化苏宁电器有限公司</w:t>
      </w:r>
      <w:r>
        <w:rPr>
          <w:spacing w:val="-62"/>
        </w:rPr>
        <w:t> </w:t>
      </w:r>
      <w:r>
        <w:rPr>
          <w:rFonts w:ascii="Arial" w:hAnsi="Arial" w:cs="Arial" w:eastAsia="Arial" w:hint="default"/>
        </w:rPr>
        <w:t>2007</w:t>
      </w:r>
      <w:r>
        <w:rPr>
          <w:rFonts w:ascii="Arial" w:hAnsi="Arial" w:cs="Arial" w:eastAsia="Arial" w:hint="default"/>
          <w:spacing w:val="-9"/>
        </w:rPr>
        <w:t> </w:t>
      </w:r>
      <w:r>
        <w:rPr/>
        <w:t>年度企业所得税。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16"/>
        </w:rPr>
        <w:t> </w:t>
      </w:r>
      <w:r>
        <w:rPr/>
        <w:t>年</w:t>
      </w:r>
      <w:r>
        <w:rPr>
          <w:spacing w:val="-69"/>
        </w:rPr>
        <w:t> </w:t>
      </w:r>
      <w:r>
        <w:rPr>
          <w:rFonts w:ascii="Arial" w:hAnsi="Arial" w:cs="Arial" w:eastAsia="Arial" w:hint="default"/>
        </w:rPr>
        <w:t>9</w:t>
      </w:r>
      <w:r>
        <w:rPr>
          <w:rFonts w:ascii="Arial" w:hAnsi="Arial" w:cs="Arial" w:eastAsia="Arial" w:hint="default"/>
          <w:spacing w:val="-15"/>
        </w:rPr>
        <w:t> </w:t>
      </w:r>
      <w:r>
        <w:rPr/>
        <w:t>月</w:t>
      </w:r>
      <w:r>
        <w:rPr>
          <w:spacing w:val="-69"/>
        </w:rPr>
        <w:t> </w:t>
      </w:r>
      <w:r>
        <w:rPr>
          <w:rFonts w:ascii="Arial" w:hAnsi="Arial" w:cs="Arial" w:eastAsia="Arial" w:hint="default"/>
        </w:rPr>
        <w:t>24</w:t>
      </w:r>
      <w:r>
        <w:rPr>
          <w:rFonts w:ascii="Arial" w:hAnsi="Arial" w:cs="Arial" w:eastAsia="Arial" w:hint="default"/>
          <w:spacing w:val="-16"/>
        </w:rPr>
        <w:t> </w:t>
      </w:r>
      <w:r>
        <w:rPr/>
        <w:t>日，经宝鸡市渭滨区国家税务局宝渭国税发</w:t>
      </w:r>
      <w:r>
        <w:rPr>
          <w:rFonts w:ascii="Arial" w:hAnsi="Arial" w:cs="Arial" w:eastAsia="Arial" w:hint="default"/>
        </w:rPr>
        <w:t>[2007]102</w:t>
      </w:r>
      <w:r>
        <w:rPr>
          <w:rFonts w:ascii="Arial" w:hAnsi="Arial" w:cs="Arial" w:eastAsia="Arial" w:hint="default"/>
          <w:spacing w:val="-17"/>
        </w:rPr>
        <w:t> </w:t>
      </w:r>
      <w:r>
        <w:rPr>
          <w:spacing w:val="-6"/>
        </w:rPr>
        <w:t>号文批准：同意</w:t>
      </w:r>
    </w:p>
    <w:p>
      <w:pPr>
        <w:pStyle w:val="BodyText"/>
        <w:spacing w:line="322" w:lineRule="exact"/>
        <w:ind w:left="817" w:right="0"/>
        <w:jc w:val="both"/>
      </w:pPr>
      <w:r>
        <w:rPr/>
        <w:t>免征宝鸡苏宁电器有限公司</w:t>
      </w:r>
      <w:r>
        <w:rPr>
          <w:spacing w:val="-62"/>
        </w:rPr>
        <w:t> </w:t>
      </w:r>
      <w:r>
        <w:rPr>
          <w:rFonts w:ascii="Arial" w:hAnsi="Arial" w:cs="Arial" w:eastAsia="Arial" w:hint="default"/>
        </w:rPr>
        <w:t>2007</w:t>
      </w:r>
      <w:r>
        <w:rPr>
          <w:rFonts w:ascii="Arial" w:hAnsi="Arial" w:cs="Arial" w:eastAsia="Arial" w:hint="default"/>
          <w:spacing w:val="-8"/>
        </w:rPr>
        <w:t> </w:t>
      </w:r>
      <w:r>
        <w:rPr/>
        <w:t>年度企业所得税。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3"/>
        </w:rPr>
        <w:t> </w:t>
      </w:r>
      <w:r>
        <w:rPr/>
        <w:t>年</w:t>
      </w:r>
      <w:r>
        <w:rPr>
          <w:spacing w:val="-57"/>
        </w:rPr>
        <w:t> </w:t>
      </w:r>
      <w:r>
        <w:rPr>
          <w:rFonts w:ascii="Arial" w:hAnsi="Arial" w:cs="Arial" w:eastAsia="Arial" w:hint="default"/>
          <w:spacing w:val="-10"/>
        </w:rPr>
        <w:t>11</w:t>
      </w:r>
      <w:r>
        <w:rPr>
          <w:rFonts w:ascii="Arial" w:hAnsi="Arial" w:cs="Arial" w:eastAsia="Arial" w:hint="default"/>
          <w:spacing w:val="-4"/>
        </w:rPr>
        <w:t> </w:t>
      </w:r>
      <w:r>
        <w:rPr/>
        <w:t>月</w:t>
      </w:r>
      <w:r>
        <w:rPr>
          <w:spacing w:val="-57"/>
        </w:rPr>
        <w:t> </w:t>
      </w:r>
      <w:r>
        <w:rPr>
          <w:rFonts w:ascii="Arial" w:hAnsi="Arial" w:cs="Arial" w:eastAsia="Arial" w:hint="default"/>
        </w:rPr>
        <w:t>21</w:t>
      </w:r>
      <w:r>
        <w:rPr>
          <w:rFonts w:ascii="Arial" w:hAnsi="Arial" w:cs="Arial" w:eastAsia="Arial" w:hint="default"/>
          <w:spacing w:val="-4"/>
        </w:rPr>
        <w:t> </w:t>
      </w:r>
      <w:r>
        <w:rPr/>
        <w:t>日，经阜新市国家税务局阜国税函</w:t>
      </w:r>
      <w:r>
        <w:rPr>
          <w:rFonts w:ascii="Arial" w:hAnsi="Arial" w:cs="Arial" w:eastAsia="Arial" w:hint="default"/>
        </w:rPr>
        <w:t>[2007]114</w:t>
      </w:r>
      <w:r>
        <w:rPr>
          <w:rFonts w:ascii="Arial" w:hAnsi="Arial" w:cs="Arial" w:eastAsia="Arial" w:hint="default"/>
          <w:spacing w:val="-3"/>
        </w:rPr>
        <w:t> </w:t>
      </w:r>
      <w:r>
        <w:rPr/>
        <w:t>号文批准：同意免征阜</w:t>
      </w:r>
    </w:p>
    <w:p>
      <w:pPr>
        <w:pStyle w:val="BodyText"/>
        <w:spacing w:line="322" w:lineRule="exact"/>
        <w:ind w:left="817" w:right="0"/>
        <w:jc w:val="both"/>
      </w:pPr>
      <w:r>
        <w:rPr/>
        <w:t>新苏宁电器有限公司</w:t>
      </w:r>
      <w:r>
        <w:rPr>
          <w:spacing w:val="-62"/>
        </w:rPr>
        <w:t> </w:t>
      </w:r>
      <w:r>
        <w:rPr>
          <w:rFonts w:ascii="Arial" w:hAnsi="Arial" w:cs="Arial" w:eastAsia="Arial" w:hint="default"/>
        </w:rPr>
        <w:t>2007</w:t>
      </w:r>
      <w:r>
        <w:rPr>
          <w:rFonts w:ascii="Arial" w:hAnsi="Arial" w:cs="Arial" w:eastAsia="Arial" w:hint="default"/>
          <w:spacing w:val="-9"/>
        </w:rPr>
        <w:t> </w:t>
      </w:r>
      <w:r>
        <w:rPr/>
        <w:t>年度企业所得税。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27</w:t>
      </w:r>
      <w:r>
        <w:rPr>
          <w:rFonts w:ascii="Arial" w:hAnsi="Arial" w:cs="Arial" w:eastAsia="Arial" w:hint="default"/>
          <w:spacing w:val="-9"/>
        </w:rPr>
        <w:t> </w:t>
      </w:r>
      <w:r>
        <w:rPr/>
        <w:t>日，经贵港市港北区国家税务局港北国税函</w:t>
      </w:r>
      <w:r>
        <w:rPr>
          <w:rFonts w:ascii="Arial" w:hAnsi="Arial" w:cs="Arial" w:eastAsia="Arial" w:hint="default"/>
        </w:rPr>
        <w:t>[2007]101</w:t>
      </w:r>
      <w:r>
        <w:rPr>
          <w:rFonts w:ascii="Arial" w:hAnsi="Arial" w:cs="Arial" w:eastAsia="Arial" w:hint="default"/>
          <w:spacing w:val="-9"/>
        </w:rPr>
        <w:t> </w:t>
      </w:r>
      <w:r>
        <w:rPr/>
        <w:t>号文批准：同</w:t>
      </w:r>
    </w:p>
    <w:p>
      <w:pPr>
        <w:pStyle w:val="BodyText"/>
        <w:spacing w:line="427" w:lineRule="auto"/>
        <w:ind w:left="817" w:right="1907"/>
        <w:jc w:val="left"/>
      </w:pPr>
      <w:r>
        <w:rPr/>
        <w:t>意免征贵港苏宁电器有限公司</w:t>
      </w:r>
      <w:r>
        <w:rPr>
          <w:spacing w:val="-60"/>
        </w:rPr>
        <w:t> </w:t>
      </w:r>
      <w:r>
        <w:rPr>
          <w:rFonts w:ascii="Arial" w:hAnsi="Arial" w:cs="Arial" w:eastAsia="Arial" w:hint="default"/>
        </w:rPr>
        <w:t>2007</w:t>
      </w:r>
      <w:r>
        <w:rPr>
          <w:rFonts w:ascii="Arial" w:hAnsi="Arial" w:cs="Arial" w:eastAsia="Arial" w:hint="default"/>
          <w:spacing w:val="-7"/>
        </w:rPr>
        <w:t> </w:t>
      </w:r>
      <w:r>
        <w:rPr/>
        <w:t>年度企业所得税。 新企业所得税法实施后，上述优惠政策是否继续有效目前尚不明确。</w:t>
      </w:r>
    </w:p>
    <w:p>
      <w:pPr>
        <w:pStyle w:val="BodyText"/>
        <w:tabs>
          <w:tab w:pos="817" w:val="left" w:leader="none"/>
        </w:tabs>
        <w:spacing w:line="240" w:lineRule="auto" w:before="86"/>
        <w:ind w:left="108" w:right="3845"/>
        <w:jc w:val="left"/>
      </w:pPr>
      <w:r>
        <w:rPr>
          <w:rFonts w:ascii="Arial" w:hAnsi="Arial" w:cs="Arial" w:eastAsia="Arial" w:hint="default"/>
          <w:position w:val="2"/>
        </w:rPr>
        <w:t>(4)</w:t>
        <w:tab/>
      </w:r>
      <w:r>
        <w:rPr/>
        <w:t>“老、少、边、穷”地区新办企业的优惠政策</w:t>
      </w:r>
    </w:p>
    <w:p>
      <w:pPr>
        <w:spacing w:line="240" w:lineRule="auto" w:before="4"/>
        <w:rPr>
          <w:rFonts w:ascii="宋体" w:hAnsi="宋体" w:cs="宋体" w:eastAsia="宋体" w:hint="default"/>
          <w:sz w:val="23"/>
          <w:szCs w:val="23"/>
        </w:rPr>
      </w:pPr>
    </w:p>
    <w:p>
      <w:pPr>
        <w:pStyle w:val="BodyText"/>
        <w:spacing w:line="312" w:lineRule="exact"/>
        <w:ind w:left="817" w:right="113"/>
        <w:jc w:val="both"/>
      </w:pPr>
      <w:r>
        <w:rPr/>
        <w:t>根据财税字</w:t>
      </w:r>
      <w:r>
        <w:rPr>
          <w:rFonts w:ascii="Arial" w:hAnsi="Arial" w:cs="Arial" w:eastAsia="Arial" w:hint="default"/>
        </w:rPr>
        <w:t>[1994]1</w:t>
      </w:r>
      <w:r>
        <w:rPr/>
        <w:t>号第一条第四款，在国家确定的革命老根据地、少数民族地区、边</w:t>
      </w:r>
      <w:r>
        <w:rPr>
          <w:spacing w:val="-87"/>
        </w:rPr>
        <w:t> </w:t>
      </w:r>
      <w:r>
        <w:rPr/>
        <w:t>远地区、贫困地区新办的企业，经主管税务机关批准后，可减征或者免征所得税</w:t>
      </w:r>
      <w:r>
        <w:rPr>
          <w:rFonts w:ascii="Arial" w:hAnsi="Arial" w:cs="Arial" w:eastAsia="Arial" w:hint="default"/>
        </w:rPr>
        <w:t>3</w:t>
      </w:r>
      <w:r>
        <w:rPr/>
        <w:t>年。 本集团享受该项优惠政策的子公司情况如下：</w:t>
      </w:r>
    </w:p>
    <w:p>
      <w:pPr>
        <w:spacing w:after="0" w:line="312" w:lineRule="exact"/>
        <w:jc w:val="both"/>
        <w:sectPr>
          <w:pgSz w:w="11910" w:h="16840"/>
          <w:pgMar w:header="1458" w:footer="708" w:top="1640" w:bottom="900" w:left="1020" w:right="940"/>
        </w:sectPr>
      </w:pPr>
    </w:p>
    <w:p>
      <w:pPr>
        <w:pStyle w:val="Heading2"/>
        <w:tabs>
          <w:tab w:pos="817" w:val="left" w:leader="none"/>
        </w:tabs>
        <w:spacing w:line="240" w:lineRule="auto" w:before="12"/>
        <w:ind w:right="3845"/>
        <w:jc w:val="left"/>
        <w:rPr>
          <w:rFonts w:ascii="Arial" w:hAnsi="Arial" w:cs="Arial" w:eastAsia="Arial" w:hint="default"/>
          <w:b w:val="0"/>
          <w:bCs w:val="0"/>
        </w:rPr>
      </w:pPr>
      <w:r>
        <w:rPr/>
        <w:pict>
          <v:group style="position:absolute;margin-left:84.959999pt;margin-top:2.195945pt;width:439.95pt;height:.1pt;mso-position-horizontal-relative:page;mso-position-vertical-relative:paragraph;z-index:-577744" coordorigin="1699,44" coordsize="8799,2">
            <v:shape style="position:absolute;left:1699;top:44;width:8799;height:2" coordorigin="1699,44" coordsize="8799,0" path="m1699,44l10498,44e" filled="false" stroked="true" strokeweight=".71997pt" strokecolor="#000000">
              <v:path arrowok="t"/>
            </v:shape>
            <w10:wrap type="none"/>
          </v:group>
        </w:pict>
      </w:r>
      <w:r>
        <w:rPr>
          <w:w w:val="95"/>
        </w:rPr>
        <w:t>六</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7" w:right="3845"/>
        <w:jc w:val="left"/>
        <w:rPr>
          <w:rFonts w:ascii="Arial" w:hAnsi="Arial" w:cs="Arial" w:eastAsia="Arial" w:hint="default"/>
        </w:rPr>
      </w:pPr>
      <w:r>
        <w:rPr>
          <w:rFonts w:ascii="Arial" w:hAnsi="Arial" w:cs="Arial" w:eastAsia="Arial" w:hint="default"/>
          <w:position w:val="2"/>
        </w:rPr>
        <w:t>(4)</w:t>
        <w:tab/>
      </w:r>
      <w:r>
        <w:rPr/>
        <w:t>“老、少、边、穷”地区新办企业的优惠政策</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spacing w:line="322" w:lineRule="exact"/>
        <w:ind w:left="817" w:right="0"/>
        <w:jc w:val="left"/>
      </w:pPr>
      <w:r>
        <w:rPr>
          <w:rFonts w:ascii="Arial" w:hAnsi="Arial" w:cs="Arial" w:eastAsia="Arial" w:hint="default"/>
        </w:rPr>
        <w:t>2006</w:t>
      </w:r>
      <w:r>
        <w:rPr>
          <w:rFonts w:ascii="Arial" w:hAnsi="Arial" w:cs="Arial" w:eastAsia="Arial" w:hint="default"/>
          <w:spacing w:val="-1"/>
        </w:rPr>
        <w:t> </w:t>
      </w:r>
      <w:r>
        <w:rPr/>
        <w:t>年</w:t>
      </w:r>
      <w:r>
        <w:rPr>
          <w:spacing w:val="-53"/>
        </w:rPr>
        <w:t> </w:t>
      </w:r>
      <w:r>
        <w:rPr>
          <w:rFonts w:ascii="Arial" w:hAnsi="Arial" w:cs="Arial" w:eastAsia="Arial" w:hint="default"/>
        </w:rPr>
        <w:t>5 </w:t>
      </w:r>
      <w:r>
        <w:rPr/>
        <w:t>月</w:t>
      </w:r>
      <w:r>
        <w:rPr>
          <w:spacing w:val="-54"/>
        </w:rPr>
        <w:t> </w:t>
      </w:r>
      <w:r>
        <w:rPr>
          <w:rFonts w:ascii="Arial" w:hAnsi="Arial" w:cs="Arial" w:eastAsia="Arial" w:hint="default"/>
        </w:rPr>
        <w:t>22</w:t>
      </w:r>
      <w:r>
        <w:rPr>
          <w:rFonts w:ascii="Arial" w:hAnsi="Arial" w:cs="Arial" w:eastAsia="Arial" w:hint="default"/>
          <w:spacing w:val="-1"/>
        </w:rPr>
        <w:t> </w:t>
      </w:r>
      <w:r>
        <w:rPr/>
        <w:t>日，经南宁市兴宁区国家税务局南兴国税函</w:t>
      </w:r>
      <w:r>
        <w:rPr>
          <w:rFonts w:ascii="Arial" w:hAnsi="Arial" w:cs="Arial" w:eastAsia="Arial" w:hint="default"/>
        </w:rPr>
        <w:t>[2006]96</w:t>
      </w:r>
      <w:r>
        <w:rPr>
          <w:rFonts w:ascii="Arial" w:hAnsi="Arial" w:cs="Arial" w:eastAsia="Arial" w:hint="default"/>
          <w:spacing w:val="-1"/>
        </w:rPr>
        <w:t> </w:t>
      </w:r>
      <w:r>
        <w:rPr/>
        <w:t>号文批准：同意</w:t>
      </w:r>
    </w:p>
    <w:p>
      <w:pPr>
        <w:pStyle w:val="BodyText"/>
        <w:spacing w:line="322" w:lineRule="exact"/>
        <w:ind w:left="817" w:right="0"/>
        <w:jc w:val="left"/>
      </w:pPr>
      <w:r>
        <w:rPr/>
        <w:t>免征南宁苏宁电器售后服务有限公司</w:t>
      </w:r>
      <w:r>
        <w:rPr>
          <w:spacing w:val="-62"/>
        </w:rPr>
        <w:t> </w:t>
      </w:r>
      <w:r>
        <w:rPr>
          <w:rFonts w:ascii="Arial" w:hAnsi="Arial" w:cs="Arial" w:eastAsia="Arial" w:hint="default"/>
        </w:rPr>
        <w:t>2006</w:t>
      </w:r>
      <w:r>
        <w:rPr>
          <w:rFonts w:ascii="Arial" w:hAnsi="Arial" w:cs="Arial" w:eastAsia="Arial" w:hint="default"/>
          <w:spacing w:val="-9"/>
        </w:rPr>
        <w:t> </w:t>
      </w:r>
      <w:r>
        <w:rPr/>
        <w:t>年起至</w:t>
      </w:r>
      <w:r>
        <w:rPr>
          <w:spacing w:val="-62"/>
        </w:rPr>
        <w:t> </w:t>
      </w:r>
      <w:r>
        <w:rPr>
          <w:rFonts w:ascii="Arial" w:hAnsi="Arial" w:cs="Arial" w:eastAsia="Arial" w:hint="default"/>
        </w:rPr>
        <w:t>2008</w:t>
      </w:r>
      <w:r>
        <w:rPr>
          <w:rFonts w:ascii="Arial" w:hAnsi="Arial" w:cs="Arial" w:eastAsia="Arial" w:hint="default"/>
          <w:spacing w:val="-8"/>
        </w:rPr>
        <w:t> </w:t>
      </w:r>
      <w:r>
        <w:rPr/>
        <w:t>年止企业所得税。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left"/>
      </w:pPr>
      <w:r>
        <w:rPr>
          <w:rFonts w:ascii="Arial" w:hAnsi="Arial" w:cs="Arial" w:eastAsia="Arial" w:hint="default"/>
        </w:rPr>
        <w:t>2006</w:t>
      </w:r>
      <w:r>
        <w:rPr>
          <w:rFonts w:ascii="Arial" w:hAnsi="Arial" w:cs="Arial" w:eastAsia="Arial" w:hint="default"/>
          <w:spacing w:val="-1"/>
        </w:rPr>
        <w:t> </w:t>
      </w:r>
      <w:r>
        <w:rPr/>
        <w:t>年</w:t>
      </w:r>
      <w:r>
        <w:rPr>
          <w:spacing w:val="-53"/>
        </w:rPr>
        <w:t> </w:t>
      </w:r>
      <w:r>
        <w:rPr>
          <w:rFonts w:ascii="Arial" w:hAnsi="Arial" w:cs="Arial" w:eastAsia="Arial" w:hint="default"/>
        </w:rPr>
        <w:t>9 </w:t>
      </w:r>
      <w:r>
        <w:rPr/>
        <w:t>月</w:t>
      </w:r>
      <w:r>
        <w:rPr>
          <w:spacing w:val="-54"/>
        </w:rPr>
        <w:t> </w:t>
      </w:r>
      <w:r>
        <w:rPr>
          <w:rFonts w:ascii="Arial" w:hAnsi="Arial" w:cs="Arial" w:eastAsia="Arial" w:hint="default"/>
        </w:rPr>
        <w:t>8</w:t>
      </w:r>
      <w:r>
        <w:rPr>
          <w:rFonts w:ascii="Arial" w:hAnsi="Arial" w:cs="Arial" w:eastAsia="Arial" w:hint="default"/>
          <w:spacing w:val="-1"/>
        </w:rPr>
        <w:t> </w:t>
      </w:r>
      <w:r>
        <w:rPr/>
        <w:t>日，经通辽市科尔沁区国家税务局科国税政字</w:t>
      </w:r>
      <w:r>
        <w:rPr>
          <w:rFonts w:ascii="Arial" w:hAnsi="Arial" w:cs="Arial" w:eastAsia="Arial" w:hint="default"/>
        </w:rPr>
        <w:t>[2006]125</w:t>
      </w:r>
      <w:r>
        <w:rPr>
          <w:rFonts w:ascii="Arial" w:hAnsi="Arial" w:cs="Arial" w:eastAsia="Arial" w:hint="default"/>
          <w:spacing w:val="-1"/>
        </w:rPr>
        <w:t> </w:t>
      </w:r>
      <w:r>
        <w:rPr/>
        <w:t>号文批准：同</w:t>
      </w:r>
    </w:p>
    <w:p>
      <w:pPr>
        <w:pStyle w:val="BodyText"/>
        <w:spacing w:line="322" w:lineRule="exact"/>
        <w:ind w:left="817" w:right="0"/>
        <w:jc w:val="left"/>
      </w:pPr>
      <w:r>
        <w:rPr/>
        <w:t>意通辽苏宁电器有限公司自</w:t>
      </w:r>
      <w:r>
        <w:rPr>
          <w:spacing w:val="-61"/>
        </w:rPr>
        <w:t> </w:t>
      </w:r>
      <w:r>
        <w:rPr>
          <w:rFonts w:ascii="Arial" w:hAnsi="Arial" w:cs="Arial" w:eastAsia="Arial" w:hint="default"/>
        </w:rPr>
        <w:t>2006</w:t>
      </w:r>
      <w:r>
        <w:rPr>
          <w:rFonts w:ascii="Arial" w:hAnsi="Arial" w:cs="Arial" w:eastAsia="Arial" w:hint="default"/>
          <w:spacing w:val="-7"/>
        </w:rPr>
        <w:t> </w:t>
      </w:r>
      <w:r>
        <w:rPr/>
        <w:t>年至</w:t>
      </w:r>
      <w:r>
        <w:rPr>
          <w:spacing w:val="-61"/>
        </w:rPr>
        <w:t> </w:t>
      </w:r>
      <w:r>
        <w:rPr>
          <w:rFonts w:ascii="Arial" w:hAnsi="Arial" w:cs="Arial" w:eastAsia="Arial" w:hint="default"/>
        </w:rPr>
        <w:t>2008</w:t>
      </w:r>
      <w:r>
        <w:rPr>
          <w:rFonts w:ascii="Arial" w:hAnsi="Arial" w:cs="Arial" w:eastAsia="Arial" w:hint="default"/>
          <w:spacing w:val="-7"/>
        </w:rPr>
        <w:t> </w:t>
      </w:r>
      <w:r>
        <w:rPr/>
        <w:t>年享受免征企业所得税</w:t>
      </w:r>
      <w:r>
        <w:rPr>
          <w:spacing w:val="-61"/>
        </w:rPr>
        <w:t> </w:t>
      </w:r>
      <w:r>
        <w:rPr>
          <w:rFonts w:ascii="Arial" w:hAnsi="Arial" w:cs="Arial" w:eastAsia="Arial" w:hint="default"/>
        </w:rPr>
        <w:t>3</w:t>
      </w:r>
      <w:r>
        <w:rPr>
          <w:rFonts w:ascii="Arial" w:hAnsi="Arial" w:cs="Arial" w:eastAsia="Arial" w:hint="default"/>
          <w:spacing w:val="-8"/>
        </w:rPr>
        <w:t> </w:t>
      </w:r>
      <w:r>
        <w:rPr/>
        <w:t>年优惠政策。</w:t>
      </w:r>
    </w:p>
    <w:p>
      <w:pPr>
        <w:spacing w:line="240" w:lineRule="auto" w:before="8"/>
        <w:rPr>
          <w:rFonts w:ascii="宋体" w:hAnsi="宋体" w:cs="宋体" w:eastAsia="宋体" w:hint="default"/>
          <w:sz w:val="19"/>
          <w:szCs w:val="19"/>
        </w:rPr>
      </w:pPr>
    </w:p>
    <w:p>
      <w:pPr>
        <w:pStyle w:val="BodyText"/>
        <w:spacing w:line="322" w:lineRule="exact"/>
        <w:ind w:left="817" w:right="0"/>
        <w:jc w:val="left"/>
      </w:pPr>
      <w:r>
        <w:rPr>
          <w:rFonts w:ascii="Arial" w:hAnsi="Arial" w:cs="Arial" w:eastAsia="Arial" w:hint="default"/>
        </w:rPr>
        <w:t>2006</w:t>
      </w:r>
      <w:r>
        <w:rPr>
          <w:rFonts w:ascii="Arial" w:hAnsi="Arial" w:cs="Arial" w:eastAsia="Arial" w:hint="default"/>
          <w:spacing w:val="-1"/>
        </w:rPr>
        <w:t> </w:t>
      </w:r>
      <w:r>
        <w:rPr/>
        <w:t>年</w:t>
      </w:r>
      <w:r>
        <w:rPr>
          <w:spacing w:val="-54"/>
        </w:rPr>
        <w:t> </w:t>
      </w:r>
      <w:r>
        <w:rPr>
          <w:rFonts w:ascii="Arial" w:hAnsi="Arial" w:cs="Arial" w:eastAsia="Arial" w:hint="default"/>
        </w:rPr>
        <w:t>10</w:t>
      </w:r>
      <w:r>
        <w:rPr>
          <w:rFonts w:ascii="Arial" w:hAnsi="Arial" w:cs="Arial" w:eastAsia="Arial" w:hint="default"/>
          <w:spacing w:val="-1"/>
        </w:rPr>
        <w:t> </w:t>
      </w:r>
      <w:r>
        <w:rPr/>
        <w:t>月</w:t>
      </w:r>
      <w:r>
        <w:rPr>
          <w:spacing w:val="-54"/>
        </w:rPr>
        <w:t> </w:t>
      </w:r>
      <w:r>
        <w:rPr>
          <w:rFonts w:ascii="Arial" w:hAnsi="Arial" w:cs="Arial" w:eastAsia="Arial" w:hint="default"/>
        </w:rPr>
        <w:t>27</w:t>
      </w:r>
      <w:r>
        <w:rPr>
          <w:rFonts w:ascii="Arial" w:hAnsi="Arial" w:cs="Arial" w:eastAsia="Arial" w:hint="default"/>
          <w:spacing w:val="-1"/>
        </w:rPr>
        <w:t> </w:t>
      </w:r>
      <w:r>
        <w:rPr/>
        <w:t>日，经延吉市国家税务局延市国减</w:t>
      </w:r>
      <w:r>
        <w:rPr>
          <w:rFonts w:ascii="Arial" w:hAnsi="Arial" w:cs="Arial" w:eastAsia="Arial" w:hint="default"/>
        </w:rPr>
        <w:t>[2006]</w:t>
      </w:r>
      <w:r>
        <w:rPr/>
        <w:t>第</w:t>
      </w:r>
      <w:r>
        <w:rPr>
          <w:spacing w:val="-54"/>
        </w:rPr>
        <w:t> </w:t>
      </w:r>
      <w:r>
        <w:rPr>
          <w:rFonts w:ascii="Arial" w:hAnsi="Arial" w:cs="Arial" w:eastAsia="Arial" w:hint="default"/>
        </w:rPr>
        <w:t>1396</w:t>
      </w:r>
      <w:r>
        <w:rPr>
          <w:rFonts w:ascii="Arial" w:hAnsi="Arial" w:cs="Arial" w:eastAsia="Arial" w:hint="default"/>
          <w:spacing w:val="-1"/>
        </w:rPr>
        <w:t> </w:t>
      </w:r>
      <w:r>
        <w:rPr/>
        <w:t>号文批准：同意免</w:t>
      </w:r>
    </w:p>
    <w:p>
      <w:pPr>
        <w:pStyle w:val="BodyText"/>
        <w:spacing w:line="322" w:lineRule="exact"/>
        <w:ind w:left="817" w:right="0"/>
        <w:jc w:val="left"/>
      </w:pPr>
      <w:r>
        <w:rPr/>
        <w:t>征延吉苏宁电器有限公司</w:t>
      </w:r>
      <w:r>
        <w:rPr>
          <w:spacing w:val="-62"/>
        </w:rPr>
        <w:t> </w:t>
      </w:r>
      <w:r>
        <w:rPr>
          <w:rFonts w:ascii="Arial" w:hAnsi="Arial" w:cs="Arial" w:eastAsia="Arial" w:hint="default"/>
        </w:rPr>
        <w:t>2007</w:t>
      </w:r>
      <w:r>
        <w:rPr>
          <w:rFonts w:ascii="Arial" w:hAnsi="Arial" w:cs="Arial" w:eastAsia="Arial" w:hint="default"/>
          <w:spacing w:val="-9"/>
        </w:rPr>
        <w:t> </w:t>
      </w:r>
      <w:r>
        <w:rPr/>
        <w:t>年度至</w:t>
      </w:r>
      <w:r>
        <w:rPr>
          <w:spacing w:val="-62"/>
        </w:rPr>
        <w:t> </w:t>
      </w:r>
      <w:r>
        <w:rPr>
          <w:rFonts w:ascii="Arial" w:hAnsi="Arial" w:cs="Arial" w:eastAsia="Arial" w:hint="default"/>
        </w:rPr>
        <w:t>2009</w:t>
      </w:r>
      <w:r>
        <w:rPr>
          <w:rFonts w:ascii="Arial" w:hAnsi="Arial" w:cs="Arial" w:eastAsia="Arial" w:hint="default"/>
          <w:spacing w:val="-8"/>
        </w:rPr>
        <w:t> </w:t>
      </w:r>
      <w:r>
        <w:rPr/>
        <w:t>年度期间企业所得税。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left"/>
      </w:pPr>
      <w:r>
        <w:rPr>
          <w:rFonts w:ascii="Arial" w:hAnsi="Arial" w:cs="Arial" w:eastAsia="Arial" w:hint="default"/>
        </w:rPr>
        <w:t>2007</w:t>
      </w:r>
      <w:r>
        <w:rPr>
          <w:rFonts w:ascii="Arial" w:hAnsi="Arial" w:cs="Arial" w:eastAsia="Arial" w:hint="default"/>
          <w:spacing w:val="5"/>
        </w:rPr>
        <w:t> </w:t>
      </w:r>
      <w:r>
        <w:rPr/>
        <w:t>年</w:t>
      </w:r>
      <w:r>
        <w:rPr>
          <w:spacing w:val="-48"/>
        </w:rPr>
        <w:t> </w:t>
      </w:r>
      <w:r>
        <w:rPr>
          <w:rFonts w:ascii="Arial" w:hAnsi="Arial" w:cs="Arial" w:eastAsia="Arial" w:hint="default"/>
        </w:rPr>
        <w:t>2</w:t>
      </w:r>
      <w:r>
        <w:rPr>
          <w:rFonts w:ascii="Arial" w:hAnsi="Arial" w:cs="Arial" w:eastAsia="Arial" w:hint="default"/>
          <w:spacing w:val="6"/>
        </w:rPr>
        <w:t> </w:t>
      </w:r>
      <w:r>
        <w:rPr/>
        <w:t>月</w:t>
      </w:r>
      <w:r>
        <w:rPr>
          <w:spacing w:val="-48"/>
        </w:rPr>
        <w:t> </w:t>
      </w:r>
      <w:r>
        <w:rPr>
          <w:rFonts w:ascii="Arial" w:hAnsi="Arial" w:cs="Arial" w:eastAsia="Arial" w:hint="default"/>
        </w:rPr>
        <w:t>5</w:t>
      </w:r>
      <w:r>
        <w:rPr>
          <w:rFonts w:ascii="Arial" w:hAnsi="Arial" w:cs="Arial" w:eastAsia="Arial" w:hint="default"/>
          <w:spacing w:val="5"/>
        </w:rPr>
        <w:t> </w:t>
      </w:r>
      <w:r>
        <w:rPr/>
        <w:t>日，经安徽省六安市裕安区国家税务局裕国税函</w:t>
      </w:r>
      <w:r>
        <w:rPr>
          <w:rFonts w:ascii="Arial" w:hAnsi="Arial" w:cs="Arial" w:eastAsia="Arial" w:hint="default"/>
        </w:rPr>
        <w:t>[2007]7</w:t>
      </w:r>
      <w:r>
        <w:rPr>
          <w:rFonts w:ascii="Arial" w:hAnsi="Arial" w:cs="Arial" w:eastAsia="Arial" w:hint="default"/>
          <w:spacing w:val="5"/>
        </w:rPr>
        <w:t> </w:t>
      </w:r>
      <w:r>
        <w:rPr/>
        <w:t>号文批准：同</w:t>
      </w:r>
    </w:p>
    <w:p>
      <w:pPr>
        <w:pStyle w:val="BodyText"/>
        <w:spacing w:line="312" w:lineRule="exact"/>
        <w:ind w:left="817" w:right="0"/>
        <w:jc w:val="left"/>
      </w:pPr>
      <w:r>
        <w:rPr/>
        <w:t>意对六安市苏宁电器有限公司自</w:t>
      </w:r>
      <w:r>
        <w:rPr>
          <w:spacing w:val="-44"/>
        </w:rPr>
        <w:t> </w:t>
      </w:r>
      <w:r>
        <w:rPr>
          <w:rFonts w:ascii="Arial" w:hAnsi="Arial" w:cs="Arial" w:eastAsia="Arial" w:hint="default"/>
        </w:rPr>
        <w:t>2006</w:t>
      </w:r>
      <w:r>
        <w:rPr>
          <w:rFonts w:ascii="Arial" w:hAnsi="Arial" w:cs="Arial" w:eastAsia="Arial" w:hint="default"/>
          <w:spacing w:val="9"/>
        </w:rPr>
        <w:t> </w:t>
      </w:r>
      <w:r>
        <w:rPr/>
        <w:t>年度至</w:t>
      </w:r>
      <w:r>
        <w:rPr>
          <w:spacing w:val="-44"/>
        </w:rPr>
        <w:t> </w:t>
      </w:r>
      <w:r>
        <w:rPr>
          <w:rFonts w:ascii="Arial" w:hAnsi="Arial" w:cs="Arial" w:eastAsia="Arial" w:hint="default"/>
        </w:rPr>
        <w:t>2008</w:t>
      </w:r>
      <w:r>
        <w:rPr>
          <w:rFonts w:ascii="Arial" w:hAnsi="Arial" w:cs="Arial" w:eastAsia="Arial" w:hint="default"/>
          <w:spacing w:val="9"/>
        </w:rPr>
        <w:t> </w:t>
      </w:r>
      <w:r>
        <w:rPr/>
        <w:t>年度期间人民币</w:t>
      </w:r>
      <w:r>
        <w:rPr>
          <w:spacing w:val="-44"/>
        </w:rPr>
        <w:t> </w:t>
      </w:r>
      <w:r>
        <w:rPr>
          <w:rFonts w:ascii="Arial" w:hAnsi="Arial" w:cs="Arial" w:eastAsia="Arial" w:hint="default"/>
        </w:rPr>
        <w:t>20</w:t>
      </w:r>
      <w:r>
        <w:rPr>
          <w:rFonts w:ascii="Arial" w:hAnsi="Arial" w:cs="Arial" w:eastAsia="Arial" w:hint="default"/>
          <w:spacing w:val="9"/>
        </w:rPr>
        <w:t> </w:t>
      </w:r>
      <w:r>
        <w:rPr/>
        <w:t>万元以下应纳</w:t>
      </w:r>
    </w:p>
    <w:p>
      <w:pPr>
        <w:pStyle w:val="BodyText"/>
        <w:spacing w:line="322" w:lineRule="exact"/>
        <w:ind w:left="817" w:right="0"/>
        <w:jc w:val="left"/>
      </w:pPr>
      <w:r>
        <w:rPr/>
        <w:t>的企业所得税予以免征，年度终了后，如实现税款人民币</w:t>
      </w:r>
      <w:r>
        <w:rPr>
          <w:spacing w:val="-61"/>
        </w:rPr>
        <w:t> </w:t>
      </w:r>
      <w:r>
        <w:rPr>
          <w:rFonts w:ascii="Arial" w:hAnsi="Arial" w:cs="Arial" w:eastAsia="Arial" w:hint="default"/>
        </w:rPr>
        <w:t>20</w:t>
      </w:r>
      <w:r>
        <w:rPr>
          <w:rFonts w:ascii="Arial" w:hAnsi="Arial" w:cs="Arial" w:eastAsia="Arial" w:hint="default"/>
          <w:spacing w:val="-8"/>
        </w:rPr>
        <w:t> </w:t>
      </w:r>
      <w:r>
        <w:rPr/>
        <w:t>万元以上另行上报审批。</w:t>
      </w:r>
    </w:p>
    <w:p>
      <w:pPr>
        <w:spacing w:line="240" w:lineRule="auto" w:before="8"/>
        <w:rPr>
          <w:rFonts w:ascii="宋体" w:hAnsi="宋体" w:cs="宋体" w:eastAsia="宋体" w:hint="default"/>
          <w:sz w:val="19"/>
          <w:szCs w:val="19"/>
        </w:rPr>
      </w:pPr>
    </w:p>
    <w:p>
      <w:pPr>
        <w:pStyle w:val="BodyText"/>
        <w:spacing w:line="322" w:lineRule="exact"/>
        <w:ind w:left="817" w:right="0"/>
        <w:jc w:val="left"/>
      </w:pPr>
      <w:r>
        <w:rPr>
          <w:rFonts w:ascii="Arial" w:hAnsi="Arial" w:cs="Arial" w:eastAsia="Arial" w:hint="default"/>
        </w:rPr>
        <w:t>2007</w:t>
      </w:r>
      <w:r>
        <w:rPr>
          <w:rFonts w:ascii="Arial" w:hAnsi="Arial" w:cs="Arial" w:eastAsia="Arial" w:hint="default"/>
          <w:spacing w:val="-1"/>
        </w:rPr>
        <w:t> </w:t>
      </w:r>
      <w:r>
        <w:rPr/>
        <w:t>年</w:t>
      </w:r>
      <w:r>
        <w:rPr>
          <w:spacing w:val="-53"/>
        </w:rPr>
        <w:t> </w:t>
      </w:r>
      <w:r>
        <w:rPr>
          <w:rFonts w:ascii="Arial" w:hAnsi="Arial" w:cs="Arial" w:eastAsia="Arial" w:hint="default"/>
        </w:rPr>
        <w:t>5 </w:t>
      </w:r>
      <w:r>
        <w:rPr/>
        <w:t>月</w:t>
      </w:r>
      <w:r>
        <w:rPr>
          <w:spacing w:val="-54"/>
        </w:rPr>
        <w:t> </w:t>
      </w:r>
      <w:r>
        <w:rPr>
          <w:rFonts w:ascii="Arial" w:hAnsi="Arial" w:cs="Arial" w:eastAsia="Arial" w:hint="default"/>
        </w:rPr>
        <w:t>15</w:t>
      </w:r>
      <w:r>
        <w:rPr>
          <w:rFonts w:ascii="Arial" w:hAnsi="Arial" w:cs="Arial" w:eastAsia="Arial" w:hint="default"/>
          <w:spacing w:val="-1"/>
        </w:rPr>
        <w:t> </w:t>
      </w:r>
      <w:r>
        <w:rPr/>
        <w:t>日，经桂林市象山区国家税务局桂市象国税减免准字</w:t>
      </w:r>
      <w:r>
        <w:rPr>
          <w:rFonts w:ascii="Arial" w:hAnsi="Arial" w:cs="Arial" w:eastAsia="Arial" w:hint="default"/>
        </w:rPr>
        <w:t>[2007]65</w:t>
      </w:r>
      <w:r>
        <w:rPr>
          <w:rFonts w:ascii="Arial" w:hAnsi="Arial" w:cs="Arial" w:eastAsia="Arial" w:hint="default"/>
          <w:spacing w:val="-1"/>
        </w:rPr>
        <w:t> </w:t>
      </w:r>
      <w:r>
        <w:rPr/>
        <w:t>号文批</w:t>
      </w:r>
    </w:p>
    <w:p>
      <w:pPr>
        <w:pStyle w:val="BodyText"/>
        <w:spacing w:line="322" w:lineRule="exact"/>
        <w:ind w:left="817" w:right="0"/>
        <w:jc w:val="left"/>
      </w:pPr>
      <w:r>
        <w:rPr/>
        <w:t>准：同意免征桂林苏宁电器有限公司</w:t>
      </w:r>
      <w:r>
        <w:rPr>
          <w:spacing w:val="-62"/>
        </w:rPr>
        <w:t> </w:t>
      </w:r>
      <w:r>
        <w:rPr>
          <w:rFonts w:ascii="Arial" w:hAnsi="Arial" w:cs="Arial" w:eastAsia="Arial" w:hint="default"/>
        </w:rPr>
        <w:t>2007</w:t>
      </w:r>
      <w:r>
        <w:rPr>
          <w:rFonts w:ascii="Arial" w:hAnsi="Arial" w:cs="Arial" w:eastAsia="Arial" w:hint="default"/>
          <w:spacing w:val="-9"/>
        </w:rPr>
        <w:t> </w:t>
      </w:r>
      <w:r>
        <w:rPr/>
        <w:t>年至</w:t>
      </w:r>
      <w:r>
        <w:rPr>
          <w:spacing w:val="-62"/>
        </w:rPr>
        <w:t> </w:t>
      </w:r>
      <w:r>
        <w:rPr>
          <w:rFonts w:ascii="Arial" w:hAnsi="Arial" w:cs="Arial" w:eastAsia="Arial" w:hint="default"/>
        </w:rPr>
        <w:t>2009</w:t>
      </w:r>
      <w:r>
        <w:rPr>
          <w:rFonts w:ascii="Arial" w:hAnsi="Arial" w:cs="Arial" w:eastAsia="Arial" w:hint="default"/>
          <w:spacing w:val="-9"/>
        </w:rPr>
        <w:t> </w:t>
      </w:r>
      <w:r>
        <w:rPr/>
        <w:t>年企业所得税。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left"/>
      </w:pPr>
      <w:r>
        <w:rPr>
          <w:rFonts w:ascii="Arial" w:hAnsi="Arial" w:cs="Arial" w:eastAsia="Arial" w:hint="default"/>
        </w:rPr>
        <w:t>2007</w:t>
      </w:r>
      <w:r>
        <w:rPr>
          <w:rFonts w:ascii="Arial" w:hAnsi="Arial" w:cs="Arial" w:eastAsia="Arial" w:hint="default"/>
          <w:spacing w:val="-14"/>
        </w:rPr>
        <w:t> </w:t>
      </w:r>
      <w:r>
        <w:rPr/>
        <w:t>年</w:t>
      </w:r>
      <w:r>
        <w:rPr>
          <w:spacing w:val="-67"/>
        </w:rPr>
        <w:t> </w:t>
      </w:r>
      <w:r>
        <w:rPr>
          <w:rFonts w:ascii="Arial" w:hAnsi="Arial" w:cs="Arial" w:eastAsia="Arial" w:hint="default"/>
          <w:spacing w:val="-10"/>
        </w:rPr>
        <w:t>11</w:t>
      </w:r>
      <w:r>
        <w:rPr>
          <w:rFonts w:ascii="Arial" w:hAnsi="Arial" w:cs="Arial" w:eastAsia="Arial" w:hint="default"/>
          <w:spacing w:val="-13"/>
        </w:rPr>
        <w:t> </w:t>
      </w:r>
      <w:r>
        <w:rPr/>
        <w:t>月</w:t>
      </w:r>
      <w:r>
        <w:rPr>
          <w:spacing w:val="-67"/>
        </w:rPr>
        <w:t> </w:t>
      </w:r>
      <w:r>
        <w:rPr>
          <w:rFonts w:ascii="Arial" w:hAnsi="Arial" w:cs="Arial" w:eastAsia="Arial" w:hint="default"/>
        </w:rPr>
        <w:t>28</w:t>
      </w:r>
      <w:r>
        <w:rPr>
          <w:rFonts w:ascii="Arial" w:hAnsi="Arial" w:cs="Arial" w:eastAsia="Arial" w:hint="default"/>
          <w:spacing w:val="-14"/>
        </w:rPr>
        <w:t> </w:t>
      </w:r>
      <w:r>
        <w:rPr/>
        <w:t>日，经北海市海城区国家税务局北城国税函</w:t>
      </w:r>
      <w:r>
        <w:rPr>
          <w:rFonts w:ascii="Arial" w:hAnsi="Arial" w:cs="Arial" w:eastAsia="Arial" w:hint="default"/>
        </w:rPr>
        <w:t>[2007]80</w:t>
      </w:r>
      <w:r>
        <w:rPr>
          <w:rFonts w:ascii="Arial" w:hAnsi="Arial" w:cs="Arial" w:eastAsia="Arial" w:hint="default"/>
          <w:spacing w:val="-14"/>
        </w:rPr>
        <w:t> </w:t>
      </w:r>
      <w:r>
        <w:rPr>
          <w:spacing w:val="-5"/>
        </w:rPr>
        <w:t>号文批准：同意</w:t>
      </w:r>
    </w:p>
    <w:p>
      <w:pPr>
        <w:pStyle w:val="BodyText"/>
        <w:spacing w:line="312" w:lineRule="exact"/>
        <w:ind w:left="817" w:right="0"/>
        <w:jc w:val="left"/>
      </w:pPr>
      <w:r>
        <w:rPr/>
        <w:t>免征北海苏宁电器有限公司</w:t>
      </w:r>
      <w:r>
        <w:rPr>
          <w:spacing w:val="-85"/>
        </w:rPr>
        <w:t> </w:t>
      </w:r>
      <w:r>
        <w:rPr>
          <w:rFonts w:ascii="Arial" w:hAnsi="Arial" w:cs="Arial" w:eastAsia="Arial" w:hint="default"/>
        </w:rPr>
        <w:t>2007</w:t>
      </w:r>
      <w:r>
        <w:rPr>
          <w:rFonts w:ascii="Arial" w:hAnsi="Arial" w:cs="Arial" w:eastAsia="Arial" w:hint="default"/>
          <w:spacing w:val="-32"/>
        </w:rPr>
        <w:t> </w:t>
      </w:r>
      <w:r>
        <w:rPr/>
        <w:t>年度期间实际税额在人民币</w:t>
      </w:r>
      <w:r>
        <w:rPr>
          <w:spacing w:val="-85"/>
        </w:rPr>
        <w:t> </w:t>
      </w:r>
      <w:r>
        <w:rPr>
          <w:rFonts w:ascii="Arial" w:hAnsi="Arial" w:cs="Arial" w:eastAsia="Arial" w:hint="default"/>
        </w:rPr>
        <w:t>160</w:t>
      </w:r>
      <w:r>
        <w:rPr>
          <w:rFonts w:ascii="Arial" w:hAnsi="Arial" w:cs="Arial" w:eastAsia="Arial" w:hint="default"/>
          <w:spacing w:val="-32"/>
        </w:rPr>
        <w:t> </w:t>
      </w:r>
      <w:r>
        <w:rPr/>
        <w:t>万元以内的年度企业</w:t>
      </w:r>
    </w:p>
    <w:p>
      <w:pPr>
        <w:pStyle w:val="BodyText"/>
        <w:spacing w:line="322" w:lineRule="exact"/>
        <w:ind w:left="817" w:right="0"/>
        <w:jc w:val="left"/>
      </w:pPr>
      <w:r>
        <w:rPr/>
        <w:t>所得税。自</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日起，适用新税法及国务院相关规定。</w:t>
      </w:r>
    </w:p>
    <w:p>
      <w:pPr>
        <w:spacing w:line="240" w:lineRule="auto" w:before="8"/>
        <w:rPr>
          <w:rFonts w:ascii="宋体" w:hAnsi="宋体" w:cs="宋体" w:eastAsia="宋体" w:hint="default"/>
          <w:sz w:val="19"/>
          <w:szCs w:val="19"/>
        </w:rPr>
      </w:pPr>
    </w:p>
    <w:p>
      <w:pPr>
        <w:pStyle w:val="BodyText"/>
        <w:spacing w:line="322" w:lineRule="exact"/>
        <w:ind w:left="817" w:right="0"/>
        <w:jc w:val="left"/>
      </w:pPr>
      <w:r>
        <w:rPr>
          <w:rFonts w:ascii="Arial" w:hAnsi="Arial" w:cs="Arial" w:eastAsia="Arial" w:hint="default"/>
        </w:rPr>
        <w:t>2008</w:t>
      </w:r>
      <w:r>
        <w:rPr>
          <w:rFonts w:ascii="Arial" w:hAnsi="Arial" w:cs="Arial" w:eastAsia="Arial" w:hint="default"/>
          <w:spacing w:val="-12"/>
        </w:rPr>
        <w:t> </w:t>
      </w:r>
      <w:r>
        <w:rPr/>
        <w:t>年</w:t>
      </w:r>
      <w:r>
        <w:rPr>
          <w:spacing w:val="-65"/>
        </w:rPr>
        <w:t> </w:t>
      </w:r>
      <w:r>
        <w:rPr>
          <w:rFonts w:ascii="Arial" w:hAnsi="Arial" w:cs="Arial" w:eastAsia="Arial" w:hint="default"/>
        </w:rPr>
        <w:t>1</w:t>
      </w:r>
      <w:r>
        <w:rPr>
          <w:rFonts w:ascii="Arial" w:hAnsi="Arial" w:cs="Arial" w:eastAsia="Arial" w:hint="default"/>
          <w:spacing w:val="-11"/>
        </w:rPr>
        <w:t> </w:t>
      </w:r>
      <w:r>
        <w:rPr/>
        <w:t>月</w:t>
      </w:r>
      <w:r>
        <w:rPr>
          <w:spacing w:val="-65"/>
        </w:rPr>
        <w:t> </w:t>
      </w:r>
      <w:r>
        <w:rPr>
          <w:rFonts w:ascii="Arial" w:hAnsi="Arial" w:cs="Arial" w:eastAsia="Arial" w:hint="default"/>
        </w:rPr>
        <w:t>7</w:t>
      </w:r>
      <w:r>
        <w:rPr>
          <w:rFonts w:ascii="Arial" w:hAnsi="Arial" w:cs="Arial" w:eastAsia="Arial" w:hint="default"/>
          <w:spacing w:val="-12"/>
        </w:rPr>
        <w:t> </w:t>
      </w:r>
      <w:r>
        <w:rPr/>
        <w:t>日，经郴州市北湖区国家税务局郴国税北函</w:t>
      </w:r>
      <w:r>
        <w:rPr>
          <w:rFonts w:ascii="Arial" w:hAnsi="Arial" w:cs="Arial" w:eastAsia="Arial" w:hint="default"/>
        </w:rPr>
        <w:t>[2008]01</w:t>
      </w:r>
      <w:r>
        <w:rPr>
          <w:rFonts w:ascii="Arial" w:hAnsi="Arial" w:cs="Arial" w:eastAsia="Arial" w:hint="default"/>
          <w:spacing w:val="-13"/>
        </w:rPr>
        <w:t> </w:t>
      </w:r>
      <w:r>
        <w:rPr>
          <w:spacing w:val="-4"/>
        </w:rPr>
        <w:t>号文批准：同意免</w:t>
      </w:r>
    </w:p>
    <w:p>
      <w:pPr>
        <w:pStyle w:val="BodyText"/>
        <w:spacing w:line="427" w:lineRule="auto"/>
        <w:ind w:left="817" w:right="1907"/>
        <w:jc w:val="left"/>
      </w:pPr>
      <w:r>
        <w:rPr/>
        <w:t>征郴州苏宁电器有限公司</w:t>
      </w:r>
      <w:r>
        <w:rPr>
          <w:spacing w:val="-61"/>
        </w:rPr>
        <w:t> </w:t>
      </w:r>
      <w:r>
        <w:rPr>
          <w:rFonts w:ascii="Arial" w:hAnsi="Arial" w:cs="Arial" w:eastAsia="Arial" w:hint="default"/>
        </w:rPr>
        <w:t>2007</w:t>
      </w:r>
      <w:r>
        <w:rPr>
          <w:rFonts w:ascii="Arial" w:hAnsi="Arial" w:cs="Arial" w:eastAsia="Arial" w:hint="default"/>
          <w:spacing w:val="-8"/>
        </w:rPr>
        <w:t> </w:t>
      </w:r>
      <w:r>
        <w:rPr/>
        <w:t>年至</w:t>
      </w:r>
      <w:r>
        <w:rPr>
          <w:spacing w:val="-61"/>
        </w:rPr>
        <w:t> </w:t>
      </w:r>
      <w:r>
        <w:rPr>
          <w:rFonts w:ascii="Arial" w:hAnsi="Arial" w:cs="Arial" w:eastAsia="Arial" w:hint="default"/>
        </w:rPr>
        <w:t>2009</w:t>
      </w:r>
      <w:r>
        <w:rPr>
          <w:rFonts w:ascii="Arial" w:hAnsi="Arial" w:cs="Arial" w:eastAsia="Arial" w:hint="default"/>
          <w:spacing w:val="-8"/>
        </w:rPr>
        <w:t> </w:t>
      </w:r>
      <w:r>
        <w:rPr/>
        <w:t>年企业所得税。 新企业所得税法实施后，上述优惠政策是否继续有效目前尚不明确。</w:t>
      </w:r>
    </w:p>
    <w:p>
      <w:pPr>
        <w:pStyle w:val="BodyText"/>
        <w:tabs>
          <w:tab w:pos="817" w:val="left" w:leader="none"/>
        </w:tabs>
        <w:spacing w:line="240" w:lineRule="auto" w:before="86"/>
        <w:ind w:left="108" w:right="3845"/>
        <w:jc w:val="left"/>
      </w:pPr>
      <w:r>
        <w:rPr>
          <w:rFonts w:ascii="Arial" w:hAnsi="Arial" w:cs="Arial" w:eastAsia="Arial" w:hint="default"/>
          <w:position w:val="2"/>
        </w:rPr>
        <w:t>(5)</w:t>
        <w:tab/>
      </w:r>
      <w:r>
        <w:rPr/>
        <w:t>其他地方性优惠政策</w:t>
      </w:r>
    </w:p>
    <w:p>
      <w:pPr>
        <w:spacing w:line="240" w:lineRule="auto" w:before="4"/>
        <w:rPr>
          <w:rFonts w:ascii="宋体" w:hAnsi="宋体" w:cs="宋体" w:eastAsia="宋体" w:hint="default"/>
          <w:sz w:val="23"/>
          <w:szCs w:val="23"/>
        </w:rPr>
      </w:pPr>
    </w:p>
    <w:p>
      <w:pPr>
        <w:pStyle w:val="BodyText"/>
        <w:spacing w:line="312" w:lineRule="exact"/>
        <w:ind w:left="817" w:right="0"/>
        <w:jc w:val="left"/>
      </w:pPr>
      <w:r>
        <w:rPr>
          <w:spacing w:val="2"/>
        </w:rPr>
        <w:t>根据新疆维吾尔自治区招商引资若干规定，本集团享受该项优惠政策的子公司情况如</w:t>
      </w:r>
      <w:r>
        <w:rPr>
          <w:spacing w:val="-85"/>
        </w:rPr>
        <w:t> </w:t>
      </w:r>
      <w:r>
        <w:rPr>
          <w:spacing w:val="-85"/>
        </w:rPr>
      </w:r>
      <w:r>
        <w:rPr/>
        <w:t>下：</w:t>
      </w:r>
    </w:p>
    <w:p>
      <w:pPr>
        <w:spacing w:line="240" w:lineRule="auto" w:before="10"/>
        <w:rPr>
          <w:rFonts w:ascii="宋体" w:hAnsi="宋体" w:cs="宋体" w:eastAsia="宋体" w:hint="default"/>
          <w:sz w:val="18"/>
          <w:szCs w:val="18"/>
        </w:rPr>
      </w:pPr>
    </w:p>
    <w:p>
      <w:pPr>
        <w:pStyle w:val="BodyText"/>
        <w:spacing w:line="322" w:lineRule="exact"/>
        <w:ind w:left="817" w:right="0"/>
        <w:jc w:val="left"/>
      </w:pP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10</w:t>
      </w:r>
      <w:r>
        <w:rPr>
          <w:rFonts w:ascii="Arial" w:hAnsi="Arial" w:cs="Arial" w:eastAsia="Arial" w:hint="default"/>
          <w:spacing w:val="-8"/>
        </w:rPr>
        <w:t> </w:t>
      </w:r>
      <w:r>
        <w:rPr/>
        <w:t>月</w:t>
      </w:r>
      <w:r>
        <w:rPr>
          <w:spacing w:val="-61"/>
        </w:rPr>
        <w:t> </w:t>
      </w:r>
      <w:r>
        <w:rPr>
          <w:rFonts w:ascii="Arial" w:hAnsi="Arial" w:cs="Arial" w:eastAsia="Arial" w:hint="default"/>
        </w:rPr>
        <w:t>10</w:t>
      </w:r>
      <w:r>
        <w:rPr>
          <w:rFonts w:ascii="Arial" w:hAnsi="Arial" w:cs="Arial" w:eastAsia="Arial" w:hint="default"/>
          <w:spacing w:val="-8"/>
        </w:rPr>
        <w:t> </w:t>
      </w:r>
      <w:r>
        <w:rPr/>
        <w:t>日，经库尔勒市国家税务局库国税减免</w:t>
      </w:r>
      <w:r>
        <w:rPr>
          <w:rFonts w:ascii="Arial" w:hAnsi="Arial" w:cs="Arial" w:eastAsia="Arial" w:hint="default"/>
        </w:rPr>
        <w:t>[2007]833</w:t>
      </w:r>
      <w:r>
        <w:rPr>
          <w:rFonts w:ascii="Arial" w:hAnsi="Arial" w:cs="Arial" w:eastAsia="Arial" w:hint="default"/>
          <w:spacing w:val="-8"/>
        </w:rPr>
        <w:t> </w:t>
      </w:r>
      <w:r>
        <w:rPr/>
        <w:t>号文批准：同意免</w:t>
      </w:r>
    </w:p>
    <w:p>
      <w:pPr>
        <w:pStyle w:val="BodyText"/>
        <w:spacing w:line="427" w:lineRule="auto"/>
        <w:ind w:left="817" w:right="1187"/>
        <w:jc w:val="left"/>
      </w:pPr>
      <w:r>
        <w:rPr/>
        <w:t>征库尔勒苏宁电器有限公司</w:t>
      </w:r>
      <w:r>
        <w:rPr>
          <w:spacing w:val="-61"/>
        </w:rPr>
        <w:t> </w:t>
      </w:r>
      <w:r>
        <w:rPr>
          <w:rFonts w:ascii="Arial" w:hAnsi="Arial" w:cs="Arial" w:eastAsia="Arial" w:hint="default"/>
        </w:rPr>
        <w:t>2007</w:t>
      </w:r>
      <w:r>
        <w:rPr>
          <w:rFonts w:ascii="Arial" w:hAnsi="Arial" w:cs="Arial" w:eastAsia="Arial" w:hint="default"/>
          <w:spacing w:val="-7"/>
        </w:rPr>
        <w:t> </w:t>
      </w:r>
      <w:r>
        <w:rPr/>
        <w:t>年至</w:t>
      </w:r>
      <w:r>
        <w:rPr>
          <w:spacing w:val="-61"/>
        </w:rPr>
        <w:t> </w:t>
      </w:r>
      <w:r>
        <w:rPr>
          <w:rFonts w:ascii="Arial" w:hAnsi="Arial" w:cs="Arial" w:eastAsia="Arial" w:hint="default"/>
        </w:rPr>
        <w:t>2009</w:t>
      </w:r>
      <w:r>
        <w:rPr>
          <w:rFonts w:ascii="Arial" w:hAnsi="Arial" w:cs="Arial" w:eastAsia="Arial" w:hint="default"/>
          <w:spacing w:val="-7"/>
        </w:rPr>
        <w:t> </w:t>
      </w:r>
      <w:r>
        <w:rPr/>
        <w:t>年企业所得税。 新企业所得税法实施后，上述地方性优惠政策是否继续有效目前尚不明确。</w:t>
      </w:r>
    </w:p>
    <w:p>
      <w:pPr>
        <w:spacing w:after="0" w:line="427" w:lineRule="auto"/>
        <w:jc w:val="left"/>
        <w:sectPr>
          <w:pgSz w:w="11910" w:h="16840"/>
          <w:pgMar w:header="1458" w:footer="708" w:top="1640" w:bottom="900" w:left="1020" w:right="940"/>
        </w:sectPr>
      </w:pPr>
    </w:p>
    <w:p>
      <w:pPr>
        <w:spacing w:line="240" w:lineRule="auto" w:before="11"/>
        <w:rPr>
          <w:rFonts w:ascii="宋体" w:hAnsi="宋体" w:cs="宋体" w:eastAsia="宋体" w:hint="default"/>
          <w:sz w:val="2"/>
          <w:szCs w:val="2"/>
        </w:rPr>
      </w:pPr>
    </w:p>
    <w:p>
      <w:pPr>
        <w:spacing w:line="20" w:lineRule="exact"/>
        <w:ind w:left="712" w:right="0" w:firstLine="0"/>
        <w:rPr>
          <w:rFonts w:ascii="宋体" w:hAnsi="宋体" w:cs="宋体" w:eastAsia="宋体" w:hint="default"/>
          <w:sz w:val="2"/>
          <w:szCs w:val="2"/>
        </w:rPr>
      </w:pPr>
      <w:r>
        <w:rPr>
          <w:rFonts w:ascii="宋体" w:hAnsi="宋体" w:cs="宋体" w:eastAsia="宋体" w:hint="default"/>
          <w:sz w:val="2"/>
          <w:szCs w:val="2"/>
        </w:rPr>
        <w:pict>
          <v:group style="width:440.65pt;height:.75pt;mso-position-horizontal-relative:char;mso-position-vertical-relative:line" coordorigin="0,0" coordsize="8813,15">
            <v:group style="position:absolute;left:7;top:7;width:8799;height:2" coordorigin="7,7" coordsize="8799,2">
              <v:shape style="position:absolute;left:7;top:7;width:8799;height:2" coordorigin="7,7" coordsize="8799,0" path="m7,7l88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3"/>
          <w:szCs w:val="13"/>
        </w:rPr>
      </w:pPr>
    </w:p>
    <w:p>
      <w:pPr>
        <w:pStyle w:val="Heading2"/>
        <w:tabs>
          <w:tab w:pos="857" w:val="left" w:leader="none"/>
        </w:tabs>
        <w:spacing w:line="240" w:lineRule="auto"/>
        <w:ind w:left="147" w:right="3845"/>
        <w:jc w:val="left"/>
        <w:rPr>
          <w:b w:val="0"/>
          <w:bCs w:val="0"/>
        </w:rPr>
      </w:pPr>
      <w:r>
        <w:rPr>
          <w:w w:val="95"/>
        </w:rPr>
        <w:t>七</w:t>
        <w:tab/>
      </w:r>
      <w:r>
        <w:rPr/>
        <w:t>子公司</w:t>
      </w:r>
      <w:r>
        <w:rPr>
          <w:b w:val="0"/>
          <w:bCs w:val="0"/>
        </w:rPr>
      </w:r>
    </w:p>
    <w:p>
      <w:pPr>
        <w:spacing w:line="240" w:lineRule="auto" w:before="4"/>
        <w:rPr>
          <w:rFonts w:ascii="宋体" w:hAnsi="宋体" w:cs="宋体" w:eastAsia="宋体" w:hint="default"/>
          <w:b/>
          <w:bCs/>
          <w:sz w:val="23"/>
          <w:szCs w:val="23"/>
        </w:rPr>
      </w:pPr>
    </w:p>
    <w:p>
      <w:pPr>
        <w:pStyle w:val="BodyText"/>
        <w:spacing w:line="312" w:lineRule="exact"/>
        <w:ind w:left="857" w:right="127"/>
        <w:jc w:val="both"/>
      </w:pPr>
      <w:r>
        <w:rPr/>
        <w:t>截止</w:t>
      </w:r>
      <w:r>
        <w:rPr>
          <w:spacing w:val="-61"/>
        </w:rPr>
        <w:t> </w:t>
      </w:r>
      <w:r>
        <w:rPr>
          <w:rFonts w:ascii="Arial" w:hAnsi="Arial" w:cs="Arial" w:eastAsia="Arial" w:hint="default"/>
        </w:rPr>
        <w:t>2007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7"/>
        </w:rPr>
        <w:t>日，本集团下属共</w:t>
      </w:r>
      <w:r>
        <w:rPr>
          <w:spacing w:val="-61"/>
        </w:rPr>
        <w:t> </w:t>
      </w:r>
      <w:r>
        <w:rPr>
          <w:rFonts w:ascii="Arial" w:hAnsi="Arial" w:cs="Arial" w:eastAsia="Arial" w:hint="default"/>
        </w:rPr>
        <w:t>190</w:t>
      </w:r>
      <w:r>
        <w:rPr>
          <w:rFonts w:ascii="Arial" w:hAnsi="Arial" w:cs="Arial" w:eastAsia="Arial" w:hint="default"/>
          <w:spacing w:val="-8"/>
        </w:rPr>
        <w:t> </w:t>
      </w:r>
      <w:r>
        <w:rPr>
          <w:spacing w:val="-8"/>
        </w:rPr>
        <w:t>家子公司，其中</w:t>
      </w:r>
      <w:r>
        <w:rPr>
          <w:spacing w:val="-61"/>
        </w:rPr>
        <w:t> </w:t>
      </w:r>
      <w:r>
        <w:rPr>
          <w:rFonts w:ascii="Arial" w:hAnsi="Arial" w:cs="Arial" w:eastAsia="Arial" w:hint="default"/>
        </w:rPr>
        <w:t>140</w:t>
      </w:r>
      <w:r>
        <w:rPr>
          <w:rFonts w:ascii="Arial" w:hAnsi="Arial" w:cs="Arial" w:eastAsia="Arial" w:hint="default"/>
          <w:spacing w:val="-8"/>
        </w:rPr>
        <w:t> </w:t>
      </w:r>
      <w:r>
        <w:rPr/>
        <w:t>家从事电器与电子 消费品的连锁零售业务、</w:t>
      </w:r>
      <w:r>
        <w:rPr>
          <w:rFonts w:ascii="Arial" w:hAnsi="Arial" w:cs="Arial" w:eastAsia="Arial" w:hint="default"/>
        </w:rPr>
        <w:t>43 </w:t>
      </w:r>
      <w:r>
        <w:rPr/>
        <w:t>家从事售后服务业务、</w:t>
      </w:r>
      <w:r>
        <w:rPr>
          <w:rFonts w:ascii="Arial" w:hAnsi="Arial" w:cs="Arial" w:eastAsia="Arial" w:hint="default"/>
        </w:rPr>
        <w:t>4 </w:t>
      </w:r>
      <w:r>
        <w:rPr/>
        <w:t>家从事仓储物流业务、</w:t>
      </w:r>
      <w:r>
        <w:rPr>
          <w:rFonts w:ascii="Arial" w:hAnsi="Arial" w:cs="Arial" w:eastAsia="Arial" w:hint="default"/>
        </w:rPr>
        <w:t>1</w:t>
      </w:r>
      <w:r>
        <w:rPr>
          <w:rFonts w:ascii="Arial" w:hAnsi="Arial" w:cs="Arial" w:eastAsia="Arial" w:hint="default"/>
          <w:spacing w:val="-41"/>
        </w:rPr>
        <w:t> </w:t>
      </w:r>
      <w:r>
        <w:rPr/>
        <w:t>家从事 </w:t>
      </w:r>
      <w:r>
        <w:rPr>
          <w:spacing w:val="-3"/>
        </w:rPr>
        <w:t>集团内部的行政用品购销业务、</w:t>
      </w:r>
      <w:r>
        <w:rPr>
          <w:rFonts w:ascii="Arial" w:hAnsi="Arial" w:cs="Arial" w:eastAsia="Arial" w:hint="default"/>
          <w:spacing w:val="-3"/>
        </w:rPr>
        <w:t>1 </w:t>
      </w:r>
      <w:r>
        <w:rPr>
          <w:spacing w:val="-3"/>
        </w:rPr>
        <w:t>家从事地铁商业管理业务、</w:t>
      </w:r>
      <w:r>
        <w:rPr>
          <w:rFonts w:ascii="Arial" w:hAnsi="Arial" w:cs="Arial" w:eastAsia="Arial" w:hint="default"/>
          <w:spacing w:val="-3"/>
        </w:rPr>
        <w:t>1</w:t>
      </w:r>
      <w:r>
        <w:rPr>
          <w:rFonts w:ascii="Arial" w:hAnsi="Arial" w:cs="Arial" w:eastAsia="Arial" w:hint="default"/>
          <w:spacing w:val="5"/>
        </w:rPr>
        <w:t> </w:t>
      </w:r>
      <w:r>
        <w:rPr/>
        <w:t>家从事文化传媒业务。</w:t>
      </w:r>
    </w:p>
    <w:p>
      <w:pPr>
        <w:spacing w:line="240" w:lineRule="auto" w:before="10"/>
        <w:rPr>
          <w:rFonts w:ascii="宋体" w:hAnsi="宋体" w:cs="宋体" w:eastAsia="宋体" w:hint="default"/>
          <w:sz w:val="18"/>
          <w:szCs w:val="18"/>
        </w:rPr>
      </w:pPr>
    </w:p>
    <w:p>
      <w:pPr>
        <w:pStyle w:val="BodyText"/>
        <w:spacing w:line="240" w:lineRule="auto"/>
        <w:ind w:left="857" w:right="0"/>
        <w:jc w:val="both"/>
      </w:pPr>
      <w:r>
        <w:rPr/>
        <w:t>截止</w:t>
      </w:r>
      <w:r>
        <w:rPr>
          <w:spacing w:val="-61"/>
        </w:rPr>
        <w:t> </w:t>
      </w:r>
      <w:r>
        <w:rPr>
          <w:rFonts w:ascii="Arial" w:hAnsi="Arial" w:cs="Arial" w:eastAsia="Arial" w:hint="default"/>
        </w:rPr>
        <w:t>2007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日，本集团的主要子公司列示如下：</w:t>
      </w: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1458" w:footer="708" w:top="1640" w:bottom="900" w:left="980" w:right="980"/>
        </w:sectPr>
      </w:pPr>
    </w:p>
    <w:p>
      <w:pPr>
        <w:spacing w:line="240" w:lineRule="auto" w:before="7"/>
        <w:rPr>
          <w:rFonts w:ascii="宋体" w:hAnsi="宋体" w:cs="宋体" w:eastAsia="宋体" w:hint="default"/>
          <w:sz w:val="23"/>
          <w:szCs w:val="23"/>
        </w:rPr>
      </w:pPr>
    </w:p>
    <w:p>
      <w:pPr>
        <w:spacing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业务性质及经营</w:t>
      </w:r>
    </w:p>
    <w:p>
      <w:pPr>
        <w:spacing w:line="240" w:lineRule="auto" w:before="7"/>
        <w:rPr>
          <w:rFonts w:ascii="宋体" w:hAnsi="宋体" w:cs="宋体" w:eastAsia="宋体" w:hint="default"/>
          <w:sz w:val="23"/>
          <w:szCs w:val="23"/>
        </w:rPr>
      </w:pPr>
      <w:r>
        <w:rPr/>
        <w:br w:type="column"/>
      </w:r>
      <w:r>
        <w:rPr>
          <w:rFonts w:ascii="宋体"/>
          <w:sz w:val="23"/>
        </w:rPr>
      </w:r>
    </w:p>
    <w:p>
      <w:pPr>
        <w:spacing w:before="0"/>
        <w:ind w:left="219" w:right="-20" w:firstLine="0"/>
        <w:jc w:val="left"/>
        <w:rPr>
          <w:rFonts w:ascii="宋体" w:hAnsi="宋体" w:cs="宋体" w:eastAsia="宋体" w:hint="default"/>
          <w:sz w:val="21"/>
          <w:szCs w:val="21"/>
        </w:rPr>
      </w:pPr>
      <w:r>
        <w:rPr>
          <w:rFonts w:ascii="宋体" w:hAnsi="宋体" w:cs="宋体" w:eastAsia="宋体" w:hint="default"/>
          <w:sz w:val="21"/>
          <w:szCs w:val="21"/>
        </w:rPr>
        <w:t>期末实际投资</w:t>
      </w:r>
    </w:p>
    <w:p>
      <w:pPr>
        <w:spacing w:line="272" w:lineRule="exact" w:before="63"/>
        <w:ind w:left="234" w:right="-20" w:firstLine="608"/>
        <w:jc w:val="left"/>
        <w:rPr>
          <w:rFonts w:ascii="宋体" w:hAnsi="宋体" w:cs="宋体" w:eastAsia="宋体" w:hint="default"/>
          <w:sz w:val="21"/>
          <w:szCs w:val="21"/>
        </w:rPr>
      </w:pPr>
      <w:r>
        <w:rPr/>
        <w:br w:type="column"/>
      </w:r>
      <w:r>
        <w:rPr>
          <w:rFonts w:ascii="宋体" w:hAnsi="宋体" w:cs="宋体" w:eastAsia="宋体" w:hint="default"/>
          <w:sz w:val="21"/>
          <w:szCs w:val="21"/>
        </w:rPr>
        <w:t>本公司 持有权益比例</w:t>
      </w:r>
    </w:p>
    <w:p>
      <w:pPr>
        <w:spacing w:line="272" w:lineRule="exact" w:before="63"/>
        <w:ind w:left="306" w:right="232" w:firstLine="420"/>
        <w:jc w:val="left"/>
        <w:rPr>
          <w:rFonts w:ascii="宋体" w:hAnsi="宋体" w:cs="宋体" w:eastAsia="宋体" w:hint="default"/>
          <w:sz w:val="21"/>
          <w:szCs w:val="21"/>
        </w:rPr>
      </w:pPr>
      <w:r>
        <w:rPr/>
        <w:br w:type="column"/>
      </w:r>
      <w:r>
        <w:rPr>
          <w:rFonts w:ascii="宋体" w:hAnsi="宋体" w:cs="宋体" w:eastAsia="宋体" w:hint="default"/>
          <w:sz w:val="21"/>
          <w:szCs w:val="21"/>
        </w:rPr>
        <w:t>本公司 表决权比例</w:t>
      </w:r>
    </w:p>
    <w:p>
      <w:pPr>
        <w:spacing w:after="0" w:line="272" w:lineRule="exact"/>
        <w:jc w:val="left"/>
        <w:rPr>
          <w:rFonts w:ascii="宋体" w:hAnsi="宋体" w:cs="宋体" w:eastAsia="宋体" w:hint="default"/>
          <w:sz w:val="21"/>
          <w:szCs w:val="21"/>
        </w:rPr>
        <w:sectPr>
          <w:type w:val="continuous"/>
          <w:pgSz w:w="11910" w:h="16840"/>
          <w:pgMar w:top="1600" w:bottom="280" w:left="980" w:right="980"/>
          <w:cols w:num="4" w:equalWidth="0">
            <w:col w:w="5243" w:space="40"/>
            <w:col w:w="1480" w:space="40"/>
            <w:col w:w="1495" w:space="40"/>
            <w:col w:w="1612"/>
          </w:cols>
        </w:sectPr>
      </w:pPr>
    </w:p>
    <w:p>
      <w:pPr>
        <w:tabs>
          <w:tab w:pos="2549" w:val="left" w:leader="none"/>
          <w:tab w:pos="4296" w:val="left" w:leader="none"/>
          <w:tab w:pos="5921" w:val="left" w:leader="none"/>
          <w:tab w:pos="7055" w:val="left" w:leader="none"/>
          <w:tab w:pos="7799" w:val="left" w:leader="none"/>
          <w:tab w:pos="8562" w:val="left" w:leader="none"/>
          <w:tab w:pos="9275" w:val="left" w:leader="none"/>
        </w:tabs>
        <w:spacing w:line="249" w:lineRule="exact" w:before="0"/>
        <w:ind w:left="1582" w:right="0" w:firstLine="0"/>
        <w:jc w:val="left"/>
        <w:rPr>
          <w:rFonts w:ascii="宋体" w:hAnsi="宋体" w:cs="宋体" w:eastAsia="宋体" w:hint="default"/>
          <w:sz w:val="21"/>
          <w:szCs w:val="21"/>
        </w:rPr>
      </w:pPr>
      <w:r>
        <w:rPr>
          <w:rFonts w:ascii="宋体" w:hAnsi="宋体" w:cs="宋体" w:eastAsia="宋体" w:hint="default"/>
          <w:sz w:val="21"/>
          <w:szCs w:val="21"/>
        </w:rPr>
        <w:t>注册地</w:t>
        <w:tab/>
        <w:t>注册资本</w:t>
        <w:tab/>
        <w:t>范围</w:t>
        <w:tab/>
        <w:t>金额</w:t>
        <w:tab/>
        <w:t>直接</w:t>
        <w:tab/>
        <w:t>间接</w:t>
        <w:tab/>
        <w:t>直接</w:t>
        <w:tab/>
        <w:t>间接</w:t>
      </w:r>
    </w:p>
    <w:p>
      <w:pPr>
        <w:spacing w:line="240" w:lineRule="auto" w:before="7"/>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1390"/>
        <w:gridCol w:w="856"/>
        <w:gridCol w:w="1249"/>
        <w:gridCol w:w="1771"/>
        <w:gridCol w:w="1615"/>
        <w:gridCol w:w="617"/>
        <w:gridCol w:w="908"/>
        <w:gridCol w:w="713"/>
        <w:gridCol w:w="604"/>
      </w:tblGrid>
      <w:tr>
        <w:trPr>
          <w:trHeight w:val="628"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9" w:right="93" w:hanging="185"/>
              <w:jc w:val="left"/>
              <w:rPr>
                <w:rFonts w:ascii="宋体" w:hAnsi="宋体" w:cs="宋体" w:eastAsia="宋体" w:hint="default"/>
                <w:sz w:val="21"/>
                <w:szCs w:val="21"/>
              </w:rPr>
            </w:pPr>
            <w:r>
              <w:rPr>
                <w:rFonts w:ascii="宋体" w:hAnsi="宋体" w:cs="宋体" w:eastAsia="宋体" w:hint="default"/>
                <w:sz w:val="21"/>
                <w:szCs w:val="21"/>
              </w:rPr>
              <w:t>上海苏宁电器 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306" w:right="0"/>
              <w:jc w:val="left"/>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4" w:lineRule="exact"/>
              <w:ind w:left="515" w:right="0"/>
              <w:jc w:val="left"/>
              <w:rPr>
                <w:rFonts w:ascii="宋体" w:hAnsi="宋体" w:cs="宋体" w:eastAsia="宋体" w:hint="default"/>
                <w:sz w:val="21"/>
                <w:szCs w:val="21"/>
              </w:rPr>
            </w:pPr>
            <w:r>
              <w:rPr>
                <w:rFonts w:ascii="宋体" w:hAnsi="宋体" w:cs="宋体" w:eastAsia="宋体" w:hint="default"/>
                <w:sz w:val="21"/>
                <w:szCs w:val="21"/>
              </w:rPr>
              <w:t>市</w:t>
            </w: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74" w:lineRule="exact" w:before="35"/>
              <w:ind w:left="566"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tabs>
                <w:tab w:pos="1499" w:val="left" w:leader="none"/>
              </w:tabs>
              <w:spacing w:line="289" w:lineRule="exact"/>
              <w:ind w:left="81" w:right="0"/>
              <w:jc w:val="left"/>
              <w:rPr>
                <w:rFonts w:ascii="宋体" w:hAnsi="宋体" w:cs="宋体" w:eastAsia="宋体" w:hint="default"/>
                <w:sz w:val="21"/>
                <w:szCs w:val="21"/>
              </w:rPr>
            </w:pPr>
            <w:r>
              <w:rPr>
                <w:rFonts w:ascii="Arial" w:hAnsi="Arial" w:cs="Arial" w:eastAsia="Arial" w:hint="default"/>
                <w:sz w:val="21"/>
                <w:szCs w:val="21"/>
              </w:rPr>
              <w:t>12,748</w:t>
            </w:r>
            <w:r>
              <w:rPr>
                <w:rFonts w:ascii="Arial" w:hAnsi="Arial" w:cs="Arial" w:eastAsia="Arial" w:hint="default"/>
                <w:spacing w:val="-11"/>
                <w:sz w:val="21"/>
                <w:szCs w:val="21"/>
              </w:rPr>
              <w:t> </w:t>
            </w:r>
            <w:r>
              <w:rPr>
                <w:rFonts w:ascii="宋体" w:hAnsi="宋体" w:cs="宋体" w:eastAsia="宋体" w:hint="default"/>
                <w:sz w:val="21"/>
                <w:szCs w:val="21"/>
              </w:rPr>
              <w:t>万元</w:t>
              <w:tab/>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81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89" w:lineRule="exact"/>
              <w:ind w:left="97" w:right="0"/>
              <w:jc w:val="left"/>
              <w:rPr>
                <w:rFonts w:ascii="宋体" w:hAnsi="宋体" w:cs="宋体" w:eastAsia="宋体" w:hint="default"/>
                <w:sz w:val="21"/>
                <w:szCs w:val="21"/>
              </w:rPr>
            </w:pPr>
            <w:r>
              <w:rPr>
                <w:rFonts w:ascii="Arial" w:hAnsi="Arial" w:cs="Arial" w:eastAsia="Arial" w:hint="default"/>
                <w:spacing w:val="-5"/>
                <w:sz w:val="21"/>
                <w:szCs w:val="21"/>
              </w:rPr>
              <w:t>11,411.68</w:t>
            </w:r>
            <w:r>
              <w:rPr>
                <w:rFonts w:ascii="Arial" w:hAnsi="Arial" w:cs="Arial" w:eastAsia="Arial" w:hint="default"/>
                <w:spacing w:val="-1"/>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51"/>
              <w:jc w:val="right"/>
              <w:rPr>
                <w:rFonts w:ascii="Arial" w:hAnsi="Arial" w:cs="Arial" w:eastAsia="Arial" w:hint="default"/>
                <w:sz w:val="21"/>
                <w:szCs w:val="21"/>
              </w:rPr>
            </w:pPr>
            <w:r>
              <w:rPr>
                <w:rFonts w:ascii="Arial"/>
                <w:spacing w:val="-1"/>
                <w:w w:val="95"/>
                <w:sz w:val="21"/>
              </w:rPr>
              <w:t>90%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42"/>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
              <w:jc w:val="center"/>
              <w:rPr>
                <w:rFonts w:ascii="Arial" w:hAnsi="Arial" w:cs="Arial" w:eastAsia="Arial" w:hint="default"/>
                <w:sz w:val="21"/>
                <w:szCs w:val="21"/>
              </w:rPr>
            </w:pPr>
            <w:r>
              <w:rPr>
                <w:rFonts w:ascii="Arial"/>
                <w:sz w:val="21"/>
              </w:rPr>
              <w:t>90%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0%</w:t>
            </w:r>
            <w:r>
              <w:rPr>
                <w:rFonts w:ascii="Arial"/>
                <w:w w:val="95"/>
                <w:sz w:val="21"/>
              </w:rPr>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广东苏宁电器</w:t>
            </w:r>
          </w:p>
        </w:tc>
        <w:tc>
          <w:tcPr>
            <w:tcW w:w="856" w:type="dxa"/>
            <w:tcBorders>
              <w:top w:val="nil" w:sz="6" w:space="0" w:color="auto"/>
              <w:left w:val="nil" w:sz="6" w:space="0" w:color="auto"/>
              <w:bottom w:val="nil" w:sz="6" w:space="0" w:color="auto"/>
              <w:right w:val="nil" w:sz="6" w:space="0" w:color="auto"/>
            </w:tcBorders>
          </w:tcPr>
          <w:p>
            <w:pP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566"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Style w:val="TableParagraph"/>
              <w:spacing w:line="228" w:lineRule="exact"/>
              <w:ind w:right="173"/>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8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2"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3020" w:type="dxa"/>
            <w:gridSpan w:val="2"/>
            <w:tcBorders>
              <w:top w:val="nil" w:sz="6" w:space="0" w:color="auto"/>
              <w:left w:val="nil" w:sz="6" w:space="0" w:color="auto"/>
              <w:bottom w:val="nil" w:sz="6" w:space="0" w:color="auto"/>
              <w:right w:val="nil" w:sz="6" w:space="0" w:color="auto"/>
            </w:tcBorders>
          </w:tcPr>
          <w:p>
            <w:pPr>
              <w:pStyle w:val="TableParagraph"/>
              <w:tabs>
                <w:tab w:pos="1499" w:val="left" w:leader="none"/>
              </w:tabs>
              <w:spacing w:line="257" w:lineRule="exact"/>
              <w:ind w:left="97" w:right="0"/>
              <w:jc w:val="left"/>
              <w:rPr>
                <w:rFonts w:ascii="宋体" w:hAnsi="宋体" w:cs="宋体" w:eastAsia="宋体" w:hint="default"/>
                <w:sz w:val="21"/>
                <w:szCs w:val="21"/>
              </w:rPr>
            </w:pPr>
            <w:r>
              <w:rPr>
                <w:rFonts w:ascii="Arial" w:hAnsi="Arial" w:cs="Arial" w:eastAsia="Arial" w:hint="default"/>
                <w:spacing w:val="-4"/>
                <w:sz w:val="21"/>
                <w:szCs w:val="21"/>
              </w:rPr>
              <w:t>11,300</w:t>
            </w:r>
            <w:r>
              <w:rPr>
                <w:rFonts w:ascii="Arial" w:hAnsi="Arial" w:cs="Arial" w:eastAsia="Arial" w:hint="default"/>
                <w:spacing w:val="-3"/>
                <w:sz w:val="21"/>
                <w:szCs w:val="21"/>
              </w:rPr>
              <w:t> </w:t>
            </w:r>
            <w:r>
              <w:rPr>
                <w:rFonts w:ascii="宋体" w:hAnsi="宋体" w:cs="宋体" w:eastAsia="宋体" w:hint="default"/>
                <w:sz w:val="21"/>
                <w:szCs w:val="21"/>
              </w:rPr>
              <w:t>万元</w:t>
              <w:tab/>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57" w:lineRule="exact"/>
              <w:ind w:right="143"/>
              <w:jc w:val="right"/>
              <w:rPr>
                <w:rFonts w:ascii="宋体" w:hAnsi="宋体" w:cs="宋体" w:eastAsia="宋体" w:hint="default"/>
                <w:sz w:val="21"/>
                <w:szCs w:val="21"/>
              </w:rPr>
            </w:pPr>
            <w:r>
              <w:rPr>
                <w:rFonts w:ascii="Arial" w:hAnsi="Arial" w:cs="Arial" w:eastAsia="Arial" w:hint="default"/>
                <w:spacing w:val="-3"/>
                <w:sz w:val="21"/>
                <w:szCs w:val="21"/>
              </w:rPr>
              <w:t>11,087.71</w:t>
            </w:r>
            <w:r>
              <w:rPr>
                <w:rFonts w:ascii="Arial" w:hAnsi="Arial" w:cs="Arial" w:eastAsia="Arial" w:hint="default"/>
                <w:spacing w:val="-21"/>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
              <w:jc w:val="right"/>
              <w:rPr>
                <w:rFonts w:ascii="Arial" w:hAnsi="Arial" w:cs="Arial" w:eastAsia="Arial" w:hint="default"/>
                <w:sz w:val="21"/>
                <w:szCs w:val="21"/>
              </w:rPr>
            </w:pPr>
            <w:r>
              <w:rPr>
                <w:rFonts w:ascii="Arial"/>
                <w:spacing w:val="-1"/>
                <w:w w:val="95"/>
                <w:sz w:val="21"/>
              </w:rPr>
              <w:t>90%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Arial" w:hAnsi="Arial" w:cs="Arial" w:eastAsia="Arial" w:hint="default"/>
                <w:sz w:val="21"/>
                <w:szCs w:val="21"/>
              </w:rPr>
            </w:pPr>
            <w:r>
              <w:rPr>
                <w:rFonts w:ascii="Arial"/>
                <w:spacing w:val="-1"/>
                <w:w w:val="95"/>
                <w:sz w:val="21"/>
              </w:rPr>
              <w:t>9%</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center"/>
              <w:rPr>
                <w:rFonts w:ascii="Arial" w:hAnsi="Arial" w:cs="Arial" w:eastAsia="Arial" w:hint="default"/>
                <w:sz w:val="21"/>
                <w:szCs w:val="21"/>
              </w:rPr>
            </w:pPr>
            <w:r>
              <w:rPr>
                <w:rFonts w:ascii="Arial"/>
                <w:sz w:val="21"/>
              </w:rPr>
              <w:t>90%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w w:val="95"/>
                <w:sz w:val="21"/>
              </w:rPr>
              <w:t>10%</w:t>
            </w:r>
            <w:r>
              <w:rPr>
                <w:rFonts w:ascii="Arial"/>
                <w:w w:val="95"/>
                <w:sz w:val="21"/>
              </w:rPr>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浙江苏宁电器</w:t>
            </w:r>
          </w:p>
        </w:tc>
        <w:tc>
          <w:tcPr>
            <w:tcW w:w="856" w:type="dxa"/>
            <w:tcBorders>
              <w:top w:val="nil" w:sz="6" w:space="0" w:color="auto"/>
              <w:left w:val="nil" w:sz="6" w:space="0" w:color="auto"/>
              <w:bottom w:val="nil" w:sz="6" w:space="0" w:color="auto"/>
              <w:right w:val="nil" w:sz="6" w:space="0" w:color="auto"/>
            </w:tcBorders>
          </w:tcPr>
          <w:p>
            <w:pP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566"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Style w:val="TableParagraph"/>
              <w:spacing w:line="228" w:lineRule="exact"/>
              <w:ind w:right="173"/>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8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2"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3020" w:type="dxa"/>
            <w:gridSpan w:val="2"/>
            <w:tcBorders>
              <w:top w:val="nil" w:sz="6" w:space="0" w:color="auto"/>
              <w:left w:val="nil" w:sz="6" w:space="0" w:color="auto"/>
              <w:bottom w:val="nil" w:sz="6" w:space="0" w:color="auto"/>
              <w:right w:val="nil" w:sz="6" w:space="0" w:color="auto"/>
            </w:tcBorders>
          </w:tcPr>
          <w:p>
            <w:pPr>
              <w:pStyle w:val="TableParagraph"/>
              <w:tabs>
                <w:tab w:pos="1499" w:val="left" w:leader="none"/>
              </w:tabs>
              <w:spacing w:line="257" w:lineRule="exact"/>
              <w:ind w:left="81" w:right="0"/>
              <w:jc w:val="left"/>
              <w:rPr>
                <w:rFonts w:ascii="宋体" w:hAnsi="宋体" w:cs="宋体" w:eastAsia="宋体" w:hint="default"/>
                <w:sz w:val="21"/>
                <w:szCs w:val="21"/>
              </w:rPr>
            </w:pPr>
            <w:r>
              <w:rPr>
                <w:rFonts w:ascii="Arial" w:hAnsi="Arial" w:cs="Arial" w:eastAsia="Arial" w:hint="default"/>
                <w:sz w:val="21"/>
                <w:szCs w:val="21"/>
              </w:rPr>
              <w:t>10,401</w:t>
            </w:r>
            <w:r>
              <w:rPr>
                <w:rFonts w:ascii="Arial" w:hAnsi="Arial" w:cs="Arial" w:eastAsia="Arial" w:hint="default"/>
                <w:spacing w:val="-11"/>
                <w:sz w:val="21"/>
                <w:szCs w:val="21"/>
              </w:rPr>
              <w:t> </w:t>
            </w:r>
            <w:r>
              <w:rPr>
                <w:rFonts w:ascii="宋体" w:hAnsi="宋体" w:cs="宋体" w:eastAsia="宋体" w:hint="default"/>
                <w:sz w:val="21"/>
                <w:szCs w:val="21"/>
              </w:rPr>
              <w:t>万元</w:t>
              <w:tab/>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57" w:lineRule="exact"/>
              <w:ind w:right="143"/>
              <w:jc w:val="right"/>
              <w:rPr>
                <w:rFonts w:ascii="宋体" w:hAnsi="宋体" w:cs="宋体" w:eastAsia="宋体" w:hint="default"/>
                <w:sz w:val="21"/>
                <w:szCs w:val="21"/>
              </w:rPr>
            </w:pPr>
            <w:r>
              <w:rPr>
                <w:rFonts w:ascii="Arial" w:hAnsi="Arial" w:cs="Arial" w:eastAsia="Arial" w:hint="default"/>
                <w:sz w:val="21"/>
                <w:szCs w:val="21"/>
              </w:rPr>
              <w:t>9,247.32</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1"/>
              <w:jc w:val="right"/>
              <w:rPr>
                <w:rFonts w:ascii="Arial" w:hAnsi="Arial" w:cs="Arial" w:eastAsia="Arial" w:hint="default"/>
                <w:sz w:val="21"/>
                <w:szCs w:val="21"/>
              </w:rPr>
            </w:pPr>
            <w:r>
              <w:rPr>
                <w:rFonts w:ascii="Arial"/>
                <w:spacing w:val="-1"/>
                <w:w w:val="95"/>
                <w:sz w:val="21"/>
              </w:rPr>
              <w:t>89%</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
              <w:jc w:val="center"/>
              <w:rPr>
                <w:rFonts w:ascii="Arial" w:hAnsi="Arial" w:cs="Arial" w:eastAsia="Arial" w:hint="default"/>
                <w:sz w:val="21"/>
                <w:szCs w:val="21"/>
              </w:rPr>
            </w:pPr>
            <w:r>
              <w:rPr>
                <w:rFonts w:ascii="Arial"/>
                <w:sz w:val="21"/>
              </w:rPr>
              <w:t>89%</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w w:val="95"/>
                <w:sz w:val="21"/>
              </w:rPr>
              <w:t>0%</w:t>
            </w:r>
            <w:r>
              <w:rPr>
                <w:rFonts w:ascii="Arial"/>
                <w:w w:val="95"/>
                <w:sz w:val="21"/>
              </w:rPr>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北京苏宁电器</w:t>
            </w:r>
          </w:p>
        </w:tc>
        <w:tc>
          <w:tcPr>
            <w:tcW w:w="856" w:type="dxa"/>
            <w:tcBorders>
              <w:top w:val="nil" w:sz="6" w:space="0" w:color="auto"/>
              <w:left w:val="nil" w:sz="6" w:space="0" w:color="auto"/>
              <w:bottom w:val="nil" w:sz="6" w:space="0" w:color="auto"/>
              <w:right w:val="nil" w:sz="6" w:space="0" w:color="auto"/>
            </w:tcBorders>
          </w:tcPr>
          <w:p>
            <w:pP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1300" w:right="0"/>
              <w:jc w:val="left"/>
              <w:rPr>
                <w:rFonts w:ascii="宋体" w:hAnsi="宋体" w:cs="宋体" w:eastAsia="宋体" w:hint="default"/>
                <w:sz w:val="21"/>
                <w:szCs w:val="21"/>
              </w:rPr>
            </w:pP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74"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2" w:lineRule="exact"/>
              <w:ind w:left="219" w:right="0"/>
              <w:jc w:val="left"/>
              <w:rPr>
                <w:rFonts w:ascii="宋体" w:hAnsi="宋体" w:cs="宋体" w:eastAsia="宋体" w:hint="default"/>
                <w:sz w:val="21"/>
                <w:szCs w:val="21"/>
              </w:rPr>
            </w:pPr>
            <w:r>
              <w:rPr>
                <w:rFonts w:ascii="宋体" w:hAnsi="宋体" w:cs="宋体" w:eastAsia="宋体" w:hint="default"/>
                <w:sz w:val="21"/>
                <w:szCs w:val="21"/>
              </w:rPr>
              <w:t>有 限</w:t>
            </w:r>
            <w:r>
              <w:rPr>
                <w:rFonts w:ascii="宋体" w:hAnsi="宋体" w:cs="宋体" w:eastAsia="宋体" w:hint="default"/>
                <w:spacing w:val="-10"/>
                <w:sz w:val="21"/>
                <w:szCs w:val="21"/>
              </w:rPr>
              <w:t> </w:t>
            </w:r>
            <w:r>
              <w:rPr>
                <w:rFonts w:ascii="宋体" w:hAnsi="宋体" w:cs="宋体" w:eastAsia="宋体" w:hint="default"/>
                <w:sz w:val="21"/>
                <w:szCs w:val="21"/>
              </w:rPr>
              <w:t>公</w:t>
            </w:r>
          </w:p>
        </w:tc>
        <w:tc>
          <w:tcPr>
            <w:tcW w:w="856" w:type="dxa"/>
            <w:tcBorders>
              <w:top w:val="nil" w:sz="6" w:space="0" w:color="auto"/>
              <w:left w:val="nil" w:sz="6" w:space="0" w:color="auto"/>
              <w:bottom w:val="nil" w:sz="6" w:space="0" w:color="auto"/>
              <w:right w:val="nil" w:sz="6" w:space="0" w:color="auto"/>
            </w:tcBorders>
          </w:tcPr>
          <w:p>
            <w:pPr/>
          </w:p>
        </w:tc>
        <w:tc>
          <w:tcPr>
            <w:tcW w:w="3020" w:type="dxa"/>
            <w:gridSpan w:val="2"/>
            <w:tcBorders>
              <w:top w:val="nil" w:sz="6" w:space="0" w:color="auto"/>
              <w:left w:val="nil" w:sz="6" w:space="0" w:color="auto"/>
              <w:bottom w:val="nil" w:sz="6" w:space="0" w:color="auto"/>
              <w:right w:val="nil" w:sz="6" w:space="0" w:color="auto"/>
            </w:tcBorders>
          </w:tcPr>
          <w:p>
            <w:pPr>
              <w:pStyle w:val="TableParagraph"/>
              <w:tabs>
                <w:tab w:pos="1499" w:val="left" w:leader="none"/>
              </w:tabs>
              <w:spacing w:line="242" w:lineRule="exact"/>
              <w:ind w:left="566" w:right="0"/>
              <w:jc w:val="left"/>
              <w:rPr>
                <w:rFonts w:ascii="宋体" w:hAnsi="宋体" w:cs="宋体" w:eastAsia="宋体" w:hint="default"/>
                <w:sz w:val="21"/>
                <w:szCs w:val="21"/>
              </w:rPr>
            </w:pPr>
            <w:r>
              <w:rPr>
                <w:rFonts w:ascii="宋体" w:hAnsi="宋体" w:cs="宋体" w:eastAsia="宋体" w:hint="default"/>
                <w:sz w:val="21"/>
                <w:szCs w:val="21"/>
              </w:rPr>
              <w:t>人民币</w:t>
              <w:tab/>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8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56" w:right="0"/>
              <w:jc w:val="left"/>
              <w:rPr>
                <w:rFonts w:ascii="宋体" w:hAnsi="宋体" w:cs="宋体" w:eastAsia="宋体" w:hint="default"/>
                <w:sz w:val="21"/>
                <w:szCs w:val="21"/>
              </w:rPr>
            </w:pPr>
            <w:r>
              <w:rPr>
                <w:rFonts w:ascii="Arial" w:hAnsi="Arial" w:cs="Arial" w:eastAsia="Arial" w:hint="default"/>
                <w:sz w:val="21"/>
                <w:szCs w:val="21"/>
              </w:rPr>
              <w:t>9,997.85</w:t>
            </w:r>
            <w:r>
              <w:rPr>
                <w:rFonts w:ascii="Arial" w:hAnsi="Arial" w:cs="Arial" w:eastAsia="Arial" w:hint="default"/>
                <w:spacing w:val="-12"/>
                <w:sz w:val="21"/>
                <w:szCs w:val="21"/>
              </w:rPr>
              <w:t> </w:t>
            </w:r>
            <w:r>
              <w:rPr>
                <w:rFonts w:ascii="宋体" w:hAnsi="宋体" w:cs="宋体" w:eastAsia="宋体" w:hint="default"/>
                <w:sz w:val="21"/>
                <w:szCs w:val="21"/>
              </w:rPr>
              <w:t>万元</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142"/>
              <w:jc w:val="right"/>
              <w:rPr>
                <w:rFonts w:ascii="宋体" w:hAnsi="宋体" w:cs="宋体" w:eastAsia="宋体" w:hint="default"/>
                <w:sz w:val="21"/>
                <w:szCs w:val="21"/>
              </w:rPr>
            </w:pPr>
            <w:r>
              <w:rPr>
                <w:rFonts w:ascii="Arial" w:hAnsi="Arial" w:cs="Arial" w:eastAsia="Arial" w:hint="default"/>
                <w:sz w:val="21"/>
                <w:szCs w:val="21"/>
              </w:rPr>
              <w:t>9,372.81</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1"/>
              <w:jc w:val="right"/>
              <w:rPr>
                <w:rFonts w:ascii="Arial" w:hAnsi="Arial" w:cs="Arial" w:eastAsia="Arial" w:hint="default"/>
                <w:sz w:val="21"/>
                <w:szCs w:val="21"/>
              </w:rPr>
            </w:pPr>
            <w:r>
              <w:rPr>
                <w:rFonts w:ascii="Arial"/>
                <w:spacing w:val="-1"/>
                <w:w w:val="95"/>
                <w:sz w:val="21"/>
              </w:rPr>
              <w:t>89%</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2"/>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
              <w:jc w:val="center"/>
              <w:rPr>
                <w:rFonts w:ascii="Arial" w:hAnsi="Arial" w:cs="Arial" w:eastAsia="Arial" w:hint="default"/>
                <w:sz w:val="21"/>
                <w:szCs w:val="21"/>
              </w:rPr>
            </w:pPr>
            <w:r>
              <w:rPr>
                <w:rFonts w:ascii="Arial"/>
                <w:sz w:val="21"/>
              </w:rPr>
              <w:t>89%</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1"/>
                <w:szCs w:val="21"/>
              </w:rPr>
            </w:pPr>
            <w:r>
              <w:rPr>
                <w:rFonts w:ascii="Arial"/>
                <w:spacing w:val="-1"/>
                <w:w w:val="95"/>
                <w:sz w:val="21"/>
              </w:rPr>
              <w:t>0%</w:t>
            </w:r>
            <w:r>
              <w:rPr>
                <w:rFonts w:ascii="Arial"/>
                <w:w w:val="95"/>
                <w:sz w:val="21"/>
              </w:rPr>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福建苏宁电器</w:t>
            </w:r>
          </w:p>
        </w:tc>
        <w:tc>
          <w:tcPr>
            <w:tcW w:w="856" w:type="dxa"/>
            <w:tcBorders>
              <w:top w:val="nil" w:sz="6" w:space="0" w:color="auto"/>
              <w:left w:val="nil" w:sz="6" w:space="0" w:color="auto"/>
              <w:bottom w:val="nil" w:sz="6" w:space="0" w:color="auto"/>
              <w:right w:val="nil" w:sz="6" w:space="0" w:color="auto"/>
            </w:tcBorders>
          </w:tcPr>
          <w:p>
            <w:pP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566"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Style w:val="TableParagraph"/>
              <w:spacing w:line="228" w:lineRule="exact"/>
              <w:ind w:right="173"/>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8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福州市</w:t>
            </w:r>
          </w:p>
        </w:tc>
        <w:tc>
          <w:tcPr>
            <w:tcW w:w="3020" w:type="dxa"/>
            <w:gridSpan w:val="2"/>
            <w:tcBorders>
              <w:top w:val="nil" w:sz="6" w:space="0" w:color="auto"/>
              <w:left w:val="nil" w:sz="6" w:space="0" w:color="auto"/>
              <w:bottom w:val="nil" w:sz="6" w:space="0" w:color="auto"/>
              <w:right w:val="nil" w:sz="6" w:space="0" w:color="auto"/>
            </w:tcBorders>
          </w:tcPr>
          <w:p>
            <w:pPr>
              <w:pStyle w:val="TableParagraph"/>
              <w:tabs>
                <w:tab w:pos="1499" w:val="left" w:leader="none"/>
              </w:tabs>
              <w:spacing w:line="256" w:lineRule="exact"/>
              <w:ind w:left="199" w:right="0"/>
              <w:jc w:val="left"/>
              <w:rPr>
                <w:rFonts w:ascii="宋体" w:hAnsi="宋体" w:cs="宋体" w:eastAsia="宋体" w:hint="default"/>
                <w:sz w:val="21"/>
                <w:szCs w:val="21"/>
              </w:rPr>
            </w:pPr>
            <w:r>
              <w:rPr>
                <w:rFonts w:ascii="Arial" w:hAnsi="Arial" w:cs="Arial" w:eastAsia="Arial" w:hint="default"/>
                <w:sz w:val="21"/>
                <w:szCs w:val="21"/>
              </w:rPr>
              <w:t>8,900</w:t>
            </w:r>
            <w:r>
              <w:rPr>
                <w:rFonts w:ascii="Arial" w:hAnsi="Arial" w:cs="Arial" w:eastAsia="Arial" w:hint="default"/>
                <w:spacing w:val="-10"/>
                <w:sz w:val="21"/>
                <w:szCs w:val="21"/>
              </w:rPr>
              <w:t> </w:t>
            </w:r>
            <w:r>
              <w:rPr>
                <w:rFonts w:ascii="宋体" w:hAnsi="宋体" w:cs="宋体" w:eastAsia="宋体" w:hint="default"/>
                <w:sz w:val="21"/>
                <w:szCs w:val="21"/>
              </w:rPr>
              <w:t>万元</w:t>
              <w:tab/>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143"/>
              <w:jc w:val="right"/>
              <w:rPr>
                <w:rFonts w:ascii="宋体" w:hAnsi="宋体" w:cs="宋体" w:eastAsia="宋体" w:hint="default"/>
                <w:sz w:val="21"/>
                <w:szCs w:val="21"/>
              </w:rPr>
            </w:pPr>
            <w:r>
              <w:rPr>
                <w:rFonts w:ascii="Arial" w:hAnsi="Arial" w:cs="Arial" w:eastAsia="Arial" w:hint="default"/>
                <w:sz w:val="21"/>
                <w:szCs w:val="21"/>
              </w:rPr>
              <w:t>8,010</w:t>
            </w:r>
            <w:r>
              <w:rPr>
                <w:rFonts w:ascii="Arial" w:hAnsi="Arial" w:cs="Arial" w:eastAsia="Arial" w:hint="default"/>
                <w:spacing w:val="-10"/>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0"/>
              <w:jc w:val="right"/>
              <w:rPr>
                <w:rFonts w:ascii="Arial" w:hAnsi="Arial" w:cs="Arial" w:eastAsia="Arial" w:hint="default"/>
                <w:sz w:val="21"/>
                <w:szCs w:val="21"/>
              </w:rPr>
            </w:pPr>
            <w:r>
              <w:rPr>
                <w:rFonts w:ascii="Arial"/>
                <w:spacing w:val="-1"/>
                <w:w w:val="95"/>
                <w:sz w:val="21"/>
              </w:rPr>
              <w:t>90%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2"/>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
              <w:jc w:val="center"/>
              <w:rPr>
                <w:rFonts w:ascii="Arial" w:hAnsi="Arial" w:cs="Arial" w:eastAsia="Arial" w:hint="default"/>
                <w:sz w:val="21"/>
                <w:szCs w:val="21"/>
              </w:rPr>
            </w:pPr>
            <w:r>
              <w:rPr>
                <w:rFonts w:ascii="Arial"/>
                <w:sz w:val="21"/>
              </w:rPr>
              <w:t>90%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1"/>
                <w:szCs w:val="21"/>
              </w:rPr>
            </w:pPr>
            <w:r>
              <w:rPr>
                <w:rFonts w:ascii="Arial"/>
                <w:spacing w:val="-1"/>
                <w:w w:val="95"/>
                <w:sz w:val="21"/>
              </w:rPr>
              <w:t>0%</w:t>
            </w:r>
            <w:r>
              <w:rPr>
                <w:rFonts w:ascii="Arial"/>
                <w:w w:val="95"/>
                <w:sz w:val="21"/>
              </w:rPr>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深圳市苏宁电</w:t>
            </w:r>
          </w:p>
        </w:tc>
        <w:tc>
          <w:tcPr>
            <w:tcW w:w="856" w:type="dxa"/>
            <w:tcBorders>
              <w:top w:val="nil" w:sz="6" w:space="0" w:color="auto"/>
              <w:left w:val="nil" w:sz="6" w:space="0" w:color="auto"/>
              <w:bottom w:val="nil" w:sz="6" w:space="0" w:color="auto"/>
              <w:right w:val="nil" w:sz="6" w:space="0" w:color="auto"/>
            </w:tcBorders>
          </w:tcPr>
          <w:p>
            <w:pP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566"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Style w:val="TableParagraph"/>
              <w:spacing w:line="228" w:lineRule="exact"/>
              <w:ind w:right="173"/>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8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3020" w:type="dxa"/>
            <w:gridSpan w:val="2"/>
            <w:tcBorders>
              <w:top w:val="nil" w:sz="6" w:space="0" w:color="auto"/>
              <w:left w:val="nil" w:sz="6" w:space="0" w:color="auto"/>
              <w:bottom w:val="nil" w:sz="6" w:space="0" w:color="auto"/>
              <w:right w:val="nil" w:sz="6" w:space="0" w:color="auto"/>
            </w:tcBorders>
          </w:tcPr>
          <w:p>
            <w:pPr>
              <w:pStyle w:val="TableParagraph"/>
              <w:tabs>
                <w:tab w:pos="1499" w:val="left" w:leader="none"/>
              </w:tabs>
              <w:spacing w:line="256" w:lineRule="exact"/>
              <w:ind w:left="199" w:right="0"/>
              <w:jc w:val="left"/>
              <w:rPr>
                <w:rFonts w:ascii="宋体" w:hAnsi="宋体" w:cs="宋体" w:eastAsia="宋体" w:hint="default"/>
                <w:sz w:val="21"/>
                <w:szCs w:val="21"/>
              </w:rPr>
            </w:pPr>
            <w:r>
              <w:rPr>
                <w:rFonts w:ascii="Arial" w:hAnsi="Arial" w:cs="Arial" w:eastAsia="Arial" w:hint="default"/>
                <w:sz w:val="21"/>
                <w:szCs w:val="21"/>
              </w:rPr>
              <w:t>6,000</w:t>
            </w:r>
            <w:r>
              <w:rPr>
                <w:rFonts w:ascii="Arial" w:hAnsi="Arial" w:cs="Arial" w:eastAsia="Arial" w:hint="default"/>
                <w:spacing w:val="-10"/>
                <w:sz w:val="21"/>
                <w:szCs w:val="21"/>
              </w:rPr>
              <w:t> </w:t>
            </w:r>
            <w:r>
              <w:rPr>
                <w:rFonts w:ascii="宋体" w:hAnsi="宋体" w:cs="宋体" w:eastAsia="宋体" w:hint="default"/>
                <w:sz w:val="21"/>
                <w:szCs w:val="21"/>
              </w:rPr>
              <w:t>万元</w:t>
              <w:tab/>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143"/>
              <w:jc w:val="right"/>
              <w:rPr>
                <w:rFonts w:ascii="宋体" w:hAnsi="宋体" w:cs="宋体" w:eastAsia="宋体" w:hint="default"/>
                <w:sz w:val="21"/>
                <w:szCs w:val="21"/>
              </w:rPr>
            </w:pPr>
            <w:r>
              <w:rPr>
                <w:rFonts w:ascii="Arial" w:hAnsi="Arial" w:cs="Arial" w:eastAsia="Arial" w:hint="default"/>
                <w:sz w:val="21"/>
                <w:szCs w:val="21"/>
              </w:rPr>
              <w:t>5,400</w:t>
            </w:r>
            <w:r>
              <w:rPr>
                <w:rFonts w:ascii="Arial" w:hAnsi="Arial" w:cs="Arial" w:eastAsia="Arial" w:hint="default"/>
                <w:spacing w:val="-10"/>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1"/>
              <w:jc w:val="right"/>
              <w:rPr>
                <w:rFonts w:ascii="Arial" w:hAnsi="Arial" w:cs="Arial" w:eastAsia="Arial" w:hint="default"/>
                <w:sz w:val="21"/>
                <w:szCs w:val="21"/>
              </w:rPr>
            </w:pPr>
            <w:r>
              <w:rPr>
                <w:rFonts w:ascii="Arial"/>
                <w:spacing w:val="-1"/>
                <w:w w:val="95"/>
                <w:sz w:val="21"/>
              </w:rPr>
              <w:t>90%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
              <w:jc w:val="center"/>
              <w:rPr>
                <w:rFonts w:ascii="Arial" w:hAnsi="Arial" w:cs="Arial" w:eastAsia="Arial" w:hint="default"/>
                <w:sz w:val="21"/>
                <w:szCs w:val="21"/>
              </w:rPr>
            </w:pPr>
            <w:r>
              <w:rPr>
                <w:rFonts w:ascii="Arial"/>
                <w:sz w:val="21"/>
              </w:rPr>
              <w:t>90%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w w:val="95"/>
                <w:sz w:val="21"/>
              </w:rPr>
              <w:t>0%</w:t>
            </w:r>
            <w:r>
              <w:rPr>
                <w:rFonts w:ascii="Arial"/>
                <w:w w:val="95"/>
                <w:sz w:val="21"/>
              </w:rPr>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武汉苏宁电器</w:t>
            </w:r>
          </w:p>
        </w:tc>
        <w:tc>
          <w:tcPr>
            <w:tcW w:w="856" w:type="dxa"/>
            <w:tcBorders>
              <w:top w:val="nil" w:sz="6" w:space="0" w:color="auto"/>
              <w:left w:val="nil" w:sz="6" w:space="0" w:color="auto"/>
              <w:bottom w:val="nil" w:sz="6" w:space="0" w:color="auto"/>
              <w:right w:val="nil" w:sz="6" w:space="0" w:color="auto"/>
            </w:tcBorders>
          </w:tcPr>
          <w:p>
            <w:pP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566"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Style w:val="TableParagraph"/>
              <w:spacing w:line="228" w:lineRule="exact"/>
              <w:ind w:right="173"/>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8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武汉市</w:t>
            </w:r>
          </w:p>
        </w:tc>
        <w:tc>
          <w:tcPr>
            <w:tcW w:w="3020" w:type="dxa"/>
            <w:gridSpan w:val="2"/>
            <w:tcBorders>
              <w:top w:val="nil" w:sz="6" w:space="0" w:color="auto"/>
              <w:left w:val="nil" w:sz="6" w:space="0" w:color="auto"/>
              <w:bottom w:val="nil" w:sz="6" w:space="0" w:color="auto"/>
              <w:right w:val="nil" w:sz="6" w:space="0" w:color="auto"/>
            </w:tcBorders>
          </w:tcPr>
          <w:p>
            <w:pPr>
              <w:pStyle w:val="TableParagraph"/>
              <w:tabs>
                <w:tab w:pos="1499" w:val="left" w:leader="none"/>
              </w:tabs>
              <w:spacing w:line="256" w:lineRule="exact"/>
              <w:ind w:left="199" w:right="0"/>
              <w:jc w:val="left"/>
              <w:rPr>
                <w:rFonts w:ascii="宋体" w:hAnsi="宋体" w:cs="宋体" w:eastAsia="宋体" w:hint="default"/>
                <w:sz w:val="21"/>
                <w:szCs w:val="21"/>
              </w:rPr>
            </w:pPr>
            <w:r>
              <w:rPr>
                <w:rFonts w:ascii="Arial" w:hAnsi="Arial" w:cs="Arial" w:eastAsia="Arial" w:hint="default"/>
                <w:sz w:val="21"/>
                <w:szCs w:val="21"/>
              </w:rPr>
              <w:t>5,700</w:t>
            </w:r>
            <w:r>
              <w:rPr>
                <w:rFonts w:ascii="Arial" w:hAnsi="Arial" w:cs="Arial" w:eastAsia="Arial" w:hint="default"/>
                <w:spacing w:val="-10"/>
                <w:sz w:val="21"/>
                <w:szCs w:val="21"/>
              </w:rPr>
              <w:t> </w:t>
            </w:r>
            <w:r>
              <w:rPr>
                <w:rFonts w:ascii="宋体" w:hAnsi="宋体" w:cs="宋体" w:eastAsia="宋体" w:hint="default"/>
                <w:sz w:val="21"/>
                <w:szCs w:val="21"/>
              </w:rPr>
              <w:t>万元</w:t>
              <w:tab/>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143"/>
              <w:jc w:val="right"/>
              <w:rPr>
                <w:rFonts w:ascii="宋体" w:hAnsi="宋体" w:cs="宋体" w:eastAsia="宋体" w:hint="default"/>
                <w:sz w:val="21"/>
                <w:szCs w:val="21"/>
              </w:rPr>
            </w:pPr>
            <w:r>
              <w:rPr>
                <w:rFonts w:ascii="Arial" w:hAnsi="Arial" w:cs="Arial" w:eastAsia="Arial" w:hint="default"/>
                <w:sz w:val="21"/>
                <w:szCs w:val="21"/>
              </w:rPr>
              <w:t>5,700</w:t>
            </w:r>
            <w:r>
              <w:rPr>
                <w:rFonts w:ascii="Arial" w:hAnsi="Arial" w:cs="Arial" w:eastAsia="Arial" w:hint="default"/>
                <w:spacing w:val="-10"/>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1"/>
              <w:jc w:val="right"/>
              <w:rPr>
                <w:rFonts w:ascii="Arial" w:hAnsi="Arial" w:cs="Arial" w:eastAsia="Arial" w:hint="default"/>
                <w:sz w:val="21"/>
                <w:szCs w:val="21"/>
              </w:rPr>
            </w:pPr>
            <w:r>
              <w:rPr>
                <w:rFonts w:ascii="Arial"/>
                <w:spacing w:val="-1"/>
                <w:w w:val="95"/>
                <w:sz w:val="21"/>
              </w:rPr>
              <w:t>90%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Arial" w:hAnsi="Arial" w:cs="Arial" w:eastAsia="Arial" w:hint="default"/>
                <w:sz w:val="21"/>
                <w:szCs w:val="21"/>
              </w:rPr>
            </w:pPr>
            <w:r>
              <w:rPr>
                <w:rFonts w:ascii="Arial"/>
                <w:spacing w:val="-1"/>
                <w:w w:val="95"/>
                <w:sz w:val="21"/>
              </w:rPr>
              <w:t>10%</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
              <w:jc w:val="center"/>
              <w:rPr>
                <w:rFonts w:ascii="Arial" w:hAnsi="Arial" w:cs="Arial" w:eastAsia="Arial" w:hint="default"/>
                <w:sz w:val="21"/>
                <w:szCs w:val="21"/>
              </w:rPr>
            </w:pPr>
            <w:r>
              <w:rPr>
                <w:rFonts w:ascii="Arial"/>
                <w:sz w:val="21"/>
              </w:rPr>
              <w:t>90%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w w:val="95"/>
                <w:sz w:val="21"/>
              </w:rPr>
              <w:t>10%</w:t>
            </w:r>
            <w:r>
              <w:rPr>
                <w:rFonts w:ascii="Arial"/>
                <w:w w:val="95"/>
                <w:sz w:val="21"/>
              </w:rPr>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湖南苏宁电器</w:t>
            </w:r>
          </w:p>
        </w:tc>
        <w:tc>
          <w:tcPr>
            <w:tcW w:w="856" w:type="dxa"/>
            <w:tcBorders>
              <w:top w:val="nil" w:sz="6" w:space="0" w:color="auto"/>
              <w:left w:val="nil" w:sz="6" w:space="0" w:color="auto"/>
              <w:bottom w:val="nil" w:sz="6" w:space="0" w:color="auto"/>
              <w:right w:val="nil" w:sz="6" w:space="0" w:color="auto"/>
            </w:tcBorders>
          </w:tcPr>
          <w:p>
            <w:pP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566"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Style w:val="TableParagraph"/>
              <w:spacing w:line="228" w:lineRule="exact"/>
              <w:ind w:right="173"/>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6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3020" w:type="dxa"/>
            <w:gridSpan w:val="2"/>
            <w:tcBorders>
              <w:top w:val="nil" w:sz="6" w:space="0" w:color="auto"/>
              <w:left w:val="nil" w:sz="6" w:space="0" w:color="auto"/>
              <w:bottom w:val="nil" w:sz="6" w:space="0" w:color="auto"/>
              <w:right w:val="nil" w:sz="6" w:space="0" w:color="auto"/>
            </w:tcBorders>
          </w:tcPr>
          <w:p>
            <w:pPr>
              <w:pStyle w:val="TableParagraph"/>
              <w:tabs>
                <w:tab w:pos="1499" w:val="left" w:leader="none"/>
              </w:tabs>
              <w:spacing w:line="256" w:lineRule="exact"/>
              <w:ind w:left="214" w:right="0"/>
              <w:jc w:val="left"/>
              <w:rPr>
                <w:rFonts w:ascii="宋体" w:hAnsi="宋体" w:cs="宋体" w:eastAsia="宋体" w:hint="default"/>
                <w:sz w:val="21"/>
                <w:szCs w:val="21"/>
              </w:rPr>
            </w:pPr>
            <w:r>
              <w:rPr>
                <w:rFonts w:ascii="Arial" w:hAnsi="Arial" w:cs="Arial" w:eastAsia="Arial" w:hint="default"/>
                <w:spacing w:val="-4"/>
                <w:sz w:val="21"/>
                <w:szCs w:val="21"/>
              </w:rPr>
              <w:t>4,115</w:t>
            </w:r>
            <w:r>
              <w:rPr>
                <w:rFonts w:ascii="Arial" w:hAnsi="Arial" w:cs="Arial" w:eastAsia="Arial" w:hint="default"/>
                <w:spacing w:val="-3"/>
                <w:sz w:val="21"/>
                <w:szCs w:val="21"/>
              </w:rPr>
              <w:t> </w:t>
            </w:r>
            <w:r>
              <w:rPr>
                <w:rFonts w:ascii="宋体" w:hAnsi="宋体" w:cs="宋体" w:eastAsia="宋体" w:hint="default"/>
                <w:sz w:val="21"/>
                <w:szCs w:val="21"/>
              </w:rPr>
              <w:t>万元</w:t>
              <w:tab/>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142"/>
              <w:jc w:val="right"/>
              <w:rPr>
                <w:rFonts w:ascii="宋体" w:hAnsi="宋体" w:cs="宋体" w:eastAsia="宋体" w:hint="default"/>
                <w:sz w:val="21"/>
                <w:szCs w:val="21"/>
              </w:rPr>
            </w:pPr>
            <w:r>
              <w:rPr>
                <w:rFonts w:ascii="Arial" w:hAnsi="Arial" w:cs="Arial" w:eastAsia="Arial" w:hint="default"/>
                <w:sz w:val="21"/>
                <w:szCs w:val="21"/>
              </w:rPr>
              <w:t>4,120.82</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1"/>
              <w:jc w:val="right"/>
              <w:rPr>
                <w:rFonts w:ascii="Arial" w:hAnsi="Arial" w:cs="Arial" w:eastAsia="Arial" w:hint="default"/>
                <w:sz w:val="21"/>
                <w:szCs w:val="21"/>
              </w:rPr>
            </w:pPr>
            <w:r>
              <w:rPr>
                <w:rFonts w:ascii="Arial"/>
                <w:spacing w:val="-1"/>
                <w:w w:val="95"/>
                <w:sz w:val="21"/>
              </w:rPr>
              <w:t>90%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Arial" w:hAnsi="Arial" w:cs="Arial" w:eastAsia="Arial" w:hint="default"/>
                <w:sz w:val="21"/>
                <w:szCs w:val="21"/>
              </w:rPr>
            </w:pPr>
            <w:r>
              <w:rPr>
                <w:rFonts w:ascii="Arial"/>
                <w:spacing w:val="-1"/>
                <w:w w:val="95"/>
                <w:sz w:val="21"/>
              </w:rPr>
              <w:t>10%</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
              <w:jc w:val="center"/>
              <w:rPr>
                <w:rFonts w:ascii="Arial" w:hAnsi="Arial" w:cs="Arial" w:eastAsia="Arial" w:hint="default"/>
                <w:sz w:val="21"/>
                <w:szCs w:val="21"/>
              </w:rPr>
            </w:pPr>
            <w:r>
              <w:rPr>
                <w:rFonts w:ascii="Arial"/>
                <w:sz w:val="21"/>
              </w:rPr>
              <w:t>90%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w w:val="95"/>
                <w:sz w:val="21"/>
              </w:rPr>
              <w:t>10%</w:t>
            </w:r>
            <w:r>
              <w:rPr>
                <w:rFonts w:ascii="Arial"/>
                <w:w w:val="95"/>
                <w:sz w:val="21"/>
              </w:rPr>
            </w:r>
          </w:p>
        </w:tc>
      </w:tr>
      <w:tr>
        <w:trPr>
          <w:trHeight w:val="230" w:hRule="exact"/>
        </w:trPr>
        <w:tc>
          <w:tcPr>
            <w:tcW w:w="1390"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3020"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1300" w:right="0"/>
              <w:jc w:val="left"/>
              <w:rPr>
                <w:rFonts w:ascii="宋体" w:hAnsi="宋体" w:cs="宋体" w:eastAsia="宋体" w:hint="default"/>
                <w:sz w:val="21"/>
                <w:szCs w:val="21"/>
              </w:rPr>
            </w:pP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26"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佛山市苏宁电</w:t>
            </w:r>
          </w:p>
        </w:tc>
        <w:tc>
          <w:tcPr>
            <w:tcW w:w="856" w:type="dxa"/>
            <w:tcBorders>
              <w:top w:val="nil" w:sz="6" w:space="0" w:color="auto"/>
              <w:left w:val="nil" w:sz="6" w:space="0" w:color="auto"/>
              <w:bottom w:val="nil" w:sz="6" w:space="0" w:color="auto"/>
              <w:right w:val="nil" w:sz="6" w:space="0" w:color="auto"/>
            </w:tcBorders>
          </w:tcPr>
          <w:p>
            <w:pPr/>
          </w:p>
        </w:tc>
        <w:tc>
          <w:tcPr>
            <w:tcW w:w="7476" w:type="dxa"/>
            <w:gridSpan w:val="7"/>
            <w:tcBorders>
              <w:top w:val="nil" w:sz="6" w:space="0" w:color="auto"/>
              <w:left w:val="nil" w:sz="6" w:space="0" w:color="auto"/>
              <w:bottom w:val="nil" w:sz="6" w:space="0" w:color="auto"/>
              <w:right w:val="nil" w:sz="6" w:space="0" w:color="auto"/>
            </w:tcBorders>
          </w:tcPr>
          <w:p>
            <w:pPr>
              <w:pStyle w:val="TableParagraph"/>
              <w:tabs>
                <w:tab w:pos="1499" w:val="left" w:leader="none"/>
                <w:tab w:pos="3830" w:val="left" w:leader="none"/>
                <w:tab w:pos="7439" w:val="right" w:leader="none"/>
              </w:tabs>
              <w:spacing w:line="281" w:lineRule="exact"/>
              <w:ind w:left="566" w:right="0"/>
              <w:jc w:val="left"/>
              <w:rPr>
                <w:rFonts w:ascii="Arial" w:hAnsi="Arial" w:cs="Arial" w:eastAsia="Arial" w:hint="default"/>
                <w:sz w:val="21"/>
                <w:szCs w:val="21"/>
              </w:rPr>
            </w:pPr>
            <w:r>
              <w:rPr>
                <w:rFonts w:ascii="宋体" w:hAnsi="宋体" w:cs="宋体" w:eastAsia="宋体" w:hint="default"/>
                <w:position w:val="9"/>
                <w:sz w:val="21"/>
                <w:szCs w:val="21"/>
              </w:rPr>
              <w:t>人民币</w:t>
              <w:tab/>
            </w:r>
            <w:r>
              <w:rPr>
                <w:rFonts w:ascii="宋体" w:hAnsi="宋体" w:cs="宋体" w:eastAsia="宋体" w:hint="default"/>
                <w:sz w:val="21"/>
                <w:szCs w:val="21"/>
              </w:rPr>
              <w:t>品的连锁销售</w:t>
              <w:tab/>
            </w:r>
            <w:r>
              <w:rPr>
                <w:rFonts w:ascii="宋体" w:hAnsi="宋体" w:cs="宋体" w:eastAsia="宋体" w:hint="default"/>
                <w:position w:val="9"/>
                <w:sz w:val="21"/>
                <w:szCs w:val="21"/>
              </w:rPr>
              <w:t>人民币</w:t>
            </w:r>
            <w:r>
              <w:rPr>
                <w:rFonts w:ascii="Arial" w:hAnsi="Arial" w:cs="Arial" w:eastAsia="Arial" w:hint="default"/>
                <w:position w:val="5"/>
                <w:sz w:val="21"/>
                <w:szCs w:val="21"/>
              </w:rPr>
              <w:tab/>
              <w:t>100</w:t>
            </w:r>
            <w:r>
              <w:rPr>
                <w:rFonts w:ascii="Arial" w:hAnsi="Arial" w:cs="Arial" w:eastAsia="Arial" w:hint="default"/>
                <w:sz w:val="21"/>
                <w:szCs w:val="21"/>
              </w:rPr>
            </w:r>
          </w:p>
        </w:tc>
      </w:tr>
      <w:tr>
        <w:trPr>
          <w:trHeight w:val="28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佛山市</w:t>
            </w:r>
          </w:p>
        </w:tc>
        <w:tc>
          <w:tcPr>
            <w:tcW w:w="1249" w:type="dxa"/>
            <w:tcBorders>
              <w:top w:val="nil" w:sz="6" w:space="0" w:color="auto"/>
              <w:left w:val="nil" w:sz="6" w:space="0" w:color="auto"/>
              <w:bottom w:val="nil" w:sz="6" w:space="0" w:color="auto"/>
              <w:right w:val="nil" w:sz="6" w:space="0" w:color="auto"/>
            </w:tcBorders>
          </w:tcPr>
          <w:p>
            <w:pPr>
              <w:pStyle w:val="TableParagraph"/>
              <w:spacing w:line="256" w:lineRule="exact"/>
              <w:ind w:right="50"/>
              <w:jc w:val="right"/>
              <w:rPr>
                <w:rFonts w:ascii="宋体" w:hAnsi="宋体" w:cs="宋体" w:eastAsia="宋体" w:hint="default"/>
                <w:sz w:val="21"/>
                <w:szCs w:val="21"/>
              </w:rPr>
            </w:pPr>
            <w:r>
              <w:rPr>
                <w:rFonts w:ascii="Arial" w:hAnsi="Arial" w:cs="Arial" w:eastAsia="Arial" w:hint="default"/>
                <w:sz w:val="21"/>
                <w:szCs w:val="21"/>
              </w:rPr>
              <w:t>3,800</w:t>
            </w:r>
            <w:r>
              <w:rPr>
                <w:rFonts w:ascii="Arial" w:hAnsi="Arial" w:cs="Arial" w:eastAsia="Arial" w:hint="default"/>
                <w:spacing w:val="-10"/>
                <w:sz w:val="21"/>
                <w:szCs w:val="21"/>
              </w:rPr>
              <w:t> </w:t>
            </w:r>
            <w:r>
              <w:rPr>
                <w:rFonts w:ascii="宋体" w:hAnsi="宋体" w:cs="宋体" w:eastAsia="宋体" w:hint="default"/>
                <w:sz w:val="21"/>
                <w:szCs w:val="21"/>
              </w:rPr>
              <w:t>万元</w:t>
            </w:r>
          </w:p>
        </w:tc>
        <w:tc>
          <w:tcPr>
            <w:tcW w:w="1771"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143"/>
              <w:jc w:val="right"/>
              <w:rPr>
                <w:rFonts w:ascii="宋体" w:hAnsi="宋体" w:cs="宋体" w:eastAsia="宋体" w:hint="default"/>
                <w:sz w:val="21"/>
                <w:szCs w:val="21"/>
              </w:rPr>
            </w:pPr>
            <w:r>
              <w:rPr>
                <w:rFonts w:ascii="Arial" w:hAnsi="Arial" w:cs="Arial" w:eastAsia="Arial" w:hint="default"/>
                <w:sz w:val="21"/>
                <w:szCs w:val="21"/>
              </w:rPr>
              <w:t>3,800</w:t>
            </w:r>
            <w:r>
              <w:rPr>
                <w:rFonts w:ascii="Arial" w:hAnsi="Arial" w:cs="Arial" w:eastAsia="Arial" w:hint="default"/>
                <w:spacing w:val="-10"/>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0"/>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2"/>
              <w:jc w:val="right"/>
              <w:rPr>
                <w:rFonts w:ascii="Arial" w:hAnsi="Arial" w:cs="Arial" w:eastAsia="Arial" w:hint="default"/>
                <w:sz w:val="21"/>
                <w:szCs w:val="21"/>
              </w:rPr>
            </w:pPr>
            <w:r>
              <w:rPr>
                <w:rFonts w:ascii="Arial"/>
                <w:spacing w:val="-1"/>
                <w:w w:val="95"/>
                <w:sz w:val="21"/>
              </w:rPr>
              <w:t>98%</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3" w:right="0"/>
              <w:jc w:val="center"/>
              <w:rPr>
                <w:rFonts w:ascii="Arial" w:hAnsi="Arial" w:cs="Arial" w:eastAsia="Arial" w:hint="default"/>
                <w:sz w:val="21"/>
                <w:szCs w:val="21"/>
              </w:rPr>
            </w:pPr>
            <w:r>
              <w:rPr>
                <w:rFonts w:ascii="Arial"/>
                <w:sz w:val="21"/>
              </w:rPr>
              <w:t>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1"/>
                <w:szCs w:val="21"/>
              </w:rPr>
            </w:pPr>
            <w:r>
              <w:rPr>
                <w:rFonts w:ascii="Arial"/>
                <w:sz w:val="21"/>
              </w:rPr>
              <w:t>%</w:t>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厦门福厦苏宁</w:t>
            </w:r>
          </w:p>
        </w:tc>
        <w:tc>
          <w:tcPr>
            <w:tcW w:w="856"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28" w:lineRule="exact"/>
              <w:ind w:right="50"/>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71" w:type="dxa"/>
            <w:tcBorders>
              <w:top w:val="nil" w:sz="6" w:space="0" w:color="auto"/>
              <w:left w:val="nil" w:sz="6" w:space="0" w:color="auto"/>
              <w:bottom w:val="nil" w:sz="6" w:space="0" w:color="auto"/>
              <w:right w:val="nil" w:sz="6" w:space="0" w:color="auto"/>
            </w:tcBorders>
          </w:tcPr>
          <w:p>
            <w:pPr>
              <w:pStyle w:val="TableParagraph"/>
              <w:spacing w:line="228" w:lineRule="exact"/>
              <w:ind w:right="43"/>
              <w:jc w:val="center"/>
              <w:rPr>
                <w:rFonts w:ascii="宋体" w:hAnsi="宋体" w:cs="宋体" w:eastAsia="宋体" w:hint="default"/>
                <w:sz w:val="21"/>
                <w:szCs w:val="21"/>
              </w:rPr>
            </w:pP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Style w:val="TableParagraph"/>
              <w:spacing w:line="228" w:lineRule="exact"/>
              <w:ind w:right="172"/>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8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right="118"/>
              <w:jc w:val="right"/>
              <w:rPr>
                <w:rFonts w:ascii="宋体" w:hAnsi="宋体" w:cs="宋体" w:eastAsia="宋体" w:hint="default"/>
                <w:sz w:val="21"/>
                <w:szCs w:val="21"/>
              </w:rPr>
            </w:pPr>
            <w:r>
              <w:rPr>
                <w:rFonts w:ascii="宋体" w:hAnsi="宋体" w:cs="宋体" w:eastAsia="宋体" w:hint="default"/>
                <w:sz w:val="21"/>
                <w:szCs w:val="21"/>
              </w:rPr>
              <w:t>电器有限公</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厦门市</w:t>
            </w:r>
          </w:p>
        </w:tc>
        <w:tc>
          <w:tcPr>
            <w:tcW w:w="1249" w:type="dxa"/>
            <w:tcBorders>
              <w:top w:val="nil" w:sz="6" w:space="0" w:color="auto"/>
              <w:left w:val="nil" w:sz="6" w:space="0" w:color="auto"/>
              <w:bottom w:val="nil" w:sz="6" w:space="0" w:color="auto"/>
              <w:right w:val="nil" w:sz="6" w:space="0" w:color="auto"/>
            </w:tcBorders>
          </w:tcPr>
          <w:p>
            <w:pPr>
              <w:pStyle w:val="TableParagraph"/>
              <w:spacing w:line="256" w:lineRule="exact"/>
              <w:ind w:right="50"/>
              <w:jc w:val="right"/>
              <w:rPr>
                <w:rFonts w:ascii="宋体" w:hAnsi="宋体" w:cs="宋体" w:eastAsia="宋体" w:hint="default"/>
                <w:sz w:val="21"/>
                <w:szCs w:val="21"/>
              </w:rPr>
            </w:pPr>
            <w:r>
              <w:rPr>
                <w:rFonts w:ascii="Arial" w:hAnsi="Arial" w:cs="Arial" w:eastAsia="Arial" w:hint="default"/>
                <w:sz w:val="21"/>
                <w:szCs w:val="21"/>
              </w:rPr>
              <w:t>3,760</w:t>
            </w:r>
            <w:r>
              <w:rPr>
                <w:rFonts w:ascii="Arial" w:hAnsi="Arial" w:cs="Arial" w:eastAsia="Arial" w:hint="default"/>
                <w:spacing w:val="-10"/>
                <w:sz w:val="21"/>
                <w:szCs w:val="21"/>
              </w:rPr>
              <w:t> </w:t>
            </w:r>
            <w:r>
              <w:rPr>
                <w:rFonts w:ascii="宋体" w:hAnsi="宋体" w:cs="宋体" w:eastAsia="宋体" w:hint="default"/>
                <w:sz w:val="21"/>
                <w:szCs w:val="21"/>
              </w:rPr>
              <w:t>万元</w:t>
            </w:r>
          </w:p>
        </w:tc>
        <w:tc>
          <w:tcPr>
            <w:tcW w:w="1771" w:type="dxa"/>
            <w:tcBorders>
              <w:top w:val="nil" w:sz="6" w:space="0" w:color="auto"/>
              <w:left w:val="nil" w:sz="6" w:space="0" w:color="auto"/>
              <w:bottom w:val="nil" w:sz="6" w:space="0" w:color="auto"/>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143"/>
              <w:jc w:val="right"/>
              <w:rPr>
                <w:rFonts w:ascii="宋体" w:hAnsi="宋体" w:cs="宋体" w:eastAsia="宋体" w:hint="default"/>
                <w:sz w:val="21"/>
                <w:szCs w:val="21"/>
              </w:rPr>
            </w:pPr>
            <w:r>
              <w:rPr>
                <w:rFonts w:ascii="Arial" w:hAnsi="Arial" w:cs="Arial" w:eastAsia="Arial" w:hint="default"/>
                <w:sz w:val="21"/>
                <w:szCs w:val="21"/>
              </w:rPr>
              <w:t>3,384</w:t>
            </w:r>
            <w:r>
              <w:rPr>
                <w:rFonts w:ascii="Arial" w:hAnsi="Arial" w:cs="Arial" w:eastAsia="Arial" w:hint="default"/>
                <w:spacing w:val="-10"/>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1"/>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Arial" w:hAnsi="Arial" w:cs="Arial" w:eastAsia="Arial" w:hint="default"/>
                <w:sz w:val="21"/>
                <w:szCs w:val="21"/>
              </w:rPr>
            </w:pPr>
            <w:r>
              <w:rPr>
                <w:rFonts w:ascii="Arial"/>
                <w:spacing w:val="-1"/>
                <w:w w:val="95"/>
                <w:sz w:val="21"/>
              </w:rPr>
              <w:t>81%</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1" w:right="0"/>
              <w:jc w:val="center"/>
              <w:rPr>
                <w:rFonts w:ascii="Arial" w:hAnsi="Arial" w:cs="Arial" w:eastAsia="Arial" w:hint="default"/>
                <w:sz w:val="21"/>
                <w:szCs w:val="21"/>
              </w:rPr>
            </w:pPr>
            <w:r>
              <w:rPr>
                <w:rFonts w:ascii="Arial"/>
                <w:sz w:val="21"/>
              </w:rPr>
              <w:t>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w w:val="95"/>
                <w:sz w:val="21"/>
              </w:rPr>
              <w:t>90%</w:t>
            </w:r>
            <w:r>
              <w:rPr>
                <w:rFonts w:ascii="Arial"/>
                <w:w w:val="95"/>
                <w:sz w:val="21"/>
              </w:rPr>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陕西苏宁电器</w:t>
            </w:r>
          </w:p>
        </w:tc>
        <w:tc>
          <w:tcPr>
            <w:tcW w:w="856"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28" w:lineRule="exact"/>
              <w:ind w:right="50"/>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71" w:type="dxa"/>
            <w:tcBorders>
              <w:top w:val="nil" w:sz="6" w:space="0" w:color="auto"/>
              <w:left w:val="nil" w:sz="6" w:space="0" w:color="auto"/>
              <w:bottom w:val="nil" w:sz="6" w:space="0" w:color="auto"/>
              <w:right w:val="nil" w:sz="6" w:space="0" w:color="auto"/>
            </w:tcBorders>
          </w:tcPr>
          <w:p>
            <w:pPr>
              <w:pStyle w:val="TableParagraph"/>
              <w:spacing w:line="228" w:lineRule="exact"/>
              <w:ind w:right="43"/>
              <w:jc w:val="center"/>
              <w:rPr>
                <w:rFonts w:ascii="宋体" w:hAnsi="宋体" w:cs="宋体" w:eastAsia="宋体" w:hint="default"/>
                <w:sz w:val="21"/>
                <w:szCs w:val="21"/>
              </w:rPr>
            </w:pP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Style w:val="TableParagraph"/>
              <w:spacing w:line="228" w:lineRule="exact"/>
              <w:ind w:right="172"/>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8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西安市</w:t>
            </w:r>
          </w:p>
        </w:tc>
        <w:tc>
          <w:tcPr>
            <w:tcW w:w="1249" w:type="dxa"/>
            <w:tcBorders>
              <w:top w:val="nil" w:sz="6" w:space="0" w:color="auto"/>
              <w:left w:val="nil" w:sz="6" w:space="0" w:color="auto"/>
              <w:bottom w:val="nil" w:sz="6" w:space="0" w:color="auto"/>
              <w:right w:val="nil" w:sz="6" w:space="0" w:color="auto"/>
            </w:tcBorders>
          </w:tcPr>
          <w:p>
            <w:pPr>
              <w:pStyle w:val="TableParagraph"/>
              <w:spacing w:line="256" w:lineRule="exact"/>
              <w:ind w:right="50"/>
              <w:jc w:val="right"/>
              <w:rPr>
                <w:rFonts w:ascii="宋体" w:hAnsi="宋体" w:cs="宋体" w:eastAsia="宋体" w:hint="default"/>
                <w:sz w:val="21"/>
                <w:szCs w:val="21"/>
              </w:rPr>
            </w:pPr>
            <w:r>
              <w:rPr>
                <w:rFonts w:ascii="Arial" w:hAnsi="Arial" w:cs="Arial" w:eastAsia="Arial" w:hint="default"/>
                <w:sz w:val="21"/>
                <w:szCs w:val="21"/>
              </w:rPr>
              <w:t>3,276</w:t>
            </w:r>
            <w:r>
              <w:rPr>
                <w:rFonts w:ascii="Arial" w:hAnsi="Arial" w:cs="Arial" w:eastAsia="Arial" w:hint="default"/>
                <w:spacing w:val="-10"/>
                <w:sz w:val="21"/>
                <w:szCs w:val="21"/>
              </w:rPr>
              <w:t> </w:t>
            </w:r>
            <w:r>
              <w:rPr>
                <w:rFonts w:ascii="宋体" w:hAnsi="宋体" w:cs="宋体" w:eastAsia="宋体" w:hint="default"/>
                <w:sz w:val="21"/>
                <w:szCs w:val="21"/>
              </w:rPr>
              <w:t>万元</w:t>
            </w:r>
          </w:p>
        </w:tc>
        <w:tc>
          <w:tcPr>
            <w:tcW w:w="1771" w:type="dxa"/>
            <w:tcBorders>
              <w:top w:val="nil" w:sz="6" w:space="0" w:color="auto"/>
              <w:left w:val="nil" w:sz="6" w:space="0" w:color="auto"/>
              <w:bottom w:val="nil" w:sz="6" w:space="0" w:color="auto"/>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142"/>
              <w:jc w:val="right"/>
              <w:rPr>
                <w:rFonts w:ascii="宋体" w:hAnsi="宋体" w:cs="宋体" w:eastAsia="宋体" w:hint="default"/>
                <w:sz w:val="21"/>
                <w:szCs w:val="21"/>
              </w:rPr>
            </w:pPr>
            <w:r>
              <w:rPr>
                <w:rFonts w:ascii="Arial" w:hAnsi="Arial" w:cs="Arial" w:eastAsia="Arial" w:hint="default"/>
                <w:sz w:val="21"/>
                <w:szCs w:val="21"/>
              </w:rPr>
              <w:t>3,013.86</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1"/>
              <w:jc w:val="right"/>
              <w:rPr>
                <w:rFonts w:ascii="Arial" w:hAnsi="Arial" w:cs="Arial" w:eastAsia="Arial" w:hint="default"/>
                <w:sz w:val="21"/>
                <w:szCs w:val="21"/>
              </w:rPr>
            </w:pPr>
            <w:r>
              <w:rPr>
                <w:rFonts w:ascii="Arial"/>
                <w:spacing w:val="-1"/>
                <w:w w:val="95"/>
                <w:sz w:val="21"/>
              </w:rPr>
              <w:t>90%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
              <w:jc w:val="center"/>
              <w:rPr>
                <w:rFonts w:ascii="Arial" w:hAnsi="Arial" w:cs="Arial" w:eastAsia="Arial" w:hint="default"/>
                <w:sz w:val="21"/>
                <w:szCs w:val="21"/>
              </w:rPr>
            </w:pPr>
            <w:r>
              <w:rPr>
                <w:rFonts w:ascii="Arial"/>
                <w:sz w:val="21"/>
              </w:rPr>
              <w:t>90%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w w:val="95"/>
                <w:sz w:val="21"/>
              </w:rPr>
              <w:t>0%</w:t>
            </w:r>
            <w:r>
              <w:rPr>
                <w:rFonts w:ascii="Arial"/>
                <w:w w:val="95"/>
                <w:sz w:val="21"/>
              </w:rPr>
            </w:r>
          </w:p>
        </w:tc>
      </w:tr>
      <w:tr>
        <w:trPr>
          <w:trHeight w:val="25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沈阳苏宁电器</w:t>
            </w:r>
          </w:p>
        </w:tc>
        <w:tc>
          <w:tcPr>
            <w:tcW w:w="856"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28" w:lineRule="exact"/>
              <w:ind w:right="50"/>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71" w:type="dxa"/>
            <w:tcBorders>
              <w:top w:val="nil" w:sz="6" w:space="0" w:color="auto"/>
              <w:left w:val="nil" w:sz="6" w:space="0" w:color="auto"/>
              <w:bottom w:val="nil" w:sz="6" w:space="0" w:color="auto"/>
              <w:right w:val="nil" w:sz="6" w:space="0" w:color="auto"/>
            </w:tcBorders>
          </w:tcPr>
          <w:p>
            <w:pPr>
              <w:pStyle w:val="TableParagraph"/>
              <w:spacing w:line="228" w:lineRule="exact"/>
              <w:ind w:right="43"/>
              <w:jc w:val="center"/>
              <w:rPr>
                <w:rFonts w:ascii="宋体" w:hAnsi="宋体" w:cs="宋体" w:eastAsia="宋体" w:hint="default"/>
                <w:sz w:val="21"/>
                <w:szCs w:val="21"/>
              </w:rPr>
            </w:pP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615" w:type="dxa"/>
            <w:tcBorders>
              <w:top w:val="nil" w:sz="6" w:space="0" w:color="auto"/>
              <w:left w:val="nil" w:sz="6" w:space="0" w:color="auto"/>
              <w:bottom w:val="nil" w:sz="6" w:space="0" w:color="auto"/>
              <w:right w:val="nil" w:sz="6" w:space="0" w:color="auto"/>
            </w:tcBorders>
          </w:tcPr>
          <w:p>
            <w:pPr>
              <w:pStyle w:val="TableParagraph"/>
              <w:spacing w:line="228" w:lineRule="exact"/>
              <w:ind w:right="172"/>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r>
      <w:tr>
        <w:trPr>
          <w:trHeight w:val="26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6"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沈阳市</w:t>
            </w:r>
          </w:p>
        </w:tc>
        <w:tc>
          <w:tcPr>
            <w:tcW w:w="1249" w:type="dxa"/>
            <w:tcBorders>
              <w:top w:val="nil" w:sz="6" w:space="0" w:color="auto"/>
              <w:left w:val="nil" w:sz="6" w:space="0" w:color="auto"/>
              <w:bottom w:val="nil" w:sz="6" w:space="0" w:color="auto"/>
              <w:right w:val="nil" w:sz="6" w:space="0" w:color="auto"/>
            </w:tcBorders>
          </w:tcPr>
          <w:p>
            <w:pPr>
              <w:pStyle w:val="TableParagraph"/>
              <w:spacing w:line="256" w:lineRule="exact"/>
              <w:ind w:right="50"/>
              <w:jc w:val="right"/>
              <w:rPr>
                <w:rFonts w:ascii="宋体" w:hAnsi="宋体" w:cs="宋体" w:eastAsia="宋体" w:hint="default"/>
                <w:sz w:val="21"/>
                <w:szCs w:val="21"/>
              </w:rPr>
            </w:pPr>
            <w:r>
              <w:rPr>
                <w:rFonts w:ascii="Arial" w:hAnsi="Arial" w:cs="Arial" w:eastAsia="Arial" w:hint="default"/>
                <w:sz w:val="21"/>
                <w:szCs w:val="21"/>
              </w:rPr>
              <w:t>2,700</w:t>
            </w:r>
            <w:r>
              <w:rPr>
                <w:rFonts w:ascii="Arial" w:hAnsi="Arial" w:cs="Arial" w:eastAsia="Arial" w:hint="default"/>
                <w:spacing w:val="-10"/>
                <w:sz w:val="21"/>
                <w:szCs w:val="21"/>
              </w:rPr>
              <w:t> </w:t>
            </w:r>
            <w:r>
              <w:rPr>
                <w:rFonts w:ascii="宋体" w:hAnsi="宋体" w:cs="宋体" w:eastAsia="宋体" w:hint="default"/>
                <w:sz w:val="21"/>
                <w:szCs w:val="21"/>
              </w:rPr>
              <w:t>万元</w:t>
            </w:r>
          </w:p>
        </w:tc>
        <w:tc>
          <w:tcPr>
            <w:tcW w:w="1771" w:type="dxa"/>
            <w:tcBorders>
              <w:top w:val="nil" w:sz="6" w:space="0" w:color="auto"/>
              <w:left w:val="nil" w:sz="6" w:space="0" w:color="auto"/>
              <w:bottom w:val="nil" w:sz="6" w:space="0" w:color="auto"/>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142"/>
              <w:jc w:val="right"/>
              <w:rPr>
                <w:rFonts w:ascii="宋体" w:hAnsi="宋体" w:cs="宋体" w:eastAsia="宋体" w:hint="default"/>
                <w:sz w:val="21"/>
                <w:szCs w:val="21"/>
              </w:rPr>
            </w:pPr>
            <w:r>
              <w:rPr>
                <w:rFonts w:ascii="Arial" w:hAnsi="Arial" w:cs="Arial" w:eastAsia="Arial" w:hint="default"/>
                <w:sz w:val="21"/>
                <w:szCs w:val="21"/>
              </w:rPr>
              <w:t>2,832.67</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1"/>
              <w:jc w:val="right"/>
              <w:rPr>
                <w:rFonts w:ascii="Arial" w:hAnsi="Arial" w:cs="Arial" w:eastAsia="Arial" w:hint="default"/>
                <w:sz w:val="21"/>
                <w:szCs w:val="21"/>
              </w:rPr>
            </w:pPr>
            <w:r>
              <w:rPr>
                <w:rFonts w:ascii="Arial"/>
                <w:spacing w:val="-1"/>
                <w:w w:val="95"/>
                <w:sz w:val="21"/>
              </w:rPr>
              <w:t>90%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Arial" w:hAnsi="Arial" w:cs="Arial" w:eastAsia="Arial" w:hint="default"/>
                <w:sz w:val="21"/>
                <w:szCs w:val="21"/>
              </w:rPr>
            </w:pPr>
            <w:r>
              <w:rPr>
                <w:rFonts w:ascii="Arial"/>
                <w:spacing w:val="-1"/>
                <w:w w:val="95"/>
                <w:sz w:val="21"/>
              </w:rPr>
              <w:t>10%</w:t>
            </w:r>
            <w:r>
              <w:rPr>
                <w:rFonts w:ascii="Arial"/>
                <w:w w:val="95"/>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
              <w:jc w:val="center"/>
              <w:rPr>
                <w:rFonts w:ascii="Arial" w:hAnsi="Arial" w:cs="Arial" w:eastAsia="Arial" w:hint="default"/>
                <w:sz w:val="21"/>
                <w:szCs w:val="21"/>
              </w:rPr>
            </w:pPr>
            <w:r>
              <w:rPr>
                <w:rFonts w:ascii="Arial"/>
                <w:sz w:val="21"/>
              </w:rPr>
              <w:t>90%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w w:val="95"/>
                <w:sz w:val="21"/>
              </w:rPr>
              <w:t>10%</w:t>
            </w:r>
            <w:r>
              <w:rPr>
                <w:rFonts w:ascii="Arial"/>
                <w:w w:val="95"/>
                <w:sz w:val="21"/>
              </w:rPr>
            </w:r>
          </w:p>
        </w:tc>
      </w:tr>
      <w:tr>
        <w:trPr>
          <w:trHeight w:val="502"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宋体" w:hAnsi="宋体" w:cs="宋体" w:eastAsia="宋体" w:hint="default"/>
                <w:sz w:val="21"/>
                <w:szCs w:val="21"/>
              </w:rPr>
            </w:pPr>
            <w:r>
              <w:rPr>
                <w:rFonts w:ascii="宋体" w:hAnsi="宋体" w:cs="宋体" w:eastAsia="宋体" w:hint="default"/>
                <w:sz w:val="21"/>
                <w:szCs w:val="21"/>
              </w:rPr>
              <w:t>大连沈大苏宁</w:t>
            </w:r>
          </w:p>
        </w:tc>
        <w:tc>
          <w:tcPr>
            <w:tcW w:w="856"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0"/>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71" w:type="dxa"/>
            <w:tcBorders>
              <w:top w:val="nil" w:sz="6" w:space="0" w:color="auto"/>
              <w:left w:val="nil" w:sz="6" w:space="0" w:color="auto"/>
              <w:bottom w:val="nil" w:sz="6" w:space="0" w:color="auto"/>
              <w:right w:val="nil" w:sz="6" w:space="0" w:color="auto"/>
            </w:tcBorders>
          </w:tcPr>
          <w:p>
            <w:pPr>
              <w:pStyle w:val="TableParagraph"/>
              <w:spacing w:line="244" w:lineRule="exact"/>
              <w:ind w:right="43"/>
              <w:jc w:val="center"/>
              <w:rPr>
                <w:rFonts w:ascii="宋体" w:hAnsi="宋体" w:cs="宋体" w:eastAsia="宋体" w:hint="default"/>
                <w:sz w:val="21"/>
                <w:szCs w:val="21"/>
              </w:rPr>
            </w:pP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品的连锁销售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2"/>
              <w:jc w:val="right"/>
              <w:rPr>
                <w:rFonts w:ascii="宋体" w:hAnsi="宋体" w:cs="宋体" w:eastAsia="宋体" w:hint="default"/>
                <w:sz w:val="21"/>
                <w:szCs w:val="21"/>
              </w:rPr>
            </w:pPr>
            <w:r>
              <w:rPr>
                <w:rFonts w:ascii="宋体" w:hAnsi="宋体" w:cs="宋体" w:eastAsia="宋体" w:hint="default"/>
                <w:sz w:val="21"/>
                <w:szCs w:val="21"/>
              </w:rPr>
              <w:t>人民币</w:t>
            </w:r>
          </w:p>
        </w:tc>
        <w:tc>
          <w:tcPr>
            <w:tcW w:w="6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100</w:t>
            </w:r>
            <w:r>
              <w:rPr>
                <w:rFonts w:ascii="Arial"/>
                <w:w w:val="95"/>
                <w:sz w:val="21"/>
              </w:rPr>
            </w:r>
          </w:p>
        </w:tc>
      </w:tr>
      <w:tr>
        <w:trPr>
          <w:trHeight w:val="322"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10" w:lineRule="exact"/>
              <w:ind w:right="118"/>
              <w:jc w:val="right"/>
              <w:rPr>
                <w:rFonts w:ascii="宋体" w:hAnsi="宋体" w:cs="宋体" w:eastAsia="宋体" w:hint="default"/>
                <w:sz w:val="21"/>
                <w:szCs w:val="21"/>
              </w:rPr>
            </w:pPr>
            <w:r>
              <w:rPr>
                <w:rFonts w:ascii="宋体" w:hAnsi="宋体" w:cs="宋体" w:eastAsia="宋体" w:hint="default"/>
                <w:sz w:val="21"/>
                <w:szCs w:val="21"/>
              </w:rPr>
              <w:t>电器有限公</w:t>
            </w:r>
          </w:p>
        </w:tc>
        <w:tc>
          <w:tcPr>
            <w:tcW w:w="856" w:type="dxa"/>
            <w:tcBorders>
              <w:top w:val="nil" w:sz="6" w:space="0" w:color="auto"/>
              <w:left w:val="nil" w:sz="6" w:space="0" w:color="auto"/>
              <w:bottom w:val="nil" w:sz="6" w:space="0" w:color="auto"/>
              <w:right w:val="nil" w:sz="6" w:space="0" w:color="auto"/>
            </w:tcBorders>
          </w:tcPr>
          <w:p>
            <w:pPr>
              <w:pStyle w:val="TableParagraph"/>
              <w:spacing w:line="210" w:lineRule="exact"/>
              <w:ind w:left="95"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249" w:type="dxa"/>
            <w:tcBorders>
              <w:top w:val="nil" w:sz="6" w:space="0" w:color="auto"/>
              <w:left w:val="nil" w:sz="6" w:space="0" w:color="auto"/>
              <w:bottom w:val="nil" w:sz="6" w:space="0" w:color="auto"/>
              <w:right w:val="nil" w:sz="6" w:space="0" w:color="auto"/>
            </w:tcBorders>
          </w:tcPr>
          <w:p>
            <w:pPr>
              <w:pStyle w:val="TableParagraph"/>
              <w:spacing w:line="225" w:lineRule="exact"/>
              <w:ind w:right="50"/>
              <w:jc w:val="right"/>
              <w:rPr>
                <w:rFonts w:ascii="宋体" w:hAnsi="宋体" w:cs="宋体" w:eastAsia="宋体" w:hint="default"/>
                <w:sz w:val="21"/>
                <w:szCs w:val="21"/>
              </w:rPr>
            </w:pPr>
            <w:r>
              <w:rPr>
                <w:rFonts w:ascii="Arial" w:hAnsi="Arial" w:cs="Arial" w:eastAsia="Arial" w:hint="default"/>
                <w:sz w:val="21"/>
                <w:szCs w:val="21"/>
              </w:rPr>
              <w:t>1,960</w:t>
            </w:r>
            <w:r>
              <w:rPr>
                <w:rFonts w:ascii="Arial" w:hAnsi="Arial" w:cs="Arial" w:eastAsia="Arial" w:hint="default"/>
                <w:spacing w:val="43"/>
                <w:sz w:val="21"/>
                <w:szCs w:val="21"/>
              </w:rPr>
              <w:t> </w:t>
            </w:r>
            <w:r>
              <w:rPr>
                <w:rFonts w:ascii="宋体" w:hAnsi="宋体" w:cs="宋体" w:eastAsia="宋体" w:hint="default"/>
                <w:sz w:val="21"/>
                <w:szCs w:val="21"/>
              </w:rPr>
              <w:t>万元</w:t>
            </w:r>
          </w:p>
        </w:tc>
        <w:tc>
          <w:tcPr>
            <w:tcW w:w="3386"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1950" w:right="0"/>
              <w:jc w:val="left"/>
              <w:rPr>
                <w:rFonts w:ascii="宋体" w:hAnsi="宋体" w:cs="宋体" w:eastAsia="宋体" w:hint="default"/>
                <w:sz w:val="21"/>
                <w:szCs w:val="21"/>
              </w:rPr>
            </w:pPr>
            <w:r>
              <w:rPr>
                <w:rFonts w:ascii="Arial" w:hAnsi="Arial" w:cs="Arial" w:eastAsia="Arial" w:hint="default"/>
                <w:sz w:val="21"/>
                <w:szCs w:val="21"/>
              </w:rPr>
              <w:t>2,086.67</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ind w:right="50"/>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ind w:right="142"/>
              <w:jc w:val="right"/>
              <w:rPr>
                <w:rFonts w:ascii="Arial" w:hAnsi="Arial" w:cs="Arial" w:eastAsia="Arial" w:hint="default"/>
                <w:sz w:val="21"/>
                <w:szCs w:val="21"/>
              </w:rPr>
            </w:pPr>
            <w:r>
              <w:rPr>
                <w:rFonts w:ascii="Arial"/>
                <w:spacing w:val="-1"/>
                <w:sz w:val="21"/>
              </w:rPr>
              <w:t>99.80%</w:t>
            </w:r>
            <w:r>
              <w:rPr>
                <w:rFonts w:ascii="Arial"/>
                <w:sz w:val="21"/>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ind w:left="112" w:right="0"/>
              <w:jc w:val="center"/>
              <w:rPr>
                <w:rFonts w:ascii="Arial" w:hAnsi="Arial" w:cs="Arial" w:eastAsia="Arial" w:hint="default"/>
                <w:sz w:val="21"/>
                <w:szCs w:val="21"/>
              </w:rPr>
            </w:pPr>
            <w:r>
              <w:rPr>
                <w:rFonts w:ascii="Arial"/>
                <w:sz w:val="21"/>
              </w:rPr>
              <w:t>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Arial" w:hAnsi="Arial" w:cs="Arial" w:eastAsia="Arial" w:hint="default"/>
                <w:sz w:val="21"/>
                <w:szCs w:val="21"/>
              </w:rPr>
            </w:pPr>
            <w:r>
              <w:rPr>
                <w:rFonts w:ascii="Arial"/>
                <w:sz w:val="21"/>
              </w:rPr>
              <w:t>%</w:t>
            </w:r>
          </w:p>
        </w:tc>
      </w:tr>
    </w:tbl>
    <w:p>
      <w:pPr>
        <w:spacing w:after="0" w:line="240" w:lineRule="auto"/>
        <w:jc w:val="right"/>
        <w:rPr>
          <w:rFonts w:ascii="Arial" w:hAnsi="Arial" w:cs="Arial" w:eastAsia="Arial" w:hint="default"/>
          <w:sz w:val="21"/>
          <w:szCs w:val="21"/>
        </w:rPr>
        <w:sectPr>
          <w:type w:val="continuous"/>
          <w:pgSz w:w="11910" w:h="16840"/>
          <w:pgMar w:top="1600" w:bottom="280" w:left="980" w:right="980"/>
        </w:sectPr>
      </w:pPr>
    </w:p>
    <w:p>
      <w:pPr>
        <w:spacing w:line="240" w:lineRule="auto" w:before="5"/>
        <w:rPr>
          <w:rFonts w:ascii="宋体" w:hAnsi="宋体" w:cs="宋体" w:eastAsia="宋体" w:hint="default"/>
          <w:sz w:val="17"/>
          <w:szCs w:val="17"/>
        </w:rPr>
      </w:pPr>
    </w:p>
    <w:p>
      <w:pPr>
        <w:pStyle w:val="Heading2"/>
        <w:tabs>
          <w:tab w:pos="854" w:val="left" w:leader="none"/>
        </w:tabs>
        <w:spacing w:line="240" w:lineRule="auto"/>
        <w:ind w:left="147" w:right="304"/>
        <w:jc w:val="left"/>
        <w:rPr>
          <w:rFonts w:ascii="Arial" w:hAnsi="Arial" w:cs="Arial" w:eastAsia="Arial" w:hint="default"/>
          <w:b w:val="0"/>
          <w:bCs w:val="0"/>
        </w:rPr>
      </w:pPr>
      <w:r>
        <w:rPr>
          <w:w w:val="95"/>
        </w:rPr>
        <w:t>七</w:t>
        <w:tab/>
      </w:r>
      <w:r>
        <w:rPr/>
        <w:t>子公司</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8"/>
        <w:rPr>
          <w:rFonts w:ascii="Arial" w:hAnsi="Arial" w:cs="Arial" w:eastAsia="Arial" w:hint="default"/>
          <w:b/>
          <w:bCs/>
          <w:sz w:val="16"/>
          <w:szCs w:val="16"/>
        </w:rPr>
      </w:pPr>
    </w:p>
    <w:p>
      <w:pPr>
        <w:spacing w:after="0" w:line="240" w:lineRule="auto"/>
        <w:rPr>
          <w:rFonts w:ascii="Arial" w:hAnsi="Arial" w:cs="Arial" w:eastAsia="Arial" w:hint="default"/>
          <w:sz w:val="16"/>
          <w:szCs w:val="16"/>
        </w:rPr>
        <w:sectPr>
          <w:pgSz w:w="11910" w:h="16840"/>
          <w:pgMar w:header="1458" w:footer="708" w:top="1640" w:bottom="900" w:left="980" w:right="1120"/>
        </w:sectPr>
      </w:pPr>
    </w:p>
    <w:p>
      <w:pPr>
        <w:spacing w:before="35"/>
        <w:ind w:left="6893" w:right="0" w:firstLine="608"/>
        <w:jc w:val="right"/>
        <w:rPr>
          <w:rFonts w:ascii="宋体" w:hAnsi="宋体" w:cs="宋体" w:eastAsia="宋体" w:hint="default"/>
          <w:sz w:val="21"/>
          <w:szCs w:val="21"/>
        </w:rPr>
      </w:pPr>
      <w:r>
        <w:rPr>
          <w:rFonts w:ascii="宋体" w:hAnsi="宋体" w:cs="宋体" w:eastAsia="宋体" w:hint="default"/>
          <w:sz w:val="21"/>
          <w:szCs w:val="21"/>
        </w:rPr>
        <w:t>本公司 持有权益比例</w:t>
      </w:r>
    </w:p>
    <w:p>
      <w:pPr>
        <w:spacing w:before="35"/>
        <w:ind w:left="377" w:right="164" w:firstLine="420"/>
        <w:jc w:val="left"/>
        <w:rPr>
          <w:rFonts w:ascii="宋体" w:hAnsi="宋体" w:cs="宋体" w:eastAsia="宋体" w:hint="default"/>
          <w:sz w:val="21"/>
          <w:szCs w:val="21"/>
        </w:rPr>
      </w:pPr>
      <w:r>
        <w:rPr/>
        <w:br w:type="column"/>
      </w:r>
      <w:r>
        <w:rPr>
          <w:rFonts w:ascii="宋体" w:hAnsi="宋体" w:cs="宋体" w:eastAsia="宋体" w:hint="default"/>
          <w:sz w:val="21"/>
          <w:szCs w:val="21"/>
        </w:rPr>
        <w:t>本公司 表决权比例</w:t>
      </w:r>
    </w:p>
    <w:p>
      <w:pPr>
        <w:spacing w:after="0"/>
        <w:jc w:val="left"/>
        <w:rPr>
          <w:rFonts w:ascii="宋体" w:hAnsi="宋体" w:cs="宋体" w:eastAsia="宋体" w:hint="default"/>
          <w:sz w:val="21"/>
          <w:szCs w:val="21"/>
        </w:rPr>
        <w:sectPr>
          <w:type w:val="continuous"/>
          <w:pgSz w:w="11910" w:h="16840"/>
          <w:pgMar w:top="1600" w:bottom="280" w:left="980" w:right="1120"/>
          <w:cols w:num="2" w:equalWidth="0">
            <w:col w:w="8154" w:space="40"/>
            <w:col w:w="1616"/>
          </w:cols>
        </w:sectPr>
      </w:pPr>
    </w:p>
    <w:p>
      <w:pPr>
        <w:spacing w:line="240" w:lineRule="auto" w:before="8"/>
        <w:rPr>
          <w:rFonts w:ascii="宋体" w:hAnsi="宋体" w:cs="宋体" w:eastAsia="宋体" w:hint="default"/>
          <w:sz w:val="20"/>
          <w:szCs w:val="20"/>
        </w:rPr>
      </w:pPr>
    </w:p>
    <w:p>
      <w:pPr>
        <w:tabs>
          <w:tab w:pos="2826" w:val="left" w:leader="none"/>
        </w:tabs>
        <w:spacing w:before="0"/>
        <w:ind w:left="1740" w:right="-20" w:firstLine="0"/>
        <w:jc w:val="left"/>
        <w:rPr>
          <w:rFonts w:ascii="宋体" w:hAnsi="宋体" w:cs="宋体" w:eastAsia="宋体" w:hint="default"/>
          <w:sz w:val="21"/>
          <w:szCs w:val="21"/>
        </w:rPr>
      </w:pPr>
      <w:r>
        <w:rPr>
          <w:rFonts w:ascii="宋体" w:hAnsi="宋体" w:cs="宋体" w:eastAsia="宋体" w:hint="default"/>
          <w:sz w:val="21"/>
          <w:szCs w:val="21"/>
        </w:rPr>
        <w:t>注册地</w:t>
        <w:tab/>
        <w:t>注册资本</w:t>
      </w:r>
    </w:p>
    <w:p>
      <w:pPr>
        <w:spacing w:line="274" w:lineRule="exact" w:before="23"/>
        <w:ind w:left="627" w:right="-20" w:hanging="315"/>
        <w:jc w:val="left"/>
        <w:rPr>
          <w:rFonts w:ascii="宋体" w:hAnsi="宋体" w:cs="宋体" w:eastAsia="宋体" w:hint="default"/>
          <w:sz w:val="21"/>
          <w:szCs w:val="21"/>
        </w:rPr>
      </w:pPr>
      <w:r>
        <w:rPr/>
        <w:br w:type="column"/>
      </w:r>
      <w:r>
        <w:rPr>
          <w:rFonts w:ascii="宋体" w:hAnsi="宋体" w:cs="宋体" w:eastAsia="宋体" w:hint="default"/>
          <w:sz w:val="21"/>
          <w:szCs w:val="21"/>
        </w:rPr>
        <w:t>业务性质及经 营范围</w:t>
      </w:r>
    </w:p>
    <w:p>
      <w:pPr>
        <w:spacing w:line="274" w:lineRule="exact" w:before="23"/>
        <w:ind w:left="391"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期末实际 投资金额</w:t>
      </w:r>
    </w:p>
    <w:p>
      <w:pPr>
        <w:tabs>
          <w:tab w:pos="778" w:val="left" w:leader="none"/>
          <w:tab w:pos="1489" w:val="left" w:leader="none"/>
          <w:tab w:pos="2396" w:val="left" w:leader="none"/>
        </w:tabs>
        <w:spacing w:line="272" w:lineRule="exact" w:before="0"/>
        <w:ind w:left="0" w:right="264" w:firstLine="0"/>
        <w:jc w:val="right"/>
        <w:rPr>
          <w:rFonts w:ascii="宋体" w:hAnsi="宋体" w:cs="宋体" w:eastAsia="宋体" w:hint="default"/>
          <w:sz w:val="21"/>
          <w:szCs w:val="21"/>
        </w:rPr>
      </w:pPr>
      <w:r>
        <w:rPr/>
        <w:br w:type="column"/>
      </w:r>
      <w:r>
        <w:rPr>
          <w:rFonts w:ascii="宋体" w:hAnsi="宋体" w:cs="宋体" w:eastAsia="宋体" w:hint="default"/>
          <w:sz w:val="21"/>
          <w:szCs w:val="21"/>
        </w:rPr>
        <w:t>直接</w:t>
        <w:tab/>
        <w:t>间接</w:t>
        <w:tab/>
        <w:t>直接</w:t>
        <w:tab/>
        <w:t>间</w:t>
      </w:r>
    </w:p>
    <w:p>
      <w:pPr>
        <w:spacing w:line="274" w:lineRule="exact" w:before="0"/>
        <w:ind w:left="0" w:right="264" w:firstLine="0"/>
        <w:jc w:val="right"/>
        <w:rPr>
          <w:rFonts w:ascii="宋体" w:hAnsi="宋体" w:cs="宋体" w:eastAsia="宋体" w:hint="default"/>
          <w:sz w:val="21"/>
          <w:szCs w:val="21"/>
        </w:rPr>
      </w:pPr>
      <w:r>
        <w:rPr>
          <w:rFonts w:ascii="宋体" w:hAnsi="宋体" w:cs="宋体" w:eastAsia="宋体" w:hint="default"/>
          <w:sz w:val="21"/>
          <w:szCs w:val="21"/>
        </w:rPr>
        <w:t>接</w:t>
      </w:r>
    </w:p>
    <w:p>
      <w:pPr>
        <w:spacing w:after="0" w:line="274" w:lineRule="exact"/>
        <w:jc w:val="right"/>
        <w:rPr>
          <w:rFonts w:ascii="宋体" w:hAnsi="宋体" w:cs="宋体" w:eastAsia="宋体" w:hint="default"/>
          <w:sz w:val="21"/>
          <w:szCs w:val="21"/>
        </w:rPr>
        <w:sectPr>
          <w:type w:val="continuous"/>
          <w:pgSz w:w="11910" w:h="16840"/>
          <w:pgMar w:top="1600" w:bottom="280" w:left="980" w:right="1120"/>
          <w:cols w:num="4" w:equalWidth="0">
            <w:col w:w="3667" w:space="40"/>
            <w:col w:w="1573" w:space="40"/>
            <w:col w:w="1232" w:space="40"/>
            <w:col w:w="3218"/>
          </w:cols>
        </w:sectPr>
      </w:pPr>
    </w:p>
    <w:p>
      <w:pPr>
        <w:spacing w:line="240" w:lineRule="auto" w:before="9"/>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552"/>
        <w:gridCol w:w="871"/>
        <w:gridCol w:w="3062"/>
        <w:gridCol w:w="1253"/>
        <w:gridCol w:w="836"/>
        <w:gridCol w:w="695"/>
        <w:gridCol w:w="774"/>
        <w:gridCol w:w="545"/>
      </w:tblGrid>
      <w:tr>
        <w:trPr>
          <w:trHeight w:val="619"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安徽苏宁电器</w:t>
            </w:r>
          </w:p>
        </w:tc>
        <w:tc>
          <w:tcPr>
            <w:tcW w:w="871" w:type="dxa"/>
            <w:tcBorders>
              <w:top w:val="nil" w:sz="6" w:space="0" w:color="auto"/>
              <w:left w:val="nil" w:sz="6" w:space="0" w:color="auto"/>
              <w:bottom w:val="nil" w:sz="6" w:space="0" w:color="auto"/>
              <w:right w:val="nil" w:sz="6" w:space="0" w:color="auto"/>
            </w:tcBorders>
          </w:tcPr>
          <w:p>
            <w:pPr/>
          </w:p>
        </w:tc>
        <w:tc>
          <w:tcPr>
            <w:tcW w:w="3062" w:type="dxa"/>
            <w:tcBorders>
              <w:top w:val="nil" w:sz="6" w:space="0" w:color="auto"/>
              <w:left w:val="nil" w:sz="6" w:space="0" w:color="auto"/>
              <w:bottom w:val="nil" w:sz="6" w:space="0" w:color="auto"/>
              <w:right w:val="nil" w:sz="6" w:space="0" w:color="auto"/>
            </w:tcBorders>
          </w:tcPr>
          <w:p>
            <w:pPr>
              <w:pStyle w:val="TableParagraph"/>
              <w:tabs>
                <w:tab w:pos="1466" w:val="left" w:leader="none"/>
              </w:tabs>
              <w:spacing w:line="272" w:lineRule="exact" w:before="63"/>
              <w:ind w:left="560" w:right="171" w:firstLine="706"/>
              <w:jc w:val="left"/>
              <w:rPr>
                <w:rFonts w:ascii="宋体" w:hAnsi="宋体" w:cs="宋体" w:eastAsia="宋体" w:hint="default"/>
                <w:sz w:val="21"/>
                <w:szCs w:val="21"/>
              </w:rPr>
            </w:pP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t>人民币</w:t>
              <w:tab/>
              <w:t>品的连锁销售</w:t>
            </w:r>
          </w:p>
        </w:tc>
        <w:tc>
          <w:tcPr>
            <w:tcW w:w="1253"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448"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89" w:lineRule="exact"/>
              <w:ind w:left="173" w:right="0"/>
              <w:jc w:val="left"/>
              <w:rPr>
                <w:rFonts w:ascii="宋体" w:hAnsi="宋体" w:cs="宋体" w:eastAsia="宋体" w:hint="default"/>
                <w:sz w:val="21"/>
                <w:szCs w:val="21"/>
              </w:rPr>
            </w:pPr>
            <w:r>
              <w:rPr>
                <w:rFonts w:ascii="Arial" w:hAnsi="Arial" w:cs="Arial" w:eastAsia="Arial" w:hint="default"/>
                <w:sz w:val="21"/>
                <w:szCs w:val="21"/>
              </w:rPr>
              <w:t>427.35</w:t>
            </w:r>
            <w:r>
              <w:rPr>
                <w:rFonts w:ascii="Arial" w:hAnsi="Arial" w:cs="Arial" w:eastAsia="Arial" w:hint="default"/>
                <w:spacing w:val="-11"/>
                <w:sz w:val="21"/>
                <w:szCs w:val="21"/>
              </w:rPr>
              <w:t> </w:t>
            </w:r>
            <w:r>
              <w:rPr>
                <w:rFonts w:ascii="宋体" w:hAnsi="宋体" w:cs="宋体" w:eastAsia="宋体" w:hint="default"/>
                <w:sz w:val="21"/>
                <w:szCs w:val="21"/>
              </w:rPr>
              <w:t>万</w:t>
            </w:r>
          </w:p>
        </w:tc>
        <w:tc>
          <w:tcPr>
            <w:tcW w:w="2849" w:type="dxa"/>
            <w:gridSpan w:val="4"/>
            <w:tcBorders>
              <w:top w:val="nil" w:sz="6" w:space="0" w:color="auto"/>
              <w:left w:val="nil" w:sz="6" w:space="0" w:color="auto"/>
              <w:bottom w:val="nil" w:sz="6" w:space="0" w:color="auto"/>
              <w:right w:val="nil" w:sz="6" w:space="0" w:color="auto"/>
            </w:tcBorders>
          </w:tcPr>
          <w:p>
            <w:pPr/>
          </w:p>
        </w:tc>
      </w:tr>
      <w:tr>
        <w:trPr>
          <w:trHeight w:val="541"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35" w:lineRule="exact"/>
              <w:ind w:left="-21" w:right="254"/>
              <w:jc w:val="center"/>
              <w:rPr>
                <w:rFonts w:ascii="宋体" w:hAnsi="宋体" w:cs="宋体" w:eastAsia="宋体" w:hint="default"/>
                <w:sz w:val="21"/>
                <w:szCs w:val="21"/>
              </w:rPr>
            </w:pPr>
            <w:r>
              <w:rPr>
                <w:rFonts w:ascii="宋体" w:hAnsi="宋体" w:cs="宋体" w:eastAsia="宋体" w:hint="default"/>
                <w:sz w:val="21"/>
                <w:szCs w:val="21"/>
              </w:rPr>
              <w:t>有限公司</w:t>
            </w:r>
          </w:p>
          <w:p>
            <w:pPr>
              <w:pStyle w:val="TableParagraph"/>
              <w:spacing w:line="274" w:lineRule="exact"/>
              <w:ind w:right="219"/>
              <w:jc w:val="center"/>
              <w:rPr>
                <w:rFonts w:ascii="宋体" w:hAnsi="宋体" w:cs="宋体" w:eastAsia="宋体" w:hint="default"/>
                <w:sz w:val="21"/>
                <w:szCs w:val="21"/>
              </w:rPr>
            </w:pPr>
            <w:r>
              <w:rPr>
                <w:rFonts w:ascii="宋体" w:hAnsi="宋体" w:cs="宋体" w:eastAsia="宋体" w:hint="default"/>
                <w:sz w:val="21"/>
                <w:szCs w:val="21"/>
              </w:rPr>
              <w:t>苏州苏宁电器</w:t>
            </w:r>
          </w:p>
        </w:tc>
        <w:tc>
          <w:tcPr>
            <w:tcW w:w="871" w:type="dxa"/>
            <w:tcBorders>
              <w:top w:val="nil" w:sz="6" w:space="0" w:color="auto"/>
              <w:left w:val="nil" w:sz="6" w:space="0" w:color="auto"/>
              <w:bottom w:val="nil" w:sz="6" w:space="0" w:color="auto"/>
              <w:right w:val="nil" w:sz="6" w:space="0" w:color="auto"/>
            </w:tcBorders>
          </w:tcPr>
          <w:p>
            <w:pPr>
              <w:pStyle w:val="TableParagraph"/>
              <w:spacing w:line="237" w:lineRule="exact"/>
              <w:ind w:left="75" w:right="0"/>
              <w:jc w:val="left"/>
              <w:rPr>
                <w:rFonts w:ascii="宋体" w:hAnsi="宋体" w:cs="宋体" w:eastAsia="宋体" w:hint="default"/>
                <w:sz w:val="21"/>
                <w:szCs w:val="21"/>
              </w:rPr>
            </w:pPr>
            <w:r>
              <w:rPr>
                <w:rFonts w:ascii="宋体" w:hAnsi="宋体" w:cs="宋体" w:eastAsia="宋体" w:hint="default"/>
                <w:sz w:val="21"/>
                <w:szCs w:val="21"/>
              </w:rPr>
              <w:t>合肥市</w:t>
            </w:r>
          </w:p>
        </w:tc>
        <w:tc>
          <w:tcPr>
            <w:tcW w:w="3062" w:type="dxa"/>
            <w:tcBorders>
              <w:top w:val="nil" w:sz="6" w:space="0" w:color="auto"/>
              <w:left w:val="nil" w:sz="6" w:space="0" w:color="auto"/>
              <w:bottom w:val="nil" w:sz="6" w:space="0" w:color="auto"/>
              <w:right w:val="nil" w:sz="6" w:space="0" w:color="auto"/>
            </w:tcBorders>
          </w:tcPr>
          <w:p>
            <w:pPr>
              <w:pStyle w:val="TableParagraph"/>
              <w:spacing w:line="243" w:lineRule="exact"/>
              <w:ind w:left="260" w:right="0"/>
              <w:jc w:val="left"/>
              <w:rPr>
                <w:rFonts w:ascii="宋体" w:hAnsi="宋体" w:cs="宋体" w:eastAsia="宋体" w:hint="default"/>
                <w:sz w:val="21"/>
                <w:szCs w:val="21"/>
              </w:rPr>
            </w:pPr>
            <w:r>
              <w:rPr>
                <w:rFonts w:ascii="Arial" w:hAnsi="Arial" w:cs="Arial" w:eastAsia="Arial" w:hint="default"/>
                <w:sz w:val="21"/>
                <w:szCs w:val="21"/>
              </w:rPr>
              <w:t>1,200</w:t>
            </w:r>
            <w:r>
              <w:rPr>
                <w:rFonts w:ascii="Arial" w:hAnsi="Arial" w:cs="Arial" w:eastAsia="Arial" w:hint="default"/>
                <w:spacing w:val="-10"/>
                <w:sz w:val="21"/>
                <w:szCs w:val="21"/>
              </w:rPr>
              <w:t> </w:t>
            </w:r>
            <w:r>
              <w:rPr>
                <w:rFonts w:ascii="宋体" w:hAnsi="宋体" w:cs="宋体" w:eastAsia="宋体" w:hint="default"/>
                <w:sz w:val="21"/>
                <w:szCs w:val="21"/>
              </w:rPr>
              <w:t>万元</w:t>
            </w:r>
          </w:p>
          <w:p>
            <w:pPr>
              <w:pStyle w:val="TableParagraph"/>
              <w:spacing w:line="267" w:lineRule="exact"/>
              <w:ind w:left="532"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36" w:lineRule="exact"/>
              <w:ind w:left="448" w:right="0" w:firstLine="420"/>
              <w:jc w:val="left"/>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74"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4" w:right="0"/>
              <w:jc w:val="left"/>
              <w:rPr>
                <w:rFonts w:ascii="Arial" w:hAnsi="Arial" w:cs="Arial" w:eastAsia="Arial" w:hint="default"/>
                <w:sz w:val="21"/>
                <w:szCs w:val="21"/>
              </w:rPr>
            </w:pPr>
            <w:r>
              <w:rPr>
                <w:rFonts w:ascii="Arial"/>
                <w:sz w:val="21"/>
              </w:rPr>
              <w:t>55%</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7"/>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3" w:right="0"/>
              <w:jc w:val="left"/>
              <w:rPr>
                <w:rFonts w:ascii="Arial" w:hAnsi="Arial" w:cs="Arial" w:eastAsia="Arial" w:hint="default"/>
                <w:sz w:val="21"/>
                <w:szCs w:val="21"/>
              </w:rPr>
            </w:pPr>
            <w:r>
              <w:rPr>
                <w:rFonts w:ascii="Arial"/>
                <w:sz w:val="21"/>
              </w:rPr>
              <w:t>55%</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1"/>
                <w:szCs w:val="21"/>
              </w:rPr>
            </w:pPr>
            <w:r>
              <w:rPr>
                <w:rFonts w:ascii="Arial"/>
                <w:spacing w:val="-1"/>
                <w:w w:val="95"/>
                <w:sz w:val="21"/>
              </w:rPr>
              <w:t>0%</w:t>
            </w:r>
            <w:r>
              <w:rPr>
                <w:rFonts w:ascii="Arial"/>
                <w:w w:val="95"/>
                <w:sz w:val="21"/>
              </w:rPr>
            </w:r>
          </w:p>
        </w:tc>
      </w:tr>
      <w:tr>
        <w:trPr>
          <w:trHeight w:val="278"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2" w:lineRule="exact"/>
              <w:ind w:left="21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71" w:type="dxa"/>
            <w:tcBorders>
              <w:top w:val="nil" w:sz="6" w:space="0" w:color="auto"/>
              <w:left w:val="nil" w:sz="6" w:space="0" w:color="auto"/>
              <w:bottom w:val="nil" w:sz="6" w:space="0" w:color="auto"/>
              <w:right w:val="nil" w:sz="6" w:space="0" w:color="auto"/>
            </w:tcBorders>
          </w:tcPr>
          <w:p>
            <w:pPr/>
          </w:p>
        </w:tc>
        <w:tc>
          <w:tcPr>
            <w:tcW w:w="3062" w:type="dxa"/>
            <w:tcBorders>
              <w:top w:val="nil" w:sz="6" w:space="0" w:color="auto"/>
              <w:left w:val="nil" w:sz="6" w:space="0" w:color="auto"/>
              <w:bottom w:val="nil" w:sz="6" w:space="0" w:color="auto"/>
              <w:right w:val="nil" w:sz="6" w:space="0" w:color="auto"/>
            </w:tcBorders>
          </w:tcPr>
          <w:p>
            <w:pPr>
              <w:pStyle w:val="TableParagraph"/>
              <w:tabs>
                <w:tab w:pos="1466" w:val="left" w:leader="none"/>
              </w:tabs>
              <w:spacing w:line="257" w:lineRule="exact"/>
              <w:ind w:left="165" w:right="0"/>
              <w:jc w:val="left"/>
              <w:rPr>
                <w:rFonts w:ascii="宋体" w:hAnsi="宋体" w:cs="宋体" w:eastAsia="宋体" w:hint="default"/>
                <w:sz w:val="21"/>
                <w:szCs w:val="21"/>
              </w:rPr>
            </w:pPr>
            <w:r>
              <w:rPr>
                <w:rFonts w:ascii="Arial" w:hAnsi="Arial" w:cs="Arial" w:eastAsia="Arial" w:hint="default"/>
                <w:sz w:val="21"/>
                <w:szCs w:val="21"/>
              </w:rPr>
              <w:t>1,000</w:t>
            </w:r>
            <w:r>
              <w:rPr>
                <w:rFonts w:ascii="Arial" w:hAnsi="Arial" w:cs="Arial" w:eastAsia="Arial" w:hint="default"/>
                <w:spacing w:val="-10"/>
                <w:sz w:val="21"/>
                <w:szCs w:val="21"/>
              </w:rPr>
              <w:t> </w:t>
            </w:r>
            <w:r>
              <w:rPr>
                <w:rFonts w:ascii="宋体" w:hAnsi="宋体" w:cs="宋体" w:eastAsia="宋体" w:hint="default"/>
                <w:sz w:val="21"/>
                <w:szCs w:val="21"/>
              </w:rPr>
              <w:t>万元</w:t>
              <w:tab/>
              <w:t>品的连锁销售</w:t>
            </w:r>
          </w:p>
        </w:tc>
        <w:tc>
          <w:tcPr>
            <w:tcW w:w="1253" w:type="dxa"/>
            <w:tcBorders>
              <w:top w:val="nil" w:sz="6" w:space="0" w:color="auto"/>
              <w:left w:val="nil" w:sz="6" w:space="0" w:color="auto"/>
              <w:bottom w:val="nil" w:sz="6" w:space="0" w:color="auto"/>
              <w:right w:val="nil" w:sz="6" w:space="0" w:color="auto"/>
            </w:tcBorders>
          </w:tcPr>
          <w:p>
            <w:pPr>
              <w:pStyle w:val="TableParagraph"/>
              <w:spacing w:line="257" w:lineRule="exact"/>
              <w:ind w:right="143"/>
              <w:jc w:val="right"/>
              <w:rPr>
                <w:rFonts w:ascii="宋体" w:hAnsi="宋体" w:cs="宋体" w:eastAsia="宋体" w:hint="default"/>
                <w:sz w:val="21"/>
                <w:szCs w:val="21"/>
              </w:rPr>
            </w:pPr>
            <w:r>
              <w:rPr>
                <w:rFonts w:ascii="Arial" w:hAnsi="Arial" w:cs="Arial" w:eastAsia="Arial" w:hint="default"/>
                <w:sz w:val="21"/>
                <w:szCs w:val="21"/>
              </w:rPr>
              <w:t>884.02</w:t>
            </w:r>
            <w:r>
              <w:rPr>
                <w:rFonts w:ascii="Arial" w:hAnsi="Arial" w:cs="Arial" w:eastAsia="Arial" w:hint="default"/>
                <w:spacing w:val="-11"/>
                <w:sz w:val="21"/>
                <w:szCs w:val="21"/>
              </w:rPr>
              <w:t> </w:t>
            </w:r>
            <w:r>
              <w:rPr>
                <w:rFonts w:ascii="宋体" w:hAnsi="宋体" w:cs="宋体" w:eastAsia="宋体" w:hint="default"/>
                <w:sz w:val="21"/>
                <w:szCs w:val="21"/>
              </w:rPr>
              <w:t>万</w:t>
            </w:r>
          </w:p>
        </w:tc>
        <w:tc>
          <w:tcPr>
            <w:tcW w:w="836"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r>
      <w:tr>
        <w:trPr>
          <w:trHeight w:val="541"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无锡市苏宁电器</w:t>
            </w:r>
          </w:p>
        </w:tc>
        <w:tc>
          <w:tcPr>
            <w:tcW w:w="871" w:type="dxa"/>
            <w:tcBorders>
              <w:top w:val="nil" w:sz="6" w:space="0" w:color="auto"/>
              <w:left w:val="nil" w:sz="6" w:space="0" w:color="auto"/>
              <w:bottom w:val="nil" w:sz="6" w:space="0" w:color="auto"/>
              <w:right w:val="nil" w:sz="6" w:space="0" w:color="auto"/>
            </w:tcBorders>
          </w:tcPr>
          <w:p>
            <w:pPr>
              <w:pStyle w:val="TableParagraph"/>
              <w:spacing w:line="236" w:lineRule="exact"/>
              <w:ind w:left="46" w:right="0"/>
              <w:jc w:val="left"/>
              <w:rPr>
                <w:rFonts w:ascii="宋体" w:hAnsi="宋体" w:cs="宋体" w:eastAsia="宋体" w:hint="default"/>
                <w:sz w:val="21"/>
                <w:szCs w:val="21"/>
              </w:rPr>
            </w:pPr>
            <w:r>
              <w:rPr>
                <w:rFonts w:ascii="宋体" w:hAnsi="宋体" w:cs="宋体" w:eastAsia="宋体" w:hint="default"/>
                <w:sz w:val="21"/>
                <w:szCs w:val="21"/>
              </w:rPr>
              <w:t>苏州市</w:t>
            </w:r>
          </w:p>
        </w:tc>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35" w:lineRule="exact"/>
              <w:ind w:left="448" w:right="0" w:firstLine="450"/>
              <w:jc w:val="left"/>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74"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3" w:right="0"/>
              <w:jc w:val="left"/>
              <w:rPr>
                <w:rFonts w:ascii="Arial" w:hAnsi="Arial" w:cs="Arial" w:eastAsia="Arial" w:hint="default"/>
                <w:sz w:val="21"/>
                <w:szCs w:val="21"/>
              </w:rPr>
            </w:pPr>
            <w:r>
              <w:rPr>
                <w:rFonts w:ascii="Arial"/>
                <w:sz w:val="21"/>
              </w:rPr>
              <w:t>90%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7"/>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9" w:right="0"/>
              <w:jc w:val="left"/>
              <w:rPr>
                <w:rFonts w:ascii="Arial" w:hAnsi="Arial" w:cs="Arial" w:eastAsia="Arial" w:hint="default"/>
                <w:sz w:val="21"/>
                <w:szCs w:val="21"/>
              </w:rPr>
            </w:pPr>
            <w:r>
              <w:rPr>
                <w:rFonts w:ascii="Arial"/>
                <w:sz w:val="21"/>
              </w:rPr>
              <w:t>90%</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right"/>
              <w:rPr>
                <w:rFonts w:ascii="Arial" w:hAnsi="Arial" w:cs="Arial" w:eastAsia="Arial" w:hint="default"/>
                <w:sz w:val="21"/>
                <w:szCs w:val="21"/>
              </w:rPr>
            </w:pPr>
            <w:r>
              <w:rPr>
                <w:rFonts w:ascii="Arial"/>
                <w:spacing w:val="-1"/>
                <w:w w:val="95"/>
                <w:sz w:val="21"/>
              </w:rPr>
              <w:t>0%</w:t>
            </w:r>
            <w:r>
              <w:rPr>
                <w:rFonts w:ascii="Arial"/>
                <w:w w:val="95"/>
                <w:sz w:val="21"/>
              </w:rPr>
            </w:r>
          </w:p>
        </w:tc>
      </w:tr>
      <w:tr>
        <w:trPr>
          <w:trHeight w:val="546"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1" w:lineRule="exact"/>
              <w:ind w:left="-21" w:right="254"/>
              <w:jc w:val="center"/>
              <w:rPr>
                <w:rFonts w:ascii="宋体" w:hAnsi="宋体" w:cs="宋体" w:eastAsia="宋体" w:hint="default"/>
                <w:sz w:val="21"/>
                <w:szCs w:val="21"/>
              </w:rPr>
            </w:pPr>
            <w:r>
              <w:rPr>
                <w:rFonts w:ascii="宋体" w:hAnsi="宋体" w:cs="宋体" w:eastAsia="宋体" w:hint="default"/>
                <w:sz w:val="21"/>
                <w:szCs w:val="21"/>
              </w:rPr>
              <w:t>有限公司</w:t>
            </w:r>
          </w:p>
          <w:p>
            <w:pPr>
              <w:pStyle w:val="TableParagraph"/>
              <w:spacing w:line="274" w:lineRule="exact"/>
              <w:ind w:right="219"/>
              <w:jc w:val="center"/>
              <w:rPr>
                <w:rFonts w:ascii="宋体" w:hAnsi="宋体" w:cs="宋体" w:eastAsia="宋体" w:hint="default"/>
                <w:sz w:val="21"/>
                <w:szCs w:val="21"/>
              </w:rPr>
            </w:pPr>
            <w:r>
              <w:rPr>
                <w:rFonts w:ascii="宋体" w:hAnsi="宋体" w:cs="宋体" w:eastAsia="宋体" w:hint="default"/>
                <w:sz w:val="21"/>
                <w:szCs w:val="21"/>
              </w:rPr>
              <w:t>南通苏宁电器</w:t>
            </w:r>
          </w:p>
        </w:tc>
        <w:tc>
          <w:tcPr>
            <w:tcW w:w="871" w:type="dxa"/>
            <w:tcBorders>
              <w:top w:val="nil" w:sz="6" w:space="0" w:color="auto"/>
              <w:left w:val="nil" w:sz="6" w:space="0" w:color="auto"/>
              <w:bottom w:val="nil" w:sz="6" w:space="0" w:color="auto"/>
              <w:right w:val="nil" w:sz="6" w:space="0" w:color="auto"/>
            </w:tcBorders>
          </w:tcPr>
          <w:p>
            <w:pPr>
              <w:pStyle w:val="TableParagraph"/>
              <w:spacing w:line="241" w:lineRule="exact"/>
              <w:ind w:left="75" w:right="0"/>
              <w:jc w:val="left"/>
              <w:rPr>
                <w:rFonts w:ascii="宋体" w:hAnsi="宋体" w:cs="宋体" w:eastAsia="宋体" w:hint="default"/>
                <w:sz w:val="21"/>
                <w:szCs w:val="21"/>
              </w:rPr>
            </w:pPr>
            <w:r>
              <w:rPr>
                <w:rFonts w:ascii="宋体" w:hAnsi="宋体" w:cs="宋体" w:eastAsia="宋体" w:hint="default"/>
                <w:sz w:val="21"/>
                <w:szCs w:val="21"/>
              </w:rPr>
              <w:t>无锡市</w:t>
            </w:r>
          </w:p>
        </w:tc>
        <w:tc>
          <w:tcPr>
            <w:tcW w:w="3062" w:type="dxa"/>
            <w:tcBorders>
              <w:top w:val="nil" w:sz="6" w:space="0" w:color="auto"/>
              <w:left w:val="nil" w:sz="6" w:space="0" w:color="auto"/>
              <w:bottom w:val="nil" w:sz="6" w:space="0" w:color="auto"/>
              <w:right w:val="nil" w:sz="6" w:space="0" w:color="auto"/>
            </w:tcBorders>
          </w:tcPr>
          <w:p>
            <w:pPr>
              <w:pStyle w:val="TableParagraph"/>
              <w:tabs>
                <w:tab w:pos="1466" w:val="left" w:leader="none"/>
              </w:tabs>
              <w:spacing w:line="248" w:lineRule="exact"/>
              <w:ind w:left="165" w:right="0"/>
              <w:jc w:val="left"/>
              <w:rPr>
                <w:rFonts w:ascii="宋体" w:hAnsi="宋体" w:cs="宋体" w:eastAsia="宋体" w:hint="default"/>
                <w:sz w:val="21"/>
                <w:szCs w:val="21"/>
              </w:rPr>
            </w:pPr>
            <w:r>
              <w:rPr>
                <w:rFonts w:ascii="Arial" w:hAnsi="Arial" w:cs="Arial" w:eastAsia="Arial" w:hint="default"/>
                <w:sz w:val="21"/>
                <w:szCs w:val="21"/>
              </w:rPr>
              <w:t>1,000</w:t>
            </w:r>
            <w:r>
              <w:rPr>
                <w:rFonts w:ascii="Arial" w:hAnsi="Arial" w:cs="Arial" w:eastAsia="Arial" w:hint="default"/>
                <w:spacing w:val="-10"/>
                <w:sz w:val="21"/>
                <w:szCs w:val="21"/>
              </w:rPr>
              <w:t> </w:t>
            </w:r>
            <w:r>
              <w:rPr>
                <w:rFonts w:ascii="宋体" w:hAnsi="宋体" w:cs="宋体" w:eastAsia="宋体" w:hint="default"/>
                <w:sz w:val="21"/>
                <w:szCs w:val="21"/>
              </w:rPr>
              <w:t>万元</w:t>
              <w:tab/>
              <w:t>品的连锁销售</w:t>
            </w:r>
          </w:p>
          <w:p>
            <w:pPr>
              <w:pStyle w:val="TableParagraph"/>
              <w:spacing w:line="267" w:lineRule="exact"/>
              <w:ind w:left="532"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1"/>
                <w:sz w:val="21"/>
                <w:szCs w:val="21"/>
              </w:rPr>
              <w:t> </w:t>
            </w:r>
            <w:r>
              <w:rPr>
                <w:rFonts w:ascii="宋体" w:hAnsi="宋体" w:cs="宋体" w:eastAsia="宋体" w:hint="default"/>
                <w:spacing w:val="18"/>
                <w:sz w:val="21"/>
                <w:szCs w:val="21"/>
              </w:rPr>
              <w:t>电器和电子消费</w:t>
            </w:r>
            <w:r>
              <w:rPr>
                <w:rFonts w:ascii="宋体" w:hAnsi="宋体" w:cs="宋体" w:eastAsia="宋体" w:hint="default"/>
                <w:spacing w:val="-84"/>
                <w:sz w:val="21"/>
                <w:szCs w:val="21"/>
              </w:rPr>
              <w:t> </w:t>
            </w:r>
            <w:r>
              <w:rPr>
                <w:rFonts w:ascii="宋体" w:hAnsi="宋体" w:cs="宋体" w:eastAsia="宋体" w:hint="default"/>
                <w:sz w:val="21"/>
                <w:szCs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8" w:lineRule="exact"/>
              <w:ind w:left="142" w:right="0"/>
              <w:jc w:val="center"/>
              <w:rPr>
                <w:rFonts w:ascii="宋体" w:hAnsi="宋体" w:cs="宋体" w:eastAsia="宋体" w:hint="default"/>
                <w:sz w:val="21"/>
                <w:szCs w:val="21"/>
              </w:rPr>
            </w:pPr>
            <w:r>
              <w:rPr>
                <w:rFonts w:ascii="Arial" w:hAnsi="Arial" w:cs="Arial" w:eastAsia="Arial" w:hint="default"/>
                <w:sz w:val="21"/>
                <w:szCs w:val="21"/>
              </w:rPr>
              <w:t>900</w:t>
            </w:r>
            <w:r>
              <w:rPr>
                <w:rFonts w:ascii="Arial" w:hAnsi="Arial" w:cs="Arial" w:eastAsia="Arial" w:hint="default"/>
                <w:spacing w:val="-8"/>
                <w:sz w:val="21"/>
                <w:szCs w:val="21"/>
              </w:rPr>
              <w:t> </w:t>
            </w:r>
            <w:r>
              <w:rPr>
                <w:rFonts w:ascii="宋体" w:hAnsi="宋体" w:cs="宋体" w:eastAsia="宋体" w:hint="default"/>
                <w:sz w:val="21"/>
                <w:szCs w:val="21"/>
              </w:rPr>
              <w:t>万元</w:t>
            </w:r>
          </w:p>
          <w:p>
            <w:pPr>
              <w:pStyle w:val="TableParagraph"/>
              <w:spacing w:line="267" w:lineRule="exact"/>
              <w:ind w:left="274"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3" w:right="0"/>
              <w:jc w:val="left"/>
              <w:rPr>
                <w:rFonts w:ascii="Arial" w:hAnsi="Arial" w:cs="Arial" w:eastAsia="Arial" w:hint="default"/>
                <w:sz w:val="21"/>
                <w:szCs w:val="21"/>
              </w:rPr>
            </w:pPr>
            <w:r>
              <w:rPr>
                <w:rFonts w:ascii="Arial"/>
                <w:sz w:val="21"/>
              </w:rPr>
              <w:t>90%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7"/>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9" w:right="0"/>
              <w:jc w:val="left"/>
              <w:rPr>
                <w:rFonts w:ascii="Arial" w:hAnsi="Arial" w:cs="Arial" w:eastAsia="Arial" w:hint="default"/>
                <w:sz w:val="21"/>
                <w:szCs w:val="21"/>
              </w:rPr>
            </w:pPr>
            <w:r>
              <w:rPr>
                <w:rFonts w:ascii="Arial"/>
                <w:sz w:val="21"/>
              </w:rPr>
              <w:t>90%</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
              <w:jc w:val="right"/>
              <w:rPr>
                <w:rFonts w:ascii="Arial" w:hAnsi="Arial" w:cs="Arial" w:eastAsia="Arial" w:hint="default"/>
                <w:sz w:val="21"/>
                <w:szCs w:val="21"/>
              </w:rPr>
            </w:pPr>
            <w:r>
              <w:rPr>
                <w:rFonts w:ascii="Arial"/>
                <w:spacing w:val="-1"/>
                <w:w w:val="95"/>
                <w:sz w:val="21"/>
              </w:rPr>
              <w:t>0%</w:t>
            </w:r>
            <w:r>
              <w:rPr>
                <w:rFonts w:ascii="Arial"/>
                <w:w w:val="95"/>
                <w:sz w:val="21"/>
              </w:rPr>
            </w:r>
          </w:p>
        </w:tc>
      </w:tr>
      <w:tr>
        <w:trPr>
          <w:trHeight w:val="369" w:hRule="exact"/>
        </w:trPr>
        <w:tc>
          <w:tcPr>
            <w:tcW w:w="1552" w:type="dxa"/>
            <w:tcBorders>
              <w:top w:val="nil" w:sz="6" w:space="0" w:color="auto"/>
              <w:left w:val="nil" w:sz="6" w:space="0" w:color="auto"/>
              <w:bottom w:val="nil" w:sz="6" w:space="0" w:color="auto"/>
              <w:right w:val="nil" w:sz="6" w:space="0" w:color="auto"/>
            </w:tcBorders>
          </w:tcPr>
          <w:p>
            <w:pPr>
              <w:pStyle w:val="TableParagraph"/>
              <w:spacing w:line="241" w:lineRule="exact"/>
              <w:ind w:left="21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71" w:type="dxa"/>
            <w:tcBorders>
              <w:top w:val="nil" w:sz="6" w:space="0" w:color="auto"/>
              <w:left w:val="nil" w:sz="6" w:space="0" w:color="auto"/>
              <w:bottom w:val="nil" w:sz="6" w:space="0" w:color="auto"/>
              <w:right w:val="nil" w:sz="6" w:space="0" w:color="auto"/>
            </w:tcBorders>
          </w:tcPr>
          <w:p>
            <w:pPr>
              <w:pStyle w:val="TableParagraph"/>
              <w:spacing w:line="241" w:lineRule="exact"/>
              <w:ind w:left="75" w:right="0"/>
              <w:jc w:val="left"/>
              <w:rPr>
                <w:rFonts w:ascii="宋体" w:hAnsi="宋体" w:cs="宋体" w:eastAsia="宋体" w:hint="default"/>
                <w:sz w:val="21"/>
                <w:szCs w:val="21"/>
              </w:rPr>
            </w:pPr>
            <w:r>
              <w:rPr>
                <w:rFonts w:ascii="宋体" w:hAnsi="宋体" w:cs="宋体" w:eastAsia="宋体" w:hint="default"/>
                <w:sz w:val="21"/>
                <w:szCs w:val="21"/>
              </w:rPr>
              <w:t>南通市</w:t>
            </w:r>
          </w:p>
        </w:tc>
        <w:tc>
          <w:tcPr>
            <w:tcW w:w="3062" w:type="dxa"/>
            <w:tcBorders>
              <w:top w:val="nil" w:sz="6" w:space="0" w:color="auto"/>
              <w:left w:val="nil" w:sz="6" w:space="0" w:color="auto"/>
              <w:bottom w:val="nil" w:sz="6" w:space="0" w:color="auto"/>
              <w:right w:val="nil" w:sz="6" w:space="0" w:color="auto"/>
            </w:tcBorders>
          </w:tcPr>
          <w:p>
            <w:pPr>
              <w:pStyle w:val="TableParagraph"/>
              <w:tabs>
                <w:tab w:pos="1466" w:val="left" w:leader="none"/>
              </w:tabs>
              <w:spacing w:line="256" w:lineRule="exact"/>
              <w:ind w:left="340" w:right="0"/>
              <w:jc w:val="left"/>
              <w:rPr>
                <w:rFonts w:ascii="宋体" w:hAnsi="宋体" w:cs="宋体" w:eastAsia="宋体" w:hint="default"/>
                <w:sz w:val="21"/>
                <w:szCs w:val="21"/>
              </w:rPr>
            </w:pPr>
            <w:r>
              <w:rPr>
                <w:rFonts w:ascii="Arial" w:hAnsi="Arial" w:cs="Arial" w:eastAsia="Arial" w:hint="default"/>
                <w:sz w:val="21"/>
                <w:szCs w:val="21"/>
              </w:rPr>
              <w:t>200</w:t>
            </w:r>
            <w:r>
              <w:rPr>
                <w:rFonts w:ascii="Arial" w:hAnsi="Arial" w:cs="Arial" w:eastAsia="Arial" w:hint="default"/>
                <w:spacing w:val="-8"/>
                <w:sz w:val="21"/>
                <w:szCs w:val="21"/>
              </w:rPr>
              <w:t> </w:t>
            </w:r>
            <w:r>
              <w:rPr>
                <w:rFonts w:ascii="宋体" w:hAnsi="宋体" w:cs="宋体" w:eastAsia="宋体" w:hint="default"/>
                <w:sz w:val="21"/>
                <w:szCs w:val="21"/>
              </w:rPr>
              <w:t>万元</w:t>
              <w:tab/>
              <w:t>品的连锁销售</w:t>
            </w:r>
          </w:p>
        </w:tc>
        <w:tc>
          <w:tcPr>
            <w:tcW w:w="1253" w:type="dxa"/>
            <w:tcBorders>
              <w:top w:val="nil" w:sz="6" w:space="0" w:color="auto"/>
              <w:left w:val="nil" w:sz="6" w:space="0" w:color="auto"/>
              <w:bottom w:val="nil" w:sz="6" w:space="0" w:color="auto"/>
              <w:right w:val="nil" w:sz="6" w:space="0" w:color="auto"/>
            </w:tcBorders>
          </w:tcPr>
          <w:p>
            <w:pPr>
              <w:pStyle w:val="TableParagraph"/>
              <w:spacing w:line="256" w:lineRule="exact"/>
              <w:ind w:right="143"/>
              <w:jc w:val="right"/>
              <w:rPr>
                <w:rFonts w:ascii="宋体" w:hAnsi="宋体" w:cs="宋体" w:eastAsia="宋体" w:hint="default"/>
                <w:sz w:val="21"/>
                <w:szCs w:val="21"/>
              </w:rPr>
            </w:pPr>
            <w:r>
              <w:rPr>
                <w:rFonts w:ascii="Arial" w:hAnsi="Arial" w:cs="Arial" w:eastAsia="Arial" w:hint="default"/>
                <w:sz w:val="21"/>
                <w:szCs w:val="21"/>
              </w:rPr>
              <w:t>190</w:t>
            </w:r>
            <w:r>
              <w:rPr>
                <w:rFonts w:ascii="Arial" w:hAnsi="Arial" w:cs="Arial" w:eastAsia="Arial" w:hint="default"/>
                <w:spacing w:val="-8"/>
                <w:sz w:val="21"/>
                <w:szCs w:val="21"/>
              </w:rPr>
              <w:t> </w:t>
            </w:r>
            <w:r>
              <w:rPr>
                <w:rFonts w:ascii="宋体" w:hAnsi="宋体" w:cs="宋体" w:eastAsia="宋体" w:hint="default"/>
                <w:sz w:val="21"/>
                <w:szCs w:val="21"/>
              </w:rPr>
              <w:t>万元</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3" w:right="0"/>
              <w:jc w:val="left"/>
              <w:rPr>
                <w:rFonts w:ascii="Arial" w:hAnsi="Arial" w:cs="Arial" w:eastAsia="Arial" w:hint="default"/>
                <w:sz w:val="21"/>
                <w:szCs w:val="21"/>
              </w:rPr>
            </w:pPr>
            <w:r>
              <w:rPr>
                <w:rFonts w:ascii="Arial"/>
                <w:sz w:val="21"/>
              </w:rPr>
              <w:t>95%</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7"/>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9" w:right="0"/>
              <w:jc w:val="left"/>
              <w:rPr>
                <w:rFonts w:ascii="Arial" w:hAnsi="Arial" w:cs="Arial" w:eastAsia="Arial" w:hint="default"/>
                <w:sz w:val="21"/>
                <w:szCs w:val="21"/>
              </w:rPr>
            </w:pPr>
            <w:r>
              <w:rPr>
                <w:rFonts w:ascii="Arial"/>
                <w:sz w:val="21"/>
              </w:rPr>
              <w:t>95%</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
              <w:jc w:val="right"/>
              <w:rPr>
                <w:rFonts w:ascii="Arial" w:hAnsi="Arial" w:cs="Arial" w:eastAsia="Arial" w:hint="default"/>
                <w:sz w:val="21"/>
                <w:szCs w:val="21"/>
              </w:rPr>
            </w:pPr>
            <w:r>
              <w:rPr>
                <w:rFonts w:ascii="Arial"/>
                <w:spacing w:val="-1"/>
                <w:w w:val="95"/>
                <w:sz w:val="21"/>
              </w:rPr>
              <w:t>0%</w:t>
            </w:r>
            <w:r>
              <w:rPr>
                <w:rFonts w:ascii="Arial"/>
                <w:w w:val="95"/>
                <w:sz w:val="21"/>
              </w:rPr>
            </w:r>
          </w:p>
        </w:tc>
      </w:tr>
    </w:tbl>
    <w:p>
      <w:pPr>
        <w:spacing w:line="240" w:lineRule="auto" w:before="9"/>
        <w:rPr>
          <w:rFonts w:ascii="宋体" w:hAnsi="宋体" w:cs="宋体" w:eastAsia="宋体" w:hint="default"/>
          <w:sz w:val="5"/>
          <w:szCs w:val="5"/>
        </w:rPr>
      </w:pPr>
    </w:p>
    <w:p>
      <w:pPr>
        <w:pStyle w:val="BodyText"/>
        <w:tabs>
          <w:tab w:pos="837" w:val="left" w:leader="none"/>
        </w:tabs>
        <w:spacing w:line="240" w:lineRule="auto" w:before="32"/>
        <w:ind w:left="147" w:right="304"/>
        <w:jc w:val="left"/>
      </w:pPr>
      <w:r>
        <w:rPr>
          <w:rFonts w:ascii="Arial" w:hAnsi="Arial" w:cs="Arial" w:eastAsia="Arial" w:hint="default"/>
          <w:position w:val="2"/>
        </w:rPr>
        <w:t>(1)</w:t>
        <w:tab/>
      </w:r>
      <w:r>
        <w:rPr/>
        <w:t>报告期内主要子公司注册资本的变动情况如下：</w:t>
      </w:r>
    </w:p>
    <w:p>
      <w:pPr>
        <w:spacing w:line="240" w:lineRule="auto" w:before="4"/>
        <w:rPr>
          <w:rFonts w:ascii="宋体" w:hAnsi="宋体" w:cs="宋体" w:eastAsia="宋体" w:hint="default"/>
          <w:sz w:val="16"/>
          <w:szCs w:val="16"/>
        </w:rPr>
      </w:pPr>
    </w:p>
    <w:tbl>
      <w:tblPr>
        <w:tblW w:w="0" w:type="auto"/>
        <w:jc w:val="left"/>
        <w:tblInd w:w="768" w:type="dxa"/>
        <w:tblLayout w:type="fixed"/>
        <w:tblCellMar>
          <w:top w:w="0" w:type="dxa"/>
          <w:left w:w="0" w:type="dxa"/>
          <w:bottom w:w="0" w:type="dxa"/>
          <w:right w:w="0" w:type="dxa"/>
        </w:tblCellMar>
        <w:tblLook w:val="01E0"/>
      </w:tblPr>
      <w:tblGrid>
        <w:gridCol w:w="3238"/>
        <w:gridCol w:w="1119"/>
        <w:gridCol w:w="1511"/>
        <w:gridCol w:w="1667"/>
        <w:gridCol w:w="1368"/>
      </w:tblGrid>
      <w:tr>
        <w:trPr>
          <w:trHeight w:val="1000" w:hRule="exact"/>
        </w:trPr>
        <w:tc>
          <w:tcPr>
            <w:tcW w:w="5868"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26"/>
              <w:ind w:right="342"/>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w:t>
            </w:r>
          </w:p>
          <w:p>
            <w:pPr>
              <w:pStyle w:val="TableParagraph"/>
              <w:spacing w:line="312" w:lineRule="exact"/>
              <w:ind w:right="163"/>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p>
            <w:pPr>
              <w:pStyle w:val="TableParagraph"/>
              <w:tabs>
                <w:tab w:pos="2192" w:val="left" w:leader="none"/>
                <w:tab w:pos="3547" w:val="left" w:leader="none"/>
              </w:tabs>
              <w:spacing w:line="304" w:lineRule="exact"/>
              <w:ind w:right="278"/>
              <w:jc w:val="right"/>
              <w:rPr>
                <w:rFonts w:ascii="宋体" w:hAnsi="宋体" w:cs="宋体" w:eastAsia="宋体" w:hint="default"/>
                <w:sz w:val="24"/>
                <w:szCs w:val="24"/>
              </w:rPr>
            </w:pPr>
            <w:r>
              <w:rPr>
                <w:rFonts w:ascii="宋体" w:hAnsi="宋体" w:cs="宋体" w:eastAsia="宋体" w:hint="default"/>
                <w:sz w:val="24"/>
                <w:szCs w:val="24"/>
              </w:rPr>
              <w:t>公司名称</w:t>
              <w:tab/>
              <w:t>增资方式</w:t>
              <w:tab/>
              <w:t>注册资本</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65" w:right="0"/>
              <w:jc w:val="left"/>
              <w:rPr>
                <w:rFonts w:ascii="宋体" w:hAnsi="宋体" w:cs="宋体" w:eastAsia="宋体" w:hint="default"/>
                <w:sz w:val="24"/>
                <w:szCs w:val="24"/>
              </w:rPr>
            </w:pPr>
            <w:r>
              <w:rPr>
                <w:rFonts w:ascii="宋体" w:hAnsi="宋体" w:cs="宋体" w:eastAsia="宋体" w:hint="default"/>
                <w:sz w:val="24"/>
                <w:szCs w:val="24"/>
              </w:rPr>
              <w:t>增资金额</w:t>
            </w:r>
          </w:p>
        </w:tc>
        <w:tc>
          <w:tcPr>
            <w:tcW w:w="1368"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108" w:right="0"/>
              <w:jc w:val="center"/>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w:t>
            </w:r>
          </w:p>
          <w:p>
            <w:pPr>
              <w:pStyle w:val="TableParagraph"/>
              <w:spacing w:line="312" w:lineRule="exact" w:before="21"/>
              <w:ind w:left="140" w:right="33"/>
              <w:jc w:val="center"/>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 注册资本</w:t>
            </w:r>
          </w:p>
        </w:tc>
      </w:tr>
      <w:tr>
        <w:trPr>
          <w:trHeight w:val="318" w:hRule="exact"/>
        </w:trPr>
        <w:tc>
          <w:tcPr>
            <w:tcW w:w="5868" w:type="dxa"/>
            <w:gridSpan w:val="3"/>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93" w:lineRule="exact"/>
              <w:ind w:left="165"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1368" w:type="dxa"/>
            <w:tcBorders>
              <w:top w:val="nil" w:sz="6" w:space="0" w:color="auto"/>
              <w:left w:val="nil" w:sz="6" w:space="0" w:color="auto"/>
              <w:bottom w:val="nil" w:sz="6" w:space="0" w:color="auto"/>
              <w:right w:val="nil" w:sz="6" w:space="0" w:color="auto"/>
            </w:tcBorders>
          </w:tcPr>
          <w:p>
            <w:pPr/>
          </w:p>
        </w:tc>
      </w:tr>
      <w:tr>
        <w:trPr>
          <w:trHeight w:val="321"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4"/>
                <w:szCs w:val="24"/>
              </w:rPr>
            </w:pPr>
            <w:r>
              <w:rPr>
                <w:rFonts w:ascii="宋体" w:hAnsi="宋体" w:cs="宋体" w:eastAsia="宋体" w:hint="default"/>
                <w:sz w:val="24"/>
                <w:szCs w:val="24"/>
              </w:rPr>
              <w:t>佛山市苏宁电器有限公司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70"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5"/>
              <w:jc w:val="right"/>
              <w:rPr>
                <w:rFonts w:ascii="Arial" w:hAnsi="Arial" w:cs="Arial" w:eastAsia="Arial" w:hint="default"/>
                <w:sz w:val="24"/>
                <w:szCs w:val="24"/>
              </w:rPr>
            </w:pPr>
            <w:r>
              <w:rPr>
                <w:rFonts w:ascii="Arial"/>
                <w:spacing w:val="-1"/>
                <w:sz w:val="24"/>
              </w:rPr>
              <w:t>24,000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08" w:right="0"/>
              <w:jc w:val="left"/>
              <w:rPr>
                <w:rFonts w:ascii="Arial" w:hAnsi="Arial" w:cs="Arial" w:eastAsia="Arial" w:hint="default"/>
                <w:sz w:val="24"/>
                <w:szCs w:val="24"/>
              </w:rPr>
            </w:pPr>
            <w:r>
              <w:rPr>
                <w:rFonts w:ascii="Arial"/>
                <w:sz w:val="24"/>
              </w:rPr>
              <w:t>14,000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2"/>
              <w:jc w:val="right"/>
              <w:rPr>
                <w:rFonts w:ascii="Arial" w:hAnsi="Arial" w:cs="Arial" w:eastAsia="Arial" w:hint="default"/>
                <w:sz w:val="24"/>
                <w:szCs w:val="24"/>
              </w:rPr>
            </w:pPr>
            <w:r>
              <w:rPr>
                <w:rFonts w:ascii="Arial"/>
                <w:spacing w:val="-1"/>
                <w:sz w:val="24"/>
              </w:rPr>
              <w:t>38,000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福建苏宁电器有限公司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sz w:val="24"/>
              </w:rPr>
              <w:t>63,000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26,000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sz w:val="24"/>
              </w:rPr>
              <w:t>89,000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广东苏宁电器有限公司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sz w:val="24"/>
              </w:rPr>
              <w:t>58,000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55,000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4"/>
                <w:sz w:val="24"/>
              </w:rPr>
              <w:t>113,000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上海苏宁电器有限公司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sz w:val="24"/>
              </w:rPr>
              <w:t>121,340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1" w:right="0"/>
              <w:jc w:val="left"/>
              <w:rPr>
                <w:rFonts w:ascii="Arial" w:hAnsi="Arial" w:cs="Arial" w:eastAsia="Arial" w:hint="default"/>
                <w:sz w:val="24"/>
                <w:szCs w:val="24"/>
              </w:rPr>
            </w:pPr>
            <w:r>
              <w:rPr>
                <w:rFonts w:ascii="Arial"/>
                <w:sz w:val="24"/>
              </w:rPr>
              <w:t>6,140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sz w:val="24"/>
              </w:rPr>
              <w:t>127,480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深圳苏宁电器有限公司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sz w:val="24"/>
              </w:rPr>
              <w:t>35,000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25,000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sz w:val="24"/>
              </w:rPr>
              <w:t>60,000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苏州苏宁电器有限公司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1,000</w:t>
            </w:r>
            <w:r>
              <w:rPr>
                <w:rFonts w:ascii="Arial"/>
                <w:w w:val="95"/>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1" w:right="0"/>
              <w:jc w:val="left"/>
              <w:rPr>
                <w:rFonts w:ascii="Arial" w:hAnsi="Arial" w:cs="Arial" w:eastAsia="Arial" w:hint="default"/>
                <w:sz w:val="24"/>
                <w:szCs w:val="24"/>
              </w:rPr>
            </w:pPr>
            <w:r>
              <w:rPr>
                <w:rFonts w:ascii="Arial"/>
                <w:sz w:val="24"/>
              </w:rPr>
              <w:t>9,000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sz w:val="24"/>
              </w:rPr>
              <w:t>10,000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无锡市苏宁电器有限公司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2,000</w:t>
            </w:r>
            <w:r>
              <w:rPr>
                <w:rFonts w:ascii="Arial"/>
                <w:w w:val="95"/>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1" w:right="0"/>
              <w:jc w:val="left"/>
              <w:rPr>
                <w:rFonts w:ascii="Arial" w:hAnsi="Arial" w:cs="Arial" w:eastAsia="Arial" w:hint="default"/>
                <w:sz w:val="24"/>
                <w:szCs w:val="24"/>
              </w:rPr>
            </w:pPr>
            <w:r>
              <w:rPr>
                <w:rFonts w:ascii="Arial"/>
                <w:sz w:val="24"/>
              </w:rPr>
              <w:t>8,000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sz w:val="24"/>
              </w:rPr>
              <w:t>10,000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厦门福厦苏宁电器有限公司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4"/>
                <w:sz w:val="24"/>
              </w:rPr>
              <w:t>11,600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26,000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sz w:val="24"/>
              </w:rPr>
              <w:t>37,600</w:t>
            </w:r>
            <w:r>
              <w:rPr>
                <w:rFonts w:ascii="Arial"/>
                <w:sz w:val="24"/>
              </w:rPr>
            </w:r>
          </w:p>
        </w:tc>
      </w:tr>
      <w:tr>
        <w:trPr>
          <w:trHeight w:val="391"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浙江苏宁电器有限公司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sz w:val="24"/>
              </w:rPr>
              <w:t>95,000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1" w:right="0"/>
              <w:jc w:val="left"/>
              <w:rPr>
                <w:rFonts w:ascii="Arial" w:hAnsi="Arial" w:cs="Arial" w:eastAsia="Arial" w:hint="default"/>
                <w:sz w:val="24"/>
                <w:szCs w:val="24"/>
              </w:rPr>
            </w:pPr>
            <w:r>
              <w:rPr>
                <w:rFonts w:ascii="Arial"/>
                <w:sz w:val="24"/>
              </w:rPr>
              <w:t>9,010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sz w:val="24"/>
              </w:rPr>
              <w:t>104,010</w:t>
            </w:r>
            <w:r>
              <w:rPr>
                <w:rFonts w:ascii="Arial"/>
                <w:sz w:val="24"/>
              </w:rPr>
            </w:r>
          </w:p>
        </w:tc>
      </w:tr>
    </w:tbl>
    <w:p>
      <w:pPr>
        <w:spacing w:line="240" w:lineRule="auto" w:before="5"/>
        <w:rPr>
          <w:rFonts w:ascii="宋体" w:hAnsi="宋体" w:cs="宋体" w:eastAsia="宋体" w:hint="default"/>
          <w:sz w:val="6"/>
          <w:szCs w:val="6"/>
        </w:rPr>
      </w:pPr>
    </w:p>
    <w:p>
      <w:pPr>
        <w:pStyle w:val="BodyText"/>
        <w:spacing w:line="312" w:lineRule="exact" w:before="56"/>
        <w:ind w:left="749" w:right="304"/>
        <w:jc w:val="left"/>
      </w:pPr>
      <w:r>
        <w:rPr/>
        <w:t>截止</w:t>
      </w:r>
      <w:r>
        <w:rPr>
          <w:spacing w:val="-43"/>
        </w:rPr>
        <w:t> </w:t>
      </w:r>
      <w:r>
        <w:rPr>
          <w:rFonts w:ascii="Arial" w:hAnsi="Arial" w:cs="Arial" w:eastAsia="Arial" w:hint="default"/>
        </w:rPr>
        <w:t>2007</w:t>
      </w:r>
      <w:r>
        <w:rPr>
          <w:rFonts w:ascii="Arial" w:hAnsi="Arial" w:cs="Arial" w:eastAsia="Arial" w:hint="default"/>
          <w:spacing w:val="11"/>
        </w:rPr>
        <w:t> </w:t>
      </w:r>
      <w:r>
        <w:rPr/>
        <w:t>年</w:t>
      </w:r>
      <w:r>
        <w:rPr>
          <w:spacing w:val="-43"/>
        </w:rPr>
        <w:t> </w:t>
      </w:r>
      <w:r>
        <w:rPr>
          <w:rFonts w:ascii="Arial" w:hAnsi="Arial" w:cs="Arial" w:eastAsia="Arial" w:hint="default"/>
        </w:rPr>
        <w:t>12</w:t>
      </w:r>
      <w:r>
        <w:rPr>
          <w:rFonts w:ascii="Arial" w:hAnsi="Arial" w:cs="Arial" w:eastAsia="Arial" w:hint="default"/>
          <w:spacing w:val="10"/>
        </w:rPr>
        <w:t> </w:t>
      </w:r>
      <w:r>
        <w:rPr/>
        <w:t>月</w:t>
      </w:r>
      <w:r>
        <w:rPr>
          <w:spacing w:val="-42"/>
        </w:rPr>
        <w:t> </w:t>
      </w:r>
      <w:r>
        <w:rPr>
          <w:rFonts w:ascii="Arial" w:hAnsi="Arial" w:cs="Arial" w:eastAsia="Arial" w:hint="default"/>
        </w:rPr>
        <w:t>31</w:t>
      </w:r>
      <w:r>
        <w:rPr>
          <w:rFonts w:ascii="Arial" w:hAnsi="Arial" w:cs="Arial" w:eastAsia="Arial" w:hint="default"/>
          <w:spacing w:val="10"/>
        </w:rPr>
        <w:t> </w:t>
      </w:r>
      <w:r>
        <w:rPr/>
        <w:t>日，上述子公司注册资本已全部到位，本公司增资前后持有 的权益比例及表决权比例未发生变化。</w:t>
      </w:r>
    </w:p>
    <w:p>
      <w:pPr>
        <w:pStyle w:val="BodyText"/>
        <w:tabs>
          <w:tab w:pos="715" w:val="left" w:leader="none"/>
        </w:tabs>
        <w:spacing w:line="322" w:lineRule="exact" w:before="210"/>
        <w:ind w:left="147" w:right="0"/>
        <w:jc w:val="left"/>
      </w:pPr>
      <w:r>
        <w:rPr>
          <w:rFonts w:ascii="Arial" w:hAnsi="Arial" w:cs="Arial" w:eastAsia="Arial" w:hint="default"/>
          <w:position w:val="2"/>
        </w:rPr>
        <w:t>(2)</w:t>
        <w:tab/>
      </w:r>
      <w:r>
        <w:rPr/>
        <w:t>于</w:t>
      </w:r>
      <w:r>
        <w:rPr>
          <w:spacing w:val="-60"/>
        </w:rPr>
        <w:t> </w:t>
      </w:r>
      <w:r>
        <w:rPr>
          <w:rFonts w:ascii="Arial" w:hAnsi="Arial" w:cs="Arial" w:eastAsia="Arial" w:hint="default"/>
        </w:rPr>
        <w:t>2007</w:t>
      </w:r>
      <w:r>
        <w:rPr>
          <w:rFonts w:ascii="Arial" w:hAnsi="Arial" w:cs="Arial" w:eastAsia="Arial" w:hint="default"/>
          <w:spacing w:val="-7"/>
        </w:rPr>
        <w:t> </w:t>
      </w:r>
      <w:r>
        <w:rPr>
          <w:spacing w:val="-7"/>
        </w:rPr>
        <w:t>年度，本集团新设立了</w:t>
      </w:r>
      <w:r>
        <w:rPr>
          <w:spacing w:val="-61"/>
        </w:rPr>
        <w:t> </w:t>
      </w:r>
      <w:r>
        <w:rPr>
          <w:rFonts w:ascii="Arial" w:hAnsi="Arial" w:cs="Arial" w:eastAsia="Arial" w:hint="default"/>
        </w:rPr>
        <w:t>56</w:t>
      </w:r>
      <w:r>
        <w:rPr>
          <w:rFonts w:ascii="Arial" w:hAnsi="Arial" w:cs="Arial" w:eastAsia="Arial" w:hint="default"/>
          <w:spacing w:val="-7"/>
        </w:rPr>
        <w:t> </w:t>
      </w:r>
      <w:r>
        <w:rPr>
          <w:spacing w:val="-5"/>
        </w:rPr>
        <w:t>家子公司，注册资本总额约为人民币</w:t>
      </w:r>
      <w:r>
        <w:rPr>
          <w:spacing w:val="-60"/>
        </w:rPr>
        <w:t> </w:t>
      </w:r>
      <w:r>
        <w:rPr>
          <w:rFonts w:ascii="Arial" w:hAnsi="Arial" w:cs="Arial" w:eastAsia="Arial" w:hint="default"/>
        </w:rPr>
        <w:t>30,660</w:t>
      </w:r>
      <w:r>
        <w:rPr>
          <w:rFonts w:ascii="Arial" w:hAnsi="Arial" w:cs="Arial" w:eastAsia="Arial" w:hint="default"/>
          <w:spacing w:val="-7"/>
        </w:rPr>
        <w:t> </w:t>
      </w:r>
      <w:r>
        <w:rPr/>
        <w:t>万元，</w:t>
      </w:r>
    </w:p>
    <w:p>
      <w:pPr>
        <w:pStyle w:val="BodyText"/>
        <w:spacing w:line="322" w:lineRule="exact"/>
        <w:ind w:left="715" w:right="304"/>
        <w:jc w:val="left"/>
      </w:pPr>
      <w:r>
        <w:rPr/>
        <w:t>其中本集团出资额约为人民币</w:t>
      </w:r>
      <w:r>
        <w:rPr>
          <w:spacing w:val="-64"/>
        </w:rPr>
        <w:t> </w:t>
      </w:r>
      <w:r>
        <w:rPr>
          <w:rFonts w:ascii="Arial" w:hAnsi="Arial" w:cs="Arial" w:eastAsia="Arial" w:hint="default"/>
        </w:rPr>
        <w:t>29,049.4</w:t>
      </w:r>
      <w:r>
        <w:rPr>
          <w:rFonts w:ascii="Arial" w:hAnsi="Arial" w:cs="Arial" w:eastAsia="Arial" w:hint="default"/>
          <w:spacing w:val="-11"/>
        </w:rPr>
        <w:t> </w:t>
      </w:r>
      <w:r>
        <w:rPr/>
        <w:t>万元。</w:t>
      </w:r>
    </w:p>
    <w:p>
      <w:pPr>
        <w:spacing w:after="0" w:line="322" w:lineRule="exact"/>
        <w:jc w:val="left"/>
        <w:sectPr>
          <w:type w:val="continuous"/>
          <w:pgSz w:w="11910" w:h="16840"/>
          <w:pgMar w:top="1600" w:bottom="280" w:left="980" w:right="1120"/>
        </w:sectPr>
      </w:pPr>
    </w:p>
    <w:p>
      <w:pPr>
        <w:spacing w:line="240" w:lineRule="auto" w:before="5"/>
        <w:rPr>
          <w:rFonts w:ascii="宋体" w:hAnsi="宋体" w:cs="宋体" w:eastAsia="宋体" w:hint="default"/>
          <w:sz w:val="17"/>
          <w:szCs w:val="17"/>
        </w:rPr>
      </w:pPr>
    </w:p>
    <w:p>
      <w:pPr>
        <w:pStyle w:val="Heading2"/>
        <w:tabs>
          <w:tab w:pos="799" w:val="left" w:leader="none"/>
        </w:tabs>
        <w:spacing w:line="240" w:lineRule="auto"/>
        <w:ind w:right="87"/>
        <w:jc w:val="left"/>
        <w:rPr>
          <w:b w:val="0"/>
          <w:bCs w:val="0"/>
        </w:rPr>
      </w:pPr>
      <w:r>
        <w:rPr>
          <w:w w:val="95"/>
        </w:rPr>
        <w:t>八</w:t>
        <w:tab/>
      </w:r>
      <w:r>
        <w:rPr/>
        <w:t>合并财务报表项目附注</w:t>
      </w:r>
      <w:r>
        <w:rPr>
          <w:b w:val="0"/>
          <w:bCs w:val="0"/>
        </w:rPr>
      </w:r>
    </w:p>
    <w:p>
      <w:pPr>
        <w:spacing w:line="240" w:lineRule="auto" w:before="12"/>
        <w:rPr>
          <w:rFonts w:ascii="宋体" w:hAnsi="宋体" w:cs="宋体" w:eastAsia="宋体" w:hint="default"/>
          <w:b/>
          <w:bCs/>
          <w:sz w:val="20"/>
          <w:szCs w:val="20"/>
        </w:rPr>
      </w:pPr>
    </w:p>
    <w:p>
      <w:pPr>
        <w:tabs>
          <w:tab w:pos="799" w:val="left" w:leader="none"/>
        </w:tabs>
        <w:spacing w:before="0"/>
        <w:ind w:left="107" w:right="87" w:firstLine="0"/>
        <w:jc w:val="left"/>
        <w:rPr>
          <w:rFonts w:ascii="宋体" w:hAnsi="宋体" w:cs="宋体" w:eastAsia="宋体" w:hint="default"/>
          <w:sz w:val="24"/>
          <w:szCs w:val="24"/>
        </w:rPr>
      </w:pPr>
      <w:r>
        <w:rPr>
          <w:rFonts w:ascii="Arial" w:hAnsi="Arial" w:cs="Arial" w:eastAsia="Arial" w:hint="default"/>
          <w:position w:val="2"/>
          <w:sz w:val="24"/>
          <w:szCs w:val="24"/>
        </w:rPr>
        <w:t>(1)</w:t>
        <w:tab/>
      </w:r>
      <w:r>
        <w:rPr>
          <w:rFonts w:ascii="宋体" w:hAnsi="宋体" w:cs="宋体" w:eastAsia="宋体" w:hint="default"/>
          <w:b/>
          <w:bCs/>
          <w:sz w:val="24"/>
          <w:szCs w:val="24"/>
        </w:rPr>
        <w:t>货币资金</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730" w:val="left" w:leader="none"/>
        </w:tabs>
        <w:spacing w:line="322" w:lineRule="exact" w:before="26"/>
        <w:ind w:left="4782" w:right="87"/>
        <w:jc w:val="left"/>
      </w:pP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8456" w:val="left" w:leader="none"/>
        </w:tabs>
        <w:spacing w:line="322" w:lineRule="exact"/>
        <w:ind w:left="5508" w:right="87"/>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6268" w:val="left" w:leader="none"/>
          <w:tab w:pos="9216" w:val="left" w:leader="none"/>
        </w:tabs>
        <w:spacing w:line="313" w:lineRule="exact"/>
        <w:ind w:left="817" w:right="87"/>
        <w:jc w:val="left"/>
        <w:rPr>
          <w:rFonts w:ascii="Arial" w:hAnsi="Arial" w:cs="Arial" w:eastAsia="Arial" w:hint="default"/>
        </w:rPr>
      </w:pPr>
      <w:r>
        <w:rPr/>
        <w:t>现金</w:t>
        <w:tab/>
      </w:r>
      <w:r>
        <w:rPr>
          <w:rFonts w:ascii="Arial" w:hAnsi="Arial" w:cs="Arial" w:eastAsia="Arial" w:hint="default"/>
          <w:spacing w:val="-1"/>
          <w:position w:val="2"/>
        </w:rPr>
        <w:t>7,283</w:t>
        <w:tab/>
        <w:t>2,251</w:t>
      </w:r>
      <w:r>
        <w:rPr>
          <w:rFonts w:ascii="Arial" w:hAnsi="Arial" w:cs="Arial" w:eastAsia="Arial" w:hint="default"/>
        </w:rPr>
      </w:r>
    </w:p>
    <w:p>
      <w:pPr>
        <w:pStyle w:val="BodyText"/>
        <w:tabs>
          <w:tab w:pos="5800" w:val="left" w:leader="none"/>
          <w:tab w:pos="8748" w:val="left" w:leader="none"/>
        </w:tabs>
        <w:spacing w:line="312" w:lineRule="exact"/>
        <w:ind w:left="817" w:right="87"/>
        <w:jc w:val="left"/>
        <w:rPr>
          <w:rFonts w:ascii="Arial" w:hAnsi="Arial" w:cs="Arial" w:eastAsia="Arial" w:hint="default"/>
        </w:rPr>
      </w:pPr>
      <w:r>
        <w:rPr/>
        <w:t>银行存款</w:t>
        <w:tab/>
      </w:r>
      <w:r>
        <w:rPr>
          <w:rFonts w:ascii="Arial" w:hAnsi="Arial" w:cs="Arial" w:eastAsia="Arial" w:hint="default"/>
          <w:spacing w:val="-1"/>
          <w:position w:val="2"/>
        </w:rPr>
        <w:t>2,934,812</w:t>
        <w:tab/>
        <w:t>1,442,873</w:t>
      </w:r>
      <w:r>
        <w:rPr>
          <w:rFonts w:ascii="Arial" w:hAnsi="Arial" w:cs="Arial" w:eastAsia="Arial" w:hint="default"/>
        </w:rPr>
      </w:r>
    </w:p>
    <w:p>
      <w:pPr>
        <w:pStyle w:val="BodyText"/>
        <w:tabs>
          <w:tab w:pos="5800" w:val="left" w:leader="none"/>
          <w:tab w:pos="8749" w:val="left" w:leader="none"/>
        </w:tabs>
        <w:spacing w:line="313" w:lineRule="exact"/>
        <w:ind w:left="817" w:right="87"/>
        <w:jc w:val="left"/>
        <w:rPr>
          <w:rFonts w:ascii="Arial" w:hAnsi="Arial" w:cs="Arial" w:eastAsia="Arial" w:hint="default"/>
        </w:rPr>
      </w:pPr>
      <w:r>
        <w:rPr/>
        <w:t>其他货币资金</w:t>
        <w:tab/>
      </w:r>
      <w:r>
        <w:rPr>
          <w:rFonts w:ascii="Arial" w:hAnsi="Arial" w:cs="Arial" w:eastAsia="Arial" w:hint="default"/>
          <w:spacing w:val="-1"/>
          <w:position w:val="2"/>
        </w:rPr>
        <w:t>4,523,198</w:t>
        <w:tab/>
        <w:t>1,894,657</w:t>
      </w:r>
      <w:r>
        <w:rPr>
          <w:rFonts w:ascii="Arial" w:hAnsi="Arial" w:cs="Arial" w:eastAsia="Arial" w:hint="default"/>
        </w:rPr>
      </w:r>
    </w:p>
    <w:p>
      <w:pPr>
        <w:spacing w:line="240" w:lineRule="auto" w:before="3"/>
        <w:rPr>
          <w:rFonts w:ascii="Arial" w:hAnsi="Arial" w:cs="Arial" w:eastAsia="Arial" w:hint="default"/>
          <w:sz w:val="3"/>
          <w:szCs w:val="3"/>
        </w:rPr>
      </w:pPr>
    </w:p>
    <w:p>
      <w:pPr>
        <w:tabs>
          <w:tab w:pos="7509" w:val="left" w:leader="none"/>
        </w:tabs>
        <w:spacing w:line="20" w:lineRule="exact"/>
        <w:ind w:left="4491" w:right="0" w:firstLine="0"/>
        <w:rPr>
          <w:rFonts w:ascii="Arial" w:hAnsi="Arial" w:cs="Arial" w:eastAsia="Arial" w:hint="default"/>
          <w:sz w:val="2"/>
          <w:szCs w:val="2"/>
        </w:rPr>
      </w:pPr>
      <w:r>
        <w:rPr>
          <w:rFonts w:ascii="Arial"/>
          <w:sz w:val="2"/>
        </w:rPr>
        <w:pict>
          <v:group style="width:124.15pt;height:.5pt;mso-position-horizontal-relative:char;mso-position-vertical-relative:line" coordorigin="0,0" coordsize="2483,10">
            <v:group style="position:absolute;left:5;top:5;width:2474;height:2" coordorigin="5,5" coordsize="2474,2">
              <v:shape style="position:absolute;left:5;top:5;width:2474;height:2" coordorigin="5,5" coordsize="2474,0" path="m5,5l2478,5e" filled="false" stroked="true" strokeweight=".47998pt" strokecolor="#000000">
                <v:path arrowok="t"/>
              </v:shape>
            </v:group>
          </v:group>
        </w:pict>
      </w:r>
      <w:r>
        <w:rPr>
          <w:rFonts w:ascii="Arial"/>
          <w:sz w:val="2"/>
        </w:rPr>
      </w:r>
      <w:r>
        <w:rPr>
          <w:rFonts w:ascii="Arial"/>
          <w:sz w:val="2"/>
        </w:rPr>
        <w:tab/>
      </w:r>
      <w:r>
        <w:rPr>
          <w:rFonts w:ascii="Arial"/>
          <w:sz w:val="2"/>
        </w:rPr>
        <w:pict>
          <v:group style="width:120.6pt;height:.5pt;mso-position-horizontal-relative:char;mso-position-vertical-relative:line" coordorigin="0,0" coordsize="2412,10">
            <v:group style="position:absolute;left:5;top:5;width:2403;height:2" coordorigin="5,5" coordsize="2403,2">
              <v:shape style="position:absolute;left:5;top:5;width:2403;height:2" coordorigin="5,5" coordsize="2403,0" path="m5,5l2407,5e" filled="false" stroked="true" strokeweight=".47998pt" strokecolor="#000000">
                <v:path arrowok="t"/>
              </v:shape>
            </v:group>
          </v:group>
        </w:pict>
      </w:r>
      <w:r>
        <w:rPr>
          <w:rFonts w:ascii="Arial"/>
          <w:sz w:val="2"/>
        </w:rPr>
      </w:r>
    </w:p>
    <w:p>
      <w:pPr>
        <w:pStyle w:val="BodyText"/>
        <w:tabs>
          <w:tab w:pos="8749" w:val="left" w:leader="none"/>
        </w:tabs>
        <w:spacing w:line="240" w:lineRule="auto"/>
        <w:ind w:left="5800" w:right="87"/>
        <w:jc w:val="left"/>
        <w:rPr>
          <w:rFonts w:ascii="Arial" w:hAnsi="Arial" w:cs="Arial" w:eastAsia="Arial" w:hint="default"/>
        </w:rPr>
      </w:pPr>
      <w:r>
        <w:rPr>
          <w:rFonts w:ascii="Arial"/>
          <w:spacing w:val="-1"/>
        </w:rPr>
        <w:t>7,465,293</w:t>
        <w:tab/>
        <w:t>3,339,781</w:t>
      </w:r>
      <w:r>
        <w:rPr>
          <w:rFonts w:ascii="Arial"/>
        </w:rPr>
      </w:r>
    </w:p>
    <w:p>
      <w:pPr>
        <w:tabs>
          <w:tab w:pos="7499" w:val="left" w:leader="none"/>
        </w:tabs>
        <w:spacing w:line="30" w:lineRule="exact"/>
        <w:ind w:left="4481" w:right="0" w:firstLine="0"/>
        <w:rPr>
          <w:rFonts w:ascii="Arial" w:hAnsi="Arial" w:cs="Arial" w:eastAsia="Arial" w:hint="default"/>
          <w:sz w:val="3"/>
          <w:szCs w:val="3"/>
        </w:rPr>
      </w:pPr>
      <w:r>
        <w:rPr>
          <w:rFonts w:ascii="Arial"/>
          <w:position w:val="0"/>
          <w:sz w:val="3"/>
        </w:rPr>
        <w:pict>
          <v:group style="width:125.2pt;height:1.5pt;mso-position-horizontal-relative:char;mso-position-vertical-relative:line" coordorigin="0,0" coordsize="2504,30">
            <v:group style="position:absolute;left:15;top:15;width:2474;height:2" coordorigin="15,15" coordsize="2474,2">
              <v:shape style="position:absolute;left:15;top:15;width:2474;height:2" coordorigin="15,15" coordsize="2474,0" path="m15,15l2488,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21.65pt;height:1.5pt;mso-position-horizontal-relative:char;mso-position-vertical-relative:line" coordorigin="0,0" coordsize="2433,30">
            <v:group style="position:absolute;left:15;top:15;width:2403;height:2" coordorigin="15,15" coordsize="2403,2">
              <v:shape style="position:absolute;left:15;top:15;width:2403;height:2" coordorigin="15,15" coordsize="2403,0" path="m15,15l2417,15e" filled="false" stroked="true" strokeweight="1.5pt" strokecolor="#000000">
                <v:path arrowok="t"/>
              </v:shape>
            </v:group>
          </v:group>
        </w:pict>
      </w:r>
      <w:r>
        <w:rPr>
          <w:rFonts w:ascii="Arial"/>
          <w:position w:val="0"/>
          <w:sz w:val="3"/>
        </w:rPr>
      </w:r>
    </w:p>
    <w:p>
      <w:pPr>
        <w:spacing w:line="240" w:lineRule="auto" w:before="7"/>
        <w:rPr>
          <w:rFonts w:ascii="Arial" w:hAnsi="Arial" w:cs="Arial" w:eastAsia="Arial" w:hint="default"/>
          <w:sz w:val="18"/>
          <w:szCs w:val="18"/>
        </w:rPr>
      </w:pPr>
    </w:p>
    <w:p>
      <w:pPr>
        <w:pStyle w:val="BodyText"/>
        <w:spacing w:line="240" w:lineRule="auto" w:before="26"/>
        <w:ind w:left="799" w:right="87"/>
        <w:jc w:val="left"/>
      </w:pPr>
      <w:r>
        <w:rPr/>
        <w:t>本集团的货币资金均为人民币余额。</w:t>
      </w:r>
    </w:p>
    <w:p>
      <w:pPr>
        <w:spacing w:line="240" w:lineRule="auto" w:before="12"/>
        <w:rPr>
          <w:rFonts w:ascii="宋体" w:hAnsi="宋体" w:cs="宋体" w:eastAsia="宋体" w:hint="default"/>
          <w:sz w:val="20"/>
          <w:szCs w:val="20"/>
        </w:rPr>
      </w:pPr>
    </w:p>
    <w:p>
      <w:pPr>
        <w:pStyle w:val="BodyText"/>
        <w:spacing w:line="322" w:lineRule="exact"/>
        <w:ind w:left="799" w:right="87"/>
        <w:jc w:val="left"/>
        <w:rPr>
          <w:rFonts w:ascii="Arial" w:hAnsi="Arial" w:cs="Arial" w:eastAsia="Arial" w:hint="default"/>
        </w:rPr>
      </w:pPr>
      <w:r>
        <w:rPr/>
        <w:t>于</w:t>
      </w:r>
      <w:r>
        <w:rPr>
          <w:spacing w:val="-60"/>
        </w:rPr>
        <w:t> </w:t>
      </w:r>
      <w:r>
        <w:rPr>
          <w:rFonts w:ascii="Arial" w:hAnsi="Arial" w:cs="Arial" w:eastAsia="Arial" w:hint="default"/>
          <w:spacing w:val="-1"/>
        </w:rPr>
        <w:t>200</w:t>
      </w:r>
      <w:r>
        <w:rPr>
          <w:rFonts w:ascii="Arial" w:hAnsi="Arial" w:cs="Arial" w:eastAsia="Arial" w:hint="default"/>
        </w:rPr>
        <w:t>7</w:t>
      </w:r>
      <w:r>
        <w:rPr>
          <w:rFonts w:ascii="Arial" w:hAnsi="Arial" w:cs="Arial" w:eastAsia="Arial" w:hint="default"/>
          <w:spacing w:val="-7"/>
        </w:rPr>
        <w:t> </w:t>
      </w:r>
      <w:r>
        <w:rPr/>
        <w:t>年</w:t>
      </w:r>
      <w:r>
        <w:rPr>
          <w:spacing w:val="-60"/>
        </w:rPr>
        <w:t> </w:t>
      </w:r>
      <w:r>
        <w:rPr>
          <w:rFonts w:ascii="Arial" w:hAnsi="Arial" w:cs="Arial" w:eastAsia="Arial" w:hint="default"/>
          <w:spacing w:val="-1"/>
        </w:rPr>
        <w:t>1</w:t>
      </w:r>
      <w:r>
        <w:rPr>
          <w:rFonts w:ascii="Arial" w:hAnsi="Arial" w:cs="Arial" w:eastAsia="Arial" w:hint="default"/>
        </w:rPr>
        <w:t>2</w:t>
      </w:r>
      <w:r>
        <w:rPr>
          <w:rFonts w:ascii="Arial" w:hAnsi="Arial" w:cs="Arial" w:eastAsia="Arial" w:hint="default"/>
          <w:spacing w:val="-7"/>
        </w:rPr>
        <w:t> </w:t>
      </w:r>
      <w:r>
        <w:rPr/>
        <w:t>月</w:t>
      </w:r>
      <w:r>
        <w:rPr>
          <w:spacing w:val="-60"/>
        </w:rPr>
        <w:t> </w:t>
      </w:r>
      <w:r>
        <w:rPr>
          <w:rFonts w:ascii="Arial" w:hAnsi="Arial" w:cs="Arial" w:eastAsia="Arial" w:hint="default"/>
          <w:spacing w:val="-1"/>
        </w:rPr>
        <w:t>3</w:t>
      </w:r>
      <w:r>
        <w:rPr>
          <w:rFonts w:ascii="Arial" w:hAnsi="Arial" w:cs="Arial" w:eastAsia="Arial" w:hint="default"/>
        </w:rPr>
        <w:t>1</w:t>
      </w:r>
      <w:r>
        <w:rPr>
          <w:rFonts w:ascii="Arial" w:hAnsi="Arial" w:cs="Arial" w:eastAsia="Arial" w:hint="default"/>
          <w:spacing w:val="-7"/>
        </w:rPr>
        <w:t> </w:t>
      </w:r>
      <w:r>
        <w:rPr/>
        <w:t>日</w:t>
      </w:r>
      <w:r>
        <w:rPr>
          <w:spacing w:val="-120"/>
        </w:rPr>
        <w:t>，</w:t>
      </w:r>
      <w:r>
        <w:rPr/>
        <w:t>本集团将约人民币</w:t>
      </w:r>
      <w:r>
        <w:rPr>
          <w:spacing w:val="-60"/>
        </w:rPr>
        <w:t> </w:t>
      </w:r>
      <w:r>
        <w:rPr>
          <w:rFonts w:ascii="Arial" w:hAnsi="Arial" w:cs="Arial" w:eastAsia="Arial" w:hint="default"/>
          <w:spacing w:val="-1"/>
        </w:rPr>
        <w:t>39.</w:t>
      </w:r>
      <w:r>
        <w:rPr>
          <w:rFonts w:ascii="Arial" w:hAnsi="Arial" w:cs="Arial" w:eastAsia="Arial" w:hint="default"/>
        </w:rPr>
        <w:t>6</w:t>
      </w:r>
      <w:r>
        <w:rPr>
          <w:rFonts w:ascii="Arial" w:hAnsi="Arial" w:cs="Arial" w:eastAsia="Arial" w:hint="default"/>
          <w:spacing w:val="-7"/>
        </w:rPr>
        <w:t> </w:t>
      </w:r>
      <w:r>
        <w:rPr/>
        <w:t>亿元的其他货币资金</w:t>
      </w:r>
      <w:r>
        <w:rPr>
          <w:rFonts w:ascii="Arial" w:hAnsi="Arial" w:cs="Arial" w:eastAsia="Arial" w:hint="default"/>
          <w:spacing w:val="-1"/>
        </w:rPr>
        <w:t>(200</w:t>
      </w:r>
      <w:r>
        <w:rPr>
          <w:rFonts w:ascii="Arial" w:hAnsi="Arial" w:cs="Arial" w:eastAsia="Arial" w:hint="default"/>
        </w:rPr>
        <w:t>6</w:t>
      </w:r>
      <w:r>
        <w:rPr>
          <w:rFonts w:ascii="Arial" w:hAnsi="Arial" w:cs="Arial" w:eastAsia="Arial" w:hint="default"/>
          <w:spacing w:val="-7"/>
        </w:rPr>
        <w:t> </w:t>
      </w:r>
      <w:r>
        <w:rPr/>
        <w:t>年</w:t>
      </w:r>
      <w:r>
        <w:rPr>
          <w:spacing w:val="-60"/>
        </w:rPr>
        <w:t> </w:t>
      </w:r>
      <w:r>
        <w:rPr>
          <w:rFonts w:ascii="Arial" w:hAnsi="Arial" w:cs="Arial" w:eastAsia="Arial" w:hint="default"/>
          <w:spacing w:val="-1"/>
        </w:rPr>
        <w:t>1</w:t>
      </w:r>
      <w:r>
        <w:rPr>
          <w:rFonts w:ascii="Arial" w:hAnsi="Arial" w:cs="Arial" w:eastAsia="Arial" w:hint="default"/>
        </w:rPr>
        <w:t>2</w:t>
      </w:r>
      <w:r>
        <w:rPr>
          <w:rFonts w:ascii="Arial" w:hAnsi="Arial" w:cs="Arial" w:eastAsia="Arial" w:hint="default"/>
          <w:spacing w:val="-7"/>
        </w:rPr>
        <w:t> </w:t>
      </w:r>
      <w:r>
        <w:rPr/>
        <w:t>月</w:t>
      </w:r>
      <w:r>
        <w:rPr>
          <w:spacing w:val="-60"/>
        </w:rPr>
        <w:t> </w:t>
      </w:r>
      <w:r>
        <w:rPr>
          <w:rFonts w:ascii="Arial" w:hAnsi="Arial" w:cs="Arial" w:eastAsia="Arial" w:hint="default"/>
          <w:spacing w:val="-1"/>
        </w:rPr>
        <w:t>31</w:t>
      </w:r>
      <w:r>
        <w:rPr>
          <w:rFonts w:ascii="Arial" w:hAnsi="Arial" w:cs="Arial" w:eastAsia="Arial" w:hint="default"/>
        </w:rPr>
      </w:r>
    </w:p>
    <w:p>
      <w:pPr>
        <w:pStyle w:val="BodyText"/>
        <w:spacing w:line="322" w:lineRule="exact"/>
        <w:ind w:left="817" w:right="87"/>
        <w:jc w:val="left"/>
      </w:pPr>
      <w:r>
        <w:rPr/>
        <w:t>日：约人民币</w:t>
      </w:r>
      <w:r>
        <w:rPr>
          <w:spacing w:val="-64"/>
        </w:rPr>
        <w:t> </w:t>
      </w:r>
      <w:r>
        <w:rPr>
          <w:rFonts w:ascii="Arial" w:hAnsi="Arial" w:cs="Arial" w:eastAsia="Arial" w:hint="default"/>
        </w:rPr>
        <w:t>18.4</w:t>
      </w:r>
      <w:r>
        <w:rPr>
          <w:rFonts w:ascii="Arial" w:hAnsi="Arial" w:cs="Arial" w:eastAsia="Arial" w:hint="default"/>
          <w:spacing w:val="-11"/>
        </w:rPr>
        <w:t> </w:t>
      </w:r>
      <w:r>
        <w:rPr/>
        <w:t>亿元</w:t>
      </w:r>
      <w:r>
        <w:rPr>
          <w:rFonts w:ascii="Arial" w:hAnsi="Arial" w:cs="Arial" w:eastAsia="Arial" w:hint="default"/>
        </w:rPr>
        <w:t>)</w:t>
      </w:r>
      <w:r>
        <w:rPr/>
        <w:t>质押给银行作为开立银行承兑汇票的保证</w:t>
      </w:r>
      <w:r>
        <w:rPr>
          <w:rFonts w:ascii="Arial" w:hAnsi="Arial" w:cs="Arial" w:eastAsia="Arial" w:hint="default"/>
        </w:rPr>
        <w:t>(</w:t>
      </w:r>
      <w:r>
        <w:rPr/>
        <w:t>附注八</w:t>
      </w:r>
      <w:r>
        <w:rPr>
          <w:rFonts w:ascii="Arial" w:hAnsi="Arial" w:cs="Arial" w:eastAsia="Arial" w:hint="default"/>
        </w:rPr>
        <w:t>(13))</w:t>
      </w:r>
      <w:r>
        <w:rPr/>
        <w:t>。</w:t>
      </w:r>
    </w:p>
    <w:p>
      <w:pPr>
        <w:spacing w:line="240" w:lineRule="auto" w:before="13"/>
        <w:rPr>
          <w:rFonts w:ascii="宋体" w:hAnsi="宋体" w:cs="宋体" w:eastAsia="宋体" w:hint="default"/>
          <w:sz w:val="21"/>
          <w:szCs w:val="21"/>
        </w:rPr>
      </w:pPr>
    </w:p>
    <w:p>
      <w:pPr>
        <w:pStyle w:val="BodyText"/>
        <w:spacing w:line="312" w:lineRule="exact"/>
        <w:ind w:left="817" w:right="87" w:hanging="18"/>
        <w:jc w:val="left"/>
      </w:pPr>
      <w:r>
        <w:rPr/>
        <w:t>于</w:t>
      </w:r>
      <w:r>
        <w:rPr>
          <w:spacing w:val="-58"/>
        </w:rPr>
        <w:t> </w:t>
      </w:r>
      <w:r>
        <w:rPr>
          <w:rFonts w:ascii="Arial" w:hAnsi="Arial" w:cs="Arial" w:eastAsia="Arial" w:hint="default"/>
        </w:rPr>
        <w:t>2007</w:t>
      </w:r>
      <w:r>
        <w:rPr>
          <w:rFonts w:ascii="Arial" w:hAnsi="Arial" w:cs="Arial" w:eastAsia="Arial" w:hint="default"/>
          <w:spacing w:val="-5"/>
        </w:rPr>
        <w:t> </w:t>
      </w:r>
      <w:r>
        <w:rPr/>
        <w:t>年</w:t>
      </w:r>
      <w:r>
        <w:rPr>
          <w:spacing w:val="-58"/>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日，本集团将约人民币</w:t>
      </w:r>
      <w:r>
        <w:rPr>
          <w:spacing w:val="-58"/>
        </w:rPr>
        <w:t> </w:t>
      </w:r>
      <w:r>
        <w:rPr>
          <w:rFonts w:ascii="Arial" w:hAnsi="Arial" w:cs="Arial" w:eastAsia="Arial" w:hint="default"/>
        </w:rPr>
        <w:t>405</w:t>
      </w:r>
      <w:r>
        <w:rPr>
          <w:rFonts w:ascii="Arial" w:hAnsi="Arial" w:cs="Arial" w:eastAsia="Arial" w:hint="default"/>
          <w:spacing w:val="-5"/>
        </w:rPr>
        <w:t> </w:t>
      </w:r>
      <w:r>
        <w:rPr/>
        <w:t>万元</w:t>
      </w:r>
      <w:r>
        <w:rPr>
          <w:rFonts w:ascii="Arial" w:hAnsi="Arial" w:cs="Arial" w:eastAsia="Arial" w:hint="default"/>
        </w:rPr>
        <w:t>(2006</w:t>
      </w:r>
      <w:r>
        <w:rPr>
          <w:rFonts w:ascii="Arial" w:hAnsi="Arial" w:cs="Arial" w:eastAsia="Arial" w:hint="default"/>
          <w:spacing w:val="-5"/>
        </w:rPr>
        <w:t> </w:t>
      </w:r>
      <w:r>
        <w:rPr/>
        <w:t>年</w:t>
      </w:r>
      <w:r>
        <w:rPr>
          <w:spacing w:val="-58"/>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日：无</w:t>
      </w:r>
      <w:r>
        <w:rPr>
          <w:rFonts w:ascii="Arial" w:hAnsi="Arial" w:cs="Arial" w:eastAsia="Arial" w:hint="default"/>
        </w:rPr>
        <w:t>)</w:t>
      </w:r>
      <w:r>
        <w:rPr/>
        <w:t>的其他 货币资金质押给银行作为银行保函的保证。</w:t>
      </w:r>
    </w:p>
    <w:p>
      <w:pPr>
        <w:spacing w:line="240" w:lineRule="auto" w:before="10"/>
        <w:rPr>
          <w:rFonts w:ascii="宋体" w:hAnsi="宋体" w:cs="宋体" w:eastAsia="宋体" w:hint="default"/>
          <w:sz w:val="18"/>
          <w:szCs w:val="18"/>
        </w:rPr>
      </w:pPr>
    </w:p>
    <w:p>
      <w:pPr>
        <w:pStyle w:val="BodyText"/>
        <w:spacing w:line="322" w:lineRule="exact"/>
        <w:ind w:left="799" w:right="87"/>
        <w:jc w:val="left"/>
      </w:pPr>
      <w:r>
        <w:rPr/>
        <w:t>于</w:t>
      </w:r>
      <w:r>
        <w:rPr>
          <w:spacing w:val="-58"/>
        </w:rPr>
        <w:t> </w:t>
      </w:r>
      <w:r>
        <w:rPr>
          <w:rFonts w:ascii="Arial" w:hAnsi="Arial" w:cs="Arial" w:eastAsia="Arial" w:hint="default"/>
        </w:rPr>
        <w:t>2007</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spacing w:val="-3"/>
        </w:rPr>
        <w:t>日，其他货币资金包含中国银联银行卡跨行交易的在途货款约人民</w:t>
      </w:r>
    </w:p>
    <w:p>
      <w:pPr>
        <w:pStyle w:val="BodyText"/>
        <w:spacing w:line="322" w:lineRule="exact"/>
        <w:ind w:left="817" w:right="87"/>
        <w:jc w:val="left"/>
      </w:pPr>
      <w:r>
        <w:rPr/>
        <w:t>币</w:t>
      </w:r>
      <w:r>
        <w:rPr>
          <w:spacing w:val="-61"/>
        </w:rPr>
        <w:t> </w:t>
      </w:r>
      <w:r>
        <w:rPr>
          <w:rFonts w:ascii="Arial" w:hAnsi="Arial" w:cs="Arial" w:eastAsia="Arial" w:hint="default"/>
        </w:rPr>
        <w:t>5.6</w:t>
      </w:r>
      <w:r>
        <w:rPr>
          <w:rFonts w:ascii="Arial" w:hAnsi="Arial" w:cs="Arial" w:eastAsia="Arial" w:hint="default"/>
          <w:spacing w:val="-8"/>
        </w:rPr>
        <w:t> </w:t>
      </w:r>
      <w:r>
        <w:rPr/>
        <w:t>亿元</w:t>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日：约人民币</w:t>
      </w:r>
      <w:r>
        <w:rPr>
          <w:spacing w:val="-61"/>
        </w:rPr>
        <w:t> </w:t>
      </w:r>
      <w:r>
        <w:rPr>
          <w:rFonts w:ascii="Arial" w:hAnsi="Arial" w:cs="Arial" w:eastAsia="Arial" w:hint="default"/>
        </w:rPr>
        <w:t>5,822</w:t>
      </w:r>
      <w:r>
        <w:rPr>
          <w:rFonts w:ascii="Arial" w:hAnsi="Arial" w:cs="Arial" w:eastAsia="Arial" w:hint="default"/>
          <w:spacing w:val="-8"/>
        </w:rPr>
        <w:t> </w:t>
      </w:r>
      <w:r>
        <w:rPr/>
        <w:t>万元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tabs>
          <w:tab w:pos="817" w:val="left" w:leader="none"/>
        </w:tabs>
        <w:spacing w:before="0"/>
        <w:ind w:left="107" w:right="87" w:firstLine="0"/>
        <w:jc w:val="left"/>
        <w:rPr>
          <w:rFonts w:ascii="宋体" w:hAnsi="宋体" w:cs="宋体" w:eastAsia="宋体" w:hint="default"/>
          <w:sz w:val="24"/>
          <w:szCs w:val="24"/>
        </w:rPr>
      </w:pPr>
      <w:r>
        <w:rPr>
          <w:rFonts w:ascii="Arial" w:hAnsi="Arial" w:cs="Arial" w:eastAsia="Arial" w:hint="default"/>
          <w:position w:val="2"/>
          <w:sz w:val="24"/>
          <w:szCs w:val="24"/>
        </w:rPr>
        <w:t>(2)</w:t>
        <w:tab/>
      </w:r>
      <w:r>
        <w:rPr>
          <w:rFonts w:ascii="宋体" w:hAnsi="宋体" w:cs="宋体" w:eastAsia="宋体" w:hint="default"/>
          <w:b/>
          <w:bCs/>
          <w:sz w:val="24"/>
          <w:szCs w:val="24"/>
        </w:rPr>
        <w:t>应收票据</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7730" w:val="left" w:leader="none"/>
        </w:tabs>
        <w:spacing w:line="322" w:lineRule="exact"/>
        <w:ind w:left="4782" w:right="87"/>
        <w:jc w:val="left"/>
      </w:pP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8456" w:val="left" w:leader="none"/>
        </w:tabs>
        <w:spacing w:line="322" w:lineRule="exact"/>
        <w:ind w:left="5508" w:right="87"/>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6135" w:val="left" w:leader="none"/>
          <w:tab w:pos="9216" w:val="left" w:leader="none"/>
        </w:tabs>
        <w:spacing w:line="240" w:lineRule="auto"/>
        <w:ind w:left="817" w:right="87"/>
        <w:jc w:val="left"/>
        <w:rPr>
          <w:rFonts w:ascii="Arial" w:hAnsi="Arial" w:cs="Arial" w:eastAsia="Arial" w:hint="default"/>
        </w:rPr>
      </w:pPr>
      <w:r>
        <w:rPr/>
        <w:t>银行承兑汇票</w:t>
        <w:tab/>
      </w:r>
      <w:r>
        <w:rPr>
          <w:rFonts w:ascii="Arial" w:hAnsi="Arial" w:cs="Arial" w:eastAsia="Arial" w:hint="default"/>
          <w:spacing w:val="-1"/>
          <w:position w:val="2"/>
        </w:rPr>
        <w:t>24,447</w:t>
        <w:tab/>
        <w:t>1,567</w:t>
      </w:r>
      <w:r>
        <w:rPr>
          <w:rFonts w:ascii="Arial" w:hAnsi="Arial" w:cs="Arial" w:eastAsia="Arial" w:hint="default"/>
        </w:rPr>
      </w:r>
    </w:p>
    <w:p>
      <w:pPr>
        <w:spacing w:line="240" w:lineRule="auto" w:before="3"/>
        <w:rPr>
          <w:rFonts w:ascii="Arial" w:hAnsi="Arial" w:cs="Arial" w:eastAsia="Arial" w:hint="default"/>
          <w:sz w:val="3"/>
          <w:szCs w:val="3"/>
        </w:rPr>
      </w:pPr>
    </w:p>
    <w:p>
      <w:pPr>
        <w:tabs>
          <w:tab w:pos="7499" w:val="left" w:leader="none"/>
        </w:tabs>
        <w:spacing w:line="30" w:lineRule="exact"/>
        <w:ind w:left="4481" w:right="0" w:firstLine="0"/>
        <w:rPr>
          <w:rFonts w:ascii="Arial" w:hAnsi="Arial" w:cs="Arial" w:eastAsia="Arial" w:hint="default"/>
          <w:sz w:val="3"/>
          <w:szCs w:val="3"/>
        </w:rPr>
      </w:pPr>
      <w:r>
        <w:rPr>
          <w:rFonts w:ascii="Arial"/>
          <w:position w:val="0"/>
          <w:sz w:val="3"/>
        </w:rPr>
        <w:pict>
          <v:group style="width:125.2pt;height:1.5pt;mso-position-horizontal-relative:char;mso-position-vertical-relative:line" coordorigin="0,0" coordsize="2504,30">
            <v:group style="position:absolute;left:15;top:15;width:2474;height:2" coordorigin="15,15" coordsize="2474,2">
              <v:shape style="position:absolute;left:15;top:15;width:2474;height:2" coordorigin="15,15" coordsize="2474,0" path="m15,15l2488,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21.65pt;height:1.5pt;mso-position-horizontal-relative:char;mso-position-vertical-relative:line" coordorigin="0,0" coordsize="2433,30">
            <v:group style="position:absolute;left:15;top:15;width:2403;height:2" coordorigin="15,15" coordsize="2403,2">
              <v:shape style="position:absolute;left:15;top:15;width:2403;height:2" coordorigin="15,15" coordsize="2403,0" path="m15,15l2417,15e" filled="false" stroked="true" strokeweight="1.5pt" strokecolor="#000000">
                <v:path arrowok="t"/>
              </v:shape>
            </v:group>
          </v:group>
        </w:pict>
      </w:r>
      <w:r>
        <w:rPr>
          <w:rFonts w:ascii="Arial"/>
          <w:position w:val="0"/>
          <w:sz w:val="3"/>
        </w:rPr>
      </w:r>
    </w:p>
    <w:p>
      <w:pPr>
        <w:spacing w:line="240" w:lineRule="auto" w:before="4"/>
        <w:rPr>
          <w:rFonts w:ascii="Arial" w:hAnsi="Arial" w:cs="Arial" w:eastAsia="Arial" w:hint="default"/>
          <w:sz w:val="18"/>
          <w:szCs w:val="18"/>
        </w:rPr>
      </w:pPr>
    </w:p>
    <w:p>
      <w:pPr>
        <w:pStyle w:val="BodyText"/>
        <w:spacing w:line="240" w:lineRule="auto" w:before="26"/>
        <w:ind w:left="799" w:right="87"/>
        <w:jc w:val="left"/>
      </w:pPr>
      <w:r>
        <w:rPr/>
        <w:t>于</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日，本集团无质押的应收票据。</w:t>
      </w:r>
    </w:p>
    <w:p>
      <w:pPr>
        <w:spacing w:line="240" w:lineRule="auto" w:before="8"/>
        <w:rPr>
          <w:rFonts w:ascii="宋体" w:hAnsi="宋体" w:cs="宋体" w:eastAsia="宋体" w:hint="default"/>
          <w:sz w:val="19"/>
          <w:szCs w:val="19"/>
        </w:rPr>
      </w:pPr>
    </w:p>
    <w:p>
      <w:pPr>
        <w:pStyle w:val="BodyText"/>
        <w:spacing w:line="322" w:lineRule="exact"/>
        <w:ind w:left="799" w:right="87"/>
        <w:jc w:val="left"/>
      </w:pPr>
      <w:r>
        <w:rPr/>
        <w:t>截止</w:t>
      </w:r>
      <w:r>
        <w:rPr>
          <w:spacing w:val="-58"/>
        </w:rPr>
        <w:t> </w:t>
      </w:r>
      <w:r>
        <w:rPr>
          <w:rFonts w:ascii="Arial" w:hAnsi="Arial" w:cs="Arial" w:eastAsia="Arial" w:hint="default"/>
        </w:rPr>
        <w:t>2007</w:t>
      </w:r>
      <w:r>
        <w:rPr>
          <w:rFonts w:ascii="Arial" w:hAnsi="Arial" w:cs="Arial" w:eastAsia="Arial" w:hint="default"/>
          <w:spacing w:val="-4"/>
        </w:rPr>
        <w:t> </w:t>
      </w:r>
      <w:r>
        <w:rPr/>
        <w:t>年</w:t>
      </w:r>
      <w:r>
        <w:rPr>
          <w:spacing w:val="-58"/>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spacing w:val="-3"/>
        </w:rPr>
        <w:t>日，本集团已背书但尚未到期的由第三方开具的银行承兑汇票共</w:t>
      </w:r>
    </w:p>
    <w:p>
      <w:pPr>
        <w:pStyle w:val="BodyText"/>
        <w:spacing w:line="322" w:lineRule="exact"/>
        <w:ind w:left="817" w:right="87"/>
        <w:jc w:val="left"/>
      </w:pPr>
      <w:r>
        <w:rPr/>
        <w:t>计约人民币</w:t>
      </w:r>
      <w:r>
        <w:rPr>
          <w:spacing w:val="-61"/>
        </w:rPr>
        <w:t> </w:t>
      </w:r>
      <w:r>
        <w:rPr>
          <w:rFonts w:ascii="Arial" w:hAnsi="Arial" w:cs="Arial" w:eastAsia="Arial" w:hint="default"/>
        </w:rPr>
        <w:t>10</w:t>
      </w:r>
      <w:r>
        <w:rPr>
          <w:rFonts w:ascii="Arial" w:hAnsi="Arial" w:cs="Arial" w:eastAsia="Arial" w:hint="default"/>
          <w:spacing w:val="-8"/>
        </w:rPr>
        <w:t> </w:t>
      </w:r>
      <w:r>
        <w:rPr/>
        <w:t>亿元，均于六个月以内到期。</w:t>
      </w:r>
    </w:p>
    <w:p>
      <w:pPr>
        <w:spacing w:after="0" w:line="322" w:lineRule="exact"/>
        <w:jc w:val="left"/>
        <w:sectPr>
          <w:pgSz w:w="11910" w:h="16840"/>
          <w:pgMar w:header="1458" w:footer="708" w:top="1640" w:bottom="900" w:left="1020" w:right="840"/>
        </w:sectPr>
      </w:pPr>
    </w:p>
    <w:p>
      <w:pPr>
        <w:spacing w:line="240" w:lineRule="auto" w:before="5"/>
        <w:rPr>
          <w:rFonts w:ascii="宋体" w:hAnsi="宋体" w:cs="宋体" w:eastAsia="宋体" w:hint="default"/>
          <w:sz w:val="17"/>
          <w:szCs w:val="17"/>
        </w:rPr>
      </w:pPr>
    </w:p>
    <w:p>
      <w:pPr>
        <w:pStyle w:val="Heading2"/>
        <w:tabs>
          <w:tab w:pos="815" w:val="left" w:leader="none"/>
        </w:tabs>
        <w:spacing w:line="240" w:lineRule="auto"/>
        <w:ind w:right="0"/>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Heading2"/>
        <w:tabs>
          <w:tab w:pos="815" w:val="left" w:leader="none"/>
        </w:tabs>
        <w:spacing w:line="240" w:lineRule="auto" w:before="0"/>
        <w:ind w:left="108" w:right="0"/>
        <w:jc w:val="left"/>
        <w:rPr>
          <w:b w:val="0"/>
          <w:bCs w:val="0"/>
        </w:rPr>
      </w:pPr>
      <w:r>
        <w:rPr>
          <w:rFonts w:ascii="Arial" w:hAnsi="Arial" w:cs="Arial" w:eastAsia="Arial" w:hint="default"/>
          <w:b w:val="0"/>
          <w:bCs w:val="0"/>
          <w:position w:val="2"/>
        </w:rPr>
        <w:t>(3)</w:t>
        <w:tab/>
      </w:r>
      <w:r>
        <w:rPr/>
        <w:t>应收账款、其他应收款及长期应收款</w:t>
      </w:r>
      <w:r>
        <w:rPr>
          <w:b w:val="0"/>
          <w:bCs w:val="0"/>
        </w:rPr>
      </w:r>
    </w:p>
    <w:p>
      <w:pPr>
        <w:spacing w:line="240" w:lineRule="auto" w:before="12"/>
        <w:rPr>
          <w:rFonts w:ascii="宋体" w:hAnsi="宋体" w:cs="宋体" w:eastAsia="宋体" w:hint="default"/>
          <w:b/>
          <w:bCs/>
          <w:sz w:val="20"/>
          <w:szCs w:val="20"/>
        </w:rPr>
      </w:pPr>
    </w:p>
    <w:p>
      <w:pPr>
        <w:pStyle w:val="BodyText"/>
        <w:tabs>
          <w:tab w:pos="815" w:val="left" w:leader="none"/>
        </w:tabs>
        <w:spacing w:line="240" w:lineRule="auto"/>
        <w:ind w:left="108" w:right="0"/>
        <w:jc w:val="left"/>
      </w:pPr>
      <w:r>
        <w:rPr>
          <w:rFonts w:ascii="Arial" w:hAnsi="Arial" w:cs="Arial" w:eastAsia="Arial" w:hint="default"/>
          <w:position w:val="2"/>
        </w:rPr>
        <w:t>(a)</w:t>
        <w:tab/>
      </w:r>
      <w:r>
        <w:rPr/>
        <w:t>应收账款</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458" w:footer="708" w:top="1640" w:bottom="900" w:left="1020" w:right="720"/>
        </w:sectPr>
      </w:pPr>
    </w:p>
    <w:p>
      <w:pPr>
        <w:pStyle w:val="BodyText"/>
        <w:spacing w:line="322" w:lineRule="exact" w:before="26"/>
        <w:ind w:left="0" w:right="0"/>
        <w:jc w:val="right"/>
      </w:pPr>
      <w:r>
        <w:rPr>
          <w:rFonts w:ascii="Arial" w:hAnsi="Arial" w:cs="Arial" w:eastAsia="Arial" w:hint="default"/>
        </w:rPr>
        <w:t>2006</w:t>
      </w:r>
      <w:r>
        <w:rPr>
          <w:rFonts w:ascii="Arial" w:hAnsi="Arial" w:cs="Arial" w:eastAsia="Arial" w:hint="default"/>
          <w:spacing w:val="-10"/>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before="26"/>
        <w:ind w:left="0" w:right="231"/>
        <w:jc w:val="right"/>
      </w:pPr>
      <w:r>
        <w:rPr/>
        <w:br w:type="column"/>
      </w:r>
      <w:r>
        <w:rPr>
          <w:rFonts w:ascii="Arial" w:hAnsi="Arial" w:cs="Arial" w:eastAsia="Arial" w:hint="default"/>
        </w:rPr>
        <w:t>2007</w:t>
      </w:r>
      <w:r>
        <w:rPr>
          <w:rFonts w:ascii="Arial" w:hAnsi="Arial" w:cs="Arial" w:eastAsia="Arial" w:hint="default"/>
          <w:spacing w:val="-10"/>
        </w:rPr>
        <w:t> </w:t>
      </w:r>
      <w:r>
        <w:rPr/>
        <w:t>年</w:t>
      </w:r>
    </w:p>
    <w:p>
      <w:pPr>
        <w:pStyle w:val="BodyText"/>
        <w:spacing w:line="322" w:lineRule="exact"/>
        <w:ind w:left="0" w:right="232"/>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right"/>
        <w:sectPr>
          <w:type w:val="continuous"/>
          <w:pgSz w:w="11910" w:h="16840"/>
          <w:pgMar w:top="1600" w:bottom="280" w:left="1020" w:right="720"/>
          <w:cols w:num="2" w:equalWidth="0">
            <w:col w:w="4622" w:space="688"/>
            <w:col w:w="4860"/>
          </w:cols>
        </w:sectPr>
      </w:pPr>
    </w:p>
    <w:p>
      <w:pPr>
        <w:pStyle w:val="BodyText"/>
        <w:tabs>
          <w:tab w:pos="8336" w:val="left" w:leader="none"/>
        </w:tabs>
        <w:spacing w:line="312" w:lineRule="exact"/>
        <w:ind w:left="3026" w:right="0"/>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3887" w:val="left" w:leader="none"/>
          <w:tab w:pos="9082" w:val="left" w:leader="none"/>
        </w:tabs>
        <w:spacing w:line="240" w:lineRule="auto"/>
        <w:ind w:left="816" w:right="0"/>
        <w:jc w:val="left"/>
        <w:rPr>
          <w:rFonts w:ascii="Arial" w:hAnsi="Arial" w:cs="Arial" w:eastAsia="Arial" w:hint="default"/>
        </w:rPr>
      </w:pPr>
      <w:r>
        <w:rPr/>
        <w:t>应收账款</w:t>
        <w:tab/>
      </w:r>
      <w:r>
        <w:rPr>
          <w:rFonts w:ascii="Arial" w:hAnsi="Arial" w:cs="Arial" w:eastAsia="Arial" w:hint="default"/>
          <w:spacing w:val="-1"/>
          <w:position w:val="2"/>
        </w:rPr>
        <w:t>95,973</w:t>
        <w:tab/>
      </w:r>
      <w:r>
        <w:rPr>
          <w:rFonts w:ascii="Arial" w:hAnsi="Arial" w:cs="Arial" w:eastAsia="Arial" w:hint="default"/>
          <w:spacing w:val="-4"/>
          <w:position w:val="2"/>
        </w:rPr>
        <w:t>114,355</w:t>
      </w:r>
      <w:r>
        <w:rPr>
          <w:rFonts w:ascii="Arial" w:hAnsi="Arial" w:cs="Arial" w:eastAsia="Arial" w:hint="default"/>
        </w:rPr>
      </w:r>
    </w:p>
    <w:p>
      <w:pPr>
        <w:spacing w:line="240" w:lineRule="auto" w:before="3"/>
        <w:rPr>
          <w:rFonts w:ascii="Arial" w:hAnsi="Arial" w:cs="Arial" w:eastAsia="Arial" w:hint="default"/>
          <w:sz w:val="3"/>
          <w:szCs w:val="3"/>
        </w:rPr>
      </w:pPr>
    </w:p>
    <w:p>
      <w:pPr>
        <w:tabs>
          <w:tab w:pos="8119" w:val="left" w:leader="none"/>
        </w:tabs>
        <w:spacing w:line="20" w:lineRule="exact"/>
        <w:ind w:left="3030" w:right="0" w:firstLine="0"/>
        <w:rPr>
          <w:rFonts w:ascii="Arial" w:hAnsi="Arial" w:cs="Arial" w:eastAsia="Arial" w:hint="default"/>
          <w:sz w:val="2"/>
          <w:szCs w:val="2"/>
        </w:rPr>
      </w:pPr>
      <w:r>
        <w:rPr>
          <w:rFonts w:ascii="Arial"/>
          <w:sz w:val="2"/>
        </w:rPr>
        <w:pict>
          <v:group style="width:84.85pt;height:.5pt;mso-position-horizontal-relative:char;mso-position-vertical-relative:line" coordorigin="0,0" coordsize="1697,10">
            <v:group style="position:absolute;left:5;top:5;width:1688;height:2" coordorigin="5,5" coordsize="1688,2">
              <v:shape style="position:absolute;left:5;top:5;width:1688;height:2" coordorigin="5,5" coordsize="1688,0" path="m5,5l1692,5e" filled="false" stroked="true" strokeweight=".47998pt" strokecolor="#000000">
                <v:path arrowok="t"/>
              </v:shape>
            </v:group>
          </v:group>
        </w:pict>
      </w:r>
      <w:r>
        <w:rPr>
          <w:rFonts w:ascii="Arial"/>
          <w:sz w:val="2"/>
        </w:rPr>
      </w:r>
      <w:r>
        <w:rPr>
          <w:rFonts w:ascii="Arial"/>
          <w:sz w:val="2"/>
        </w:rPr>
        <w:tab/>
      </w:r>
      <w:r>
        <w:rPr>
          <w:rFonts w:ascii="Arial"/>
          <w:sz w:val="2"/>
        </w:rPr>
        <w:pict>
          <v:group style="width:95.9pt;height:.5pt;mso-position-horizontal-relative:char;mso-position-vertical-relative:line" coordorigin="0,0" coordsize="1918,10">
            <v:group style="position:absolute;left:5;top:5;width:1908;height:2" coordorigin="5,5" coordsize="1908,2">
              <v:shape style="position:absolute;left:5;top:5;width:1908;height:2" coordorigin="5,5" coordsize="1908,0" path="m5,5l1913,5e" filled="false" stroked="true" strokeweight=".47998pt" strokecolor="#000000">
                <v:path arrowok="t"/>
              </v:shape>
            </v:group>
          </v:group>
        </w:pict>
      </w:r>
      <w:r>
        <w:rPr>
          <w:rFonts w:ascii="Arial"/>
          <w:sz w:val="2"/>
        </w:rPr>
      </w:r>
    </w:p>
    <w:p>
      <w:pPr>
        <w:pStyle w:val="BodyText"/>
        <w:tabs>
          <w:tab w:pos="4446" w:val="left" w:leader="none"/>
        </w:tabs>
        <w:spacing w:line="264" w:lineRule="exact"/>
        <w:ind w:left="2906" w:right="0"/>
        <w:jc w:val="center"/>
      </w:pPr>
      <w:r>
        <w:rPr/>
        <w:t>本年增加</w:t>
        <w:tab/>
        <w:t>本年减少</w:t>
      </w:r>
    </w:p>
    <w:p>
      <w:pPr>
        <w:pStyle w:val="BodyText"/>
        <w:spacing w:line="331" w:lineRule="exact"/>
        <w:ind w:left="5749" w:right="0"/>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6"/>
        <w:rPr>
          <w:rFonts w:ascii="Arial" w:hAnsi="Arial" w:cs="Arial" w:eastAsia="Arial" w:hint="default"/>
          <w:sz w:val="19"/>
          <w:szCs w:val="19"/>
        </w:rPr>
      </w:pPr>
    </w:p>
    <w:tbl>
      <w:tblPr>
        <w:tblW w:w="0" w:type="auto"/>
        <w:jc w:val="left"/>
        <w:tblInd w:w="780" w:type="dxa"/>
        <w:tblLayout w:type="fixed"/>
        <w:tblCellMar>
          <w:top w:w="0" w:type="dxa"/>
          <w:left w:w="0" w:type="dxa"/>
          <w:bottom w:w="0" w:type="dxa"/>
          <w:right w:w="0" w:type="dxa"/>
        </w:tblCellMar>
        <w:tblLook w:val="01E0"/>
      </w:tblPr>
      <w:tblGrid>
        <w:gridCol w:w="2254"/>
        <w:gridCol w:w="1687"/>
        <w:gridCol w:w="238"/>
        <w:gridCol w:w="1386"/>
        <w:gridCol w:w="236"/>
        <w:gridCol w:w="3450"/>
      </w:tblGrid>
      <w:tr>
        <w:trPr>
          <w:trHeight w:val="388"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1687"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8"/>
              <w:jc w:val="right"/>
              <w:rPr>
                <w:rFonts w:ascii="Arial" w:hAnsi="Arial" w:cs="Arial" w:eastAsia="Arial" w:hint="default"/>
                <w:sz w:val="24"/>
                <w:szCs w:val="24"/>
              </w:rPr>
            </w:pPr>
            <w:r>
              <w:rPr>
                <w:rFonts w:ascii="Arial"/>
                <w:sz w:val="24"/>
              </w:rPr>
              <w:t>(5,452)</w:t>
            </w:r>
          </w:p>
        </w:tc>
        <w:tc>
          <w:tcPr>
            <w:tcW w:w="238"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574" w:right="0"/>
              <w:jc w:val="left"/>
              <w:rPr>
                <w:rFonts w:ascii="Arial" w:hAnsi="Arial" w:cs="Arial" w:eastAsia="Arial" w:hint="default"/>
                <w:sz w:val="24"/>
                <w:szCs w:val="24"/>
              </w:rPr>
            </w:pPr>
            <w:r>
              <w:rPr>
                <w:rFonts w:ascii="Arial"/>
                <w:sz w:val="24"/>
              </w:rPr>
              <w:t>(1,059)</w:t>
            </w:r>
          </w:p>
        </w:tc>
        <w:tc>
          <w:tcPr>
            <w:tcW w:w="236"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single" w:sz="4" w:space="0" w:color="000000"/>
              <w:right w:val="nil" w:sz="6" w:space="0" w:color="auto"/>
            </w:tcBorders>
          </w:tcPr>
          <w:p>
            <w:pPr>
              <w:pStyle w:val="TableParagraph"/>
              <w:tabs>
                <w:tab w:pos="1547" w:val="left" w:leader="none"/>
              </w:tabs>
              <w:spacing w:line="240" w:lineRule="auto" w:before="69"/>
              <w:ind w:right="35"/>
              <w:jc w:val="right"/>
              <w:rPr>
                <w:rFonts w:ascii="Arial" w:hAnsi="Arial" w:cs="Arial" w:eastAsia="Arial" w:hint="default"/>
                <w:sz w:val="24"/>
                <w:szCs w:val="24"/>
              </w:rPr>
            </w:pPr>
            <w:r>
              <w:rPr>
                <w:rFonts w:ascii="Arial"/>
                <w:sz w:val="24"/>
              </w:rPr>
              <w:t>-</w:t>
              <w:tab/>
            </w:r>
            <w:r>
              <w:rPr>
                <w:rFonts w:ascii="Arial"/>
                <w:spacing w:val="-3"/>
                <w:sz w:val="24"/>
              </w:rPr>
              <w:t>(6,511)</w:t>
            </w:r>
          </w:p>
        </w:tc>
      </w:tr>
      <w:tr>
        <w:trPr>
          <w:trHeight w:val="296" w:hRule="exact"/>
        </w:trPr>
        <w:tc>
          <w:tcPr>
            <w:tcW w:w="2254" w:type="dxa"/>
            <w:tcBorders>
              <w:top w:val="nil" w:sz="6" w:space="0" w:color="auto"/>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sz w:val="24"/>
              </w:rPr>
              <w:t>90,521</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345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sz w:val="24"/>
              </w:rPr>
              <w:t>107,844</w:t>
            </w:r>
            <w:r>
              <w:rPr>
                <w:rFonts w:ascii="Arial"/>
                <w:sz w:val="24"/>
              </w:rPr>
            </w:r>
          </w:p>
        </w:tc>
      </w:tr>
    </w:tbl>
    <w:p>
      <w:pPr>
        <w:spacing w:line="240" w:lineRule="auto" w:before="0"/>
        <w:rPr>
          <w:rFonts w:ascii="Arial" w:hAnsi="Arial" w:cs="Arial" w:eastAsia="Arial" w:hint="default"/>
          <w:sz w:val="17"/>
          <w:szCs w:val="17"/>
        </w:rPr>
      </w:pPr>
    </w:p>
    <w:p>
      <w:pPr>
        <w:pStyle w:val="BodyText"/>
        <w:spacing w:line="240" w:lineRule="auto" w:before="26"/>
        <w:ind w:left="816" w:right="0"/>
        <w:jc w:val="left"/>
      </w:pPr>
      <w:r>
        <w:rPr/>
        <w:pict>
          <v:group style="position:absolute;margin-left:380.100006pt;margin-top:-26.084053pt;width:65.25pt;height:.1pt;mso-position-horizontal-relative:page;mso-position-vertical-relative:paragraph;z-index:-577504" coordorigin="7602,-522" coordsize="1305,2">
            <v:shape style="position:absolute;left:7602;top:-522;width:1305;height:2" coordorigin="7602,-522" coordsize="1305,0" path="m7602,-522l8906,-522e" filled="false" stroked="true" strokeweight=".47998pt" strokecolor="#000000">
              <v:path arrowok="t"/>
            </v:shape>
            <w10:wrap type="none"/>
          </v:group>
        </w:pict>
      </w:r>
      <w:r>
        <w:rPr/>
        <w:t>应收账款账龄及相应的坏账准备分析如下：</w:t>
      </w:r>
    </w:p>
    <w:p>
      <w:pPr>
        <w:spacing w:line="240" w:lineRule="auto" w:before="4"/>
        <w:rPr>
          <w:rFonts w:ascii="宋体" w:hAnsi="宋体" w:cs="宋体" w:eastAsia="宋体" w:hint="default"/>
          <w:sz w:val="21"/>
          <w:szCs w:val="21"/>
        </w:rPr>
      </w:pPr>
    </w:p>
    <w:p>
      <w:pPr>
        <w:tabs>
          <w:tab w:pos="7246" w:val="left" w:leader="none"/>
        </w:tabs>
        <w:spacing w:before="0"/>
        <w:ind w:left="3335" w:right="0" w:firstLine="0"/>
        <w:jc w:val="left"/>
        <w:rPr>
          <w:rFonts w:ascii="宋体" w:hAnsi="宋体" w:cs="宋体" w:eastAsia="宋体" w:hint="default"/>
          <w:sz w:val="21"/>
          <w:szCs w:val="21"/>
        </w:rPr>
      </w:pPr>
      <w:r>
        <w:rPr/>
        <w:pict>
          <v:group style="position:absolute;margin-left:161.580002pt;margin-top:16.073685pt;width:191.35pt;height:.1pt;mso-position-horizontal-relative:page;mso-position-vertical-relative:paragraph;z-index:-577480" coordorigin="3232,321" coordsize="3827,2">
            <v:shape style="position:absolute;left:3232;top:321;width:3827;height:2" coordorigin="3232,321" coordsize="3827,0" path="m3232,321l7058,321e" filled="false" stroked="true" strokeweight="1.5pt" strokecolor="#000000">
              <v:path arrowok="t"/>
            </v:shape>
            <w10:wrap type="none"/>
          </v:group>
        </w:pict>
      </w:r>
      <w:r>
        <w:rPr/>
        <w:pict>
          <v:group style="position:absolute;margin-left:364.679993pt;margin-top:16.073685pt;width:187.95pt;height:.1pt;mso-position-horizontal-relative:page;mso-position-vertical-relative:paragraph;z-index:-577456" coordorigin="7294,321" coordsize="3759,2">
            <v:shape style="position:absolute;left:7294;top:321;width:3759;height:2" coordorigin="7294,321" coordsize="3759,0" path="m7294,321l11052,321e" filled="false" stroked="true" strokeweight="1.5pt" strokecolor="#000000">
              <v:path arrowok="t"/>
            </v:shape>
            <w10:wrap type="none"/>
          </v:group>
        </w:pict>
      </w: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tab/>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600" w:bottom="280" w:left="1020" w:right="720"/>
        </w:sectPr>
      </w:pPr>
    </w:p>
    <w:p>
      <w:pPr>
        <w:tabs>
          <w:tab w:pos="680" w:val="left" w:leader="none"/>
        </w:tabs>
        <w:spacing w:line="274" w:lineRule="exact" w:before="12"/>
        <w:ind w:left="0" w:right="0" w:firstLine="0"/>
        <w:jc w:val="right"/>
        <w:rPr>
          <w:rFonts w:ascii="宋体" w:hAnsi="宋体" w:cs="宋体" w:eastAsia="宋体" w:hint="default"/>
          <w:sz w:val="21"/>
          <w:szCs w:val="21"/>
        </w:rPr>
      </w:pPr>
      <w:r>
        <w:rPr>
          <w:rFonts w:ascii="宋体" w:hAnsi="宋体" w:cs="宋体" w:eastAsia="宋体" w:hint="default"/>
          <w:sz w:val="21"/>
          <w:szCs w:val="21"/>
        </w:rPr>
        <w:t>金额</w:t>
        <w:tab/>
        <w:t>占总额</w:t>
      </w:r>
    </w:p>
    <w:p>
      <w:pPr>
        <w:spacing w:line="274"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比例</w:t>
      </w:r>
    </w:p>
    <w:p>
      <w:pPr>
        <w:tabs>
          <w:tab w:pos="2557" w:val="left" w:leader="none"/>
          <w:tab w:pos="3263" w:val="left" w:leader="none"/>
        </w:tabs>
        <w:spacing w:before="12"/>
        <w:ind w:left="3473" w:right="0" w:hanging="2836"/>
        <w:jc w:val="right"/>
        <w:rPr>
          <w:rFonts w:ascii="宋体" w:hAnsi="宋体" w:cs="宋体" w:eastAsia="宋体" w:hint="default"/>
          <w:sz w:val="21"/>
          <w:szCs w:val="21"/>
        </w:rPr>
      </w:pPr>
      <w:r>
        <w:rPr/>
        <w:br w:type="column"/>
      </w:r>
      <w:r>
        <w:rPr>
          <w:rFonts w:ascii="宋体" w:hAnsi="宋体" w:cs="宋体" w:eastAsia="宋体" w:hint="default"/>
          <w:sz w:val="21"/>
          <w:szCs w:val="21"/>
        </w:rPr>
        <w:t>坏账准备</w:t>
        <w:tab/>
        <w:t>金额</w:t>
        <w:tab/>
        <w:t>占总额 比例</w:t>
      </w:r>
    </w:p>
    <w:p>
      <w:pPr>
        <w:spacing w:before="12"/>
        <w:ind w:left="699"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坏账准备</w:t>
      </w:r>
    </w:p>
    <w:p>
      <w:pPr>
        <w:spacing w:after="0"/>
        <w:jc w:val="left"/>
        <w:rPr>
          <w:rFonts w:ascii="宋体" w:hAnsi="宋体" w:cs="宋体" w:eastAsia="宋体" w:hint="default"/>
          <w:sz w:val="21"/>
          <w:szCs w:val="21"/>
        </w:rPr>
        <w:sectPr>
          <w:type w:val="continuous"/>
          <w:pgSz w:w="11910" w:h="16840"/>
          <w:pgMar w:top="1600" w:bottom="280" w:left="1020" w:right="720"/>
          <w:cols w:num="3" w:equalWidth="0">
            <w:col w:w="4469" w:space="40"/>
            <w:col w:w="3894" w:space="40"/>
            <w:col w:w="1727"/>
          </w:cols>
        </w:sectPr>
      </w:pPr>
    </w:p>
    <w:p>
      <w:pPr>
        <w:tabs>
          <w:tab w:pos="4916" w:val="left" w:leader="none"/>
          <w:tab w:pos="6500" w:val="left" w:leader="none"/>
          <w:tab w:pos="8911" w:val="left" w:leader="none"/>
        </w:tabs>
        <w:spacing w:before="1"/>
        <w:ind w:left="2558"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tab/>
        <w:t>(</w:t>
      </w:r>
      <w:r>
        <w:rPr>
          <w:rFonts w:ascii="宋体" w:hAnsi="宋体" w:cs="宋体" w:eastAsia="宋体" w:hint="default"/>
          <w:sz w:val="18"/>
          <w:szCs w:val="18"/>
        </w:rPr>
        <w:t>人民币千元</w:t>
      </w:r>
      <w:r>
        <w:rPr>
          <w:rFonts w:ascii="Arial" w:hAnsi="Arial" w:cs="Arial" w:eastAsia="Arial" w:hint="default"/>
          <w:sz w:val="18"/>
          <w:szCs w:val="18"/>
        </w:rPr>
        <w:t>)</w:t>
        <w:tab/>
        <w:t>(</w:t>
      </w:r>
      <w:r>
        <w:rPr>
          <w:rFonts w:ascii="宋体" w:hAnsi="宋体" w:cs="宋体" w:eastAsia="宋体" w:hint="default"/>
          <w:sz w:val="18"/>
          <w:szCs w:val="18"/>
        </w:rPr>
        <w:t>人民币千元</w:t>
      </w:r>
      <w:r>
        <w:rPr>
          <w:rFonts w:ascii="Arial" w:hAnsi="Arial" w:cs="Arial" w:eastAsia="Arial" w:hint="default"/>
          <w:sz w:val="18"/>
          <w:szCs w:val="18"/>
        </w:rPr>
        <w:t>)</w:t>
        <w:tab/>
        <w:t>(</w:t>
      </w:r>
      <w:r>
        <w:rPr>
          <w:rFonts w:ascii="宋体" w:hAnsi="宋体" w:cs="宋体" w:eastAsia="宋体" w:hint="default"/>
          <w:sz w:val="18"/>
          <w:szCs w:val="18"/>
        </w:rPr>
        <w:t>人民币千元</w:t>
      </w:r>
      <w:r>
        <w:rPr>
          <w:rFonts w:ascii="Arial" w:hAnsi="Arial" w:cs="Arial" w:eastAsia="Arial" w:hint="default"/>
          <w:sz w:val="18"/>
          <w:szCs w:val="18"/>
        </w:rPr>
        <w:t>)</w:t>
      </w:r>
    </w:p>
    <w:p>
      <w:pPr>
        <w:spacing w:line="240" w:lineRule="auto" w:before="8"/>
        <w:rPr>
          <w:rFonts w:ascii="Arial" w:hAnsi="Arial" w:cs="Arial" w:eastAsia="Arial" w:hint="default"/>
          <w:sz w:val="16"/>
          <w:szCs w:val="16"/>
        </w:rPr>
      </w:pPr>
    </w:p>
    <w:tbl>
      <w:tblPr>
        <w:tblW w:w="0" w:type="auto"/>
        <w:jc w:val="left"/>
        <w:tblInd w:w="780" w:type="dxa"/>
        <w:tblLayout w:type="fixed"/>
        <w:tblCellMar>
          <w:top w:w="0" w:type="dxa"/>
          <w:left w:w="0" w:type="dxa"/>
          <w:bottom w:w="0" w:type="dxa"/>
          <w:right w:w="0" w:type="dxa"/>
        </w:tblCellMar>
        <w:tblLook w:val="01E0"/>
      </w:tblPr>
      <w:tblGrid>
        <w:gridCol w:w="1431"/>
        <w:gridCol w:w="1518"/>
        <w:gridCol w:w="789"/>
        <w:gridCol w:w="280"/>
        <w:gridCol w:w="1240"/>
        <w:gridCol w:w="235"/>
        <w:gridCol w:w="1395"/>
        <w:gridCol w:w="785"/>
        <w:gridCol w:w="236"/>
        <w:gridCol w:w="1343"/>
      </w:tblGrid>
      <w:tr>
        <w:trPr>
          <w:trHeight w:val="343"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0"/>
              <w:jc w:val="right"/>
              <w:rPr>
                <w:rFonts w:ascii="Arial" w:hAnsi="Arial" w:cs="Arial" w:eastAsia="Arial" w:hint="default"/>
                <w:sz w:val="21"/>
                <w:szCs w:val="21"/>
              </w:rPr>
            </w:pPr>
            <w:r>
              <w:rPr>
                <w:rFonts w:ascii="Arial"/>
                <w:spacing w:val="-1"/>
                <w:sz w:val="21"/>
              </w:rPr>
              <w:t>107,930</w:t>
            </w:r>
            <w:r>
              <w:rPr>
                <w:rFonts w:ascii="Arial"/>
                <w:sz w:val="21"/>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Arial" w:hAnsi="Arial" w:cs="Arial" w:eastAsia="Arial" w:hint="default"/>
                <w:sz w:val="21"/>
                <w:szCs w:val="21"/>
              </w:rPr>
            </w:pPr>
            <w:r>
              <w:rPr>
                <w:rFonts w:ascii="Arial"/>
                <w:spacing w:val="-1"/>
                <w:w w:val="95"/>
                <w:sz w:val="21"/>
              </w:rPr>
              <w:t>94%</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3"/>
              <w:jc w:val="right"/>
              <w:rPr>
                <w:rFonts w:ascii="Arial" w:hAnsi="Arial" w:cs="Arial" w:eastAsia="Arial" w:hint="default"/>
                <w:sz w:val="21"/>
                <w:szCs w:val="21"/>
              </w:rPr>
            </w:pPr>
            <w:r>
              <w:rPr>
                <w:rFonts w:ascii="Arial"/>
                <w:spacing w:val="-1"/>
                <w:sz w:val="21"/>
              </w:rPr>
              <w:t>(5,396)</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6"/>
              <w:jc w:val="right"/>
              <w:rPr>
                <w:rFonts w:ascii="Arial" w:hAnsi="Arial" w:cs="Arial" w:eastAsia="Arial" w:hint="default"/>
                <w:sz w:val="21"/>
                <w:szCs w:val="21"/>
              </w:rPr>
            </w:pPr>
            <w:r>
              <w:rPr>
                <w:rFonts w:ascii="Arial"/>
                <w:spacing w:val="-1"/>
                <w:sz w:val="21"/>
              </w:rPr>
              <w:t>90,176</w:t>
            </w:r>
            <w:r>
              <w:rPr>
                <w:rFonts w:ascii="Arial"/>
                <w:sz w:val="21"/>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Arial" w:hAnsi="Arial" w:cs="Arial" w:eastAsia="Arial" w:hint="default"/>
                <w:sz w:val="21"/>
                <w:szCs w:val="21"/>
              </w:rPr>
            </w:pPr>
            <w:r>
              <w:rPr>
                <w:rFonts w:ascii="Arial"/>
                <w:spacing w:val="-1"/>
                <w:w w:val="95"/>
                <w:sz w:val="21"/>
              </w:rPr>
              <w:t>94%</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9"/>
              <w:jc w:val="right"/>
              <w:rPr>
                <w:rFonts w:ascii="Arial" w:hAnsi="Arial" w:cs="Arial" w:eastAsia="Arial" w:hint="default"/>
                <w:sz w:val="21"/>
                <w:szCs w:val="21"/>
              </w:rPr>
            </w:pPr>
            <w:r>
              <w:rPr>
                <w:rFonts w:ascii="Arial"/>
                <w:spacing w:val="-1"/>
                <w:sz w:val="21"/>
              </w:rPr>
              <w:t>(4,508)</w:t>
            </w:r>
            <w:r>
              <w:rPr>
                <w:rFonts w:ascii="Arial"/>
                <w:sz w:val="21"/>
              </w:rPr>
            </w:r>
          </w:p>
        </w:tc>
      </w:tr>
      <w:tr>
        <w:trPr>
          <w:trHeight w:val="273"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0"/>
              <w:jc w:val="right"/>
              <w:rPr>
                <w:rFonts w:ascii="Arial" w:hAnsi="Arial" w:cs="Arial" w:eastAsia="Arial" w:hint="default"/>
                <w:sz w:val="21"/>
                <w:szCs w:val="21"/>
              </w:rPr>
            </w:pPr>
            <w:r>
              <w:rPr>
                <w:rFonts w:ascii="Arial"/>
                <w:spacing w:val="-1"/>
                <w:w w:val="95"/>
                <w:sz w:val="21"/>
              </w:rPr>
              <w:t>4,048</w:t>
            </w:r>
            <w:r>
              <w:rPr>
                <w:rFonts w:ascii="Arial"/>
                <w:w w:val="95"/>
                <w:sz w:val="21"/>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4%</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
              <w:jc w:val="right"/>
              <w:rPr>
                <w:rFonts w:ascii="Arial" w:hAnsi="Arial" w:cs="Arial" w:eastAsia="Arial" w:hint="default"/>
                <w:sz w:val="21"/>
                <w:szCs w:val="21"/>
              </w:rPr>
            </w:pPr>
            <w:r>
              <w:rPr>
                <w:rFonts w:ascii="Arial"/>
                <w:spacing w:val="-1"/>
                <w:w w:val="95"/>
                <w:sz w:val="21"/>
              </w:rPr>
              <w:t>(405)</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21"/>
                <w:szCs w:val="21"/>
              </w:rPr>
            </w:pPr>
            <w:r>
              <w:rPr>
                <w:rFonts w:ascii="Arial"/>
                <w:spacing w:val="-1"/>
                <w:w w:val="95"/>
                <w:sz w:val="21"/>
              </w:rPr>
              <w:t>4,105</w:t>
            </w:r>
            <w:r>
              <w:rPr>
                <w:rFonts w:ascii="Arial"/>
                <w:w w:val="95"/>
                <w:sz w:val="21"/>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4%</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8"/>
              <w:jc w:val="right"/>
              <w:rPr>
                <w:rFonts w:ascii="Arial" w:hAnsi="Arial" w:cs="Arial" w:eastAsia="Arial" w:hint="default"/>
                <w:sz w:val="21"/>
                <w:szCs w:val="21"/>
              </w:rPr>
            </w:pPr>
            <w:r>
              <w:rPr>
                <w:rFonts w:ascii="Arial"/>
                <w:spacing w:val="-4"/>
                <w:w w:val="95"/>
                <w:sz w:val="21"/>
              </w:rPr>
              <w:t>(411)</w:t>
            </w:r>
          </w:p>
        </w:tc>
      </w:tr>
      <w:tr>
        <w:trPr>
          <w:trHeight w:val="273"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0"/>
              <w:jc w:val="right"/>
              <w:rPr>
                <w:rFonts w:ascii="Arial" w:hAnsi="Arial" w:cs="Arial" w:eastAsia="Arial" w:hint="default"/>
                <w:sz w:val="21"/>
                <w:szCs w:val="21"/>
              </w:rPr>
            </w:pPr>
            <w:r>
              <w:rPr>
                <w:rFonts w:ascii="Arial"/>
                <w:spacing w:val="-1"/>
                <w:w w:val="95"/>
                <w:sz w:val="21"/>
              </w:rPr>
              <w:t>1,352</w:t>
            </w:r>
            <w:r>
              <w:rPr>
                <w:rFonts w:ascii="Arial"/>
                <w:w w:val="95"/>
                <w:sz w:val="21"/>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right"/>
              <w:rPr>
                <w:rFonts w:ascii="Arial" w:hAnsi="Arial" w:cs="Arial" w:eastAsia="Arial" w:hint="default"/>
                <w:sz w:val="21"/>
                <w:szCs w:val="21"/>
              </w:rPr>
            </w:pPr>
            <w:r>
              <w:rPr>
                <w:rFonts w:ascii="Arial"/>
                <w:spacing w:val="-1"/>
                <w:w w:val="95"/>
                <w:sz w:val="21"/>
              </w:rPr>
              <w:t>(270)</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6"/>
              <w:jc w:val="right"/>
              <w:rPr>
                <w:rFonts w:ascii="Arial" w:hAnsi="Arial" w:cs="Arial" w:eastAsia="Arial" w:hint="default"/>
                <w:sz w:val="21"/>
                <w:szCs w:val="21"/>
              </w:rPr>
            </w:pPr>
            <w:r>
              <w:rPr>
                <w:rFonts w:ascii="Arial"/>
                <w:spacing w:val="-1"/>
                <w:w w:val="95"/>
                <w:sz w:val="21"/>
              </w:rPr>
              <w:t>734</w:t>
            </w:r>
            <w:r>
              <w:rPr>
                <w:rFonts w:ascii="Arial"/>
                <w:w w:val="95"/>
                <w:sz w:val="21"/>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Arial" w:hAnsi="Arial" w:cs="Arial" w:eastAsia="Arial" w:hint="default"/>
                <w:sz w:val="21"/>
                <w:szCs w:val="21"/>
              </w:rPr>
            </w:pPr>
            <w:r>
              <w:rPr>
                <w:rFonts w:ascii="Arial"/>
                <w:spacing w:val="-1"/>
                <w:w w:val="95"/>
                <w:sz w:val="21"/>
              </w:rPr>
              <w:t>(147)</w:t>
            </w:r>
            <w:r>
              <w:rPr>
                <w:rFonts w:ascii="Arial"/>
                <w:w w:val="95"/>
                <w:sz w:val="21"/>
              </w:rPr>
            </w:r>
          </w:p>
        </w:tc>
      </w:tr>
      <w:tr>
        <w:trPr>
          <w:trHeight w:val="273"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9"/>
              <w:jc w:val="right"/>
              <w:rPr>
                <w:rFonts w:ascii="Arial" w:hAnsi="Arial" w:cs="Arial" w:eastAsia="Arial" w:hint="default"/>
                <w:sz w:val="21"/>
                <w:szCs w:val="21"/>
              </w:rPr>
            </w:pPr>
            <w:r>
              <w:rPr>
                <w:rFonts w:ascii="Arial"/>
                <w:spacing w:val="-1"/>
                <w:w w:val="95"/>
                <w:sz w:val="21"/>
              </w:rPr>
              <w:t>683</w:t>
            </w:r>
            <w:r>
              <w:rPr>
                <w:rFonts w:ascii="Arial"/>
                <w:w w:val="95"/>
                <w:sz w:val="21"/>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
              <w:jc w:val="right"/>
              <w:rPr>
                <w:rFonts w:ascii="Arial" w:hAnsi="Arial" w:cs="Arial" w:eastAsia="Arial" w:hint="default"/>
                <w:sz w:val="21"/>
                <w:szCs w:val="21"/>
              </w:rPr>
            </w:pPr>
            <w:r>
              <w:rPr>
                <w:rFonts w:ascii="Arial"/>
                <w:spacing w:val="-1"/>
                <w:w w:val="95"/>
                <w:sz w:val="21"/>
              </w:rPr>
              <w:t>(205)</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5"/>
              <w:jc w:val="right"/>
              <w:rPr>
                <w:rFonts w:ascii="Arial" w:hAnsi="Arial" w:cs="Arial" w:eastAsia="Arial" w:hint="default"/>
                <w:sz w:val="21"/>
                <w:szCs w:val="21"/>
              </w:rPr>
            </w:pPr>
            <w:r>
              <w:rPr>
                <w:rFonts w:ascii="Arial"/>
                <w:spacing w:val="-1"/>
                <w:w w:val="95"/>
                <w:sz w:val="21"/>
              </w:rPr>
              <w:t>766</w:t>
            </w:r>
            <w:r>
              <w:rPr>
                <w:rFonts w:ascii="Arial"/>
                <w:w w:val="95"/>
                <w:sz w:val="21"/>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w w:val="95"/>
                <w:sz w:val="21"/>
              </w:rPr>
              <w:t>(230)</w:t>
            </w:r>
            <w:r>
              <w:rPr>
                <w:rFonts w:ascii="Arial"/>
                <w:w w:val="95"/>
                <w:sz w:val="21"/>
              </w:rPr>
            </w:r>
          </w:p>
        </w:tc>
      </w:tr>
      <w:tr>
        <w:trPr>
          <w:trHeight w:val="273"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9"/>
              <w:jc w:val="right"/>
              <w:rPr>
                <w:rFonts w:ascii="Arial" w:hAnsi="Arial" w:cs="Arial" w:eastAsia="Arial" w:hint="default"/>
                <w:sz w:val="21"/>
                <w:szCs w:val="21"/>
              </w:rPr>
            </w:pPr>
            <w:r>
              <w:rPr>
                <w:rFonts w:ascii="Arial"/>
                <w:spacing w:val="-1"/>
                <w:w w:val="95"/>
                <w:sz w:val="21"/>
              </w:rPr>
              <w:t>268</w:t>
            </w:r>
            <w:r>
              <w:rPr>
                <w:rFonts w:ascii="Arial"/>
                <w:w w:val="95"/>
                <w:sz w:val="21"/>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right"/>
              <w:rPr>
                <w:rFonts w:ascii="Arial" w:hAnsi="Arial" w:cs="Arial" w:eastAsia="Arial" w:hint="default"/>
                <w:sz w:val="21"/>
                <w:szCs w:val="21"/>
              </w:rPr>
            </w:pPr>
            <w:r>
              <w:rPr>
                <w:rFonts w:ascii="Arial"/>
                <w:spacing w:val="-1"/>
                <w:w w:val="95"/>
                <w:sz w:val="21"/>
              </w:rPr>
              <w:t>(161)</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Arial" w:hAnsi="Arial" w:cs="Arial" w:eastAsia="Arial" w:hint="default"/>
                <w:sz w:val="21"/>
                <w:szCs w:val="21"/>
              </w:rPr>
            </w:pPr>
            <w:r>
              <w:rPr>
                <w:rFonts w:ascii="Arial"/>
                <w:spacing w:val="-1"/>
                <w:w w:val="95"/>
                <w:sz w:val="21"/>
              </w:rPr>
              <w:t>89</w:t>
            </w:r>
            <w:r>
              <w:rPr>
                <w:rFonts w:ascii="Arial"/>
                <w:w w:val="95"/>
                <w:sz w:val="21"/>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Arial" w:hAnsi="Arial" w:cs="Arial" w:eastAsia="Arial" w:hint="default"/>
                <w:sz w:val="21"/>
                <w:szCs w:val="21"/>
              </w:rPr>
            </w:pPr>
            <w:r>
              <w:rPr>
                <w:rFonts w:ascii="Arial"/>
                <w:spacing w:val="-1"/>
                <w:w w:val="95"/>
                <w:sz w:val="21"/>
              </w:rPr>
              <w:t>(53)</w:t>
            </w:r>
            <w:r>
              <w:rPr>
                <w:rFonts w:ascii="Arial"/>
                <w:w w:val="95"/>
                <w:sz w:val="21"/>
              </w:rPr>
            </w:r>
          </w:p>
        </w:tc>
      </w:tr>
      <w:tr>
        <w:trPr>
          <w:trHeight w:val="281"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49"/>
              <w:jc w:val="right"/>
              <w:rPr>
                <w:rFonts w:ascii="Arial" w:hAnsi="Arial" w:cs="Arial" w:eastAsia="Arial" w:hint="default"/>
                <w:sz w:val="21"/>
                <w:szCs w:val="21"/>
              </w:rPr>
            </w:pPr>
            <w:r>
              <w:rPr>
                <w:rFonts w:ascii="Arial"/>
                <w:spacing w:val="-1"/>
                <w:w w:val="95"/>
                <w:sz w:val="21"/>
              </w:rPr>
              <w:t>74</w:t>
            </w:r>
            <w:r>
              <w:rPr>
                <w:rFonts w:ascii="Arial"/>
                <w:w w:val="95"/>
                <w:sz w:val="21"/>
              </w:rPr>
            </w:r>
          </w:p>
        </w:tc>
        <w:tc>
          <w:tcPr>
            <w:tcW w:w="78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3"/>
              <w:jc w:val="right"/>
              <w:rPr>
                <w:rFonts w:ascii="Arial" w:hAnsi="Arial" w:cs="Arial" w:eastAsia="Arial" w:hint="default"/>
                <w:sz w:val="21"/>
                <w:szCs w:val="21"/>
              </w:rPr>
            </w:pPr>
            <w:r>
              <w:rPr>
                <w:rFonts w:ascii="Arial"/>
                <w:spacing w:val="-1"/>
                <w:w w:val="95"/>
                <w:sz w:val="21"/>
              </w:rPr>
              <w:t>(74)</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45"/>
              <w:jc w:val="right"/>
              <w:rPr>
                <w:rFonts w:ascii="Arial" w:hAnsi="Arial" w:cs="Arial" w:eastAsia="Arial" w:hint="default"/>
                <w:sz w:val="21"/>
                <w:szCs w:val="21"/>
              </w:rPr>
            </w:pPr>
            <w:r>
              <w:rPr>
                <w:rFonts w:ascii="Arial"/>
                <w:spacing w:val="-1"/>
                <w:w w:val="95"/>
                <w:sz w:val="21"/>
              </w:rPr>
              <w:t>103</w:t>
            </w:r>
            <w:r>
              <w:rPr>
                <w:rFonts w:ascii="Arial"/>
                <w:w w:val="95"/>
                <w:sz w:val="21"/>
              </w:rPr>
            </w:r>
          </w:p>
        </w:tc>
        <w:tc>
          <w:tcPr>
            <w:tcW w:w="78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w w:val="95"/>
                <w:sz w:val="21"/>
              </w:rPr>
              <w:t>(103)</w:t>
            </w:r>
            <w:r>
              <w:rPr>
                <w:rFonts w:ascii="Arial"/>
                <w:w w:val="95"/>
                <w:sz w:val="21"/>
              </w:rPr>
            </w:r>
          </w:p>
        </w:tc>
      </w:tr>
      <w:tr>
        <w:trPr>
          <w:trHeight w:val="261" w:hRule="exact"/>
        </w:trPr>
        <w:tc>
          <w:tcPr>
            <w:tcW w:w="1431"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50"/>
              <w:jc w:val="right"/>
              <w:rPr>
                <w:rFonts w:ascii="Arial" w:hAnsi="Arial" w:cs="Arial" w:eastAsia="Arial" w:hint="default"/>
                <w:sz w:val="21"/>
                <w:szCs w:val="21"/>
              </w:rPr>
            </w:pPr>
            <w:r>
              <w:rPr>
                <w:rFonts w:ascii="Arial"/>
                <w:spacing w:val="-4"/>
                <w:sz w:val="21"/>
              </w:rPr>
              <w:t>114,355</w:t>
            </w:r>
            <w:r>
              <w:rPr>
                <w:rFonts w:ascii="Arial"/>
                <w:sz w:val="21"/>
              </w:rPr>
            </w:r>
          </w:p>
        </w:tc>
        <w:tc>
          <w:tcPr>
            <w:tcW w:w="789"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3"/>
              <w:jc w:val="right"/>
              <w:rPr>
                <w:rFonts w:ascii="Arial" w:hAnsi="Arial" w:cs="Arial" w:eastAsia="Arial" w:hint="default"/>
                <w:sz w:val="21"/>
                <w:szCs w:val="21"/>
              </w:rPr>
            </w:pPr>
            <w:r>
              <w:rPr>
                <w:rFonts w:ascii="Arial"/>
                <w:spacing w:val="-4"/>
                <w:sz w:val="21"/>
              </w:rPr>
              <w:t>(6,511)</w:t>
            </w:r>
          </w:p>
        </w:tc>
        <w:tc>
          <w:tcPr>
            <w:tcW w:w="235" w:type="dxa"/>
            <w:tcBorders>
              <w:top w:val="nil" w:sz="6" w:space="0" w:color="auto"/>
              <w:left w:val="nil" w:sz="6" w:space="0" w:color="auto"/>
              <w:bottom w:val="nil" w:sz="6" w:space="0" w:color="auto"/>
              <w:right w:val="nil" w:sz="6" w:space="0" w:color="auto"/>
            </w:tcBorders>
          </w:tcPr>
          <w:p>
            <w:pPr/>
          </w:p>
        </w:tc>
        <w:tc>
          <w:tcPr>
            <w:tcW w:w="139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46"/>
              <w:jc w:val="right"/>
              <w:rPr>
                <w:rFonts w:ascii="Arial" w:hAnsi="Arial" w:cs="Arial" w:eastAsia="Arial" w:hint="default"/>
                <w:sz w:val="21"/>
                <w:szCs w:val="21"/>
              </w:rPr>
            </w:pPr>
            <w:r>
              <w:rPr>
                <w:rFonts w:ascii="Arial"/>
                <w:spacing w:val="-1"/>
                <w:sz w:val="21"/>
              </w:rPr>
              <w:t>95,973</w:t>
            </w:r>
            <w:r>
              <w:rPr>
                <w:rFonts w:ascii="Arial"/>
                <w:sz w:val="21"/>
              </w:rPr>
            </w:r>
          </w:p>
        </w:tc>
        <w:tc>
          <w:tcPr>
            <w:tcW w:w="78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49"/>
              <w:jc w:val="right"/>
              <w:rPr>
                <w:rFonts w:ascii="Arial" w:hAnsi="Arial" w:cs="Arial" w:eastAsia="Arial" w:hint="default"/>
                <w:sz w:val="21"/>
                <w:szCs w:val="21"/>
              </w:rPr>
            </w:pPr>
            <w:r>
              <w:rPr>
                <w:rFonts w:ascii="Arial"/>
                <w:spacing w:val="-1"/>
                <w:sz w:val="21"/>
              </w:rPr>
              <w:t>(5,452)</w:t>
            </w:r>
            <w:r>
              <w:rPr>
                <w:rFonts w:ascii="Arial"/>
                <w:sz w:val="21"/>
              </w:rPr>
            </w:r>
          </w:p>
        </w:tc>
      </w:tr>
    </w:tbl>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8"/>
          <w:szCs w:val="18"/>
        </w:rPr>
      </w:pPr>
    </w:p>
    <w:p>
      <w:pPr>
        <w:pStyle w:val="BodyText"/>
        <w:spacing w:line="312" w:lineRule="exact" w:before="56"/>
        <w:ind w:left="709" w:right="0"/>
        <w:jc w:val="left"/>
      </w:pPr>
      <w:r>
        <w:rPr/>
        <w:t>于</w:t>
      </w:r>
      <w:r>
        <w:rPr>
          <w:spacing w:val="-59"/>
        </w:rPr>
        <w:t> </w:t>
      </w:r>
      <w:r>
        <w:rPr>
          <w:rFonts w:ascii="Arial" w:hAnsi="Arial" w:cs="Arial" w:eastAsia="Arial" w:hint="default"/>
          <w:spacing w:val="-1"/>
        </w:rPr>
        <w:t>2007</w:t>
      </w:r>
      <w:r>
        <w:rPr>
          <w:rFonts w:ascii="Arial" w:hAnsi="Arial" w:cs="Arial" w:eastAsia="Arial" w:hint="default"/>
          <w:spacing w:val="-6"/>
        </w:rPr>
        <w:t> </w:t>
      </w:r>
      <w:r>
        <w:rPr/>
        <w:t>年</w:t>
      </w:r>
      <w:r>
        <w:rPr>
          <w:spacing w:val="-58"/>
        </w:rPr>
        <w:t> </w:t>
      </w:r>
      <w:r>
        <w:rPr>
          <w:rFonts w:ascii="Arial" w:hAnsi="Arial" w:cs="Arial" w:eastAsia="Arial" w:hint="default"/>
          <w:spacing w:val="-1"/>
        </w:rPr>
        <w:t>12</w:t>
      </w:r>
      <w:r>
        <w:rPr>
          <w:rFonts w:ascii="Arial" w:hAnsi="Arial" w:cs="Arial" w:eastAsia="Arial" w:hint="default"/>
          <w:spacing w:val="-6"/>
        </w:rPr>
        <w:t> </w:t>
      </w:r>
      <w:r>
        <w:rPr/>
        <w:t>月</w:t>
      </w:r>
      <w:r>
        <w:rPr>
          <w:spacing w:val="-59"/>
        </w:rPr>
        <w:t> </w:t>
      </w:r>
      <w:r>
        <w:rPr>
          <w:rFonts w:ascii="Arial" w:hAnsi="Arial" w:cs="Arial" w:eastAsia="Arial" w:hint="default"/>
          <w:spacing w:val="-1"/>
        </w:rPr>
        <w:t>31</w:t>
      </w:r>
      <w:r>
        <w:rPr>
          <w:rFonts w:ascii="Arial" w:hAnsi="Arial" w:cs="Arial" w:eastAsia="Arial" w:hint="default"/>
          <w:spacing w:val="-6"/>
        </w:rPr>
        <w:t> </w:t>
      </w:r>
      <w:r>
        <w:rPr/>
        <w:t>日及</w:t>
      </w:r>
      <w:r>
        <w:rPr>
          <w:spacing w:val="-59"/>
        </w:rPr>
        <w:t> </w:t>
      </w:r>
      <w:r>
        <w:rPr>
          <w:rFonts w:ascii="Arial" w:hAnsi="Arial" w:cs="Arial" w:eastAsia="Arial" w:hint="default"/>
          <w:spacing w:val="-1"/>
        </w:rPr>
        <w:t>2006</w:t>
      </w:r>
      <w:r>
        <w:rPr>
          <w:rFonts w:ascii="Arial" w:hAnsi="Arial" w:cs="Arial" w:eastAsia="Arial" w:hint="default"/>
          <w:spacing w:val="-6"/>
        </w:rPr>
        <w:t> </w:t>
      </w:r>
      <w:r>
        <w:rPr/>
        <w:t>年</w:t>
      </w:r>
      <w:r>
        <w:rPr>
          <w:spacing w:val="-58"/>
        </w:rPr>
        <w:t> </w:t>
      </w:r>
      <w:r>
        <w:rPr>
          <w:rFonts w:ascii="Arial" w:hAnsi="Arial" w:cs="Arial" w:eastAsia="Arial" w:hint="default"/>
          <w:spacing w:val="-1"/>
        </w:rPr>
        <w:t>12</w:t>
      </w:r>
      <w:r>
        <w:rPr>
          <w:rFonts w:ascii="Arial" w:hAnsi="Arial" w:cs="Arial" w:eastAsia="Arial" w:hint="default"/>
          <w:spacing w:val="-6"/>
        </w:rPr>
        <w:t> </w:t>
      </w:r>
      <w:r>
        <w:rPr/>
        <w:t>月</w:t>
      </w:r>
      <w:r>
        <w:rPr>
          <w:spacing w:val="-59"/>
        </w:rPr>
        <w:t> </w:t>
      </w:r>
      <w:r>
        <w:rPr>
          <w:rFonts w:ascii="Arial" w:hAnsi="Arial" w:cs="Arial" w:eastAsia="Arial" w:hint="default"/>
          <w:spacing w:val="-1"/>
        </w:rPr>
        <w:t>31</w:t>
      </w:r>
      <w:r>
        <w:rPr>
          <w:rFonts w:ascii="Arial" w:hAnsi="Arial" w:cs="Arial" w:eastAsia="Arial" w:hint="default"/>
          <w:spacing w:val="-6"/>
        </w:rPr>
        <w:t> </w:t>
      </w:r>
      <w:r>
        <w:rPr>
          <w:spacing w:val="-8"/>
        </w:rPr>
        <w:t>日，应收账款余额无单项金额重大或单项</w:t>
      </w:r>
      <w:r>
        <w:rPr>
          <w:spacing w:val="-1"/>
        </w:rPr>
        <w:t> </w:t>
      </w:r>
      <w:r>
        <w:rPr/>
        <w:t>金额不重大，但组合后信用风险重大的余额。</w:t>
      </w:r>
    </w:p>
    <w:p>
      <w:pPr>
        <w:spacing w:after="0" w:line="312" w:lineRule="exact"/>
        <w:jc w:val="left"/>
        <w:sectPr>
          <w:type w:val="continuous"/>
          <w:pgSz w:w="11910" w:h="16840"/>
          <w:pgMar w:top="1600" w:bottom="280" w:left="1020" w:right="720"/>
        </w:sectPr>
      </w:pPr>
    </w:p>
    <w:p>
      <w:pPr>
        <w:spacing w:line="240" w:lineRule="auto" w:before="5"/>
        <w:rPr>
          <w:rFonts w:ascii="宋体" w:hAnsi="宋体" w:cs="宋体" w:eastAsia="宋体" w:hint="default"/>
          <w:sz w:val="17"/>
          <w:szCs w:val="17"/>
        </w:rPr>
      </w:pPr>
    </w:p>
    <w:p>
      <w:pPr>
        <w:pStyle w:val="Heading2"/>
        <w:tabs>
          <w:tab w:pos="796" w:val="left" w:leader="none"/>
        </w:tabs>
        <w:spacing w:line="240" w:lineRule="auto"/>
        <w:ind w:right="105"/>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Heading2"/>
        <w:tabs>
          <w:tab w:pos="814" w:val="left" w:leader="none"/>
        </w:tabs>
        <w:spacing w:line="240" w:lineRule="auto" w:before="0"/>
        <w:ind w:left="108" w:right="105"/>
        <w:jc w:val="left"/>
        <w:rPr>
          <w:rFonts w:ascii="Arial" w:hAnsi="Arial" w:cs="Arial" w:eastAsia="Arial" w:hint="default"/>
          <w:b w:val="0"/>
          <w:bCs w:val="0"/>
        </w:rPr>
      </w:pPr>
      <w:r>
        <w:rPr>
          <w:rFonts w:ascii="Arial" w:hAnsi="Arial" w:cs="Arial" w:eastAsia="Arial" w:hint="default"/>
          <w:b w:val="0"/>
          <w:bCs w:val="0"/>
          <w:position w:val="2"/>
        </w:rPr>
        <w:t>(3)</w:t>
        <w:tab/>
      </w:r>
      <w:r>
        <w:rPr/>
        <w:t>应收账款、其他应收款及长期应收款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4" w:val="left" w:leader="none"/>
        </w:tabs>
        <w:spacing w:line="240" w:lineRule="auto"/>
        <w:ind w:left="107" w:right="105"/>
        <w:jc w:val="left"/>
        <w:rPr>
          <w:rFonts w:ascii="Arial" w:hAnsi="Arial" w:cs="Arial" w:eastAsia="Arial" w:hint="default"/>
        </w:rPr>
      </w:pPr>
      <w:r>
        <w:rPr>
          <w:rFonts w:ascii="Arial" w:hAnsi="Arial" w:cs="Arial" w:eastAsia="Arial" w:hint="default"/>
          <w:position w:val="2"/>
        </w:rPr>
        <w:t>(a)</w:t>
        <w:tab/>
      </w:r>
      <w:r>
        <w:rPr/>
        <w:t>应收账款</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spacing w:line="322" w:lineRule="exact"/>
        <w:ind w:left="814" w:right="105"/>
        <w:jc w:val="left"/>
        <w:rPr>
          <w:rFonts w:ascii="Arial" w:hAnsi="Arial" w:cs="Arial" w:eastAsia="Arial" w:hint="default"/>
        </w:rPr>
      </w:pPr>
      <w:r>
        <w:rPr/>
        <w:t>于</w:t>
      </w:r>
      <w:r>
        <w:rPr>
          <w:spacing w:val="-62"/>
        </w:rPr>
        <w:t> </w:t>
      </w:r>
      <w:r>
        <w:rPr>
          <w:rFonts w:ascii="Arial" w:hAnsi="Arial" w:cs="Arial" w:eastAsia="Arial" w:hint="default"/>
        </w:rPr>
        <w:t>2007</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日及</w:t>
      </w:r>
      <w:r>
        <w:rPr>
          <w:spacing w:val="-62"/>
        </w:rPr>
        <w:t> </w:t>
      </w:r>
      <w:r>
        <w:rPr>
          <w:rFonts w:ascii="Arial" w:hAnsi="Arial" w:cs="Arial" w:eastAsia="Arial" w:hint="default"/>
        </w:rPr>
        <w:t>2006</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日，应收账款中无持有本公司</w:t>
      </w:r>
      <w:r>
        <w:rPr>
          <w:spacing w:val="-63"/>
        </w:rPr>
        <w:t> </w:t>
      </w:r>
      <w:r>
        <w:rPr>
          <w:rFonts w:ascii="Arial" w:hAnsi="Arial" w:cs="Arial" w:eastAsia="Arial" w:hint="default"/>
        </w:rPr>
        <w:t>5%(</w:t>
      </w:r>
      <w:r>
        <w:rPr/>
        <w:t>含</w:t>
      </w:r>
      <w:r>
        <w:rPr>
          <w:spacing w:val="-62"/>
        </w:rPr>
        <w:t> </w:t>
      </w:r>
      <w:r>
        <w:rPr>
          <w:rFonts w:ascii="Arial" w:hAnsi="Arial" w:cs="Arial" w:eastAsia="Arial" w:hint="default"/>
        </w:rPr>
        <w:t>5%)</w:t>
      </w:r>
    </w:p>
    <w:p>
      <w:pPr>
        <w:pStyle w:val="BodyText"/>
        <w:spacing w:line="304" w:lineRule="exact"/>
        <w:ind w:left="814" w:right="105"/>
        <w:jc w:val="left"/>
      </w:pPr>
      <w:r>
        <w:rPr/>
        <w:t>以上表决权股份的股东的欠款。</w:t>
      </w:r>
    </w:p>
    <w:p>
      <w:pPr>
        <w:spacing w:line="240" w:lineRule="auto" w:before="12"/>
        <w:rPr>
          <w:rFonts w:ascii="宋体" w:hAnsi="宋体" w:cs="宋体" w:eastAsia="宋体" w:hint="default"/>
          <w:sz w:val="20"/>
          <w:szCs w:val="20"/>
        </w:rPr>
      </w:pPr>
    </w:p>
    <w:p>
      <w:pPr>
        <w:pStyle w:val="BodyText"/>
        <w:spacing w:line="322" w:lineRule="exact"/>
        <w:ind w:left="814" w:right="105"/>
        <w:jc w:val="left"/>
      </w:pPr>
      <w:r>
        <w:rPr/>
        <w:t>于</w:t>
      </w:r>
      <w:r>
        <w:rPr>
          <w:spacing w:val="-64"/>
        </w:rPr>
        <w:t> </w:t>
      </w:r>
      <w:r>
        <w:rPr>
          <w:rFonts w:ascii="Arial" w:hAnsi="Arial" w:cs="Arial" w:eastAsia="Arial" w:hint="default"/>
        </w:rPr>
        <w:t>2007</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11"/>
        </w:rPr>
        <w:t> </w:t>
      </w:r>
      <w:r>
        <w:rPr/>
        <w:t>月</w:t>
      </w:r>
      <w:r>
        <w:rPr>
          <w:spacing w:val="-64"/>
        </w:rPr>
        <w:t> </w:t>
      </w:r>
      <w:r>
        <w:rPr>
          <w:rFonts w:ascii="Arial" w:hAnsi="Arial" w:cs="Arial" w:eastAsia="Arial" w:hint="default"/>
        </w:rPr>
        <w:t>31</w:t>
      </w:r>
      <w:r>
        <w:rPr>
          <w:rFonts w:ascii="Arial" w:hAnsi="Arial" w:cs="Arial" w:eastAsia="Arial" w:hint="default"/>
          <w:spacing w:val="-11"/>
        </w:rPr>
        <w:t> </w:t>
      </w:r>
      <w:r>
        <w:rPr/>
        <w:t>日应收账款前五名债务人欠款金额合计共约为人民币</w:t>
      </w:r>
      <w:r>
        <w:rPr>
          <w:spacing w:val="-64"/>
        </w:rPr>
        <w:t> </w:t>
      </w:r>
      <w:r>
        <w:rPr>
          <w:rFonts w:ascii="Arial" w:hAnsi="Arial" w:cs="Arial" w:eastAsia="Arial" w:hint="default"/>
        </w:rPr>
        <w:t>2,557</w:t>
      </w:r>
      <w:r>
        <w:rPr>
          <w:rFonts w:ascii="Arial" w:hAnsi="Arial" w:cs="Arial" w:eastAsia="Arial" w:hint="default"/>
          <w:spacing w:val="-10"/>
        </w:rPr>
        <w:t> </w:t>
      </w:r>
      <w:r>
        <w:rPr/>
        <w:t>万元</w:t>
      </w:r>
    </w:p>
    <w:p>
      <w:pPr>
        <w:pStyle w:val="BodyText"/>
        <w:spacing w:line="312" w:lineRule="exact"/>
        <w:ind w:left="814" w:right="105"/>
        <w:jc w:val="left"/>
      </w:pPr>
      <w:r>
        <w:rPr>
          <w:rFonts w:ascii="Arial" w:hAnsi="Arial" w:cs="Arial" w:eastAsia="Arial" w:hint="default"/>
        </w:rPr>
        <w:t>(2006</w:t>
      </w:r>
      <w:r>
        <w:rPr>
          <w:rFonts w:ascii="Arial" w:hAnsi="Arial" w:cs="Arial" w:eastAsia="Arial" w:hint="default"/>
          <w:spacing w:val="9"/>
        </w:rPr>
        <w:t> </w:t>
      </w:r>
      <w:r>
        <w:rPr/>
        <w:t>年</w:t>
      </w:r>
      <w:r>
        <w:rPr>
          <w:spacing w:val="-44"/>
        </w:rPr>
        <w:t> </w:t>
      </w:r>
      <w:r>
        <w:rPr>
          <w:rFonts w:ascii="Arial" w:hAnsi="Arial" w:cs="Arial" w:eastAsia="Arial" w:hint="default"/>
        </w:rPr>
        <w:t>12</w:t>
      </w:r>
      <w:r>
        <w:rPr>
          <w:rFonts w:ascii="Arial" w:hAnsi="Arial" w:cs="Arial" w:eastAsia="Arial" w:hint="default"/>
          <w:spacing w:val="9"/>
        </w:rPr>
        <w:t> </w:t>
      </w:r>
      <w:r>
        <w:rPr/>
        <w:t>月</w:t>
      </w:r>
      <w:r>
        <w:rPr>
          <w:spacing w:val="-44"/>
        </w:rPr>
        <w:t> </w:t>
      </w:r>
      <w:r>
        <w:rPr>
          <w:rFonts w:ascii="Arial" w:hAnsi="Arial" w:cs="Arial" w:eastAsia="Arial" w:hint="default"/>
        </w:rPr>
        <w:t>31</w:t>
      </w:r>
      <w:r>
        <w:rPr>
          <w:rFonts w:ascii="Arial" w:hAnsi="Arial" w:cs="Arial" w:eastAsia="Arial" w:hint="default"/>
          <w:spacing w:val="9"/>
        </w:rPr>
        <w:t> </w:t>
      </w:r>
      <w:r>
        <w:rPr/>
        <w:t>日：约人民币</w:t>
      </w:r>
      <w:r>
        <w:rPr>
          <w:spacing w:val="-45"/>
        </w:rPr>
        <w:t> </w:t>
      </w:r>
      <w:r>
        <w:rPr>
          <w:rFonts w:ascii="Arial" w:hAnsi="Arial" w:cs="Arial" w:eastAsia="Arial" w:hint="default"/>
        </w:rPr>
        <w:t>1,360</w:t>
      </w:r>
      <w:r>
        <w:rPr>
          <w:rFonts w:ascii="Arial" w:hAnsi="Arial" w:cs="Arial" w:eastAsia="Arial" w:hint="default"/>
          <w:spacing w:val="9"/>
        </w:rPr>
        <w:t> </w:t>
      </w:r>
      <w:r>
        <w:rPr/>
        <w:t>万元</w:t>
      </w:r>
      <w:r>
        <w:rPr>
          <w:rFonts w:ascii="Arial" w:hAnsi="Arial" w:cs="Arial" w:eastAsia="Arial" w:hint="default"/>
        </w:rPr>
        <w:t>)</w:t>
      </w:r>
      <w:r>
        <w:rPr/>
        <w:t>，账龄为一年以内，占应收账款总额的</w:t>
      </w:r>
    </w:p>
    <w:p>
      <w:pPr>
        <w:pStyle w:val="BodyText"/>
        <w:spacing w:line="322" w:lineRule="exact"/>
        <w:ind w:left="814" w:right="105"/>
        <w:jc w:val="left"/>
      </w:pPr>
      <w:r>
        <w:rPr>
          <w:rFonts w:ascii="Arial" w:hAnsi="Arial" w:cs="Arial" w:eastAsia="Arial" w:hint="default"/>
        </w:rPr>
        <w:t>22%(2006</w:t>
      </w:r>
      <w:r>
        <w:rPr>
          <w:rFonts w:ascii="Arial" w:hAnsi="Arial" w:cs="Arial" w:eastAsia="Arial" w:hint="default"/>
          <w:spacing w:val="-9"/>
        </w:rPr>
        <w:t> </w:t>
      </w:r>
      <w:r>
        <w:rPr/>
        <w:t>年</w:t>
      </w:r>
      <w:r>
        <w:rPr>
          <w:spacing w:val="-63"/>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t>日：</w:t>
      </w:r>
      <w:r>
        <w:rPr>
          <w:rFonts w:ascii="Arial" w:hAnsi="Arial" w:cs="Arial" w:eastAsia="Arial" w:hint="default"/>
        </w:rPr>
        <w:t>14%)</w:t>
      </w:r>
      <w:r>
        <w:rPr/>
        <w:t>。</w:t>
      </w:r>
    </w:p>
    <w:p>
      <w:pPr>
        <w:spacing w:line="240" w:lineRule="auto" w:before="8"/>
        <w:rPr>
          <w:rFonts w:ascii="宋体" w:hAnsi="宋体" w:cs="宋体" w:eastAsia="宋体" w:hint="default"/>
          <w:sz w:val="19"/>
          <w:szCs w:val="19"/>
        </w:rPr>
      </w:pPr>
    </w:p>
    <w:p>
      <w:pPr>
        <w:pStyle w:val="BodyText"/>
        <w:spacing w:line="240" w:lineRule="auto"/>
        <w:ind w:left="814" w:right="105"/>
        <w:jc w:val="left"/>
      </w:pPr>
      <w:r>
        <w:rPr/>
        <w:t>本集团的应收账款均为人民币余额。</w:t>
      </w:r>
    </w:p>
    <w:p>
      <w:pPr>
        <w:spacing w:line="240" w:lineRule="auto" w:before="12"/>
        <w:rPr>
          <w:rFonts w:ascii="宋体" w:hAnsi="宋体" w:cs="宋体" w:eastAsia="宋体" w:hint="default"/>
          <w:sz w:val="20"/>
          <w:szCs w:val="20"/>
        </w:rPr>
      </w:pPr>
    </w:p>
    <w:p>
      <w:pPr>
        <w:pStyle w:val="BodyText"/>
        <w:tabs>
          <w:tab w:pos="796" w:val="left" w:leader="none"/>
        </w:tabs>
        <w:spacing w:line="240" w:lineRule="auto"/>
        <w:ind w:left="107" w:right="105"/>
        <w:jc w:val="left"/>
      </w:pPr>
      <w:r>
        <w:rPr>
          <w:rFonts w:ascii="Arial" w:hAnsi="Arial" w:cs="Arial" w:eastAsia="Arial" w:hint="default"/>
          <w:position w:val="2"/>
        </w:rPr>
        <w:t>(b)</w:t>
        <w:tab/>
      </w:r>
      <w:r>
        <w:rPr/>
        <w:t>其他应收款及长期应收款</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458" w:footer="708" w:top="1640" w:bottom="900" w:left="1020" w:right="960"/>
        </w:sectPr>
      </w:pPr>
    </w:p>
    <w:p>
      <w:pPr>
        <w:pStyle w:val="BodyText"/>
        <w:spacing w:line="322" w:lineRule="exact" w:before="26"/>
        <w:ind w:left="0" w:right="0"/>
        <w:jc w:val="right"/>
      </w:pPr>
      <w:r>
        <w:rPr>
          <w:rFonts w:ascii="Arial" w:hAnsi="Arial" w:cs="Arial" w:eastAsia="Arial" w:hint="default"/>
        </w:rPr>
        <w:t>2006</w:t>
      </w:r>
      <w:r>
        <w:rPr>
          <w:rFonts w:ascii="Arial" w:hAnsi="Arial" w:cs="Arial" w:eastAsia="Arial" w:hint="default"/>
          <w:spacing w:val="-10"/>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before="26"/>
        <w:ind w:left="0" w:right="249"/>
        <w:jc w:val="right"/>
      </w:pPr>
      <w:r>
        <w:rPr/>
        <w:br w:type="column"/>
      </w:r>
      <w:r>
        <w:rPr>
          <w:rFonts w:ascii="Arial" w:hAnsi="Arial" w:cs="Arial" w:eastAsia="Arial" w:hint="default"/>
        </w:rPr>
        <w:t>2007</w:t>
      </w:r>
      <w:r>
        <w:rPr>
          <w:rFonts w:ascii="Arial" w:hAnsi="Arial" w:cs="Arial" w:eastAsia="Arial" w:hint="default"/>
          <w:spacing w:val="-10"/>
        </w:rPr>
        <w:t> </w:t>
      </w:r>
      <w:r>
        <w:rPr/>
        <w:t>年</w:t>
      </w:r>
    </w:p>
    <w:p>
      <w:pPr>
        <w:pStyle w:val="BodyText"/>
        <w:spacing w:line="322" w:lineRule="exact"/>
        <w:ind w:left="0" w:right="250"/>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right"/>
        <w:sectPr>
          <w:type w:val="continuous"/>
          <w:pgSz w:w="11910" w:h="16840"/>
          <w:pgMar w:top="1600" w:bottom="280" w:left="1020" w:right="960"/>
          <w:cols w:num="2" w:equalWidth="0">
            <w:col w:w="4573" w:space="529"/>
            <w:col w:w="4828"/>
          </w:cols>
        </w:sectPr>
      </w:pPr>
    </w:p>
    <w:p>
      <w:pPr>
        <w:pStyle w:val="BodyText"/>
        <w:tabs>
          <w:tab w:pos="8312" w:val="left" w:leader="none"/>
        </w:tabs>
        <w:spacing w:line="312" w:lineRule="exact"/>
        <w:ind w:left="3211" w:right="105"/>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6"/>
        <w:rPr>
          <w:rFonts w:ascii="Arial" w:hAnsi="Arial" w:cs="Arial" w:eastAsia="Arial" w:hint="default"/>
          <w:sz w:val="19"/>
          <w:szCs w:val="19"/>
        </w:rPr>
      </w:pPr>
    </w:p>
    <w:tbl>
      <w:tblPr>
        <w:tblW w:w="0" w:type="auto"/>
        <w:jc w:val="left"/>
        <w:tblInd w:w="663" w:type="dxa"/>
        <w:tblLayout w:type="fixed"/>
        <w:tblCellMar>
          <w:top w:w="0" w:type="dxa"/>
          <w:left w:w="0" w:type="dxa"/>
          <w:bottom w:w="0" w:type="dxa"/>
          <w:right w:w="0" w:type="dxa"/>
        </w:tblCellMar>
        <w:tblLook w:val="01E0"/>
      </w:tblPr>
      <w:tblGrid>
        <w:gridCol w:w="2351"/>
        <w:gridCol w:w="1657"/>
        <w:gridCol w:w="1784"/>
        <w:gridCol w:w="1654"/>
        <w:gridCol w:w="1699"/>
      </w:tblGrid>
      <w:tr>
        <w:trPr>
          <w:trHeight w:val="379" w:hRule="exact"/>
        </w:trPr>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1"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69"/>
              <w:jc w:val="right"/>
              <w:rPr>
                <w:rFonts w:ascii="Arial" w:hAnsi="Arial" w:cs="Arial" w:eastAsia="Arial" w:hint="default"/>
                <w:sz w:val="24"/>
                <w:szCs w:val="24"/>
              </w:rPr>
            </w:pPr>
            <w:r>
              <w:rPr>
                <w:rFonts w:ascii="Arial"/>
                <w:spacing w:val="-1"/>
                <w:sz w:val="24"/>
              </w:rPr>
              <w:t>51,538</w:t>
            </w:r>
            <w:r>
              <w:rPr>
                <w:rFonts w:ascii="Arial"/>
                <w:sz w:val="24"/>
              </w:rPr>
            </w:r>
          </w:p>
        </w:tc>
        <w:tc>
          <w:tcPr>
            <w:tcW w:w="178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35" w:right="0"/>
              <w:jc w:val="left"/>
              <w:rPr>
                <w:rFonts w:ascii="Arial" w:hAnsi="Arial" w:cs="Arial" w:eastAsia="Arial" w:hint="default"/>
                <w:sz w:val="24"/>
                <w:szCs w:val="24"/>
              </w:rPr>
            </w:pPr>
            <w:r>
              <w:rPr>
                <w:rFonts w:ascii="Arial"/>
                <w:sz w:val="24"/>
              </w:rPr>
              <w:t>65,070</w:t>
            </w:r>
          </w:p>
        </w:tc>
      </w:tr>
      <w:tr>
        <w:trPr>
          <w:trHeight w:val="312" w:hRule="exact"/>
        </w:trPr>
        <w:tc>
          <w:tcPr>
            <w:tcW w:w="2351" w:type="dxa"/>
            <w:tcBorders>
              <w:top w:val="nil" w:sz="6" w:space="0" w:color="auto"/>
              <w:left w:val="nil" w:sz="6" w:space="0" w:color="auto"/>
              <w:bottom w:val="nil" w:sz="6" w:space="0" w:color="auto"/>
              <w:right w:val="nil" w:sz="6" w:space="0" w:color="auto"/>
            </w:tcBorders>
          </w:tcPr>
          <w:p>
            <w:pPr>
              <w:pStyle w:val="TableParagraph"/>
              <w:spacing w:line="279" w:lineRule="exact"/>
              <w:ind w:left="151"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9"/>
              <w:jc w:val="right"/>
              <w:rPr>
                <w:rFonts w:ascii="Arial" w:hAnsi="Arial" w:cs="Arial" w:eastAsia="Arial" w:hint="default"/>
                <w:sz w:val="24"/>
                <w:szCs w:val="24"/>
              </w:rPr>
            </w:pPr>
            <w:r>
              <w:rPr>
                <w:rFonts w:ascii="Arial"/>
                <w:spacing w:val="-1"/>
                <w:sz w:val="24"/>
              </w:rPr>
              <w:t>22,686</w:t>
            </w:r>
            <w:r>
              <w:rPr>
                <w:rFonts w:ascii="Arial"/>
                <w:sz w:val="24"/>
              </w:rPr>
            </w:r>
          </w:p>
        </w:tc>
        <w:tc>
          <w:tcPr>
            <w:tcW w:w="178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
              <w:ind w:left="753" w:right="0"/>
              <w:jc w:val="left"/>
              <w:rPr>
                <w:rFonts w:ascii="Arial" w:hAnsi="Arial" w:cs="Arial" w:eastAsia="Arial" w:hint="default"/>
                <w:sz w:val="24"/>
                <w:szCs w:val="24"/>
              </w:rPr>
            </w:pPr>
            <w:r>
              <w:rPr>
                <w:rFonts w:ascii="Arial"/>
                <w:spacing w:val="-4"/>
                <w:sz w:val="24"/>
              </w:rPr>
              <w:t>11,793</w:t>
            </w:r>
            <w:r>
              <w:rPr>
                <w:rFonts w:ascii="Arial"/>
                <w:sz w:val="24"/>
              </w:rPr>
            </w:r>
          </w:p>
        </w:tc>
      </w:tr>
      <w:tr>
        <w:trPr>
          <w:trHeight w:val="312" w:hRule="exact"/>
        </w:trPr>
        <w:tc>
          <w:tcPr>
            <w:tcW w:w="2351" w:type="dxa"/>
            <w:tcBorders>
              <w:top w:val="nil" w:sz="6" w:space="0" w:color="auto"/>
              <w:left w:val="nil" w:sz="6" w:space="0" w:color="auto"/>
              <w:bottom w:val="nil" w:sz="6" w:space="0" w:color="auto"/>
              <w:right w:val="nil" w:sz="6" w:space="0" w:color="auto"/>
            </w:tcBorders>
          </w:tcPr>
          <w:p>
            <w:pPr>
              <w:pStyle w:val="TableParagraph"/>
              <w:spacing w:line="279" w:lineRule="exact"/>
              <w:ind w:left="151" w:right="0"/>
              <w:jc w:val="left"/>
              <w:rPr>
                <w:rFonts w:ascii="宋体" w:hAnsi="宋体" w:cs="宋体" w:eastAsia="宋体" w:hint="default"/>
                <w:sz w:val="24"/>
                <w:szCs w:val="24"/>
              </w:rPr>
            </w:pPr>
            <w:r>
              <w:rPr>
                <w:rFonts w:ascii="宋体" w:hAnsi="宋体" w:cs="宋体" w:eastAsia="宋体" w:hint="default"/>
                <w:sz w:val="24"/>
                <w:szCs w:val="24"/>
              </w:rPr>
              <w:t>代垫水电费</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9"/>
              <w:jc w:val="right"/>
              <w:rPr>
                <w:rFonts w:ascii="Arial" w:hAnsi="Arial" w:cs="Arial" w:eastAsia="Arial" w:hint="default"/>
                <w:sz w:val="24"/>
                <w:szCs w:val="24"/>
              </w:rPr>
            </w:pPr>
            <w:r>
              <w:rPr>
                <w:rFonts w:ascii="Arial"/>
                <w:spacing w:val="-1"/>
                <w:w w:val="95"/>
                <w:sz w:val="24"/>
              </w:rPr>
              <w:t>277</w:t>
            </w:r>
            <w:r>
              <w:rPr>
                <w:rFonts w:ascii="Arial"/>
                <w:w w:val="95"/>
                <w:sz w:val="24"/>
              </w:rPr>
            </w:r>
          </w:p>
        </w:tc>
        <w:tc>
          <w:tcPr>
            <w:tcW w:w="178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
              <w:ind w:left="886" w:right="0"/>
              <w:jc w:val="left"/>
              <w:rPr>
                <w:rFonts w:ascii="Arial" w:hAnsi="Arial" w:cs="Arial" w:eastAsia="Arial" w:hint="default"/>
                <w:sz w:val="24"/>
                <w:szCs w:val="24"/>
              </w:rPr>
            </w:pPr>
            <w:r>
              <w:rPr>
                <w:rFonts w:ascii="Arial"/>
                <w:spacing w:val="-5"/>
                <w:sz w:val="24"/>
              </w:rPr>
              <w:t>2,811</w:t>
            </w:r>
          </w:p>
        </w:tc>
      </w:tr>
      <w:tr>
        <w:trPr>
          <w:trHeight w:val="321" w:hRule="exact"/>
        </w:trPr>
        <w:tc>
          <w:tcPr>
            <w:tcW w:w="2351" w:type="dxa"/>
            <w:tcBorders>
              <w:top w:val="nil" w:sz="6" w:space="0" w:color="auto"/>
              <w:left w:val="nil" w:sz="6" w:space="0" w:color="auto"/>
              <w:bottom w:val="nil" w:sz="6" w:space="0" w:color="auto"/>
              <w:right w:val="nil" w:sz="6" w:space="0" w:color="auto"/>
            </w:tcBorders>
          </w:tcPr>
          <w:p>
            <w:pPr>
              <w:pStyle w:val="TableParagraph"/>
              <w:spacing w:line="279" w:lineRule="exact"/>
              <w:ind w:left="151" w:right="0"/>
              <w:jc w:val="left"/>
              <w:rPr>
                <w:rFonts w:ascii="宋体" w:hAnsi="宋体" w:cs="宋体" w:eastAsia="宋体" w:hint="default"/>
                <w:sz w:val="24"/>
                <w:szCs w:val="24"/>
              </w:rPr>
            </w:pPr>
            <w:r>
              <w:rPr>
                <w:rFonts w:ascii="宋体" w:hAnsi="宋体" w:cs="宋体" w:eastAsia="宋体" w:hint="default"/>
                <w:sz w:val="24"/>
                <w:szCs w:val="24"/>
              </w:rPr>
              <w:t>其它</w:t>
            </w:r>
          </w:p>
        </w:tc>
        <w:tc>
          <w:tcPr>
            <w:tcW w:w="165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69"/>
              <w:jc w:val="right"/>
              <w:rPr>
                <w:rFonts w:ascii="Arial" w:hAnsi="Arial" w:cs="Arial" w:eastAsia="Arial" w:hint="default"/>
                <w:sz w:val="24"/>
                <w:szCs w:val="24"/>
              </w:rPr>
            </w:pPr>
            <w:r>
              <w:rPr>
                <w:rFonts w:ascii="Arial"/>
                <w:spacing w:val="-1"/>
                <w:sz w:val="24"/>
              </w:rPr>
              <w:t>24,617</w:t>
            </w:r>
            <w:r>
              <w:rPr>
                <w:rFonts w:ascii="Arial"/>
                <w:sz w:val="24"/>
              </w:rPr>
            </w:r>
          </w:p>
        </w:tc>
        <w:tc>
          <w:tcPr>
            <w:tcW w:w="1784" w:type="dxa"/>
            <w:tcBorders>
              <w:top w:val="nil" w:sz="6" w:space="0" w:color="auto"/>
              <w:left w:val="nil" w:sz="6" w:space="0" w:color="auto"/>
              <w:bottom w:val="nil" w:sz="6" w:space="0" w:color="auto"/>
              <w:right w:val="nil" w:sz="6" w:space="0" w:color="auto"/>
            </w:tcBorders>
          </w:tcPr>
          <w:p>
            <w:pPr>
              <w:pStyle w:val="TableParagraph"/>
              <w:spacing w:line="279" w:lineRule="exact"/>
              <w:ind w:left="524"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1654" w:type="dxa"/>
            <w:tcBorders>
              <w:top w:val="nil" w:sz="6" w:space="0" w:color="auto"/>
              <w:left w:val="nil" w:sz="6" w:space="0" w:color="auto"/>
              <w:bottom w:val="nil" w:sz="6" w:space="0" w:color="auto"/>
              <w:right w:val="nil" w:sz="6" w:space="0" w:color="auto"/>
            </w:tcBorders>
          </w:tcPr>
          <w:p>
            <w:pPr>
              <w:pStyle w:val="TableParagraph"/>
              <w:spacing w:line="279" w:lineRule="exact"/>
              <w:ind w:left="299" w:right="0"/>
              <w:jc w:val="left"/>
              <w:rPr>
                <w:rFonts w:ascii="宋体" w:hAnsi="宋体" w:cs="宋体" w:eastAsia="宋体" w:hint="default"/>
                <w:sz w:val="24"/>
                <w:szCs w:val="24"/>
              </w:rPr>
            </w:pPr>
            <w:r>
              <w:rPr>
                <w:rFonts w:ascii="宋体" w:hAnsi="宋体" w:cs="宋体" w:eastAsia="宋体" w:hint="default"/>
                <w:sz w:val="24"/>
                <w:szCs w:val="24"/>
              </w:rPr>
              <w:t>本年减少</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735" w:right="0"/>
              <w:jc w:val="left"/>
              <w:rPr>
                <w:rFonts w:ascii="Arial" w:hAnsi="Arial" w:cs="Arial" w:eastAsia="Arial" w:hint="default"/>
                <w:sz w:val="24"/>
                <w:szCs w:val="24"/>
              </w:rPr>
            </w:pPr>
            <w:r>
              <w:rPr>
                <w:rFonts w:ascii="Arial"/>
                <w:sz w:val="24"/>
              </w:rPr>
              <w:t>21,264</w:t>
            </w:r>
          </w:p>
        </w:tc>
      </w:tr>
      <w:tr>
        <w:trPr>
          <w:trHeight w:val="331" w:hRule="exact"/>
        </w:trPr>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right="169"/>
              <w:jc w:val="right"/>
              <w:rPr>
                <w:rFonts w:ascii="Arial" w:hAnsi="Arial" w:cs="Arial" w:eastAsia="Arial" w:hint="default"/>
                <w:sz w:val="24"/>
                <w:szCs w:val="24"/>
              </w:rPr>
            </w:pPr>
            <w:r>
              <w:rPr>
                <w:rFonts w:ascii="Arial"/>
                <w:spacing w:val="-4"/>
                <w:sz w:val="24"/>
              </w:rPr>
              <w:t>99,118</w:t>
            </w:r>
          </w:p>
        </w:tc>
        <w:tc>
          <w:tcPr>
            <w:tcW w:w="3438" w:type="dxa"/>
            <w:gridSpan w:val="2"/>
            <w:tcBorders>
              <w:top w:val="nil" w:sz="6" w:space="0" w:color="auto"/>
              <w:left w:val="nil" w:sz="6" w:space="0" w:color="auto"/>
              <w:bottom w:val="nil" w:sz="6" w:space="0" w:color="auto"/>
              <w:right w:val="nil" w:sz="6" w:space="0" w:color="auto"/>
            </w:tcBorders>
          </w:tcPr>
          <w:p>
            <w:pPr>
              <w:pStyle w:val="TableParagraph"/>
              <w:spacing w:line="292" w:lineRule="exact"/>
              <w:ind w:left="1020"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1699" w:type="dxa"/>
            <w:tcBorders>
              <w:top w:val="nil" w:sz="6" w:space="0" w:color="auto"/>
              <w:left w:val="nil" w:sz="6" w:space="0" w:color="auto"/>
              <w:bottom w:val="nil" w:sz="6" w:space="0" w:color="auto"/>
              <w:right w:val="nil" w:sz="6" w:space="0" w:color="auto"/>
            </w:tcBorders>
          </w:tcPr>
          <w:p>
            <w:pPr>
              <w:pStyle w:val="TableParagraph"/>
              <w:spacing w:line="274" w:lineRule="exact"/>
              <w:ind w:left="602" w:right="0"/>
              <w:jc w:val="left"/>
              <w:rPr>
                <w:rFonts w:ascii="Arial" w:hAnsi="Arial" w:cs="Arial" w:eastAsia="Arial" w:hint="default"/>
                <w:sz w:val="24"/>
                <w:szCs w:val="24"/>
              </w:rPr>
            </w:pPr>
            <w:r>
              <w:rPr>
                <w:rFonts w:ascii="Arial"/>
                <w:sz w:val="24"/>
              </w:rPr>
              <w:t>100,938</w:t>
            </w:r>
          </w:p>
        </w:tc>
      </w:tr>
      <w:tr>
        <w:trPr>
          <w:trHeight w:val="314" w:hRule="exact"/>
        </w:trPr>
        <w:tc>
          <w:tcPr>
            <w:tcW w:w="4008" w:type="dxa"/>
            <w:gridSpan w:val="2"/>
            <w:tcBorders>
              <w:top w:val="nil" w:sz="6" w:space="0" w:color="auto"/>
              <w:left w:val="nil" w:sz="6" w:space="0" w:color="auto"/>
              <w:bottom w:val="nil" w:sz="6" w:space="0" w:color="auto"/>
              <w:right w:val="nil" w:sz="6" w:space="0" w:color="auto"/>
            </w:tcBorders>
          </w:tcPr>
          <w:p>
            <w:pPr>
              <w:pStyle w:val="TableParagraph"/>
              <w:tabs>
                <w:tab w:pos="3040" w:val="left" w:leader="none"/>
                <w:tab w:pos="4008" w:val="left" w:leader="none"/>
              </w:tabs>
              <w:spacing w:line="297" w:lineRule="exact"/>
              <w:ind w:left="35" w:right="0"/>
              <w:jc w:val="left"/>
              <w:rPr>
                <w:rFonts w:ascii="Arial" w:hAnsi="Arial" w:cs="Arial" w:eastAsia="Arial" w:hint="default"/>
                <w:sz w:val="24"/>
                <w:szCs w:val="24"/>
              </w:rPr>
            </w:pPr>
            <w:r>
              <w:rPr>
                <w:rFonts w:ascii="Times New Roman" w:hAnsi="Times New Roman" w:cs="Times New Roman" w:eastAsia="Times New Roman" w:hint="default"/>
                <w:position w:val="2"/>
                <w:sz w:val="24"/>
                <w:szCs w:val="24"/>
              </w:rPr>
            </w:r>
            <w:r>
              <w:rPr>
                <w:rFonts w:ascii="Times New Roman" w:hAnsi="Times New Roman" w:cs="Times New Roman" w:eastAsia="Times New Roman" w:hint="default"/>
                <w:position w:val="2"/>
                <w:sz w:val="24"/>
                <w:szCs w:val="24"/>
                <w:u w:val="single" w:color="000000"/>
              </w:rPr>
              <w:t> </w:t>
            </w:r>
            <w:r>
              <w:rPr>
                <w:rFonts w:ascii="Times New Roman" w:hAnsi="Times New Roman" w:cs="Times New Roman" w:eastAsia="Times New Roman" w:hint="default"/>
                <w:spacing w:val="-4"/>
                <w:position w:val="2"/>
                <w:sz w:val="24"/>
                <w:szCs w:val="24"/>
                <w:u w:val="single" w:color="000000"/>
              </w:rPr>
              <w:t> </w:t>
            </w:r>
            <w:r>
              <w:rPr>
                <w:rFonts w:ascii="宋体" w:hAnsi="宋体" w:cs="宋体" w:eastAsia="宋体" w:hint="default"/>
                <w:position w:val="2"/>
                <w:sz w:val="24"/>
                <w:szCs w:val="24"/>
                <w:u w:val="single" w:color="000000"/>
              </w:rPr>
              <w:t>减：坏账准备</w:t>
              <w:tab/>
            </w:r>
            <w:r>
              <w:rPr>
                <w:rFonts w:ascii="Arial" w:hAnsi="Arial" w:cs="Arial" w:eastAsia="Arial" w:hint="default"/>
                <w:spacing w:val="-4"/>
                <w:sz w:val="24"/>
                <w:szCs w:val="24"/>
                <w:u w:val="single" w:color="000000"/>
              </w:rPr>
              <w:t>(11,954)</w:t>
              <w:tab/>
            </w:r>
            <w:r>
              <w:rPr>
                <w:rFonts w:ascii="Arial" w:hAnsi="Arial" w:cs="Arial" w:eastAsia="Arial" w:hint="default"/>
                <w:spacing w:val="-4"/>
                <w:sz w:val="24"/>
                <w:szCs w:val="24"/>
              </w:rPr>
            </w:r>
          </w:p>
        </w:tc>
        <w:tc>
          <w:tcPr>
            <w:tcW w:w="3438" w:type="dxa"/>
            <w:gridSpan w:val="2"/>
            <w:tcBorders>
              <w:top w:val="nil" w:sz="6" w:space="0" w:color="auto"/>
              <w:left w:val="nil" w:sz="6" w:space="0" w:color="auto"/>
              <w:bottom w:val="nil" w:sz="6" w:space="0" w:color="auto"/>
              <w:right w:val="nil" w:sz="6" w:space="0" w:color="auto"/>
            </w:tcBorders>
          </w:tcPr>
          <w:p>
            <w:pPr>
              <w:pStyle w:val="TableParagraph"/>
              <w:tabs>
                <w:tab w:pos="1403" w:val="left" w:leader="none"/>
                <w:tab w:pos="1877" w:val="left" w:leader="none"/>
                <w:tab w:pos="2443" w:val="left" w:leader="none"/>
                <w:tab w:pos="3145" w:val="left" w:leader="none"/>
              </w:tabs>
              <w:spacing w:line="240" w:lineRule="auto" w:before="21"/>
              <w:ind w:left="241" w:right="0"/>
              <w:jc w:val="left"/>
              <w:rPr>
                <w:rFonts w:ascii="Arial" w:hAnsi="Arial" w:cs="Arial" w:eastAsia="Arial" w:hint="default"/>
                <w:sz w:val="24"/>
                <w:szCs w:val="24"/>
              </w:rPr>
            </w:pPr>
            <w:r>
              <w:rPr>
                <w:rFonts w:ascii="Arial"/>
                <w:sz w:val="24"/>
              </w:rPr>
            </w:r>
            <w:r>
              <w:rPr>
                <w:rFonts w:ascii="Arial"/>
                <w:sz w:val="24"/>
                <w:u w:val="single" w:color="000000"/>
              </w:rPr>
              <w:t> </w:t>
              <w:tab/>
              <w:t>-</w:t>
            </w:r>
            <w:r>
              <w:rPr>
                <w:rFonts w:ascii="Arial"/>
                <w:sz w:val="24"/>
              </w:rPr>
              <w:tab/>
            </w:r>
            <w:r>
              <w:rPr>
                <w:rFonts w:ascii="Arial"/>
                <w:sz w:val="24"/>
                <w:u w:val="single" w:color="000000"/>
              </w:rPr>
              <w:t> </w:t>
              <w:tab/>
              <w:t>4,754</w:t>
              <w:tab/>
            </w:r>
            <w:r>
              <w:rPr>
                <w:rFonts w:ascii="Arial"/>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788" w:val="left" w:leader="none"/>
                <w:tab w:pos="1664" w:val="left" w:leader="none"/>
              </w:tabs>
              <w:spacing w:line="240" w:lineRule="auto" w:before="21"/>
              <w:ind w:right="0"/>
              <w:jc w:val="left"/>
              <w:rPr>
                <w:rFonts w:ascii="Arial" w:hAnsi="Arial" w:cs="Arial" w:eastAsia="Arial" w:hint="default"/>
                <w:sz w:val="24"/>
                <w:szCs w:val="24"/>
              </w:rPr>
            </w:pPr>
            <w:r>
              <w:rPr>
                <w:rFonts w:ascii="Arial"/>
                <w:sz w:val="24"/>
              </w:rPr>
            </w:r>
            <w:r>
              <w:rPr>
                <w:rFonts w:ascii="Arial"/>
                <w:sz w:val="24"/>
                <w:u w:val="single" w:color="000000"/>
              </w:rPr>
              <w:t> </w:t>
              <w:tab/>
              <w:t>(7,200)</w:t>
              <w:tab/>
            </w:r>
            <w:r>
              <w:rPr>
                <w:rFonts w:ascii="Arial"/>
                <w:sz w:val="24"/>
              </w:rPr>
            </w:r>
          </w:p>
        </w:tc>
      </w:tr>
      <w:tr>
        <w:trPr>
          <w:trHeight w:val="265" w:hRule="exact"/>
        </w:trPr>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169"/>
              <w:jc w:val="right"/>
              <w:rPr>
                <w:rFonts w:ascii="Arial" w:hAnsi="Arial" w:cs="Arial" w:eastAsia="Arial" w:hint="default"/>
                <w:sz w:val="24"/>
                <w:szCs w:val="24"/>
              </w:rPr>
            </w:pPr>
            <w:r>
              <w:rPr>
                <w:rFonts w:ascii="Arial"/>
                <w:spacing w:val="-1"/>
                <w:sz w:val="24"/>
              </w:rPr>
              <w:t>87,164</w:t>
            </w:r>
            <w:r>
              <w:rPr>
                <w:rFonts w:ascii="Arial"/>
                <w:sz w:val="24"/>
              </w:rPr>
            </w:r>
          </w:p>
        </w:tc>
        <w:tc>
          <w:tcPr>
            <w:tcW w:w="3438" w:type="dxa"/>
            <w:gridSpan w:val="2"/>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68" w:lineRule="exact"/>
              <w:ind w:left="735" w:right="0"/>
              <w:jc w:val="left"/>
              <w:rPr>
                <w:rFonts w:ascii="Arial" w:hAnsi="Arial" w:cs="Arial" w:eastAsia="Arial" w:hint="default"/>
                <w:sz w:val="24"/>
                <w:szCs w:val="24"/>
              </w:rPr>
            </w:pPr>
            <w:r>
              <w:rPr>
                <w:rFonts w:ascii="Arial"/>
                <w:sz w:val="24"/>
              </w:rPr>
              <w:t>93,738</w:t>
            </w:r>
          </w:p>
        </w:tc>
      </w:tr>
    </w:tbl>
    <w:p>
      <w:pPr>
        <w:pStyle w:val="BodyText"/>
        <w:spacing w:line="288" w:lineRule="exact"/>
        <w:ind w:left="1071" w:right="105" w:hanging="257"/>
        <w:jc w:val="left"/>
      </w:pPr>
      <w:r>
        <w:rPr>
          <w:spacing w:val="10"/>
        </w:rPr>
        <w:t>减：长期应收款</w:t>
      </w:r>
      <w:r>
        <w:rPr>
          <w:rFonts w:ascii="Arial" w:hAnsi="Arial" w:cs="Arial" w:eastAsia="Arial" w:hint="default"/>
          <w:spacing w:val="10"/>
        </w:rPr>
        <w:t>-</w:t>
      </w:r>
      <w:r>
        <w:rPr>
          <w:spacing w:val="10"/>
        </w:rPr>
        <w:t>一</w:t>
      </w:r>
    </w:p>
    <w:p>
      <w:pPr>
        <w:pStyle w:val="BodyText"/>
        <w:spacing w:line="304" w:lineRule="exact"/>
        <w:ind w:left="1071" w:right="105"/>
        <w:jc w:val="left"/>
      </w:pPr>
      <w:r>
        <w:rPr>
          <w:spacing w:val="22"/>
        </w:rPr>
        <w:t>年以上到期的押</w:t>
      </w:r>
      <w:r>
        <w:rPr>
          <w:spacing w:val="-94"/>
        </w:rPr>
        <w:t> </w:t>
      </w:r>
      <w:r>
        <w:rPr/>
      </w:r>
    </w:p>
    <w:p>
      <w:pPr>
        <w:spacing w:line="240" w:lineRule="auto" w:before="1"/>
        <w:rPr>
          <w:rFonts w:ascii="宋体" w:hAnsi="宋体" w:cs="宋体" w:eastAsia="宋体" w:hint="default"/>
          <w:sz w:val="3"/>
          <w:szCs w:val="3"/>
        </w:rPr>
      </w:pPr>
    </w:p>
    <w:tbl>
      <w:tblPr>
        <w:tblW w:w="0" w:type="auto"/>
        <w:jc w:val="left"/>
        <w:tblInd w:w="1036" w:type="dxa"/>
        <w:tblLayout w:type="fixed"/>
        <w:tblCellMar>
          <w:top w:w="0" w:type="dxa"/>
          <w:left w:w="0" w:type="dxa"/>
          <w:bottom w:w="0" w:type="dxa"/>
          <w:right w:w="0" w:type="dxa"/>
        </w:tblCellMar>
        <w:tblLook w:val="01E0"/>
      </w:tblPr>
      <w:tblGrid>
        <w:gridCol w:w="1126"/>
        <w:gridCol w:w="4228"/>
        <w:gridCol w:w="3418"/>
      </w:tblGrid>
      <w:tr>
        <w:trPr>
          <w:trHeight w:val="32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金</w:t>
            </w:r>
          </w:p>
        </w:tc>
        <w:tc>
          <w:tcPr>
            <w:tcW w:w="4228" w:type="dxa"/>
            <w:tcBorders>
              <w:top w:val="nil" w:sz="6" w:space="0" w:color="auto"/>
              <w:left w:val="nil" w:sz="6" w:space="0" w:color="auto"/>
              <w:bottom w:val="nil" w:sz="6" w:space="0" w:color="auto"/>
              <w:right w:val="nil" w:sz="6" w:space="0" w:color="auto"/>
            </w:tcBorders>
          </w:tcPr>
          <w:p>
            <w:pPr>
              <w:pStyle w:val="TableParagraph"/>
              <w:tabs>
                <w:tab w:pos="1523" w:val="left" w:leader="none"/>
                <w:tab w:pos="2508" w:val="left" w:leader="none"/>
              </w:tabs>
              <w:spacing w:line="240" w:lineRule="auto" w:before="31"/>
              <w:ind w:left="851" w:right="0"/>
              <w:jc w:val="left"/>
              <w:rPr>
                <w:rFonts w:ascii="Arial" w:hAnsi="Arial" w:cs="Arial" w:eastAsia="Arial" w:hint="default"/>
                <w:sz w:val="24"/>
                <w:szCs w:val="24"/>
              </w:rPr>
            </w:pPr>
            <w:r>
              <w:rPr>
                <w:rFonts w:ascii="Arial"/>
                <w:sz w:val="24"/>
              </w:rPr>
            </w:r>
            <w:r>
              <w:rPr>
                <w:rFonts w:ascii="Arial"/>
                <w:sz w:val="24"/>
                <w:u w:val="single" w:color="000000"/>
              </w:rPr>
              <w:t> </w:t>
              <w:tab/>
              <w:t>(16,032)</w:t>
              <w:tab/>
            </w:r>
            <w:r>
              <w:rPr>
                <w:rFonts w:ascii="Arial"/>
                <w:sz w:val="24"/>
              </w:rPr>
            </w:r>
          </w:p>
        </w:tc>
        <w:tc>
          <w:tcPr>
            <w:tcW w:w="3418" w:type="dxa"/>
            <w:tcBorders>
              <w:top w:val="nil" w:sz="6" w:space="0" w:color="auto"/>
              <w:left w:val="nil" w:sz="6" w:space="0" w:color="auto"/>
              <w:bottom w:val="nil" w:sz="6" w:space="0" w:color="auto"/>
              <w:right w:val="nil" w:sz="6" w:space="0" w:color="auto"/>
            </w:tcBorders>
          </w:tcPr>
          <w:p>
            <w:pPr>
              <w:pStyle w:val="TableParagraph"/>
              <w:tabs>
                <w:tab w:pos="669" w:val="left" w:leader="none"/>
                <w:tab w:pos="1664" w:val="left" w:leader="none"/>
              </w:tabs>
              <w:spacing w:line="240" w:lineRule="auto" w:before="31"/>
              <w:ind w:right="33"/>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(24,662)</w:t>
              <w:tab/>
            </w:r>
            <w:r>
              <w:rPr>
                <w:rFonts w:ascii="Arial"/>
                <w:spacing w:val="-1"/>
                <w:sz w:val="24"/>
              </w:rPr>
            </w:r>
          </w:p>
        </w:tc>
      </w:tr>
      <w:tr>
        <w:trPr>
          <w:trHeight w:val="363" w:hRule="exact"/>
        </w:trPr>
        <w:tc>
          <w:tcPr>
            <w:tcW w:w="1126" w:type="dxa"/>
            <w:tcBorders>
              <w:top w:val="nil" w:sz="6" w:space="0" w:color="auto"/>
              <w:left w:val="nil" w:sz="6" w:space="0" w:color="auto"/>
              <w:bottom w:val="nil" w:sz="6" w:space="0" w:color="auto"/>
              <w:right w:val="nil" w:sz="6" w:space="0" w:color="auto"/>
            </w:tcBorders>
          </w:tcPr>
          <w:p>
            <w:pPr/>
          </w:p>
        </w:tc>
        <w:tc>
          <w:tcPr>
            <w:tcW w:w="4228" w:type="dxa"/>
            <w:tcBorders>
              <w:top w:val="nil" w:sz="6" w:space="0" w:color="auto"/>
              <w:left w:val="nil" w:sz="6" w:space="0" w:color="auto"/>
              <w:bottom w:val="nil" w:sz="6" w:space="0" w:color="auto"/>
              <w:right w:val="nil" w:sz="6" w:space="0" w:color="auto"/>
            </w:tcBorders>
          </w:tcPr>
          <w:p>
            <w:pPr>
              <w:pStyle w:val="TableParagraph"/>
              <w:tabs>
                <w:tab w:pos="1603" w:val="left" w:leader="none"/>
                <w:tab w:pos="2508" w:val="left" w:leader="none"/>
              </w:tabs>
              <w:spacing w:line="268" w:lineRule="exact"/>
              <w:ind w:left="851" w:right="0"/>
              <w:jc w:val="left"/>
              <w:rPr>
                <w:rFonts w:ascii="Arial" w:hAnsi="Arial" w:cs="Arial" w:eastAsia="Arial" w:hint="default"/>
                <w:sz w:val="24"/>
                <w:szCs w:val="24"/>
              </w:rPr>
            </w:pPr>
            <w:r>
              <w:rPr>
                <w:rFonts w:ascii="Arial"/>
                <w:sz w:val="24"/>
              </w:rPr>
            </w:r>
            <w:r>
              <w:rPr>
                <w:rFonts w:ascii="Arial"/>
                <w:sz w:val="24"/>
                <w:u w:val="thick" w:color="000000"/>
              </w:rPr>
              <w:t> </w:t>
              <w:tab/>
              <w:t>71,132</w:t>
              <w:tab/>
            </w:r>
            <w:r>
              <w:rPr>
                <w:rFonts w:ascii="Arial"/>
                <w:sz w:val="24"/>
              </w:rPr>
            </w:r>
          </w:p>
        </w:tc>
        <w:tc>
          <w:tcPr>
            <w:tcW w:w="3418" w:type="dxa"/>
            <w:tcBorders>
              <w:top w:val="nil" w:sz="6" w:space="0" w:color="auto"/>
              <w:left w:val="nil" w:sz="6" w:space="0" w:color="auto"/>
              <w:bottom w:val="nil" w:sz="6" w:space="0" w:color="auto"/>
              <w:right w:val="nil" w:sz="6" w:space="0" w:color="auto"/>
            </w:tcBorders>
          </w:tcPr>
          <w:p>
            <w:pPr>
              <w:pStyle w:val="TableParagraph"/>
              <w:tabs>
                <w:tab w:pos="769" w:val="left" w:leader="none"/>
                <w:tab w:pos="1664" w:val="left" w:leader="none"/>
              </w:tabs>
              <w:spacing w:line="268" w:lineRule="exact"/>
              <w:ind w:right="33"/>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69,076</w:t>
              <w:tab/>
            </w:r>
            <w:r>
              <w:rPr>
                <w:rFonts w:ascii="Arial"/>
                <w:spacing w:val="-1"/>
                <w:sz w:val="24"/>
              </w:rPr>
            </w:r>
          </w:p>
        </w:tc>
      </w:tr>
    </w:tbl>
    <w:p>
      <w:pPr>
        <w:spacing w:line="240" w:lineRule="auto" w:before="4"/>
        <w:rPr>
          <w:rFonts w:ascii="宋体" w:hAnsi="宋体" w:cs="宋体" w:eastAsia="宋体" w:hint="default"/>
          <w:sz w:val="11"/>
          <w:szCs w:val="11"/>
        </w:rPr>
      </w:pPr>
    </w:p>
    <w:p>
      <w:pPr>
        <w:pStyle w:val="BodyText"/>
        <w:spacing w:line="322" w:lineRule="exact" w:before="26"/>
        <w:ind w:left="814" w:right="105"/>
        <w:jc w:val="left"/>
      </w:pPr>
      <w:r>
        <w:rPr/>
        <w:t>于 </w:t>
      </w:r>
      <w:r>
        <w:rPr>
          <w:rFonts w:ascii="Arial" w:hAnsi="Arial" w:cs="Arial" w:eastAsia="Arial" w:hint="default"/>
        </w:rPr>
        <w:t>2007</w:t>
      </w:r>
      <w:r>
        <w:rPr>
          <w:rFonts w:ascii="Arial" w:hAnsi="Arial" w:cs="Arial" w:eastAsia="Arial" w:hint="default"/>
          <w:spacing w:val="-25"/>
        </w:rPr>
        <w:t> </w:t>
      </w:r>
      <w:r>
        <w:rPr/>
        <w:t>年度，本集团其他应收款坏账准备减少数中包含已核销的其他应收款约人民</w:t>
      </w:r>
    </w:p>
    <w:p>
      <w:pPr>
        <w:pStyle w:val="BodyText"/>
        <w:spacing w:line="322" w:lineRule="exact"/>
        <w:ind w:left="814" w:right="105"/>
        <w:jc w:val="left"/>
      </w:pPr>
      <w:r>
        <w:rPr/>
        <w:t>币</w:t>
      </w:r>
      <w:r>
        <w:rPr>
          <w:spacing w:val="-62"/>
        </w:rPr>
        <w:t> </w:t>
      </w:r>
      <w:r>
        <w:rPr>
          <w:rFonts w:ascii="Arial" w:hAnsi="Arial" w:cs="Arial" w:eastAsia="Arial" w:hint="default"/>
        </w:rPr>
        <w:t>385.5</w:t>
      </w:r>
      <w:r>
        <w:rPr>
          <w:rFonts w:ascii="Arial" w:hAnsi="Arial" w:cs="Arial" w:eastAsia="Arial" w:hint="default"/>
          <w:spacing w:val="-9"/>
        </w:rPr>
        <w:t> </w:t>
      </w:r>
      <w:r>
        <w:rPr/>
        <w:t>万元。</w:t>
      </w:r>
    </w:p>
    <w:p>
      <w:pPr>
        <w:spacing w:after="0" w:line="322" w:lineRule="exact"/>
        <w:jc w:val="left"/>
        <w:sectPr>
          <w:type w:val="continuous"/>
          <w:pgSz w:w="11910" w:h="16840"/>
          <w:pgMar w:top="1600" w:bottom="280" w:left="1020" w:right="960"/>
        </w:sectPr>
      </w:pPr>
    </w:p>
    <w:p>
      <w:pPr>
        <w:spacing w:line="240" w:lineRule="auto" w:before="5"/>
        <w:rPr>
          <w:rFonts w:ascii="宋体" w:hAnsi="宋体" w:cs="宋体" w:eastAsia="宋体" w:hint="default"/>
          <w:sz w:val="17"/>
          <w:szCs w:val="17"/>
        </w:rPr>
      </w:pPr>
      <w:r>
        <w:rPr/>
        <w:pict>
          <v:group style="position:absolute;margin-left:142.800003pt;margin-top:229.529999pt;width:205.1pt;height:.1pt;mso-position-horizontal-relative:page;mso-position-vertical-relative:page;z-index:-577432" coordorigin="2856,4591" coordsize="4102,2">
            <v:shape style="position:absolute;left:2856;top:4591;width:4102;height:2" coordorigin="2856,4591" coordsize="4102,0" path="m2856,4591l6958,4591e" filled="false" stroked="true" strokeweight="1.5pt" strokecolor="#000000">
              <v:path arrowok="t"/>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525"/>
        <w:gridCol w:w="6131"/>
        <w:gridCol w:w="3460"/>
      </w:tblGrid>
      <w:tr>
        <w:trPr>
          <w:trHeight w:val="1696" w:hRule="exact"/>
        </w:trPr>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(3)</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(b)</w:t>
            </w:r>
          </w:p>
        </w:tc>
        <w:tc>
          <w:tcPr>
            <w:tcW w:w="61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580" w:lineRule="atLeast" w:before="8"/>
              <w:ind w:left="196" w:right="1669" w:firstLine="18"/>
              <w:jc w:val="left"/>
              <w:rPr>
                <w:rFonts w:ascii="Arial" w:hAnsi="Arial" w:cs="Arial" w:eastAsia="Arial" w:hint="default"/>
                <w:sz w:val="24"/>
                <w:szCs w:val="24"/>
              </w:rPr>
            </w:pPr>
            <w:r>
              <w:rPr>
                <w:rFonts w:ascii="宋体" w:hAnsi="宋体" w:cs="宋体" w:eastAsia="宋体" w:hint="default"/>
                <w:b/>
                <w:bCs/>
                <w:w w:val="95"/>
                <w:sz w:val="24"/>
                <w:szCs w:val="24"/>
              </w:rPr>
              <w:t>应收账款、其他应收款及长期应收款</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53"/>
                <w:w w:val="95"/>
                <w:sz w:val="24"/>
                <w:szCs w:val="24"/>
              </w:rPr>
              <w:t> </w:t>
            </w:r>
            <w:r>
              <w:rPr>
                <w:rFonts w:ascii="宋体" w:hAnsi="宋体" w:cs="宋体" w:eastAsia="宋体" w:hint="default"/>
                <w:sz w:val="24"/>
                <w:szCs w:val="24"/>
              </w:rPr>
              <w:t>其他应收款及长期应收款</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3460" w:type="dxa"/>
            <w:vMerge w:val="restart"/>
            <w:tcBorders>
              <w:top w:val="nil" w:sz="6" w:space="0" w:color="auto"/>
              <w:left w:val="nil" w:sz="6" w:space="0" w:color="auto"/>
              <w:right w:val="nil" w:sz="6" w:space="0" w:color="auto"/>
            </w:tcBorders>
          </w:tcPr>
          <w:p>
            <w:pPr/>
          </w:p>
        </w:tc>
      </w:tr>
      <w:tr>
        <w:trPr>
          <w:trHeight w:val="580" w:hRule="exact"/>
        </w:trPr>
        <w:tc>
          <w:tcPr>
            <w:tcW w:w="525" w:type="dxa"/>
            <w:tcBorders>
              <w:top w:val="nil" w:sz="6" w:space="0" w:color="auto"/>
              <w:left w:val="nil" w:sz="6" w:space="0" w:color="auto"/>
              <w:bottom w:val="nil" w:sz="6" w:space="0" w:color="auto"/>
              <w:right w:val="nil" w:sz="6" w:space="0" w:color="auto"/>
            </w:tcBorders>
          </w:tcPr>
          <w:p>
            <w:pPr/>
          </w:p>
        </w:tc>
        <w:tc>
          <w:tcPr>
            <w:tcW w:w="613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6" w:right="0"/>
              <w:jc w:val="left"/>
              <w:rPr>
                <w:rFonts w:ascii="宋体" w:hAnsi="宋体" w:cs="宋体" w:eastAsia="宋体" w:hint="default"/>
                <w:sz w:val="24"/>
                <w:szCs w:val="24"/>
              </w:rPr>
            </w:pPr>
            <w:r>
              <w:rPr>
                <w:rFonts w:ascii="宋体" w:hAnsi="宋体" w:cs="宋体" w:eastAsia="宋体" w:hint="default"/>
                <w:sz w:val="24"/>
                <w:szCs w:val="24"/>
              </w:rPr>
              <w:t>其他应收款和长期应收款及相应的坏账准备分析如下：</w:t>
            </w:r>
          </w:p>
        </w:tc>
        <w:tc>
          <w:tcPr>
            <w:tcW w:w="3460" w:type="dxa"/>
            <w:vMerge/>
            <w:tcBorders>
              <w:left w:val="nil" w:sz="6" w:space="0" w:color="auto"/>
              <w:bottom w:val="nil" w:sz="6" w:space="0" w:color="auto"/>
              <w:right w:val="nil" w:sz="6" w:space="0" w:color="auto"/>
            </w:tcBorders>
          </w:tcPr>
          <w:p>
            <w:pPr/>
          </w:p>
        </w:tc>
      </w:tr>
      <w:tr>
        <w:trPr>
          <w:trHeight w:val="430" w:hRule="exact"/>
        </w:trPr>
        <w:tc>
          <w:tcPr>
            <w:tcW w:w="525" w:type="dxa"/>
            <w:tcBorders>
              <w:top w:val="nil" w:sz="6" w:space="0" w:color="auto"/>
              <w:left w:val="nil" w:sz="6" w:space="0" w:color="auto"/>
              <w:bottom w:val="nil" w:sz="6" w:space="0" w:color="auto"/>
              <w:right w:val="nil" w:sz="6" w:space="0" w:color="auto"/>
            </w:tcBorders>
          </w:tcPr>
          <w:p>
            <w:pPr/>
          </w:p>
        </w:tc>
        <w:tc>
          <w:tcPr>
            <w:tcW w:w="6131"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left="2500"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460"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left="545"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546" w:hRule="exact"/>
        </w:trPr>
        <w:tc>
          <w:tcPr>
            <w:tcW w:w="525" w:type="dxa"/>
            <w:tcBorders>
              <w:top w:val="nil" w:sz="6" w:space="0" w:color="auto"/>
              <w:left w:val="nil" w:sz="6" w:space="0" w:color="auto"/>
              <w:bottom w:val="nil" w:sz="6" w:space="0" w:color="auto"/>
              <w:right w:val="nil" w:sz="6" w:space="0" w:color="auto"/>
            </w:tcBorders>
          </w:tcPr>
          <w:p>
            <w:pPr/>
          </w:p>
        </w:tc>
        <w:tc>
          <w:tcPr>
            <w:tcW w:w="6131" w:type="dxa"/>
            <w:tcBorders>
              <w:top w:val="single" w:sz="12" w:space="0" w:color="000000"/>
              <w:left w:val="nil" w:sz="6" w:space="0" w:color="auto"/>
              <w:bottom w:val="nil" w:sz="6" w:space="0" w:color="auto"/>
              <w:right w:val="nil" w:sz="6" w:space="0" w:color="auto"/>
            </w:tcBorders>
          </w:tcPr>
          <w:p>
            <w:pPr>
              <w:pStyle w:val="TableParagraph"/>
              <w:tabs>
                <w:tab w:pos="2056" w:val="left" w:leader="none"/>
                <w:tab w:pos="3604" w:val="left" w:leader="none"/>
              </w:tabs>
              <w:spacing w:line="240" w:lineRule="exact"/>
              <w:ind w:left="1243" w:right="0"/>
              <w:jc w:val="center"/>
              <w:rPr>
                <w:rFonts w:ascii="宋体" w:hAnsi="宋体" w:cs="宋体" w:eastAsia="宋体" w:hint="default"/>
                <w:sz w:val="21"/>
                <w:szCs w:val="21"/>
              </w:rPr>
            </w:pPr>
            <w:r>
              <w:rPr>
                <w:rFonts w:ascii="宋体" w:hAnsi="宋体" w:cs="宋体" w:eastAsia="宋体" w:hint="default"/>
                <w:sz w:val="21"/>
                <w:szCs w:val="21"/>
              </w:rPr>
              <w:t>金额</w:t>
              <w:tab/>
              <w:t>占总额比</w:t>
              <w:tab/>
              <w:t>坏账准备</w:t>
            </w:r>
          </w:p>
          <w:p>
            <w:pPr>
              <w:pStyle w:val="TableParagraph"/>
              <w:spacing w:line="274" w:lineRule="exact"/>
              <w:ind w:left="1138"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3460" w:type="dxa"/>
            <w:tcBorders>
              <w:top w:val="single" w:sz="12" w:space="0" w:color="000000"/>
              <w:left w:val="nil" w:sz="6" w:space="0" w:color="auto"/>
              <w:bottom w:val="nil" w:sz="6" w:space="0" w:color="auto"/>
              <w:right w:val="nil" w:sz="6" w:space="0" w:color="auto"/>
            </w:tcBorders>
          </w:tcPr>
          <w:p>
            <w:pPr>
              <w:pStyle w:val="TableParagraph"/>
              <w:tabs>
                <w:tab w:pos="845" w:val="left" w:leader="none"/>
                <w:tab w:pos="2569" w:val="left" w:leader="none"/>
              </w:tabs>
              <w:spacing w:line="240" w:lineRule="exact"/>
              <w:ind w:left="174" w:right="0"/>
              <w:jc w:val="left"/>
              <w:rPr>
                <w:rFonts w:ascii="宋体" w:hAnsi="宋体" w:cs="宋体" w:eastAsia="宋体" w:hint="default"/>
                <w:sz w:val="21"/>
                <w:szCs w:val="21"/>
              </w:rPr>
            </w:pPr>
            <w:r>
              <w:rPr>
                <w:rFonts w:ascii="宋体" w:hAnsi="宋体" w:cs="宋体" w:eastAsia="宋体" w:hint="default"/>
                <w:sz w:val="21"/>
                <w:szCs w:val="21"/>
              </w:rPr>
              <w:t>金额</w:t>
              <w:tab/>
            </w:r>
            <w:r>
              <w:rPr>
                <w:rFonts w:ascii="宋体" w:hAnsi="宋体" w:cs="宋体" w:eastAsia="宋体" w:hint="default"/>
                <w:spacing w:val="45"/>
                <w:sz w:val="21"/>
                <w:szCs w:val="21"/>
              </w:rPr>
              <w:t>占总额比</w:t>
              <w:tab/>
            </w:r>
            <w:r>
              <w:rPr>
                <w:rFonts w:ascii="宋体" w:hAnsi="宋体" w:cs="宋体" w:eastAsia="宋体" w:hint="default"/>
                <w:sz w:val="21"/>
                <w:szCs w:val="21"/>
              </w:rPr>
              <w:t>坏账准备</w:t>
            </w:r>
          </w:p>
          <w:p>
            <w:pPr>
              <w:pStyle w:val="TableParagraph"/>
              <w:spacing w:line="274" w:lineRule="exact"/>
              <w:ind w:left="845" w:right="0"/>
              <w:jc w:val="left"/>
              <w:rPr>
                <w:rFonts w:ascii="宋体" w:hAnsi="宋体" w:cs="宋体" w:eastAsia="宋体" w:hint="default"/>
                <w:sz w:val="21"/>
                <w:szCs w:val="21"/>
              </w:rPr>
            </w:pPr>
            <w:r>
              <w:rPr>
                <w:rFonts w:ascii="宋体" w:hAnsi="宋体" w:cs="宋体" w:eastAsia="宋体" w:hint="default"/>
                <w:sz w:val="21"/>
                <w:szCs w:val="21"/>
              </w:rPr>
              <w:t>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312" w:lineRule="exact" w:before="56"/>
        <w:ind w:left="852" w:right="208"/>
        <w:jc w:val="left"/>
      </w:pPr>
      <w:r>
        <w:rPr/>
        <w:pict>
          <v:shape style="position:absolute;margin-left:89.870148pt;margin-top:-134.434372pt;width:470.6pt;height:124.6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9"/>
                    <w:gridCol w:w="1592"/>
                    <w:gridCol w:w="960"/>
                    <w:gridCol w:w="247"/>
                    <w:gridCol w:w="1302"/>
                    <w:gridCol w:w="235"/>
                    <w:gridCol w:w="1511"/>
                    <w:gridCol w:w="963"/>
                    <w:gridCol w:w="236"/>
                    <w:gridCol w:w="1307"/>
                  </w:tblGrid>
                  <w:tr>
                    <w:trPr>
                      <w:trHeight w:val="828"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8"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27" w:right="0"/>
                          <w:jc w:val="left"/>
                          <w:rPr>
                            <w:rFonts w:ascii="Arial" w:hAnsi="Arial" w:cs="Arial" w:eastAsia="Arial" w:hint="default"/>
                            <w:sz w:val="21"/>
                            <w:szCs w:val="21"/>
                          </w:rPr>
                        </w:pPr>
                        <w:r>
                          <w:rPr>
                            <w:rFonts w:ascii="Arial"/>
                            <w:sz w:val="21"/>
                          </w:rPr>
                          <w:t>89,475</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89%</w:t>
                        </w:r>
                        <w:r>
                          <w:rPr>
                            <w:rFonts w:ascii="Arial"/>
                            <w:w w:val="95"/>
                            <w:sz w:val="21"/>
                          </w:rPr>
                        </w:r>
                      </w:p>
                    </w:tc>
                    <w:tc>
                      <w:tcPr>
                        <w:tcW w:w="24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2"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14" w:right="0"/>
                          <w:jc w:val="left"/>
                          <w:rPr>
                            <w:rFonts w:ascii="Arial" w:hAnsi="Arial" w:cs="Arial" w:eastAsia="Arial" w:hint="default"/>
                            <w:sz w:val="21"/>
                            <w:szCs w:val="21"/>
                          </w:rPr>
                        </w:pPr>
                        <w:r>
                          <w:rPr>
                            <w:rFonts w:ascii="Arial"/>
                            <w:sz w:val="21"/>
                          </w:rPr>
                          <w:t>(4,474)</w:t>
                        </w:r>
                      </w:p>
                    </w:tc>
                    <w:tc>
                      <w:tcPr>
                        <w:tcW w:w="2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5"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44" w:right="0"/>
                          <w:jc w:val="left"/>
                          <w:rPr>
                            <w:rFonts w:ascii="Arial" w:hAnsi="Arial" w:cs="Arial" w:eastAsia="Arial" w:hint="default"/>
                            <w:sz w:val="21"/>
                            <w:szCs w:val="21"/>
                          </w:rPr>
                        </w:pPr>
                        <w:r>
                          <w:rPr>
                            <w:rFonts w:ascii="Arial"/>
                            <w:sz w:val="21"/>
                          </w:rPr>
                          <w:t>66,578</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68%</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7"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91" w:right="0"/>
                          <w:jc w:val="left"/>
                          <w:rPr>
                            <w:rFonts w:ascii="Arial" w:hAnsi="Arial" w:cs="Arial" w:eastAsia="Arial" w:hint="default"/>
                            <w:sz w:val="21"/>
                            <w:szCs w:val="21"/>
                          </w:rPr>
                        </w:pPr>
                        <w:r>
                          <w:rPr>
                            <w:rFonts w:ascii="Arial"/>
                            <w:sz w:val="21"/>
                          </w:rPr>
                          <w:t>(3,459)</w:t>
                        </w:r>
                      </w:p>
                    </w:tc>
                  </w:tr>
                  <w:tr>
                    <w:trPr>
                      <w:trHeight w:val="273"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2"/>
                          <w:jc w:val="right"/>
                          <w:rPr>
                            <w:rFonts w:ascii="Arial" w:hAnsi="Arial" w:cs="Arial" w:eastAsia="Arial" w:hint="default"/>
                            <w:sz w:val="21"/>
                            <w:szCs w:val="21"/>
                          </w:rPr>
                        </w:pPr>
                        <w:r>
                          <w:rPr>
                            <w:rFonts w:ascii="Arial"/>
                            <w:spacing w:val="-1"/>
                            <w:w w:val="95"/>
                            <w:sz w:val="21"/>
                          </w:rPr>
                          <w:t>7,060</w:t>
                        </w:r>
                        <w:r>
                          <w:rPr>
                            <w:rFonts w:ascii="Arial"/>
                            <w:w w:val="95"/>
                            <w:sz w:val="21"/>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7%</w:t>
                        </w:r>
                        <w:r>
                          <w:rPr>
                            <w:rFonts w:ascii="Arial"/>
                            <w:w w:val="95"/>
                            <w:sz w:val="21"/>
                          </w:rPr>
                        </w:r>
                      </w:p>
                    </w:tc>
                    <w:tc>
                      <w:tcPr>
                        <w:tcW w:w="24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
                          <w:jc w:val="right"/>
                          <w:rPr>
                            <w:rFonts w:ascii="Arial" w:hAnsi="Arial" w:cs="Arial" w:eastAsia="Arial" w:hint="default"/>
                            <w:sz w:val="21"/>
                            <w:szCs w:val="21"/>
                          </w:rPr>
                        </w:pPr>
                        <w:r>
                          <w:rPr>
                            <w:rFonts w:ascii="Arial"/>
                            <w:spacing w:val="-1"/>
                            <w:w w:val="95"/>
                            <w:sz w:val="21"/>
                          </w:rPr>
                          <w:t>(706)</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3"/>
                          <w:jc w:val="right"/>
                          <w:rPr>
                            <w:rFonts w:ascii="Arial" w:hAnsi="Arial" w:cs="Arial" w:eastAsia="Arial" w:hint="default"/>
                            <w:sz w:val="21"/>
                            <w:szCs w:val="21"/>
                          </w:rPr>
                        </w:pPr>
                        <w:r>
                          <w:rPr>
                            <w:rFonts w:ascii="Arial"/>
                            <w:spacing w:val="-1"/>
                            <w:sz w:val="21"/>
                          </w:rPr>
                          <w:t>18,904</w:t>
                        </w:r>
                        <w:r>
                          <w:rPr>
                            <w:rFonts w:ascii="Arial"/>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18%</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Arial" w:hAnsi="Arial" w:cs="Arial" w:eastAsia="Arial" w:hint="default"/>
                            <w:sz w:val="21"/>
                            <w:szCs w:val="21"/>
                          </w:rPr>
                        </w:pPr>
                        <w:r>
                          <w:rPr>
                            <w:rFonts w:ascii="Arial"/>
                            <w:spacing w:val="-1"/>
                            <w:sz w:val="21"/>
                          </w:rPr>
                          <w:t>(1,890)</w:t>
                        </w:r>
                        <w:r>
                          <w:rPr>
                            <w:rFonts w:ascii="Arial"/>
                            <w:sz w:val="21"/>
                          </w:rPr>
                        </w:r>
                      </w:p>
                    </w:tc>
                  </w:tr>
                  <w:tr>
                    <w:trPr>
                      <w:trHeight w:val="273"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2"/>
                          <w:jc w:val="right"/>
                          <w:rPr>
                            <w:rFonts w:ascii="Arial" w:hAnsi="Arial" w:cs="Arial" w:eastAsia="Arial" w:hint="default"/>
                            <w:sz w:val="21"/>
                            <w:szCs w:val="21"/>
                          </w:rPr>
                        </w:pPr>
                        <w:r>
                          <w:rPr>
                            <w:rFonts w:ascii="Arial"/>
                            <w:spacing w:val="-1"/>
                            <w:w w:val="95"/>
                            <w:sz w:val="21"/>
                          </w:rPr>
                          <w:t>1,230</w:t>
                        </w:r>
                        <w:r>
                          <w:rPr>
                            <w:rFonts w:ascii="Arial"/>
                            <w:w w:val="95"/>
                            <w:sz w:val="21"/>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4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1"/>
                          <w:jc w:val="right"/>
                          <w:rPr>
                            <w:rFonts w:ascii="Arial" w:hAnsi="Arial" w:cs="Arial" w:eastAsia="Arial" w:hint="default"/>
                            <w:sz w:val="21"/>
                            <w:szCs w:val="21"/>
                          </w:rPr>
                        </w:pPr>
                        <w:r>
                          <w:rPr>
                            <w:rFonts w:ascii="Arial"/>
                            <w:spacing w:val="-1"/>
                            <w:w w:val="95"/>
                            <w:sz w:val="21"/>
                          </w:rPr>
                          <w:t>(246)</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3"/>
                          <w:jc w:val="right"/>
                          <w:rPr>
                            <w:rFonts w:ascii="Arial" w:hAnsi="Arial" w:cs="Arial" w:eastAsia="Arial" w:hint="default"/>
                            <w:sz w:val="21"/>
                            <w:szCs w:val="21"/>
                          </w:rPr>
                        </w:pPr>
                        <w:r>
                          <w:rPr>
                            <w:rFonts w:ascii="Arial"/>
                            <w:spacing w:val="-1"/>
                            <w:w w:val="95"/>
                            <w:sz w:val="21"/>
                          </w:rPr>
                          <w:t>4,999</w:t>
                        </w:r>
                        <w:r>
                          <w:rPr>
                            <w:rFonts w:ascii="Arial"/>
                            <w:w w:val="95"/>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5%</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sz w:val="21"/>
                          </w:rPr>
                          <w:t>(1,000)</w:t>
                        </w:r>
                        <w:r>
                          <w:rPr>
                            <w:rFonts w:ascii="Arial"/>
                            <w:sz w:val="21"/>
                          </w:rPr>
                        </w:r>
                      </w:p>
                    </w:tc>
                  </w:tr>
                  <w:tr>
                    <w:trPr>
                      <w:trHeight w:val="273"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1"/>
                          <w:jc w:val="right"/>
                          <w:rPr>
                            <w:rFonts w:ascii="Arial" w:hAnsi="Arial" w:cs="Arial" w:eastAsia="Arial" w:hint="default"/>
                            <w:sz w:val="21"/>
                            <w:szCs w:val="21"/>
                          </w:rPr>
                        </w:pPr>
                        <w:r>
                          <w:rPr>
                            <w:rFonts w:ascii="Arial"/>
                            <w:spacing w:val="-4"/>
                            <w:sz w:val="21"/>
                          </w:rPr>
                          <w:t>1,211</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4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
                          <w:jc w:val="right"/>
                          <w:rPr>
                            <w:rFonts w:ascii="Arial" w:hAnsi="Arial" w:cs="Arial" w:eastAsia="Arial" w:hint="default"/>
                            <w:sz w:val="21"/>
                            <w:szCs w:val="21"/>
                          </w:rPr>
                        </w:pPr>
                        <w:r>
                          <w:rPr>
                            <w:rFonts w:ascii="Arial"/>
                            <w:spacing w:val="-1"/>
                            <w:w w:val="95"/>
                            <w:sz w:val="21"/>
                          </w:rPr>
                          <w:t>(363)</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3"/>
                          <w:jc w:val="right"/>
                          <w:rPr>
                            <w:rFonts w:ascii="Arial" w:hAnsi="Arial" w:cs="Arial" w:eastAsia="Arial" w:hint="default"/>
                            <w:sz w:val="21"/>
                            <w:szCs w:val="21"/>
                          </w:rPr>
                        </w:pPr>
                        <w:r>
                          <w:rPr>
                            <w:rFonts w:ascii="Arial"/>
                            <w:spacing w:val="-1"/>
                            <w:w w:val="95"/>
                            <w:sz w:val="21"/>
                          </w:rPr>
                          <w:t>4,237</w:t>
                        </w:r>
                        <w:r>
                          <w:rPr>
                            <w:rFonts w:ascii="Arial"/>
                            <w:w w:val="95"/>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1"/>
                            <w:szCs w:val="21"/>
                          </w:rPr>
                        </w:pPr>
                        <w:r>
                          <w:rPr>
                            <w:rFonts w:ascii="Arial"/>
                            <w:spacing w:val="-1"/>
                            <w:w w:val="95"/>
                            <w:sz w:val="21"/>
                          </w:rPr>
                          <w:t>4%</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Arial" w:hAnsi="Arial" w:cs="Arial" w:eastAsia="Arial" w:hint="default"/>
                            <w:sz w:val="21"/>
                            <w:szCs w:val="21"/>
                          </w:rPr>
                        </w:pPr>
                        <w:r>
                          <w:rPr>
                            <w:rFonts w:ascii="Arial"/>
                            <w:spacing w:val="-1"/>
                            <w:sz w:val="21"/>
                          </w:rPr>
                          <w:t>(1,298)</w:t>
                        </w:r>
                        <w:r>
                          <w:rPr>
                            <w:rFonts w:ascii="Arial"/>
                            <w:sz w:val="21"/>
                          </w:rPr>
                        </w:r>
                      </w:p>
                    </w:tc>
                  </w:tr>
                  <w:tr>
                    <w:trPr>
                      <w:trHeight w:val="273"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2"/>
                          <w:jc w:val="right"/>
                          <w:rPr>
                            <w:rFonts w:ascii="Arial" w:hAnsi="Arial" w:cs="Arial" w:eastAsia="Arial" w:hint="default"/>
                            <w:sz w:val="21"/>
                            <w:szCs w:val="21"/>
                          </w:rPr>
                        </w:pPr>
                        <w:r>
                          <w:rPr>
                            <w:rFonts w:ascii="Arial"/>
                            <w:spacing w:val="-1"/>
                            <w:w w:val="95"/>
                            <w:sz w:val="21"/>
                          </w:rPr>
                          <w:t>1,377</w:t>
                        </w:r>
                        <w:r>
                          <w:rPr>
                            <w:rFonts w:ascii="Arial"/>
                            <w:w w:val="95"/>
                            <w:sz w:val="21"/>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4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2"/>
                          <w:jc w:val="right"/>
                          <w:rPr>
                            <w:rFonts w:ascii="Arial" w:hAnsi="Arial" w:cs="Arial" w:eastAsia="Arial" w:hint="default"/>
                            <w:sz w:val="21"/>
                            <w:szCs w:val="21"/>
                          </w:rPr>
                        </w:pPr>
                        <w:r>
                          <w:rPr>
                            <w:rFonts w:ascii="Arial"/>
                            <w:spacing w:val="-1"/>
                            <w:w w:val="95"/>
                            <w:sz w:val="21"/>
                          </w:rPr>
                          <w:t>(826)</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3"/>
                          <w:jc w:val="right"/>
                          <w:rPr>
                            <w:rFonts w:ascii="Arial" w:hAnsi="Arial" w:cs="Arial" w:eastAsia="Arial" w:hint="default"/>
                            <w:sz w:val="21"/>
                            <w:szCs w:val="21"/>
                          </w:rPr>
                        </w:pPr>
                        <w:r>
                          <w:rPr>
                            <w:rFonts w:ascii="Arial"/>
                            <w:spacing w:val="-1"/>
                            <w:w w:val="95"/>
                            <w:sz w:val="21"/>
                          </w:rPr>
                          <w:t>232</w:t>
                        </w:r>
                        <w:r>
                          <w:rPr>
                            <w:rFonts w:ascii="Arial"/>
                            <w:w w:val="95"/>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w w:val="95"/>
                            <w:sz w:val="21"/>
                          </w:rPr>
                          <w:t>(139)</w:t>
                        </w:r>
                        <w:r>
                          <w:rPr>
                            <w:rFonts w:ascii="Arial"/>
                            <w:w w:val="95"/>
                            <w:sz w:val="21"/>
                          </w:rPr>
                        </w:r>
                      </w:p>
                    </w:tc>
                  </w:tr>
                  <w:tr>
                    <w:trPr>
                      <w:trHeight w:val="280"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21"/>
                          <w:jc w:val="right"/>
                          <w:rPr>
                            <w:rFonts w:ascii="Arial" w:hAnsi="Arial" w:cs="Arial" w:eastAsia="Arial" w:hint="default"/>
                            <w:sz w:val="21"/>
                            <w:szCs w:val="21"/>
                          </w:rPr>
                        </w:pPr>
                        <w:r>
                          <w:rPr>
                            <w:rFonts w:ascii="Arial"/>
                            <w:spacing w:val="-1"/>
                            <w:w w:val="95"/>
                            <w:sz w:val="21"/>
                          </w:rPr>
                          <w:t>585</w:t>
                        </w:r>
                        <w:r>
                          <w:rPr>
                            <w:rFonts w:ascii="Arial"/>
                            <w:w w:val="95"/>
                            <w:sz w:val="21"/>
                          </w:rPr>
                        </w: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4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1"/>
                          <w:jc w:val="right"/>
                          <w:rPr>
                            <w:rFonts w:ascii="Arial" w:hAnsi="Arial" w:cs="Arial" w:eastAsia="Arial" w:hint="default"/>
                            <w:sz w:val="21"/>
                            <w:szCs w:val="21"/>
                          </w:rPr>
                        </w:pPr>
                        <w:r>
                          <w:rPr>
                            <w:rFonts w:ascii="Arial"/>
                            <w:spacing w:val="-1"/>
                            <w:w w:val="95"/>
                            <w:sz w:val="21"/>
                          </w:rPr>
                          <w:t>(585)</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23"/>
                          <w:jc w:val="right"/>
                          <w:rPr>
                            <w:rFonts w:ascii="Arial" w:hAnsi="Arial" w:cs="Arial" w:eastAsia="Arial" w:hint="default"/>
                            <w:sz w:val="21"/>
                            <w:szCs w:val="21"/>
                          </w:rPr>
                        </w:pPr>
                        <w:r>
                          <w:rPr>
                            <w:rFonts w:ascii="Arial"/>
                            <w:spacing w:val="-1"/>
                            <w:w w:val="95"/>
                            <w:sz w:val="21"/>
                          </w:rPr>
                          <w:t>4,168</w:t>
                        </w:r>
                        <w:r>
                          <w:rPr>
                            <w:rFonts w:ascii="Arial"/>
                            <w:w w:val="95"/>
                            <w:sz w:val="21"/>
                          </w:rPr>
                        </w:r>
                      </w:p>
                    </w:tc>
                    <w:tc>
                      <w:tcPr>
                        <w:tcW w:w="96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5%</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49"/>
                          <w:jc w:val="right"/>
                          <w:rPr>
                            <w:rFonts w:ascii="Arial" w:hAnsi="Arial" w:cs="Arial" w:eastAsia="Arial" w:hint="default"/>
                            <w:sz w:val="21"/>
                            <w:szCs w:val="21"/>
                          </w:rPr>
                        </w:pPr>
                        <w:r>
                          <w:rPr>
                            <w:rFonts w:ascii="Arial"/>
                            <w:spacing w:val="-1"/>
                            <w:sz w:val="21"/>
                          </w:rPr>
                          <w:t>(4,168)</w:t>
                        </w:r>
                        <w:r>
                          <w:rPr>
                            <w:rFonts w:ascii="Arial"/>
                            <w:sz w:val="21"/>
                          </w:rPr>
                        </w:r>
                      </w:p>
                    </w:tc>
                  </w:tr>
                  <w:tr>
                    <w:trPr>
                      <w:trHeight w:val="262" w:hRule="exact"/>
                    </w:trPr>
                    <w:tc>
                      <w:tcPr>
                        <w:tcW w:w="1059" w:type="dxa"/>
                        <w:tcBorders>
                          <w:top w:val="nil" w:sz="6" w:space="0" w:color="auto"/>
                          <w:left w:val="nil" w:sz="6" w:space="0" w:color="auto"/>
                          <w:bottom w:val="nil" w:sz="6" w:space="0" w:color="auto"/>
                          <w:right w:val="nil" w:sz="6" w:space="0" w:color="auto"/>
                        </w:tcBorders>
                      </w:tcPr>
                      <w:p>
                        <w:pPr/>
                      </w:p>
                    </w:tc>
                    <w:tc>
                      <w:tcPr>
                        <w:tcW w:w="159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321"/>
                          <w:jc w:val="right"/>
                          <w:rPr>
                            <w:rFonts w:ascii="Arial" w:hAnsi="Arial" w:cs="Arial" w:eastAsia="Arial" w:hint="default"/>
                            <w:sz w:val="21"/>
                            <w:szCs w:val="21"/>
                          </w:rPr>
                        </w:pPr>
                        <w:r>
                          <w:rPr>
                            <w:rFonts w:ascii="Arial"/>
                            <w:spacing w:val="-1"/>
                            <w:sz w:val="21"/>
                          </w:rPr>
                          <w:t>100,938</w:t>
                        </w:r>
                        <w:r>
                          <w:rPr>
                            <w:rFonts w:ascii="Arial"/>
                            <w:sz w:val="21"/>
                          </w:rPr>
                        </w:r>
                      </w:p>
                    </w:tc>
                    <w:tc>
                      <w:tcPr>
                        <w:tcW w:w="960"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247" w:type="dxa"/>
                        <w:tcBorders>
                          <w:top w:val="nil" w:sz="6" w:space="0" w:color="auto"/>
                          <w:left w:val="nil" w:sz="6" w:space="0" w:color="auto"/>
                          <w:bottom w:val="nil" w:sz="6" w:space="0" w:color="auto"/>
                          <w:right w:val="nil" w:sz="6" w:space="0" w:color="auto"/>
                        </w:tcBorders>
                      </w:tcPr>
                      <w:p>
                        <w:pPr/>
                      </w:p>
                    </w:tc>
                    <w:tc>
                      <w:tcPr>
                        <w:tcW w:w="130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21"/>
                          <w:jc w:val="right"/>
                          <w:rPr>
                            <w:rFonts w:ascii="Arial" w:hAnsi="Arial" w:cs="Arial" w:eastAsia="Arial" w:hint="default"/>
                            <w:sz w:val="21"/>
                            <w:szCs w:val="21"/>
                          </w:rPr>
                        </w:pPr>
                        <w:r>
                          <w:rPr>
                            <w:rFonts w:ascii="Arial"/>
                            <w:spacing w:val="-1"/>
                            <w:sz w:val="21"/>
                          </w:rPr>
                          <w:t>(7,200)</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324"/>
                          <w:jc w:val="right"/>
                          <w:rPr>
                            <w:rFonts w:ascii="Arial" w:hAnsi="Arial" w:cs="Arial" w:eastAsia="Arial" w:hint="default"/>
                            <w:sz w:val="21"/>
                            <w:szCs w:val="21"/>
                          </w:rPr>
                        </w:pPr>
                        <w:r>
                          <w:rPr>
                            <w:rFonts w:ascii="Arial"/>
                            <w:spacing w:val="-4"/>
                            <w:sz w:val="21"/>
                          </w:rPr>
                          <w:t>99,118</w:t>
                        </w:r>
                      </w:p>
                    </w:tc>
                    <w:tc>
                      <w:tcPr>
                        <w:tcW w:w="96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49"/>
                          <w:jc w:val="right"/>
                          <w:rPr>
                            <w:rFonts w:ascii="Arial" w:hAnsi="Arial" w:cs="Arial" w:eastAsia="Arial" w:hint="default"/>
                            <w:sz w:val="21"/>
                            <w:szCs w:val="21"/>
                          </w:rPr>
                        </w:pPr>
                        <w:r>
                          <w:rPr>
                            <w:rFonts w:ascii="Arial"/>
                            <w:spacing w:val="-3"/>
                            <w:sz w:val="21"/>
                          </w:rPr>
                          <w:t>(11,954)</w:t>
                        </w:r>
                      </w:p>
                    </w:tc>
                  </w:tr>
                </w:tbl>
                <w:p>
                  <w:pPr/>
                </w:p>
              </w:txbxContent>
            </v:textbox>
            <w10:wrap type="none"/>
          </v:shape>
        </w:pict>
      </w:r>
      <w:r>
        <w:rPr/>
        <w:t>于</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2006</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3"/>
        </w:rPr>
        <w:t>日，其他应收款及长期应收款余额无单项金额</w:t>
      </w:r>
      <w:r>
        <w:rPr/>
        <w:t> 重大或单项金额不重大，但组合后信用风险重大的余额。</w:t>
      </w:r>
    </w:p>
    <w:p>
      <w:pPr>
        <w:spacing w:line="240" w:lineRule="auto" w:before="10"/>
        <w:rPr>
          <w:rFonts w:ascii="宋体" w:hAnsi="宋体" w:cs="宋体" w:eastAsia="宋体" w:hint="default"/>
          <w:sz w:val="18"/>
          <w:szCs w:val="18"/>
        </w:rPr>
      </w:pPr>
    </w:p>
    <w:p>
      <w:pPr>
        <w:pStyle w:val="BodyText"/>
        <w:spacing w:line="322" w:lineRule="exact"/>
        <w:ind w:left="852" w:right="0"/>
        <w:jc w:val="left"/>
      </w:pPr>
      <w:r>
        <w:rPr/>
        <w:t>于</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2006</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3"/>
        </w:rPr>
        <w:t>日，其他应收款及长期应收款中无持有本公司</w:t>
      </w:r>
    </w:p>
    <w:p>
      <w:pPr>
        <w:pStyle w:val="BodyText"/>
        <w:spacing w:line="322" w:lineRule="exact"/>
        <w:ind w:left="852" w:right="208"/>
        <w:jc w:val="left"/>
      </w:pPr>
      <w:r>
        <w:rPr>
          <w:rFonts w:ascii="Arial" w:hAnsi="Arial" w:cs="Arial" w:eastAsia="Arial" w:hint="default"/>
        </w:rPr>
        <w:t>5%(</w:t>
      </w:r>
      <w:r>
        <w:rPr/>
        <w:t>含</w:t>
      </w:r>
      <w:r>
        <w:rPr>
          <w:spacing w:val="-65"/>
        </w:rPr>
        <w:t> </w:t>
      </w:r>
      <w:r>
        <w:rPr>
          <w:rFonts w:ascii="Arial" w:hAnsi="Arial" w:cs="Arial" w:eastAsia="Arial" w:hint="default"/>
        </w:rPr>
        <w:t>5%)</w:t>
      </w:r>
      <w:r>
        <w:rPr/>
        <w:t>以上表决权股份的股东的欠款。</w:t>
      </w:r>
    </w:p>
    <w:p>
      <w:pPr>
        <w:spacing w:line="240" w:lineRule="auto" w:before="8"/>
        <w:rPr>
          <w:rFonts w:ascii="宋体" w:hAnsi="宋体" w:cs="宋体" w:eastAsia="宋体" w:hint="default"/>
          <w:sz w:val="19"/>
          <w:szCs w:val="19"/>
        </w:rPr>
      </w:pPr>
    </w:p>
    <w:p>
      <w:pPr>
        <w:pStyle w:val="BodyText"/>
        <w:spacing w:line="322" w:lineRule="exact"/>
        <w:ind w:left="852" w:right="0"/>
        <w:jc w:val="left"/>
      </w:pPr>
      <w:r>
        <w:rPr/>
        <w:t>于</w:t>
      </w:r>
      <w:r>
        <w:rPr>
          <w:spacing w:val="-58"/>
        </w:rPr>
        <w:t> </w:t>
      </w:r>
      <w:r>
        <w:rPr>
          <w:rFonts w:ascii="Arial" w:hAnsi="Arial" w:cs="Arial" w:eastAsia="Arial" w:hint="default"/>
        </w:rPr>
        <w:t>2007</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spacing w:val="-3"/>
        </w:rPr>
        <w:t>日，其他应收款及长期应收款前五名债务人欠款金额合计共约人民币</w:t>
      </w:r>
    </w:p>
    <w:p>
      <w:pPr>
        <w:pStyle w:val="BodyText"/>
        <w:spacing w:line="312" w:lineRule="exact"/>
        <w:ind w:left="852" w:right="0"/>
        <w:jc w:val="left"/>
      </w:pPr>
      <w:r>
        <w:rPr>
          <w:rFonts w:ascii="Arial" w:hAnsi="Arial" w:cs="Arial" w:eastAsia="Arial" w:hint="default"/>
        </w:rPr>
        <w:t>1,264</w:t>
      </w:r>
      <w:r>
        <w:rPr>
          <w:rFonts w:ascii="Arial" w:hAnsi="Arial" w:cs="Arial" w:eastAsia="Arial" w:hint="default"/>
          <w:spacing w:val="-8"/>
        </w:rPr>
        <w:t> </w:t>
      </w:r>
      <w:r>
        <w:rPr/>
        <w:t>万元</w:t>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8"/>
        </w:rPr>
        <w:t>日：共约人民币</w:t>
      </w:r>
      <w:r>
        <w:rPr>
          <w:spacing w:val="-61"/>
        </w:rPr>
        <w:t> </w:t>
      </w:r>
      <w:r>
        <w:rPr>
          <w:rFonts w:ascii="Arial" w:hAnsi="Arial" w:cs="Arial" w:eastAsia="Arial" w:hint="default"/>
        </w:rPr>
        <w:t>1,299</w:t>
      </w:r>
      <w:r>
        <w:rPr>
          <w:rFonts w:ascii="Arial" w:hAnsi="Arial" w:cs="Arial" w:eastAsia="Arial" w:hint="default"/>
          <w:spacing w:val="-8"/>
        </w:rPr>
        <w:t> </w:t>
      </w:r>
      <w:r>
        <w:rPr>
          <w:spacing w:val="-4"/>
        </w:rPr>
        <w:t>万元</w:t>
      </w:r>
      <w:r>
        <w:rPr>
          <w:rFonts w:ascii="Arial" w:hAnsi="Arial" w:cs="Arial" w:eastAsia="Arial" w:hint="default"/>
          <w:spacing w:val="-4"/>
        </w:rPr>
        <w:t>)</w:t>
      </w:r>
      <w:r>
        <w:rPr>
          <w:spacing w:val="-4"/>
        </w:rPr>
        <w:t>，占其他应收款及长期应收款总</w:t>
      </w:r>
    </w:p>
    <w:p>
      <w:pPr>
        <w:pStyle w:val="BodyText"/>
        <w:spacing w:line="322" w:lineRule="exact"/>
        <w:ind w:left="852" w:right="208"/>
        <w:jc w:val="left"/>
      </w:pPr>
      <w:r>
        <w:rPr/>
        <w:t>额的</w:t>
      </w:r>
      <w:r>
        <w:rPr>
          <w:spacing w:val="-63"/>
        </w:rPr>
        <w:t> </w:t>
      </w:r>
      <w:r>
        <w:rPr>
          <w:rFonts w:ascii="Arial" w:hAnsi="Arial" w:cs="Arial" w:eastAsia="Arial" w:hint="default"/>
        </w:rPr>
        <w:t>18.3%(2006</w:t>
      </w:r>
      <w:r>
        <w:rPr>
          <w:rFonts w:ascii="Arial" w:hAnsi="Arial" w:cs="Arial" w:eastAsia="Arial" w:hint="default"/>
          <w:spacing w:val="-10"/>
        </w:rPr>
        <w:t> </w:t>
      </w:r>
      <w:r>
        <w:rPr/>
        <w:t>年</w:t>
      </w:r>
      <w:r>
        <w:rPr>
          <w:spacing w:val="-63"/>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t>日：</w:t>
      </w:r>
      <w:r>
        <w:rPr>
          <w:rFonts w:ascii="Arial" w:hAnsi="Arial" w:cs="Arial" w:eastAsia="Arial" w:hint="default"/>
        </w:rPr>
        <w:t>18.3%)</w:t>
      </w:r>
      <w:r>
        <w:rPr/>
        <w:t>。</w:t>
      </w:r>
    </w:p>
    <w:p>
      <w:pPr>
        <w:spacing w:line="240" w:lineRule="auto" w:before="8"/>
        <w:rPr>
          <w:rFonts w:ascii="宋体" w:hAnsi="宋体" w:cs="宋体" w:eastAsia="宋体" w:hint="default"/>
          <w:sz w:val="19"/>
          <w:szCs w:val="19"/>
        </w:rPr>
      </w:pPr>
    </w:p>
    <w:p>
      <w:pPr>
        <w:pStyle w:val="BodyText"/>
        <w:spacing w:line="240" w:lineRule="auto"/>
        <w:ind w:left="852" w:right="208"/>
        <w:jc w:val="left"/>
      </w:pPr>
      <w:r>
        <w:rPr/>
        <w:t>本集团的其他应收款及长期应收款均为人民币余额。</w:t>
      </w:r>
    </w:p>
    <w:p>
      <w:pPr>
        <w:spacing w:line="240" w:lineRule="auto" w:before="12"/>
        <w:rPr>
          <w:rFonts w:ascii="宋体" w:hAnsi="宋体" w:cs="宋体" w:eastAsia="宋体" w:hint="default"/>
          <w:sz w:val="20"/>
          <w:szCs w:val="20"/>
        </w:rPr>
      </w:pPr>
    </w:p>
    <w:p>
      <w:pPr>
        <w:tabs>
          <w:tab w:pos="852" w:val="left" w:leader="none"/>
        </w:tabs>
        <w:spacing w:before="0"/>
        <w:ind w:left="147" w:right="208" w:firstLine="0"/>
        <w:jc w:val="left"/>
        <w:rPr>
          <w:rFonts w:ascii="宋体" w:hAnsi="宋体" w:cs="宋体" w:eastAsia="宋体" w:hint="default"/>
          <w:sz w:val="24"/>
          <w:szCs w:val="24"/>
        </w:rPr>
      </w:pPr>
      <w:r>
        <w:rPr>
          <w:rFonts w:ascii="Arial" w:hAnsi="Arial" w:cs="Arial" w:eastAsia="Arial" w:hint="default"/>
          <w:position w:val="2"/>
          <w:sz w:val="24"/>
          <w:szCs w:val="24"/>
        </w:rPr>
        <w:t>(4)</w:t>
        <w:tab/>
      </w:r>
      <w:r>
        <w:rPr>
          <w:rFonts w:ascii="宋体" w:hAnsi="宋体" w:cs="宋体" w:eastAsia="宋体" w:hint="default"/>
          <w:b/>
          <w:bCs/>
          <w:sz w:val="24"/>
          <w:szCs w:val="24"/>
        </w:rPr>
        <w:t>预付款项</w:t>
      </w:r>
      <w:r>
        <w:rPr>
          <w:rFonts w:ascii="宋体" w:hAnsi="宋体" w:cs="宋体" w:eastAsia="宋体" w:hint="default"/>
          <w:sz w:val="24"/>
          <w:szCs w:val="24"/>
        </w:rPr>
      </w:r>
    </w:p>
    <w:p>
      <w:pPr>
        <w:spacing w:line="240" w:lineRule="auto" w:before="4"/>
        <w:rPr>
          <w:rFonts w:ascii="宋体" w:hAnsi="宋体" w:cs="宋体" w:eastAsia="宋体" w:hint="default"/>
          <w:b/>
          <w:bCs/>
          <w:sz w:val="18"/>
          <w:szCs w:val="18"/>
        </w:rPr>
      </w:pPr>
    </w:p>
    <w:p>
      <w:pPr>
        <w:pStyle w:val="BodyText"/>
        <w:tabs>
          <w:tab w:pos="7343" w:val="left" w:leader="none"/>
        </w:tabs>
        <w:spacing w:line="240" w:lineRule="auto"/>
        <w:ind w:left="3396" w:right="208"/>
        <w:jc w:val="left"/>
      </w:pP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line="240" w:lineRule="auto" w:before="8"/>
        <w:rPr>
          <w:rFonts w:ascii="宋体" w:hAnsi="宋体" w:cs="宋体" w:eastAsia="宋体" w:hint="default"/>
          <w:sz w:val="2"/>
          <w:szCs w:val="2"/>
        </w:rPr>
      </w:pPr>
    </w:p>
    <w:tbl>
      <w:tblPr>
        <w:tblW w:w="0" w:type="auto"/>
        <w:jc w:val="left"/>
        <w:tblInd w:w="819" w:type="dxa"/>
        <w:tblLayout w:type="fixed"/>
        <w:tblCellMar>
          <w:top w:w="0" w:type="dxa"/>
          <w:left w:w="0" w:type="dxa"/>
          <w:bottom w:w="0" w:type="dxa"/>
          <w:right w:w="0" w:type="dxa"/>
        </w:tblCellMar>
        <w:tblLook w:val="01E0"/>
      </w:tblPr>
      <w:tblGrid>
        <w:gridCol w:w="1198"/>
        <w:gridCol w:w="1723"/>
        <w:gridCol w:w="304"/>
        <w:gridCol w:w="1540"/>
        <w:gridCol w:w="418"/>
        <w:gridCol w:w="1704"/>
        <w:gridCol w:w="280"/>
        <w:gridCol w:w="1546"/>
      </w:tblGrid>
      <w:tr>
        <w:trPr>
          <w:trHeight w:val="749" w:hRule="exact"/>
        </w:trPr>
        <w:tc>
          <w:tcPr>
            <w:tcW w:w="119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59" w:lineRule="exact"/>
              <w:ind w:left="261" w:right="0" w:firstLine="880"/>
              <w:jc w:val="left"/>
              <w:rPr>
                <w:rFonts w:ascii="宋体" w:hAnsi="宋体" w:cs="宋体" w:eastAsia="宋体" w:hint="default"/>
                <w:sz w:val="24"/>
                <w:szCs w:val="24"/>
              </w:rPr>
            </w:pPr>
            <w:r>
              <w:rPr>
                <w:rFonts w:ascii="宋体" w:hAnsi="宋体" w:cs="宋体" w:eastAsia="宋体" w:hint="default"/>
                <w:sz w:val="24"/>
                <w:szCs w:val="24"/>
              </w:rPr>
              <w:t>金额</w:t>
            </w:r>
          </w:p>
          <w:p>
            <w:pPr>
              <w:pStyle w:val="TableParagraph"/>
              <w:spacing w:line="330" w:lineRule="exact"/>
              <w:ind w:left="26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304"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60" w:lineRule="exact"/>
              <w:ind w:right="98"/>
              <w:jc w:val="right"/>
              <w:rPr>
                <w:rFonts w:ascii="宋体" w:hAnsi="宋体" w:cs="宋体" w:eastAsia="宋体" w:hint="default"/>
                <w:sz w:val="24"/>
                <w:szCs w:val="24"/>
              </w:rPr>
            </w:pPr>
            <w:r>
              <w:rPr>
                <w:rFonts w:ascii="宋体" w:hAnsi="宋体" w:cs="宋体" w:eastAsia="宋体" w:hint="default"/>
                <w:sz w:val="24"/>
                <w:szCs w:val="24"/>
              </w:rPr>
              <w:t>占总额比例</w:t>
            </w:r>
          </w:p>
        </w:tc>
        <w:tc>
          <w:tcPr>
            <w:tcW w:w="418"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59" w:lineRule="exact"/>
              <w:ind w:left="243" w:right="0" w:firstLine="880"/>
              <w:jc w:val="left"/>
              <w:rPr>
                <w:rFonts w:ascii="宋体" w:hAnsi="宋体" w:cs="宋体" w:eastAsia="宋体" w:hint="default"/>
                <w:sz w:val="24"/>
                <w:szCs w:val="24"/>
              </w:rPr>
            </w:pPr>
            <w:r>
              <w:rPr>
                <w:rFonts w:ascii="宋体" w:hAnsi="宋体" w:cs="宋体" w:eastAsia="宋体" w:hint="default"/>
                <w:sz w:val="24"/>
                <w:szCs w:val="24"/>
              </w:rPr>
              <w:t>金额</w:t>
            </w:r>
          </w:p>
          <w:p>
            <w:pPr>
              <w:pStyle w:val="TableParagraph"/>
              <w:spacing w:line="330" w:lineRule="exact"/>
              <w:ind w:left="243"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8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60" w:lineRule="exact"/>
              <w:ind w:right="98"/>
              <w:jc w:val="right"/>
              <w:rPr>
                <w:rFonts w:ascii="宋体" w:hAnsi="宋体" w:cs="宋体" w:eastAsia="宋体" w:hint="default"/>
                <w:sz w:val="24"/>
                <w:szCs w:val="24"/>
              </w:rPr>
            </w:pPr>
            <w:r>
              <w:rPr>
                <w:rFonts w:ascii="宋体" w:hAnsi="宋体" w:cs="宋体" w:eastAsia="宋体" w:hint="default"/>
                <w:sz w:val="24"/>
                <w:szCs w:val="24"/>
              </w:rPr>
              <w:t>占总额比例</w:t>
            </w:r>
          </w:p>
        </w:tc>
      </w:tr>
      <w:tr>
        <w:trPr>
          <w:trHeight w:val="444"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2"/>
              <w:jc w:val="right"/>
              <w:rPr>
                <w:rFonts w:ascii="Arial" w:hAnsi="Arial" w:cs="Arial" w:eastAsia="Arial" w:hint="default"/>
                <w:sz w:val="24"/>
                <w:szCs w:val="24"/>
              </w:rPr>
            </w:pPr>
            <w:r>
              <w:rPr>
                <w:rFonts w:ascii="Arial"/>
                <w:spacing w:val="-1"/>
                <w:sz w:val="24"/>
              </w:rPr>
              <w:t>1,021,992</w:t>
            </w:r>
            <w:r>
              <w:rPr>
                <w:rFonts w:ascii="Arial"/>
                <w:sz w:val="24"/>
              </w:rPr>
            </w:r>
          </w:p>
        </w:tc>
        <w:tc>
          <w:tcPr>
            <w:tcW w:w="304"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0"/>
              <w:jc w:val="right"/>
              <w:rPr>
                <w:rFonts w:ascii="Arial" w:hAnsi="Arial" w:cs="Arial" w:eastAsia="Arial" w:hint="default"/>
                <w:sz w:val="24"/>
                <w:szCs w:val="24"/>
              </w:rPr>
            </w:pPr>
            <w:r>
              <w:rPr>
                <w:rFonts w:ascii="Arial"/>
                <w:spacing w:val="-1"/>
                <w:w w:val="95"/>
                <w:sz w:val="24"/>
              </w:rPr>
              <w:t>100%</w:t>
            </w:r>
            <w:r>
              <w:rPr>
                <w:rFonts w:ascii="Arial"/>
                <w:w w:val="95"/>
                <w:sz w:val="24"/>
              </w:rPr>
            </w:r>
          </w:p>
        </w:tc>
        <w:tc>
          <w:tcPr>
            <w:tcW w:w="418"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8"/>
              <w:jc w:val="right"/>
              <w:rPr>
                <w:rFonts w:ascii="Arial" w:hAnsi="Arial" w:cs="Arial" w:eastAsia="Arial" w:hint="default"/>
                <w:sz w:val="24"/>
                <w:szCs w:val="24"/>
              </w:rPr>
            </w:pPr>
            <w:r>
              <w:rPr>
                <w:rFonts w:ascii="Arial"/>
                <w:spacing w:val="-1"/>
                <w:sz w:val="24"/>
              </w:rPr>
              <w:t>989,394</w:t>
            </w:r>
            <w:r>
              <w:rPr>
                <w:rFonts w:ascii="Arial"/>
                <w:sz w:val="24"/>
              </w:rPr>
            </w:r>
          </w:p>
        </w:tc>
        <w:tc>
          <w:tcPr>
            <w:tcW w:w="28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w w:val="95"/>
                <w:sz w:val="24"/>
              </w:rPr>
              <w:t>98%</w:t>
            </w:r>
            <w:r>
              <w:rPr>
                <w:rFonts w:ascii="Arial"/>
                <w:w w:val="95"/>
                <w:sz w:val="24"/>
              </w:rPr>
            </w:r>
          </w:p>
        </w:tc>
      </w:tr>
      <w:tr>
        <w:trPr>
          <w:trHeight w:val="312"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z w:val="24"/>
              </w:rPr>
              <w:t>-</w:t>
            </w:r>
          </w:p>
        </w:tc>
        <w:tc>
          <w:tcPr>
            <w:tcW w:w="304"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0%</w:t>
            </w:r>
            <w:r>
              <w:rPr>
                <w:rFonts w:ascii="Arial"/>
                <w:w w:val="95"/>
                <w:sz w:val="24"/>
              </w:rPr>
            </w:r>
          </w:p>
        </w:tc>
        <w:tc>
          <w:tcPr>
            <w:tcW w:w="418"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sz w:val="24"/>
              </w:rPr>
              <w:t>22,740</w:t>
            </w:r>
            <w:r>
              <w:rPr>
                <w:rFonts w:ascii="Arial"/>
                <w:sz w:val="24"/>
              </w:rPr>
            </w:r>
          </w:p>
        </w:tc>
        <w:tc>
          <w:tcPr>
            <w:tcW w:w="28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2%</w:t>
            </w:r>
            <w:r>
              <w:rPr>
                <w:rFonts w:ascii="Arial"/>
                <w:w w:val="95"/>
                <w:sz w:val="24"/>
              </w:rPr>
            </w:r>
          </w:p>
        </w:tc>
      </w:tr>
      <w:tr>
        <w:trPr>
          <w:trHeight w:val="321"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z w:val="24"/>
              </w:rPr>
              <w:t>-</w:t>
            </w:r>
          </w:p>
        </w:tc>
        <w:tc>
          <w:tcPr>
            <w:tcW w:w="304"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0%</w:t>
            </w:r>
            <w:r>
              <w:rPr>
                <w:rFonts w:ascii="Arial"/>
                <w:w w:val="95"/>
                <w:sz w:val="24"/>
              </w:rPr>
            </w:r>
          </w:p>
        </w:tc>
        <w:tc>
          <w:tcPr>
            <w:tcW w:w="418"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2,184</w:t>
            </w:r>
            <w:r>
              <w:rPr>
                <w:rFonts w:ascii="Arial"/>
                <w:w w:val="95"/>
                <w:sz w:val="24"/>
              </w:rPr>
            </w:r>
          </w:p>
        </w:tc>
        <w:tc>
          <w:tcPr>
            <w:tcW w:w="28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0%</w:t>
            </w:r>
            <w:r>
              <w:rPr>
                <w:rFonts w:ascii="Arial"/>
                <w:w w:val="95"/>
                <w:sz w:val="24"/>
              </w:rPr>
            </w:r>
          </w:p>
        </w:tc>
      </w:tr>
      <w:tr>
        <w:trPr>
          <w:trHeight w:val="296" w:hRule="exact"/>
        </w:trPr>
        <w:tc>
          <w:tcPr>
            <w:tcW w:w="1198"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72"/>
              <w:jc w:val="right"/>
              <w:rPr>
                <w:rFonts w:ascii="Arial" w:hAnsi="Arial" w:cs="Arial" w:eastAsia="Arial" w:hint="default"/>
                <w:sz w:val="24"/>
                <w:szCs w:val="24"/>
              </w:rPr>
            </w:pPr>
            <w:r>
              <w:rPr>
                <w:rFonts w:ascii="Arial"/>
                <w:spacing w:val="-1"/>
                <w:sz w:val="24"/>
              </w:rPr>
              <w:t>1,021,992</w:t>
            </w:r>
            <w:r>
              <w:rPr>
                <w:rFonts w:ascii="Arial"/>
                <w:sz w:val="24"/>
              </w:rPr>
            </w:r>
          </w:p>
        </w:tc>
        <w:tc>
          <w:tcPr>
            <w:tcW w:w="304" w:type="dxa"/>
            <w:tcBorders>
              <w:top w:val="nil" w:sz="6" w:space="0" w:color="auto"/>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100%</w:t>
            </w:r>
            <w:r>
              <w:rPr>
                <w:rFonts w:ascii="Arial"/>
                <w:w w:val="95"/>
                <w:sz w:val="24"/>
              </w:rPr>
            </w:r>
          </w:p>
        </w:tc>
        <w:tc>
          <w:tcPr>
            <w:tcW w:w="418"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0"/>
              <w:jc w:val="right"/>
              <w:rPr>
                <w:rFonts w:ascii="Arial" w:hAnsi="Arial" w:cs="Arial" w:eastAsia="Arial" w:hint="default"/>
                <w:sz w:val="24"/>
                <w:szCs w:val="24"/>
              </w:rPr>
            </w:pPr>
            <w:r>
              <w:rPr>
                <w:rFonts w:ascii="Arial"/>
                <w:spacing w:val="-1"/>
                <w:sz w:val="24"/>
              </w:rPr>
              <w:t>1,014,318</w:t>
            </w:r>
            <w:r>
              <w:rPr>
                <w:rFonts w:ascii="Arial"/>
                <w:sz w:val="24"/>
              </w:rPr>
            </w:r>
          </w:p>
        </w:tc>
        <w:tc>
          <w:tcPr>
            <w:tcW w:w="280"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0"/>
              <w:jc w:val="right"/>
              <w:rPr>
                <w:rFonts w:ascii="Arial" w:hAnsi="Arial" w:cs="Arial" w:eastAsia="Arial" w:hint="default"/>
                <w:sz w:val="24"/>
                <w:szCs w:val="24"/>
              </w:rPr>
            </w:pPr>
            <w:r>
              <w:rPr>
                <w:rFonts w:ascii="Arial"/>
                <w:spacing w:val="-1"/>
                <w:w w:val="95"/>
                <w:sz w:val="24"/>
              </w:rPr>
              <w:t>100%</w:t>
            </w:r>
            <w:r>
              <w:rPr>
                <w:rFonts w:ascii="Arial"/>
                <w:w w:val="95"/>
                <w:sz w:val="24"/>
              </w:rPr>
            </w:r>
          </w:p>
        </w:tc>
      </w:tr>
    </w:tbl>
    <w:p>
      <w:pPr>
        <w:spacing w:after="0" w:line="274" w:lineRule="exact"/>
        <w:jc w:val="right"/>
        <w:rPr>
          <w:rFonts w:ascii="Arial" w:hAnsi="Arial" w:cs="Arial" w:eastAsia="Arial" w:hint="default"/>
          <w:sz w:val="24"/>
          <w:szCs w:val="24"/>
        </w:rPr>
        <w:sectPr>
          <w:pgSz w:w="11910" w:h="16840"/>
          <w:pgMar w:header="1458" w:footer="708" w:top="1640" w:bottom="900" w:left="980" w:right="580"/>
        </w:sectPr>
      </w:pPr>
    </w:p>
    <w:p>
      <w:pPr>
        <w:spacing w:line="240" w:lineRule="auto" w:before="5"/>
        <w:rPr>
          <w:rFonts w:ascii="宋体" w:hAnsi="宋体" w:cs="宋体" w:eastAsia="宋体" w:hint="default"/>
          <w:sz w:val="17"/>
          <w:szCs w:val="17"/>
        </w:rPr>
      </w:pPr>
    </w:p>
    <w:p>
      <w:pPr>
        <w:pStyle w:val="Heading2"/>
        <w:tabs>
          <w:tab w:pos="836" w:val="left" w:leader="none"/>
        </w:tabs>
        <w:spacing w:line="240" w:lineRule="auto"/>
        <w:ind w:left="147" w:right="0"/>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54" w:val="left" w:leader="none"/>
        </w:tabs>
        <w:spacing w:before="0"/>
        <w:ind w:left="147" w:right="0" w:firstLine="0"/>
        <w:jc w:val="left"/>
        <w:rPr>
          <w:rFonts w:ascii="Arial" w:hAnsi="Arial" w:cs="Arial" w:eastAsia="Arial" w:hint="default"/>
          <w:sz w:val="24"/>
          <w:szCs w:val="24"/>
        </w:rPr>
      </w:pPr>
      <w:r>
        <w:rPr>
          <w:rFonts w:ascii="Arial" w:hAnsi="Arial" w:cs="Arial" w:eastAsia="Arial" w:hint="default"/>
          <w:position w:val="2"/>
          <w:sz w:val="24"/>
          <w:szCs w:val="24"/>
        </w:rPr>
        <w:t>(4)</w:t>
        <w:tab/>
      </w:r>
      <w:r>
        <w:rPr>
          <w:rFonts w:ascii="宋体" w:hAnsi="宋体" w:cs="宋体" w:eastAsia="宋体" w:hint="default"/>
          <w:b/>
          <w:bCs/>
          <w:sz w:val="24"/>
          <w:szCs w:val="24"/>
        </w:rPr>
        <w:t>预付款项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spacing w:line="322" w:lineRule="exact"/>
        <w:ind w:left="854" w:right="0"/>
        <w:jc w:val="left"/>
        <w:rPr>
          <w:rFonts w:ascii="Arial" w:hAnsi="Arial" w:cs="Arial" w:eastAsia="Arial" w:hint="default"/>
        </w:rPr>
      </w:pPr>
      <w:r>
        <w:rPr/>
        <w:t>于</w:t>
      </w:r>
      <w:r>
        <w:rPr>
          <w:spacing w:val="-57"/>
        </w:rPr>
        <w:t> </w:t>
      </w:r>
      <w:r>
        <w:rPr>
          <w:rFonts w:ascii="Arial" w:hAnsi="Arial" w:cs="Arial" w:eastAsia="Arial" w:hint="default"/>
        </w:rPr>
        <w:t>2007</w:t>
      </w:r>
      <w:r>
        <w:rPr>
          <w:rFonts w:ascii="Arial" w:hAnsi="Arial" w:cs="Arial" w:eastAsia="Arial" w:hint="default"/>
          <w:spacing w:val="-4"/>
        </w:rPr>
        <w:t> </w:t>
      </w:r>
      <w:r>
        <w:rPr/>
        <w:t>年</w:t>
      </w:r>
      <w:r>
        <w:rPr>
          <w:spacing w:val="-59"/>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31</w:t>
      </w:r>
      <w:r>
        <w:rPr>
          <w:rFonts w:ascii="Arial" w:hAnsi="Arial" w:cs="Arial" w:eastAsia="Arial" w:hint="default"/>
          <w:spacing w:val="-4"/>
        </w:rPr>
        <w:t> </w:t>
      </w:r>
      <w:r>
        <w:rPr/>
        <w:t>日及</w:t>
      </w:r>
      <w:r>
        <w:rPr>
          <w:spacing w:val="-57"/>
        </w:rPr>
        <w:t> </w:t>
      </w:r>
      <w:r>
        <w:rPr>
          <w:rFonts w:ascii="Arial" w:hAnsi="Arial" w:cs="Arial" w:eastAsia="Arial" w:hint="default"/>
        </w:rPr>
        <w:t>2006</w:t>
      </w:r>
      <w:r>
        <w:rPr>
          <w:rFonts w:ascii="Arial" w:hAnsi="Arial" w:cs="Arial" w:eastAsia="Arial" w:hint="default"/>
          <w:spacing w:val="-4"/>
        </w:rPr>
        <w:t> </w:t>
      </w:r>
      <w:r>
        <w:rPr/>
        <w:t>年</w:t>
      </w:r>
      <w:r>
        <w:rPr>
          <w:spacing w:val="-59"/>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31</w:t>
      </w:r>
      <w:r>
        <w:rPr>
          <w:rFonts w:ascii="Arial" w:hAnsi="Arial" w:cs="Arial" w:eastAsia="Arial" w:hint="default"/>
          <w:spacing w:val="-4"/>
        </w:rPr>
        <w:t> </w:t>
      </w:r>
      <w:r>
        <w:rPr/>
        <w:t>日，预付款项中无预付持有本公司</w:t>
      </w:r>
      <w:r>
        <w:rPr>
          <w:spacing w:val="-58"/>
        </w:rPr>
        <w:t> </w:t>
      </w:r>
      <w:r>
        <w:rPr>
          <w:rFonts w:ascii="Arial" w:hAnsi="Arial" w:cs="Arial" w:eastAsia="Arial" w:hint="default"/>
        </w:rPr>
        <w:t>5%(</w:t>
      </w:r>
      <w:r>
        <w:rPr/>
        <w:t>含</w:t>
      </w:r>
      <w:r>
        <w:rPr>
          <w:spacing w:val="-57"/>
        </w:rPr>
        <w:t> </w:t>
      </w:r>
      <w:r>
        <w:rPr>
          <w:rFonts w:ascii="Arial" w:hAnsi="Arial" w:cs="Arial" w:eastAsia="Arial" w:hint="default"/>
        </w:rPr>
        <w:t>5%)</w:t>
      </w:r>
    </w:p>
    <w:p>
      <w:pPr>
        <w:pStyle w:val="BodyText"/>
        <w:spacing w:line="448" w:lineRule="auto"/>
        <w:ind w:left="854" w:right="5810"/>
        <w:jc w:val="left"/>
      </w:pPr>
      <w:r>
        <w:rPr/>
        <w:t>以上表决权股份的股东的款项。 本集团的预付款项均为人民币款项。</w:t>
      </w:r>
    </w:p>
    <w:p>
      <w:pPr>
        <w:tabs>
          <w:tab w:pos="854" w:val="left" w:leader="none"/>
        </w:tabs>
        <w:spacing w:before="65"/>
        <w:ind w:left="148" w:right="0" w:firstLine="0"/>
        <w:jc w:val="left"/>
        <w:rPr>
          <w:rFonts w:ascii="宋体" w:hAnsi="宋体" w:cs="宋体" w:eastAsia="宋体" w:hint="default"/>
          <w:sz w:val="24"/>
          <w:szCs w:val="24"/>
        </w:rPr>
      </w:pPr>
      <w:r>
        <w:rPr>
          <w:rFonts w:ascii="Arial" w:hAnsi="Arial" w:cs="Arial" w:eastAsia="Arial" w:hint="default"/>
          <w:position w:val="2"/>
          <w:sz w:val="24"/>
          <w:szCs w:val="24"/>
        </w:rPr>
        <w:t>(5)</w:t>
        <w:tab/>
      </w:r>
      <w:r>
        <w:rPr>
          <w:rFonts w:ascii="宋体" w:hAnsi="宋体" w:cs="宋体" w:eastAsia="宋体" w:hint="default"/>
          <w:b/>
          <w:bCs/>
          <w:sz w:val="24"/>
          <w:szCs w:val="24"/>
        </w:rPr>
        <w:t>存货</w:t>
      </w:r>
      <w:r>
        <w:rPr>
          <w:rFonts w:ascii="宋体" w:hAnsi="宋体" w:cs="宋体" w:eastAsia="宋体" w:hint="default"/>
          <w:sz w:val="24"/>
          <w:szCs w:val="24"/>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1458" w:footer="708" w:top="1640" w:bottom="900" w:left="980" w:right="400"/>
        </w:sect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5"/>
          <w:szCs w:val="25"/>
        </w:rPr>
      </w:pPr>
    </w:p>
    <w:p>
      <w:pPr>
        <w:pStyle w:val="BodyText"/>
        <w:spacing w:line="240" w:lineRule="auto"/>
        <w:ind w:left="854" w:right="-20"/>
        <w:jc w:val="left"/>
      </w:pPr>
      <w:r>
        <w:rPr/>
        <w:t>成本－</w:t>
      </w:r>
    </w:p>
    <w:p>
      <w:pPr>
        <w:pStyle w:val="BodyText"/>
        <w:spacing w:line="322" w:lineRule="exact" w:before="26"/>
        <w:ind w:left="1215" w:right="-17"/>
        <w:jc w:val="left"/>
      </w:pPr>
      <w:r>
        <w:rPr/>
        <w:br w:type="column"/>
      </w:r>
      <w:r>
        <w:rPr>
          <w:rFonts w:ascii="Arial" w:hAnsi="Arial" w:cs="Arial" w:eastAsia="Arial" w:hint="default"/>
        </w:rPr>
        <w:t>2006</w:t>
      </w:r>
      <w:r>
        <w:rPr>
          <w:rFonts w:ascii="Arial" w:hAnsi="Arial" w:cs="Arial" w:eastAsia="Arial" w:hint="default"/>
          <w:spacing w:val="-10"/>
        </w:rPr>
        <w:t> </w:t>
      </w:r>
      <w:r>
        <w:rPr/>
        <w:t>年</w:t>
      </w:r>
    </w:p>
    <w:p>
      <w:pPr>
        <w:pStyle w:val="BodyText"/>
        <w:spacing w:line="322" w:lineRule="exact"/>
        <w:ind w:left="854" w:right="-16"/>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1915" w:val="left" w:leader="none"/>
          <w:tab w:pos="3814" w:val="left" w:leader="none"/>
        </w:tabs>
        <w:spacing w:line="322" w:lineRule="exact" w:before="26"/>
        <w:ind w:left="0" w:right="241"/>
        <w:jc w:val="right"/>
      </w:pPr>
      <w:r>
        <w:rPr/>
        <w:br w:type="column"/>
      </w:r>
      <w:r>
        <w:rPr/>
        <w:t>本年增加</w:t>
        <w:tab/>
        <w:t>本年减少</w:t>
        <w:tab/>
      </w:r>
      <w:r>
        <w:rPr>
          <w:rFonts w:ascii="Arial" w:hAnsi="Arial" w:cs="Arial" w:eastAsia="Arial" w:hint="default"/>
        </w:rPr>
        <w:t>2007</w:t>
      </w:r>
      <w:r>
        <w:rPr>
          <w:rFonts w:ascii="Arial" w:hAnsi="Arial" w:cs="Arial" w:eastAsia="Arial" w:hint="default"/>
          <w:spacing w:val="-10"/>
        </w:rPr>
        <w:t> </w:t>
      </w:r>
      <w:r>
        <w:rPr/>
        <w:t>年</w:t>
      </w:r>
    </w:p>
    <w:p>
      <w:pPr>
        <w:pStyle w:val="BodyText"/>
        <w:spacing w:line="312" w:lineRule="exact"/>
        <w:ind w:left="0" w:right="242"/>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ind w:left="1169" w:right="0"/>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after="0" w:line="322" w:lineRule="exact"/>
        <w:jc w:val="left"/>
        <w:rPr>
          <w:rFonts w:ascii="Arial" w:hAnsi="Arial" w:cs="Arial" w:eastAsia="Arial" w:hint="default"/>
        </w:rPr>
        <w:sectPr>
          <w:type w:val="continuous"/>
          <w:pgSz w:w="11910" w:h="16840"/>
          <w:pgMar w:top="1600" w:bottom="280" w:left="980" w:right="400"/>
          <w:cols w:num="3" w:equalWidth="0">
            <w:col w:w="1575" w:space="1053"/>
            <w:col w:w="2049" w:space="101"/>
            <w:col w:w="5752"/>
          </w:cols>
        </w:sect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2"/>
          <w:szCs w:val="12"/>
        </w:rPr>
      </w:pPr>
    </w:p>
    <w:tbl>
      <w:tblPr>
        <w:tblW w:w="0" w:type="auto"/>
        <w:jc w:val="left"/>
        <w:tblInd w:w="996" w:type="dxa"/>
        <w:tblLayout w:type="fixed"/>
        <w:tblCellMar>
          <w:top w:w="0" w:type="dxa"/>
          <w:left w:w="0" w:type="dxa"/>
          <w:bottom w:w="0" w:type="dxa"/>
          <w:right w:w="0" w:type="dxa"/>
        </w:tblCellMar>
        <w:tblLook w:val="01E0"/>
      </w:tblPr>
      <w:tblGrid>
        <w:gridCol w:w="1865"/>
        <w:gridCol w:w="2105"/>
        <w:gridCol w:w="1868"/>
        <w:gridCol w:w="1996"/>
        <w:gridCol w:w="1552"/>
      </w:tblGrid>
      <w:tr>
        <w:trPr>
          <w:trHeight w:val="391"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52"/>
              <w:jc w:val="right"/>
              <w:rPr>
                <w:rFonts w:ascii="Arial" w:hAnsi="Arial" w:cs="Arial" w:eastAsia="Arial" w:hint="default"/>
                <w:sz w:val="24"/>
                <w:szCs w:val="24"/>
              </w:rPr>
            </w:pPr>
            <w:r>
              <w:rPr>
                <w:rFonts w:ascii="Arial"/>
                <w:spacing w:val="-1"/>
                <w:sz w:val="24"/>
              </w:rPr>
              <w:t>3,408,890</w:t>
            </w:r>
            <w:r>
              <w:rPr>
                <w:rFonts w:ascii="Arial"/>
                <w:sz w:val="24"/>
              </w:rPr>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12"/>
              <w:jc w:val="right"/>
              <w:rPr>
                <w:rFonts w:ascii="Arial" w:hAnsi="Arial" w:cs="Arial" w:eastAsia="Arial" w:hint="default"/>
                <w:sz w:val="24"/>
                <w:szCs w:val="24"/>
              </w:rPr>
            </w:pPr>
            <w:r>
              <w:rPr>
                <w:rFonts w:ascii="Arial"/>
                <w:spacing w:val="-1"/>
                <w:sz w:val="24"/>
              </w:rPr>
              <w:t>35,302,248</w:t>
            </w:r>
            <w:r>
              <w:rPr>
                <w:rFonts w:ascii="Arial"/>
                <w:sz w:val="24"/>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19"/>
              <w:jc w:val="right"/>
              <w:rPr>
                <w:rFonts w:ascii="Arial" w:hAnsi="Arial" w:cs="Arial" w:eastAsia="Arial" w:hint="default"/>
                <w:sz w:val="24"/>
                <w:szCs w:val="24"/>
              </w:rPr>
            </w:pPr>
            <w:r>
              <w:rPr>
                <w:rFonts w:ascii="Arial"/>
                <w:spacing w:val="-1"/>
                <w:sz w:val="24"/>
              </w:rPr>
              <w:t>(34,161,199)</w:t>
            </w:r>
            <w:r>
              <w:rPr>
                <w:rFonts w:ascii="Arial"/>
                <w:sz w:val="24"/>
              </w:rPr>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1"/>
              <w:jc w:val="right"/>
              <w:rPr>
                <w:rFonts w:ascii="Arial" w:hAnsi="Arial" w:cs="Arial" w:eastAsia="Arial" w:hint="default"/>
                <w:sz w:val="24"/>
                <w:szCs w:val="24"/>
              </w:rPr>
            </w:pPr>
            <w:r>
              <w:rPr>
                <w:rFonts w:ascii="Arial"/>
                <w:spacing w:val="-1"/>
                <w:sz w:val="24"/>
              </w:rPr>
              <w:t>4,549,939</w:t>
            </w:r>
            <w:r>
              <w:rPr>
                <w:rFonts w:ascii="Arial"/>
                <w:sz w:val="24"/>
              </w:rPr>
            </w:r>
          </w:p>
        </w:tc>
      </w:tr>
      <w:tr>
        <w:trPr>
          <w:trHeight w:val="304"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4"/>
                <w:szCs w:val="24"/>
              </w:rPr>
            </w:pPr>
            <w:r>
              <w:rPr>
                <w:rFonts w:ascii="宋体" w:hAnsi="宋体" w:cs="宋体" w:eastAsia="宋体" w:hint="default"/>
                <w:sz w:val="24"/>
                <w:szCs w:val="24"/>
              </w:rPr>
              <w:t>安装维修用备件</w:t>
            </w: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351"/>
              <w:jc w:val="right"/>
              <w:rPr>
                <w:rFonts w:ascii="Arial" w:hAnsi="Arial" w:cs="Arial" w:eastAsia="Arial" w:hint="default"/>
                <w:sz w:val="24"/>
                <w:szCs w:val="24"/>
              </w:rPr>
            </w:pPr>
            <w:r>
              <w:rPr>
                <w:rFonts w:ascii="Arial"/>
                <w:spacing w:val="-1"/>
                <w:sz w:val="24"/>
              </w:rPr>
              <w:t>10,590</w:t>
            </w:r>
            <w:r>
              <w:rPr>
                <w:rFonts w:ascii="Arial"/>
                <w:sz w:val="24"/>
              </w:rPr>
            </w: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310"/>
              <w:jc w:val="right"/>
              <w:rPr>
                <w:rFonts w:ascii="Arial" w:hAnsi="Arial" w:cs="Arial" w:eastAsia="Arial" w:hint="default"/>
                <w:sz w:val="24"/>
                <w:szCs w:val="24"/>
              </w:rPr>
            </w:pPr>
            <w:r>
              <w:rPr>
                <w:rFonts w:ascii="Arial"/>
                <w:spacing w:val="-1"/>
                <w:sz w:val="24"/>
              </w:rPr>
              <w:t>107,541</w:t>
            </w:r>
            <w:r>
              <w:rPr>
                <w:rFonts w:ascii="Arial"/>
                <w:sz w:val="24"/>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320"/>
              <w:jc w:val="right"/>
              <w:rPr>
                <w:rFonts w:ascii="Arial" w:hAnsi="Arial" w:cs="Arial" w:eastAsia="Arial" w:hint="default"/>
                <w:sz w:val="24"/>
                <w:szCs w:val="24"/>
              </w:rPr>
            </w:pPr>
            <w:r>
              <w:rPr>
                <w:rFonts w:ascii="Arial"/>
                <w:spacing w:val="-1"/>
                <w:sz w:val="24"/>
              </w:rPr>
              <w:t>(104,033)</w:t>
            </w:r>
            <w:r>
              <w:rPr>
                <w:rFonts w:ascii="Arial"/>
                <w:sz w:val="24"/>
              </w:rPr>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61"/>
              <w:jc w:val="right"/>
              <w:rPr>
                <w:rFonts w:ascii="Arial" w:hAnsi="Arial" w:cs="Arial" w:eastAsia="Arial" w:hint="default"/>
                <w:sz w:val="24"/>
                <w:szCs w:val="24"/>
              </w:rPr>
            </w:pPr>
            <w:r>
              <w:rPr>
                <w:rFonts w:ascii="Arial"/>
                <w:spacing w:val="-1"/>
                <w:sz w:val="24"/>
              </w:rPr>
              <w:t>14,098</w:t>
            </w:r>
            <w:r>
              <w:rPr>
                <w:rFonts w:ascii="Arial"/>
                <w:sz w:val="24"/>
              </w:rPr>
            </w:r>
          </w:p>
        </w:tc>
      </w:tr>
      <w:tr>
        <w:trPr>
          <w:trHeight w:val="286" w:hRule="exact"/>
        </w:trPr>
        <w:tc>
          <w:tcPr>
            <w:tcW w:w="186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352"/>
              <w:jc w:val="right"/>
              <w:rPr>
                <w:rFonts w:ascii="Arial" w:hAnsi="Arial" w:cs="Arial" w:eastAsia="Arial" w:hint="default"/>
                <w:sz w:val="24"/>
                <w:szCs w:val="24"/>
              </w:rPr>
            </w:pPr>
            <w:r>
              <w:rPr>
                <w:rFonts w:ascii="Arial"/>
                <w:spacing w:val="-1"/>
                <w:sz w:val="24"/>
              </w:rPr>
              <w:t>3,419,480</w:t>
            </w:r>
            <w:r>
              <w:rPr>
                <w:rFonts w:ascii="Arial"/>
                <w:sz w:val="24"/>
              </w:rPr>
            </w: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311"/>
              <w:jc w:val="right"/>
              <w:rPr>
                <w:rFonts w:ascii="Arial" w:hAnsi="Arial" w:cs="Arial" w:eastAsia="Arial" w:hint="default"/>
                <w:sz w:val="24"/>
                <w:szCs w:val="24"/>
              </w:rPr>
            </w:pPr>
            <w:r>
              <w:rPr>
                <w:rFonts w:ascii="Arial"/>
                <w:spacing w:val="-1"/>
                <w:sz w:val="24"/>
              </w:rPr>
              <w:t>35,409,789</w:t>
            </w:r>
            <w:r>
              <w:rPr>
                <w:rFonts w:ascii="Arial"/>
                <w:sz w:val="24"/>
              </w:rPr>
            </w:r>
          </w:p>
        </w:tc>
        <w:tc>
          <w:tcPr>
            <w:tcW w:w="1996"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320"/>
              <w:jc w:val="right"/>
              <w:rPr>
                <w:rFonts w:ascii="Arial" w:hAnsi="Arial" w:cs="Arial" w:eastAsia="Arial" w:hint="default"/>
                <w:sz w:val="24"/>
                <w:szCs w:val="24"/>
              </w:rPr>
            </w:pPr>
            <w:r>
              <w:rPr>
                <w:rFonts w:ascii="Arial"/>
                <w:spacing w:val="-1"/>
                <w:sz w:val="24"/>
              </w:rPr>
              <w:t>(34,265,232)</w:t>
            </w:r>
            <w:r>
              <w:rPr>
                <w:rFonts w:ascii="Arial"/>
                <w:sz w:val="24"/>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61"/>
              <w:jc w:val="right"/>
              <w:rPr>
                <w:rFonts w:ascii="Arial" w:hAnsi="Arial" w:cs="Arial" w:eastAsia="Arial" w:hint="default"/>
                <w:sz w:val="24"/>
                <w:szCs w:val="24"/>
              </w:rPr>
            </w:pPr>
            <w:r>
              <w:rPr>
                <w:rFonts w:ascii="Arial"/>
                <w:spacing w:val="-1"/>
                <w:sz w:val="24"/>
              </w:rPr>
              <w:t>4,564,037</w:t>
            </w:r>
            <w:r>
              <w:rPr>
                <w:rFonts w:ascii="Arial"/>
                <w:sz w:val="24"/>
              </w:rPr>
            </w:r>
          </w:p>
        </w:tc>
      </w:tr>
    </w:tbl>
    <w:p>
      <w:pPr>
        <w:spacing w:line="240" w:lineRule="auto" w:before="10"/>
        <w:rPr>
          <w:rFonts w:ascii="Arial" w:hAnsi="Arial" w:cs="Arial" w:eastAsia="Arial" w:hint="default"/>
          <w:sz w:val="22"/>
          <w:szCs w:val="22"/>
        </w:rPr>
      </w:pPr>
    </w:p>
    <w:p>
      <w:pPr>
        <w:pStyle w:val="BodyText"/>
        <w:spacing w:line="240" w:lineRule="auto" w:before="26"/>
        <w:ind w:left="854" w:right="0"/>
        <w:jc w:val="left"/>
      </w:pPr>
      <w:r>
        <w:rPr/>
        <w:t>减：存货跌价准备－</w:t>
      </w:r>
    </w:p>
    <w:p>
      <w:pPr>
        <w:pStyle w:val="BodyText"/>
        <w:tabs>
          <w:tab w:pos="3809" w:val="left" w:leader="none"/>
          <w:tab w:pos="5831" w:val="left" w:leader="none"/>
          <w:tab w:pos="7702" w:val="left" w:leader="none"/>
          <w:tab w:pos="9404" w:val="left" w:leader="none"/>
        </w:tabs>
        <w:spacing w:line="240" w:lineRule="auto" w:before="16"/>
        <w:ind w:left="1364" w:right="0"/>
        <w:jc w:val="left"/>
        <w:rPr>
          <w:rFonts w:ascii="Arial" w:hAnsi="Arial" w:cs="Arial" w:eastAsia="Arial" w:hint="default"/>
        </w:rPr>
      </w:pPr>
      <w:r>
        <w:rPr>
          <w:position w:val="4"/>
        </w:rPr>
        <w:t>库存商品</w:t>
        <w:tab/>
      </w:r>
      <w:r>
        <w:rPr>
          <w:rFonts w:ascii="Arial" w:hAnsi="Arial" w:cs="Arial" w:eastAsia="Arial" w:hint="default"/>
          <w:spacing w:val="-4"/>
        </w:rPr>
        <w:t>(12,211)</w:t>
        <w:tab/>
      </w:r>
      <w:r>
        <w:rPr>
          <w:rFonts w:ascii="Arial" w:hAnsi="Arial" w:cs="Arial" w:eastAsia="Arial" w:hint="default"/>
          <w:spacing w:val="-1"/>
        </w:rPr>
        <w:t>(9,999)</w:t>
        <w:tab/>
        <w:t>10,716</w:t>
        <w:tab/>
      </w:r>
      <w:r>
        <w:rPr>
          <w:rFonts w:ascii="Arial" w:hAnsi="Arial" w:cs="Arial" w:eastAsia="Arial" w:hint="default"/>
          <w:spacing w:val="-4"/>
        </w:rPr>
        <w:t>(11,494)</w:t>
      </w:r>
      <w:r>
        <w:rPr>
          <w:rFonts w:ascii="Arial" w:hAnsi="Arial" w:cs="Arial" w:eastAsia="Arial" w:hint="default"/>
        </w:rPr>
      </w:r>
    </w:p>
    <w:p>
      <w:pPr>
        <w:spacing w:line="20" w:lineRule="exact"/>
        <w:ind w:left="2856" w:right="0" w:firstLine="0"/>
        <w:rPr>
          <w:rFonts w:ascii="Arial" w:hAnsi="Arial" w:cs="Arial" w:eastAsia="Arial" w:hint="default"/>
          <w:sz w:val="2"/>
          <w:szCs w:val="2"/>
        </w:rPr>
      </w:pPr>
      <w:r>
        <w:rPr>
          <w:rFonts w:ascii="Arial" w:hAnsi="Arial" w:cs="Arial" w:eastAsia="Arial" w:hint="default"/>
          <w:sz w:val="2"/>
          <w:szCs w:val="2"/>
        </w:rPr>
        <w:pict>
          <v:group style="width:376.5pt;height:.5pt;mso-position-horizontal-relative:char;mso-position-vertical-relative:line" coordorigin="0,0" coordsize="7530,10">
            <v:group style="position:absolute;left:5;top:5;width:7521;height:2" coordorigin="5,5" coordsize="7521,2">
              <v:shape style="position:absolute;left:5;top:5;width:7521;height:2" coordorigin="5,5" coordsize="7521,0" path="m5,5l7525,5e" filled="false" stroked="true" strokeweight=".47998pt" strokecolor="#000000">
                <v:path arrowok="t"/>
              </v:shape>
            </v:group>
          </v:group>
        </w:pict>
      </w:r>
      <w:r>
        <w:rPr>
          <w:rFonts w:ascii="Arial" w:hAnsi="Arial" w:cs="Arial" w:eastAsia="Arial" w:hint="default"/>
          <w:sz w:val="2"/>
          <w:szCs w:val="2"/>
        </w:rPr>
      </w:r>
    </w:p>
    <w:p>
      <w:pPr>
        <w:pStyle w:val="BodyText"/>
        <w:tabs>
          <w:tab w:pos="3536" w:val="left" w:leader="none"/>
          <w:tab w:pos="8601" w:val="left" w:leader="none"/>
          <w:tab w:pos="9178" w:val="left" w:leader="none"/>
          <w:tab w:pos="10388" w:val="left" w:leader="none"/>
        </w:tabs>
        <w:spacing w:line="240" w:lineRule="auto" w:before="44"/>
        <w:ind w:left="2854" w:right="0"/>
        <w:jc w:val="left"/>
        <w:rPr>
          <w:rFonts w:ascii="Arial" w:hAnsi="Arial" w:cs="Arial" w:eastAsia="Arial" w:hint="default"/>
        </w:rPr>
      </w:pPr>
      <w:r>
        <w:rPr>
          <w:rFonts w:ascii="Arial"/>
        </w:rPr>
      </w:r>
      <w:r>
        <w:rPr>
          <w:rFonts w:ascii="Arial"/>
          <w:u w:val="thick" w:color="000000"/>
        </w:rPr>
        <w:t> </w:t>
        <w:tab/>
      </w:r>
      <w:r>
        <w:rPr>
          <w:rFonts w:ascii="Arial"/>
          <w:spacing w:val="-1"/>
          <w:u w:val="thick" w:color="000000"/>
        </w:rPr>
        <w:t>3,407,269</w:t>
      </w:r>
      <w:r>
        <w:rPr>
          <w:rFonts w:ascii="Arial"/>
          <w:spacing w:val="-1"/>
        </w:rPr>
        <w:tab/>
      </w:r>
      <w:r>
        <w:rPr>
          <w:rFonts w:ascii="Arial"/>
          <w:spacing w:val="-1"/>
          <w:u w:val="thick" w:color="000000"/>
        </w:rPr>
        <w:t> </w:t>
        <w:tab/>
        <w:t>4,552,543</w:t>
        <w:tab/>
      </w:r>
      <w:r>
        <w:rPr>
          <w:rFonts w:ascii="Arial"/>
          <w:spacing w:val="-1"/>
        </w:rPr>
      </w:r>
    </w:p>
    <w:p>
      <w:pPr>
        <w:spacing w:line="240" w:lineRule="auto" w:before="6"/>
        <w:rPr>
          <w:rFonts w:ascii="Arial" w:hAnsi="Arial" w:cs="Arial" w:eastAsia="Arial"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3536"/>
        <w:gridCol w:w="3841"/>
        <w:gridCol w:w="2937"/>
      </w:tblGrid>
      <w:tr>
        <w:trPr>
          <w:trHeight w:val="976"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741" w:val="left" w:leader="none"/>
              </w:tabs>
              <w:spacing w:line="240" w:lineRule="auto" w:before="32"/>
              <w:ind w:left="35" w:right="0"/>
              <w:jc w:val="left"/>
              <w:rPr>
                <w:rFonts w:ascii="宋体" w:hAnsi="宋体" w:cs="宋体" w:eastAsia="宋体" w:hint="default"/>
                <w:sz w:val="24"/>
                <w:szCs w:val="24"/>
              </w:rPr>
            </w:pPr>
            <w:r>
              <w:rPr>
                <w:rFonts w:ascii="Arial" w:hAnsi="Arial" w:cs="Arial" w:eastAsia="Arial" w:hint="default"/>
                <w:position w:val="2"/>
                <w:sz w:val="24"/>
                <w:szCs w:val="24"/>
              </w:rPr>
              <w:t>(6)</w:t>
              <w:tab/>
            </w:r>
            <w:r>
              <w:rPr>
                <w:rFonts w:ascii="宋体" w:hAnsi="宋体" w:cs="宋体" w:eastAsia="宋体" w:hint="default"/>
                <w:b/>
                <w:bCs/>
                <w:sz w:val="24"/>
                <w:szCs w:val="24"/>
              </w:rPr>
              <w:t>其他流动资产</w:t>
            </w:r>
            <w:r>
              <w:rPr>
                <w:rFonts w:ascii="宋体" w:hAnsi="宋体" w:cs="宋体" w:eastAsia="宋体" w:hint="default"/>
                <w:sz w:val="24"/>
                <w:szCs w:val="24"/>
              </w:rPr>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1"/>
              <w:ind w:right="0"/>
              <w:jc w:val="left"/>
              <w:rPr>
                <w:rFonts w:ascii="Arial" w:hAnsi="Arial" w:cs="Arial" w:eastAsia="Arial" w:hint="default"/>
                <w:sz w:val="29"/>
                <w:szCs w:val="29"/>
              </w:rPr>
            </w:pPr>
          </w:p>
          <w:p>
            <w:pPr>
              <w:pStyle w:val="TableParagraph"/>
              <w:spacing w:line="240" w:lineRule="auto"/>
              <w:ind w:right="576"/>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1"/>
              <w:ind w:right="0"/>
              <w:jc w:val="left"/>
              <w:rPr>
                <w:rFonts w:ascii="Arial" w:hAnsi="Arial" w:cs="Arial" w:eastAsia="Arial" w:hint="default"/>
                <w:sz w:val="29"/>
                <w:szCs w:val="29"/>
              </w:rPr>
            </w:pPr>
          </w:p>
          <w:p>
            <w:pPr>
              <w:pStyle w:val="TableParagraph"/>
              <w:spacing w:line="240" w:lineRule="auto"/>
              <w:ind w:right="140"/>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0" w:hRule="exact"/>
        </w:trPr>
        <w:tc>
          <w:tcPr>
            <w:tcW w:w="3536"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87" w:lineRule="exact"/>
              <w:ind w:right="576"/>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937" w:type="dxa"/>
            <w:tcBorders>
              <w:top w:val="nil" w:sz="6" w:space="0" w:color="auto"/>
              <w:left w:val="nil" w:sz="6" w:space="0" w:color="auto"/>
              <w:bottom w:val="nil" w:sz="6" w:space="0" w:color="auto"/>
              <w:right w:val="nil" w:sz="6" w:space="0" w:color="auto"/>
            </w:tcBorders>
          </w:tcPr>
          <w:p>
            <w:pPr>
              <w:pStyle w:val="TableParagraph"/>
              <w:spacing w:line="287" w:lineRule="exact"/>
              <w:ind w:right="141"/>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41" w:right="0"/>
              <w:jc w:val="left"/>
              <w:rPr>
                <w:rFonts w:ascii="宋体" w:hAnsi="宋体" w:cs="宋体" w:eastAsia="宋体" w:hint="default"/>
                <w:sz w:val="24"/>
                <w:szCs w:val="24"/>
              </w:rPr>
            </w:pPr>
            <w:r>
              <w:rPr>
                <w:rFonts w:ascii="宋体" w:hAnsi="宋体" w:cs="宋体" w:eastAsia="宋体" w:hint="default"/>
                <w:sz w:val="24"/>
                <w:szCs w:val="24"/>
              </w:rPr>
              <w:t>待摊的房屋租赁费</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323" w:right="0"/>
              <w:jc w:val="left"/>
              <w:rPr>
                <w:rFonts w:ascii="Arial" w:hAnsi="Arial" w:cs="Arial" w:eastAsia="Arial" w:hint="default"/>
                <w:sz w:val="24"/>
                <w:szCs w:val="24"/>
              </w:rPr>
            </w:pPr>
            <w:r>
              <w:rPr>
                <w:rFonts w:ascii="Arial"/>
                <w:sz w:val="24"/>
              </w:rPr>
              <w:t>327,401</w:t>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855" w:right="0"/>
              <w:jc w:val="left"/>
              <w:rPr>
                <w:rFonts w:ascii="Arial" w:hAnsi="Arial" w:cs="Arial" w:eastAsia="Arial" w:hint="default"/>
                <w:sz w:val="24"/>
                <w:szCs w:val="24"/>
              </w:rPr>
            </w:pPr>
            <w:r>
              <w:rPr>
                <w:rFonts w:ascii="Arial"/>
                <w:sz w:val="24"/>
              </w:rPr>
              <w:t>145,435</w:t>
            </w:r>
          </w:p>
        </w:tc>
      </w:tr>
      <w:tr>
        <w:trPr>
          <w:trHeight w:val="314"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61" w:lineRule="exact"/>
              <w:ind w:left="741"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841" w:type="dxa"/>
            <w:tcBorders>
              <w:top w:val="nil" w:sz="6" w:space="0" w:color="auto"/>
              <w:left w:val="nil" w:sz="6" w:space="0" w:color="auto"/>
              <w:bottom w:val="nil" w:sz="6" w:space="0" w:color="auto"/>
              <w:right w:val="nil" w:sz="6" w:space="0" w:color="auto"/>
            </w:tcBorders>
          </w:tcPr>
          <w:p>
            <w:pPr>
              <w:pStyle w:val="TableParagraph"/>
              <w:tabs>
                <w:tab w:pos="1708" w:val="left" w:leader="none"/>
                <w:tab w:pos="2481" w:val="left" w:leader="none"/>
              </w:tabs>
              <w:spacing w:line="240" w:lineRule="auto" w:before="20"/>
              <w:ind w:right="475"/>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3,793</w:t>
              <w:tab/>
            </w:r>
            <w:r>
              <w:rPr>
                <w:rFonts w:ascii="Arial"/>
                <w:spacing w:val="-1"/>
                <w:sz w:val="24"/>
              </w:rPr>
            </w:r>
          </w:p>
        </w:tc>
        <w:tc>
          <w:tcPr>
            <w:tcW w:w="2937" w:type="dxa"/>
            <w:tcBorders>
              <w:top w:val="nil" w:sz="6" w:space="0" w:color="auto"/>
              <w:left w:val="nil" w:sz="6" w:space="0" w:color="auto"/>
              <w:bottom w:val="nil" w:sz="6" w:space="0" w:color="auto"/>
              <w:right w:val="nil" w:sz="6" w:space="0" w:color="auto"/>
            </w:tcBorders>
          </w:tcPr>
          <w:p>
            <w:pPr>
              <w:pStyle w:val="TableParagraph"/>
              <w:tabs>
                <w:tab w:pos="1643" w:val="left" w:leader="none"/>
                <w:tab w:pos="2416" w:val="left" w:leader="none"/>
              </w:tabs>
              <w:spacing w:line="240" w:lineRule="auto" w:before="20"/>
              <w:ind w:right="40"/>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3,481</w:t>
              <w:tab/>
            </w:r>
            <w:r>
              <w:rPr>
                <w:rFonts w:ascii="Arial"/>
                <w:spacing w:val="-1"/>
                <w:sz w:val="24"/>
              </w:rPr>
            </w:r>
          </w:p>
        </w:tc>
      </w:tr>
      <w:tr>
        <w:trPr>
          <w:trHeight w:val="363" w:hRule="exact"/>
        </w:trPr>
        <w:tc>
          <w:tcPr>
            <w:tcW w:w="3536"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tabs>
                <w:tab w:pos="1449" w:val="left" w:leader="none"/>
                <w:tab w:pos="2495" w:val="left" w:leader="none"/>
              </w:tabs>
              <w:spacing w:line="268" w:lineRule="exact"/>
              <w:ind w:right="468"/>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331,194</w:t>
              <w:tab/>
            </w:r>
            <w:r>
              <w:rPr>
                <w:rFonts w:ascii="Arial"/>
                <w:spacing w:val="-1"/>
                <w:sz w:val="24"/>
              </w:rPr>
            </w:r>
          </w:p>
        </w:tc>
        <w:tc>
          <w:tcPr>
            <w:tcW w:w="2937" w:type="dxa"/>
            <w:tcBorders>
              <w:top w:val="nil" w:sz="6" w:space="0" w:color="auto"/>
              <w:left w:val="nil" w:sz="6" w:space="0" w:color="auto"/>
              <w:bottom w:val="nil" w:sz="6" w:space="0" w:color="auto"/>
              <w:right w:val="nil" w:sz="6" w:space="0" w:color="auto"/>
            </w:tcBorders>
          </w:tcPr>
          <w:p>
            <w:pPr>
              <w:pStyle w:val="TableParagraph"/>
              <w:tabs>
                <w:tab w:pos="1384" w:val="left" w:leader="none"/>
                <w:tab w:pos="2430" w:val="left" w:leader="none"/>
              </w:tabs>
              <w:spacing w:line="268" w:lineRule="exact"/>
              <w:ind w:right="33"/>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148,916</w:t>
              <w:tab/>
            </w:r>
            <w:r>
              <w:rPr>
                <w:rFonts w:ascii="Arial"/>
                <w:spacing w:val="-1"/>
                <w:sz w:val="24"/>
              </w:rPr>
            </w:r>
          </w:p>
        </w:tc>
      </w:tr>
    </w:tbl>
    <w:p>
      <w:pPr>
        <w:spacing w:after="0" w:line="268" w:lineRule="exact"/>
        <w:jc w:val="right"/>
        <w:rPr>
          <w:rFonts w:ascii="Arial" w:hAnsi="Arial" w:cs="Arial" w:eastAsia="Arial" w:hint="default"/>
          <w:sz w:val="24"/>
          <w:szCs w:val="24"/>
        </w:rPr>
        <w:sectPr>
          <w:type w:val="continuous"/>
          <w:pgSz w:w="11910" w:h="16840"/>
          <w:pgMar w:top="1600" w:bottom="280" w:left="980" w:right="400"/>
        </w:sectPr>
      </w:pPr>
    </w:p>
    <w:p>
      <w:pPr>
        <w:spacing w:line="240" w:lineRule="auto" w:before="9"/>
        <w:rPr>
          <w:rFonts w:ascii="Arial" w:hAnsi="Arial" w:cs="Arial" w:eastAsia="Arial"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522"/>
        <w:gridCol w:w="3718"/>
        <w:gridCol w:w="2332"/>
        <w:gridCol w:w="288"/>
        <w:gridCol w:w="3011"/>
      </w:tblGrid>
      <w:tr>
        <w:trPr>
          <w:trHeight w:val="964" w:hRule="exact"/>
        </w:trPr>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
              <w:ind w:right="0"/>
              <w:jc w:val="left"/>
              <w:rPr>
                <w:rFonts w:ascii="Arial" w:hAnsi="Arial" w:cs="Arial" w:eastAsia="Arial"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(7)</w:t>
            </w:r>
          </w:p>
        </w:tc>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3"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left="193" w:right="0"/>
              <w:jc w:val="left"/>
              <w:rPr>
                <w:rFonts w:ascii="宋体" w:hAnsi="宋体" w:cs="宋体" w:eastAsia="宋体" w:hint="default"/>
                <w:sz w:val="24"/>
                <w:szCs w:val="24"/>
              </w:rPr>
            </w:pPr>
            <w:r>
              <w:rPr>
                <w:rFonts w:ascii="宋体" w:hAnsi="宋体" w:cs="宋体" w:eastAsia="宋体" w:hint="default"/>
                <w:b/>
                <w:bCs/>
                <w:sz w:val="24"/>
                <w:szCs w:val="24"/>
              </w:rPr>
              <w:t>长期股权投资</w:t>
            </w:r>
            <w:r>
              <w:rPr>
                <w:rFonts w:ascii="宋体" w:hAnsi="宋体" w:cs="宋体" w:eastAsia="宋体" w:hint="default"/>
                <w:sz w:val="24"/>
                <w:szCs w:val="24"/>
              </w:rPr>
            </w:r>
          </w:p>
        </w:tc>
        <w:tc>
          <w:tcPr>
            <w:tcW w:w="5630" w:type="dxa"/>
            <w:gridSpan w:val="3"/>
            <w:tcBorders>
              <w:top w:val="nil" w:sz="6" w:space="0" w:color="auto"/>
              <w:left w:val="nil" w:sz="6" w:space="0" w:color="auto"/>
              <w:bottom w:val="nil" w:sz="6" w:space="0" w:color="auto"/>
              <w:right w:val="nil" w:sz="6" w:space="0" w:color="auto"/>
            </w:tcBorders>
          </w:tcPr>
          <w:p>
            <w:pPr/>
          </w:p>
        </w:tc>
      </w:tr>
      <w:tr>
        <w:trPr>
          <w:trHeight w:val="318" w:hRule="exact"/>
        </w:trPr>
        <w:tc>
          <w:tcPr>
            <w:tcW w:w="522" w:type="dxa"/>
            <w:tcBorders>
              <w:top w:val="nil" w:sz="6" w:space="0" w:color="auto"/>
              <w:left w:val="nil" w:sz="6" w:space="0" w:color="auto"/>
              <w:bottom w:val="nil" w:sz="6" w:space="0" w:color="auto"/>
              <w:right w:val="nil" w:sz="6" w:space="0" w:color="auto"/>
            </w:tcBorders>
          </w:tcPr>
          <w:p>
            <w:pPr/>
          </w:p>
        </w:tc>
        <w:tc>
          <w:tcPr>
            <w:tcW w:w="3718"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93" w:lineRule="exact"/>
              <w:ind w:right="98"/>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88"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Style w:val="TableParagraph"/>
              <w:spacing w:line="293" w:lineRule="exact"/>
              <w:ind w:right="98"/>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47" w:hRule="exact"/>
        </w:trPr>
        <w:tc>
          <w:tcPr>
            <w:tcW w:w="522" w:type="dxa"/>
            <w:tcBorders>
              <w:top w:val="nil" w:sz="6" w:space="0" w:color="auto"/>
              <w:left w:val="nil" w:sz="6" w:space="0" w:color="auto"/>
              <w:bottom w:val="nil" w:sz="6" w:space="0" w:color="auto"/>
              <w:right w:val="nil" w:sz="6" w:space="0" w:color="auto"/>
            </w:tcBorders>
          </w:tcPr>
          <w:p>
            <w:pPr/>
          </w:p>
        </w:tc>
        <w:tc>
          <w:tcPr>
            <w:tcW w:w="3718"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87" w:lineRule="exact"/>
              <w:ind w:right="99"/>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88"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Style w:val="TableParagraph"/>
              <w:spacing w:line="287" w:lineRule="exact"/>
              <w:ind w:right="99"/>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0" w:hRule="exact"/>
        </w:trPr>
        <w:tc>
          <w:tcPr>
            <w:tcW w:w="522" w:type="dxa"/>
            <w:tcBorders>
              <w:top w:val="nil" w:sz="6" w:space="0" w:color="auto"/>
              <w:left w:val="nil" w:sz="6" w:space="0" w:color="auto"/>
              <w:bottom w:val="nil" w:sz="6" w:space="0" w:color="auto"/>
              <w:right w:val="nil" w:sz="6" w:space="0" w:color="auto"/>
            </w:tcBorders>
          </w:tcPr>
          <w:p>
            <w:pPr/>
          </w:p>
        </w:tc>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3" w:right="0"/>
              <w:jc w:val="left"/>
              <w:rPr>
                <w:rFonts w:ascii="Arial" w:hAnsi="Arial" w:cs="Arial" w:eastAsia="Arial" w:hint="default"/>
                <w:sz w:val="24"/>
                <w:szCs w:val="24"/>
              </w:rPr>
            </w:pPr>
            <w:r>
              <w:rPr>
                <w:rFonts w:ascii="宋体" w:hAnsi="宋体" w:cs="宋体" w:eastAsia="宋体" w:hint="default"/>
                <w:sz w:val="24"/>
                <w:szCs w:val="24"/>
              </w:rPr>
              <w:t>合营企业</w:t>
            </w:r>
            <w:r>
              <w:rPr>
                <w:rFonts w:ascii="Arial" w:hAnsi="Arial" w:cs="Arial" w:eastAsia="Arial" w:hint="default"/>
                <w:sz w:val="24"/>
                <w:szCs w:val="24"/>
              </w:rPr>
              <w:t>(a)</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6"/>
              <w:jc w:val="right"/>
              <w:rPr>
                <w:rFonts w:ascii="Arial" w:hAnsi="Arial" w:cs="Arial" w:eastAsia="Arial" w:hint="default"/>
                <w:sz w:val="24"/>
                <w:szCs w:val="24"/>
              </w:rPr>
            </w:pPr>
            <w:r>
              <w:rPr>
                <w:rFonts w:ascii="Arial"/>
                <w:spacing w:val="-19"/>
                <w:sz w:val="24"/>
              </w:rPr>
              <w:t>11</w:t>
            </w:r>
            <w:r>
              <w:rPr>
                <w:rFonts w:ascii="Arial"/>
                <w:sz w:val="24"/>
              </w:rPr>
            </w:r>
          </w:p>
        </w:tc>
        <w:tc>
          <w:tcPr>
            <w:tcW w:w="288"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6"/>
              <w:jc w:val="right"/>
              <w:rPr>
                <w:rFonts w:ascii="Arial" w:hAnsi="Arial" w:cs="Arial" w:eastAsia="Arial" w:hint="default"/>
                <w:sz w:val="24"/>
                <w:szCs w:val="24"/>
              </w:rPr>
            </w:pPr>
            <w:r>
              <w:rPr>
                <w:rFonts w:ascii="Arial"/>
                <w:spacing w:val="-19"/>
                <w:sz w:val="24"/>
              </w:rPr>
              <w:t>11</w:t>
            </w:r>
            <w:r>
              <w:rPr>
                <w:rFonts w:ascii="Arial"/>
                <w:sz w:val="24"/>
              </w:rPr>
            </w:r>
          </w:p>
        </w:tc>
      </w:tr>
      <w:tr>
        <w:trPr>
          <w:trHeight w:val="315" w:hRule="exact"/>
        </w:trPr>
        <w:tc>
          <w:tcPr>
            <w:tcW w:w="522" w:type="dxa"/>
            <w:tcBorders>
              <w:top w:val="nil" w:sz="6" w:space="0" w:color="auto"/>
              <w:left w:val="nil" w:sz="6" w:space="0" w:color="auto"/>
              <w:bottom w:val="nil" w:sz="6" w:space="0" w:color="auto"/>
              <w:right w:val="nil" w:sz="6" w:space="0" w:color="auto"/>
            </w:tcBorders>
          </w:tcPr>
          <w:p>
            <w:pPr/>
          </w:p>
        </w:tc>
        <w:tc>
          <w:tcPr>
            <w:tcW w:w="3718" w:type="dxa"/>
            <w:tcBorders>
              <w:top w:val="nil" w:sz="6" w:space="0" w:color="auto"/>
              <w:left w:val="nil" w:sz="6" w:space="0" w:color="auto"/>
              <w:bottom w:val="nil" w:sz="6" w:space="0" w:color="auto"/>
              <w:right w:val="nil" w:sz="6" w:space="0" w:color="auto"/>
            </w:tcBorders>
          </w:tcPr>
          <w:p>
            <w:pPr>
              <w:pStyle w:val="TableParagraph"/>
              <w:spacing w:line="290" w:lineRule="exact"/>
              <w:ind w:left="193" w:right="0"/>
              <w:jc w:val="left"/>
              <w:rPr>
                <w:rFonts w:ascii="Arial" w:hAnsi="Arial" w:cs="Arial" w:eastAsia="Arial" w:hint="default"/>
                <w:sz w:val="24"/>
                <w:szCs w:val="24"/>
              </w:rPr>
            </w:pPr>
            <w:r>
              <w:rPr>
                <w:rFonts w:ascii="宋体" w:hAnsi="宋体" w:cs="宋体" w:eastAsia="宋体" w:hint="default"/>
                <w:sz w:val="24"/>
                <w:szCs w:val="24"/>
              </w:rPr>
              <w:t>其他长期股权投资</w:t>
            </w:r>
            <w:r>
              <w:rPr>
                <w:rFonts w:ascii="Arial" w:hAnsi="Arial" w:cs="Arial" w:eastAsia="Arial" w:hint="default"/>
                <w:sz w:val="24"/>
                <w:szCs w:val="24"/>
              </w:rPr>
              <w:t>(b)</w:t>
            </w:r>
          </w:p>
        </w:tc>
        <w:tc>
          <w:tcPr>
            <w:tcW w:w="2332" w:type="dxa"/>
            <w:tcBorders>
              <w:top w:val="nil" w:sz="6" w:space="0" w:color="auto"/>
              <w:left w:val="nil" w:sz="6" w:space="0" w:color="auto"/>
              <w:bottom w:val="single" w:sz="4" w:space="0" w:color="000000"/>
              <w:right w:val="nil" w:sz="6" w:space="0" w:color="auto"/>
            </w:tcBorders>
          </w:tcPr>
          <w:p>
            <w:pPr>
              <w:pStyle w:val="TableParagraph"/>
              <w:spacing w:line="272" w:lineRule="exact"/>
              <w:ind w:right="98"/>
              <w:jc w:val="right"/>
              <w:rPr>
                <w:rFonts w:ascii="Arial" w:hAnsi="Arial" w:cs="Arial" w:eastAsia="Arial" w:hint="default"/>
                <w:sz w:val="24"/>
                <w:szCs w:val="24"/>
              </w:rPr>
            </w:pPr>
            <w:r>
              <w:rPr>
                <w:rFonts w:ascii="Arial"/>
                <w:spacing w:val="-1"/>
                <w:w w:val="95"/>
                <w:sz w:val="24"/>
              </w:rPr>
              <w:t>993</w:t>
            </w:r>
            <w:r>
              <w:rPr>
                <w:rFonts w:ascii="Arial"/>
                <w:w w:val="95"/>
                <w:sz w:val="24"/>
              </w:rPr>
            </w:r>
          </w:p>
        </w:tc>
        <w:tc>
          <w:tcPr>
            <w:tcW w:w="288" w:type="dxa"/>
            <w:tcBorders>
              <w:top w:val="nil" w:sz="6" w:space="0" w:color="auto"/>
              <w:left w:val="nil" w:sz="6" w:space="0" w:color="auto"/>
              <w:bottom w:val="nil" w:sz="6" w:space="0" w:color="auto"/>
              <w:right w:val="nil" w:sz="6" w:space="0" w:color="auto"/>
            </w:tcBorders>
          </w:tcPr>
          <w:p>
            <w:pPr/>
          </w:p>
        </w:tc>
        <w:tc>
          <w:tcPr>
            <w:tcW w:w="3011" w:type="dxa"/>
            <w:tcBorders>
              <w:top w:val="nil" w:sz="6" w:space="0" w:color="auto"/>
              <w:left w:val="nil" w:sz="6" w:space="0" w:color="auto"/>
              <w:bottom w:val="single" w:sz="4" w:space="0" w:color="000000"/>
              <w:right w:val="nil" w:sz="6" w:space="0" w:color="auto"/>
            </w:tcBorders>
          </w:tcPr>
          <w:p>
            <w:pPr>
              <w:pStyle w:val="TableParagraph"/>
              <w:spacing w:line="272" w:lineRule="exact"/>
              <w:ind w:right="99"/>
              <w:jc w:val="right"/>
              <w:rPr>
                <w:rFonts w:ascii="Arial" w:hAnsi="Arial" w:cs="Arial" w:eastAsia="Arial" w:hint="default"/>
                <w:sz w:val="24"/>
                <w:szCs w:val="24"/>
              </w:rPr>
            </w:pPr>
            <w:r>
              <w:rPr>
                <w:rFonts w:ascii="Arial"/>
                <w:spacing w:val="-1"/>
                <w:w w:val="95"/>
                <w:sz w:val="24"/>
              </w:rPr>
              <w:t>993</w:t>
            </w:r>
            <w:r>
              <w:rPr>
                <w:rFonts w:ascii="Arial"/>
                <w:w w:val="95"/>
                <w:sz w:val="24"/>
              </w:rPr>
            </w:r>
          </w:p>
        </w:tc>
      </w:tr>
      <w:tr>
        <w:trPr>
          <w:trHeight w:val="296" w:hRule="exact"/>
        </w:trPr>
        <w:tc>
          <w:tcPr>
            <w:tcW w:w="522" w:type="dxa"/>
            <w:tcBorders>
              <w:top w:val="nil" w:sz="6" w:space="0" w:color="auto"/>
              <w:left w:val="nil" w:sz="6" w:space="0" w:color="auto"/>
              <w:bottom w:val="nil" w:sz="6" w:space="0" w:color="auto"/>
              <w:right w:val="nil" w:sz="6" w:space="0" w:color="auto"/>
            </w:tcBorders>
          </w:tcPr>
          <w:p>
            <w:pPr/>
          </w:p>
        </w:tc>
        <w:tc>
          <w:tcPr>
            <w:tcW w:w="3718" w:type="dxa"/>
            <w:tcBorders>
              <w:top w:val="nil" w:sz="6" w:space="0" w:color="auto"/>
              <w:left w:val="nil" w:sz="6" w:space="0" w:color="auto"/>
              <w:bottom w:val="nil" w:sz="6" w:space="0" w:color="auto"/>
              <w:right w:val="nil" w:sz="6" w:space="0" w:color="auto"/>
            </w:tcBorders>
          </w:tcPr>
          <w:p>
            <w:pPr/>
          </w:p>
        </w:tc>
        <w:tc>
          <w:tcPr>
            <w:tcW w:w="233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1,004</w:t>
            </w:r>
            <w:r>
              <w:rPr>
                <w:rFonts w:ascii="Arial"/>
                <w:w w:val="95"/>
                <w:sz w:val="24"/>
              </w:rPr>
            </w:r>
          </w:p>
        </w:tc>
        <w:tc>
          <w:tcPr>
            <w:tcW w:w="288" w:type="dxa"/>
            <w:tcBorders>
              <w:top w:val="nil" w:sz="6" w:space="0" w:color="auto"/>
              <w:left w:val="nil" w:sz="6" w:space="0" w:color="auto"/>
              <w:bottom w:val="nil" w:sz="6" w:space="0" w:color="auto"/>
              <w:right w:val="nil" w:sz="6" w:space="0" w:color="auto"/>
            </w:tcBorders>
          </w:tcPr>
          <w:p>
            <w:pPr/>
          </w:p>
        </w:tc>
        <w:tc>
          <w:tcPr>
            <w:tcW w:w="3011"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1,004</w:t>
            </w:r>
            <w:r>
              <w:rPr>
                <w:rFonts w:ascii="Arial"/>
                <w:w w:val="95"/>
                <w:sz w:val="24"/>
              </w:rPr>
            </w:r>
          </w:p>
        </w:tc>
      </w:tr>
    </w:tbl>
    <w:p>
      <w:pPr>
        <w:spacing w:line="240" w:lineRule="auto" w:before="0"/>
        <w:rPr>
          <w:rFonts w:ascii="Arial" w:hAnsi="Arial" w:cs="Arial" w:eastAsia="Arial" w:hint="default"/>
          <w:sz w:val="17"/>
          <w:szCs w:val="17"/>
        </w:rPr>
      </w:pPr>
    </w:p>
    <w:p>
      <w:pPr>
        <w:pStyle w:val="BodyText"/>
        <w:spacing w:line="240" w:lineRule="auto" w:before="26"/>
        <w:ind w:left="833" w:right="0"/>
        <w:jc w:val="left"/>
      </w:pPr>
      <w:r>
        <w:rPr/>
        <w:t>本集团无境外投资，不存在长期股权投资变现及收益汇回的重大限制。</w:t>
      </w:r>
    </w:p>
    <w:p>
      <w:pPr>
        <w:spacing w:line="240" w:lineRule="auto" w:before="12"/>
        <w:rPr>
          <w:rFonts w:ascii="宋体" w:hAnsi="宋体" w:cs="宋体" w:eastAsia="宋体" w:hint="default"/>
          <w:sz w:val="20"/>
          <w:szCs w:val="20"/>
        </w:rPr>
      </w:pPr>
    </w:p>
    <w:p>
      <w:pPr>
        <w:pStyle w:val="BodyText"/>
        <w:tabs>
          <w:tab w:pos="833" w:val="left" w:leader="none"/>
        </w:tabs>
        <w:spacing w:line="240" w:lineRule="auto"/>
        <w:ind w:left="153" w:right="0"/>
        <w:jc w:val="left"/>
      </w:pPr>
      <w:r>
        <w:rPr>
          <w:rFonts w:ascii="Arial" w:hAnsi="Arial" w:cs="Arial" w:eastAsia="Arial" w:hint="default"/>
          <w:position w:val="2"/>
        </w:rPr>
        <w:t>(a)</w:t>
        <w:tab/>
      </w:r>
      <w:r>
        <w:rPr/>
        <w:t>合营企业</w:t>
      </w:r>
    </w:p>
    <w:p>
      <w:pPr>
        <w:spacing w:line="240" w:lineRule="auto" w:before="12"/>
        <w:rPr>
          <w:rFonts w:ascii="宋体" w:hAnsi="宋体" w:cs="宋体" w:eastAsia="宋体" w:hint="default"/>
          <w:sz w:val="21"/>
          <w:szCs w:val="21"/>
        </w:rPr>
      </w:pPr>
    </w:p>
    <w:p>
      <w:pPr>
        <w:tabs>
          <w:tab w:pos="8787" w:val="left" w:leader="none"/>
        </w:tabs>
        <w:spacing w:before="0"/>
        <w:ind w:left="6548" w:right="0" w:firstLine="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w:t>
      </w:r>
      <w:r>
        <w:rPr>
          <w:rFonts w:ascii="Arial" w:hAnsi="Arial" w:cs="Arial" w:eastAsia="Arial" w:hint="default"/>
          <w:spacing w:val="-5"/>
          <w:sz w:val="16"/>
          <w:szCs w:val="16"/>
        </w:rPr>
        <w:t> </w:t>
      </w:r>
      <w:r>
        <w:rPr>
          <w:rFonts w:ascii="宋体" w:hAnsi="宋体" w:cs="宋体" w:eastAsia="宋体" w:hint="default"/>
          <w:sz w:val="16"/>
          <w:szCs w:val="16"/>
        </w:rPr>
        <w:t>日</w:t>
        <w:tab/>
      </w: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年度</w:t>
      </w:r>
    </w:p>
    <w:p>
      <w:pPr>
        <w:spacing w:after="0"/>
        <w:jc w:val="left"/>
        <w:rPr>
          <w:rFonts w:ascii="宋体" w:hAnsi="宋体" w:cs="宋体" w:eastAsia="宋体" w:hint="default"/>
          <w:sz w:val="16"/>
          <w:szCs w:val="16"/>
        </w:rPr>
        <w:sectPr>
          <w:pgSz w:w="11910" w:h="16840"/>
          <w:pgMar w:header="1458" w:footer="708" w:top="1640" w:bottom="900" w:left="960" w:right="840"/>
        </w:sectPr>
      </w:pPr>
    </w:p>
    <w:p>
      <w:pPr>
        <w:spacing w:line="197"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业务</w:t>
      </w:r>
      <w:r>
        <w:rPr>
          <w:rFonts w:ascii="宋体" w:hAnsi="宋体" w:cs="宋体" w:eastAsia="宋体" w:hint="default"/>
          <w:sz w:val="16"/>
          <w:szCs w:val="16"/>
        </w:rPr>
      </w:r>
    </w:p>
    <w:p>
      <w:pPr>
        <w:tabs>
          <w:tab w:pos="1011" w:val="left" w:leader="none"/>
        </w:tabs>
        <w:spacing w:line="208"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注册地</w:t>
        <w:tab/>
        <w:t>性质</w:t>
      </w:r>
      <w:r>
        <w:rPr>
          <w:rFonts w:ascii="宋体" w:hAnsi="宋体" w:cs="宋体" w:eastAsia="宋体" w:hint="default"/>
          <w:sz w:val="16"/>
          <w:szCs w:val="16"/>
        </w:rPr>
      </w:r>
    </w:p>
    <w:p>
      <w:pPr>
        <w:tabs>
          <w:tab w:pos="1579" w:val="left" w:leader="none"/>
        </w:tabs>
        <w:spacing w:line="197" w:lineRule="exact" w:before="0"/>
        <w:ind w:left="681" w:right="-20" w:firstLine="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注册</w:t>
        <w:tab/>
      </w:r>
      <w:r>
        <w:rPr>
          <w:rFonts w:ascii="宋体" w:hAnsi="宋体" w:cs="宋体" w:eastAsia="宋体" w:hint="default"/>
          <w:sz w:val="16"/>
          <w:szCs w:val="16"/>
        </w:rPr>
        <w:t>持股</w:t>
      </w:r>
    </w:p>
    <w:p>
      <w:pPr>
        <w:tabs>
          <w:tab w:pos="1579" w:val="left" w:leader="none"/>
        </w:tabs>
        <w:spacing w:line="208" w:lineRule="exact" w:before="0"/>
        <w:ind w:left="681" w:right="-20" w:firstLine="0"/>
        <w:jc w:val="left"/>
        <w:rPr>
          <w:rFonts w:ascii="宋体" w:hAnsi="宋体" w:cs="宋体" w:eastAsia="宋体" w:hint="default"/>
          <w:sz w:val="16"/>
          <w:szCs w:val="16"/>
        </w:rPr>
      </w:pPr>
      <w:r>
        <w:rPr>
          <w:rFonts w:ascii="宋体" w:hAnsi="宋体" w:cs="宋体" w:eastAsia="宋体" w:hint="default"/>
          <w:w w:val="95"/>
          <w:sz w:val="16"/>
          <w:szCs w:val="16"/>
        </w:rPr>
        <w:t>资本</w:t>
        <w:tab/>
      </w:r>
      <w:r>
        <w:rPr>
          <w:rFonts w:ascii="宋体" w:hAnsi="宋体" w:cs="宋体" w:eastAsia="宋体" w:hint="default"/>
          <w:sz w:val="16"/>
          <w:szCs w:val="16"/>
        </w:rPr>
        <w:t>比例</w:t>
      </w:r>
    </w:p>
    <w:p>
      <w:pPr>
        <w:spacing w:line="208" w:lineRule="exact" w:before="8"/>
        <w:ind w:left="611" w:right="-5" w:hanging="16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表决权</w:t>
      </w:r>
      <w:r>
        <w:rPr>
          <w:rFonts w:ascii="宋体" w:hAnsi="宋体" w:cs="宋体" w:eastAsia="宋体" w:hint="default"/>
          <w:spacing w:val="-54"/>
          <w:w w:val="95"/>
          <w:sz w:val="16"/>
          <w:szCs w:val="16"/>
        </w:rPr>
        <w:t> </w:t>
      </w:r>
      <w:r>
        <w:rPr>
          <w:rFonts w:ascii="宋体" w:hAnsi="宋体" w:cs="宋体" w:eastAsia="宋体" w:hint="default"/>
          <w:w w:val="95"/>
          <w:sz w:val="16"/>
          <w:szCs w:val="16"/>
        </w:rPr>
        <w:t>比例</w:t>
      </w:r>
      <w:r>
        <w:rPr>
          <w:rFonts w:ascii="宋体" w:hAnsi="宋体" w:cs="宋体" w:eastAsia="宋体" w:hint="default"/>
          <w:sz w:val="16"/>
          <w:szCs w:val="16"/>
        </w:rPr>
      </w:r>
    </w:p>
    <w:p>
      <w:pPr>
        <w:tabs>
          <w:tab w:pos="1437" w:val="left" w:leader="none"/>
          <w:tab w:pos="2374" w:val="left" w:leader="none"/>
          <w:tab w:pos="3555" w:val="left" w:leader="none"/>
        </w:tabs>
        <w:spacing w:line="197" w:lineRule="exact" w:before="0"/>
        <w:ind w:left="586" w:right="0" w:firstLine="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资产</w:t>
        <w:tab/>
        <w:t>负债</w:t>
        <w:tab/>
        <w:t>营业</w:t>
        <w:tab/>
      </w:r>
      <w:r>
        <w:rPr>
          <w:rFonts w:ascii="宋体" w:hAnsi="宋体" w:cs="宋体" w:eastAsia="宋体" w:hint="default"/>
          <w:sz w:val="16"/>
          <w:szCs w:val="16"/>
        </w:rPr>
        <w:t>净</w:t>
      </w:r>
    </w:p>
    <w:p>
      <w:pPr>
        <w:tabs>
          <w:tab w:pos="1437" w:val="left" w:leader="none"/>
          <w:tab w:pos="2374" w:val="left" w:leader="none"/>
          <w:tab w:pos="3395" w:val="left" w:leader="none"/>
        </w:tabs>
        <w:spacing w:line="208" w:lineRule="exact" w:before="0"/>
        <w:ind w:left="586" w:right="0" w:firstLine="0"/>
        <w:jc w:val="left"/>
        <w:rPr>
          <w:rFonts w:ascii="宋体" w:hAnsi="宋体" w:cs="宋体" w:eastAsia="宋体" w:hint="default"/>
          <w:sz w:val="16"/>
          <w:szCs w:val="16"/>
        </w:rPr>
      </w:pPr>
      <w:r>
        <w:rPr>
          <w:rFonts w:ascii="宋体" w:hAnsi="宋体" w:cs="宋体" w:eastAsia="宋体" w:hint="default"/>
          <w:w w:val="95"/>
          <w:sz w:val="16"/>
          <w:szCs w:val="16"/>
        </w:rPr>
        <w:t>总额</w:t>
        <w:tab/>
        <w:t>总额</w:t>
        <w:tab/>
        <w:t>收入</w:t>
        <w:tab/>
      </w:r>
      <w:r>
        <w:rPr>
          <w:rFonts w:ascii="宋体" w:hAnsi="宋体" w:cs="宋体" w:eastAsia="宋体" w:hint="default"/>
          <w:sz w:val="16"/>
          <w:szCs w:val="16"/>
        </w:rPr>
        <w:t>利润</w:t>
      </w:r>
    </w:p>
    <w:p>
      <w:pPr>
        <w:spacing w:after="0" w:line="208" w:lineRule="exact"/>
        <w:jc w:val="left"/>
        <w:rPr>
          <w:rFonts w:ascii="宋体" w:hAnsi="宋体" w:cs="宋体" w:eastAsia="宋体" w:hint="default"/>
          <w:sz w:val="16"/>
          <w:szCs w:val="16"/>
        </w:rPr>
        <w:sectPr>
          <w:type w:val="continuous"/>
          <w:pgSz w:w="11910" w:h="16840"/>
          <w:pgMar w:top="1600" w:bottom="280" w:left="960" w:right="840"/>
          <w:cols w:num="4" w:equalWidth="0">
            <w:col w:w="3186" w:space="40"/>
            <w:col w:w="1900" w:space="40"/>
            <w:col w:w="931" w:space="40"/>
            <w:col w:w="3973"/>
          </w:cols>
        </w:sectPr>
      </w:pPr>
    </w:p>
    <w:p>
      <w:pPr>
        <w:spacing w:line="240" w:lineRule="auto" w:before="5"/>
        <w:rPr>
          <w:rFonts w:ascii="宋体" w:hAnsi="宋体" w:cs="宋体" w:eastAsia="宋体" w:hint="default"/>
          <w:sz w:val="14"/>
          <w:szCs w:val="14"/>
        </w:rPr>
      </w:pPr>
    </w:p>
    <w:p>
      <w:pPr>
        <w:spacing w:before="0"/>
        <w:ind w:left="910" w:right="-17" w:hanging="77"/>
        <w:jc w:val="left"/>
        <w:rPr>
          <w:rFonts w:ascii="宋体" w:hAnsi="宋体" w:cs="宋体" w:eastAsia="宋体" w:hint="default"/>
          <w:sz w:val="16"/>
          <w:szCs w:val="16"/>
        </w:rPr>
      </w:pPr>
      <w:r>
        <w:rPr>
          <w:rFonts w:ascii="宋体" w:hAnsi="宋体" w:cs="宋体" w:eastAsia="宋体" w:hint="default"/>
          <w:spacing w:val="13"/>
          <w:sz w:val="16"/>
          <w:szCs w:val="16"/>
        </w:rPr>
        <w:t>江苏</w:t>
      </w:r>
      <w:r>
        <w:rPr>
          <w:rFonts w:ascii="宋体" w:hAnsi="宋体" w:cs="宋体" w:eastAsia="宋体" w:hint="default"/>
          <w:spacing w:val="-54"/>
          <w:sz w:val="16"/>
          <w:szCs w:val="16"/>
        </w:rPr>
        <w:t> </w:t>
      </w:r>
      <w:r>
        <w:rPr>
          <w:rFonts w:ascii="宋体" w:hAnsi="宋体" w:cs="宋体" w:eastAsia="宋体" w:hint="default"/>
          <w:spacing w:val="13"/>
          <w:sz w:val="16"/>
          <w:szCs w:val="16"/>
        </w:rPr>
        <w:t>格力</w:t>
      </w:r>
      <w:r>
        <w:rPr>
          <w:rFonts w:ascii="宋体" w:hAnsi="宋体" w:cs="宋体" w:eastAsia="宋体" w:hint="default"/>
          <w:spacing w:val="-54"/>
          <w:sz w:val="16"/>
          <w:szCs w:val="16"/>
        </w:rPr>
        <w:t> </w:t>
      </w:r>
      <w:r>
        <w:rPr>
          <w:rFonts w:ascii="宋体" w:hAnsi="宋体" w:cs="宋体" w:eastAsia="宋体" w:hint="default"/>
          <w:sz w:val="16"/>
          <w:szCs w:val="16"/>
        </w:rPr>
        <w:t>空</w:t>
      </w:r>
      <w:r>
        <w:rPr>
          <w:rFonts w:ascii="宋体" w:hAnsi="宋体" w:cs="宋体" w:eastAsia="宋体" w:hint="default"/>
          <w:w w:val="99"/>
          <w:sz w:val="16"/>
          <w:szCs w:val="16"/>
        </w:rPr>
        <w:t> </w:t>
      </w:r>
      <w:r>
        <w:rPr>
          <w:rFonts w:ascii="宋体" w:hAnsi="宋体" w:cs="宋体" w:eastAsia="宋体" w:hint="default"/>
          <w:spacing w:val="6"/>
          <w:w w:val="95"/>
          <w:sz w:val="16"/>
          <w:szCs w:val="16"/>
        </w:rPr>
        <w:t>调专卖销售</w:t>
      </w:r>
      <w:r>
        <w:rPr>
          <w:rFonts w:ascii="宋体" w:hAnsi="宋体" w:cs="宋体" w:eastAsia="宋体" w:hint="default"/>
          <w:spacing w:val="6"/>
          <w:sz w:val="16"/>
          <w:szCs w:val="16"/>
        </w:rPr>
      </w:r>
    </w:p>
    <w:p>
      <w:pPr>
        <w:spacing w:line="240" w:lineRule="auto" w:before="3"/>
        <w:rPr>
          <w:rFonts w:ascii="宋体" w:hAnsi="宋体" w:cs="宋体" w:eastAsia="宋体" w:hint="default"/>
          <w:sz w:val="16"/>
          <w:szCs w:val="16"/>
        </w:rPr>
      </w:pPr>
      <w:r>
        <w:rPr/>
        <w:br w:type="column"/>
      </w:r>
      <w:r>
        <w:rPr>
          <w:rFonts w:ascii="宋体"/>
          <w:sz w:val="16"/>
        </w:rPr>
      </w:r>
    </w:p>
    <w:p>
      <w:pPr>
        <w:spacing w:line="197" w:lineRule="exact" w:before="0"/>
        <w:ind w:left="0" w:right="1" w:firstLine="0"/>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p>
      <w:pPr>
        <w:tabs>
          <w:tab w:pos="2193" w:val="right" w:leader="none"/>
        </w:tabs>
        <w:spacing w:line="218" w:lineRule="exact" w:before="0"/>
        <w:ind w:left="833" w:right="0" w:firstLine="0"/>
        <w:jc w:val="left"/>
        <w:rPr>
          <w:rFonts w:ascii="Arial" w:hAnsi="Arial" w:cs="Arial" w:eastAsia="Arial" w:hint="default"/>
          <w:sz w:val="16"/>
          <w:szCs w:val="16"/>
        </w:rPr>
      </w:pPr>
      <w:r>
        <w:rPr>
          <w:rFonts w:ascii="宋体" w:hAnsi="宋体" w:cs="宋体" w:eastAsia="宋体" w:hint="default"/>
          <w:position w:val="1"/>
          <w:sz w:val="16"/>
          <w:szCs w:val="16"/>
        </w:rPr>
        <w:t>空调</w:t>
      </w:r>
      <w:r>
        <w:rPr>
          <w:rFonts w:ascii="Arial" w:hAnsi="Arial" w:cs="Arial" w:eastAsia="Arial" w:hint="default"/>
          <w:sz w:val="16"/>
          <w:szCs w:val="16"/>
        </w:rPr>
        <w:tab/>
        <w:t>200</w:t>
      </w:r>
    </w:p>
    <w:p>
      <w:pPr>
        <w:tabs>
          <w:tab w:pos="2734" w:val="left" w:leader="none"/>
        </w:tabs>
        <w:spacing w:line="200" w:lineRule="exact" w:before="0"/>
        <w:ind w:left="833" w:right="0" w:firstLine="0"/>
        <w:jc w:val="left"/>
        <w:rPr>
          <w:rFonts w:ascii="Arial" w:hAnsi="Arial" w:cs="Arial" w:eastAsia="Arial" w:hint="default"/>
          <w:sz w:val="16"/>
          <w:szCs w:val="16"/>
        </w:rPr>
      </w:pPr>
      <w:r>
        <w:rPr>
          <w:w w:val="95"/>
        </w:rPr>
        <w:br w:type="column"/>
      </w:r>
      <w:r>
        <w:rPr>
          <w:rFonts w:ascii="Arial" w:hAnsi="Arial" w:cs="Arial" w:eastAsia="Arial" w:hint="default"/>
          <w:w w:val="95"/>
          <w:sz w:val="16"/>
          <w:szCs w:val="16"/>
        </w:rPr>
        <w:t>(</w:t>
      </w:r>
      <w:r>
        <w:rPr>
          <w:rFonts w:ascii="宋体" w:hAnsi="宋体" w:cs="宋体" w:eastAsia="宋体" w:hint="default"/>
          <w:w w:val="95"/>
          <w:sz w:val="16"/>
          <w:szCs w:val="16"/>
        </w:rPr>
        <w:t>人民币千元</w:t>
      </w:r>
      <w:r>
        <w:rPr>
          <w:rFonts w:ascii="Arial" w:hAnsi="Arial" w:cs="Arial" w:eastAsia="Arial" w:hint="default"/>
          <w:w w:val="95"/>
          <w:sz w:val="16"/>
          <w:szCs w:val="16"/>
        </w:rPr>
        <w:t>)</w:t>
        <w:tab/>
      </w:r>
      <w:r>
        <w:rPr>
          <w:rFonts w:ascii="Arial" w:hAnsi="Arial" w:cs="Arial" w:eastAsia="Arial" w:hint="default"/>
          <w:sz w:val="16"/>
          <w:szCs w:val="16"/>
        </w:rPr>
        <w:t>(</w:t>
      </w:r>
      <w:r>
        <w:rPr>
          <w:rFonts w:ascii="宋体" w:hAnsi="宋体" w:cs="宋体" w:eastAsia="宋体" w:hint="default"/>
          <w:sz w:val="16"/>
          <w:szCs w:val="16"/>
        </w:rPr>
        <w:t>人民币千元</w:t>
      </w:r>
      <w:r>
        <w:rPr>
          <w:rFonts w:ascii="Arial" w:hAnsi="Arial" w:cs="Arial" w:eastAsia="Arial" w:hint="default"/>
          <w:sz w:val="16"/>
          <w:szCs w:val="16"/>
        </w:rPr>
        <w:t>)</w:t>
      </w:r>
    </w:p>
    <w:p>
      <w:pPr>
        <w:spacing w:after="0" w:line="200" w:lineRule="exact"/>
        <w:jc w:val="left"/>
        <w:rPr>
          <w:rFonts w:ascii="Arial" w:hAnsi="Arial" w:cs="Arial" w:eastAsia="Arial" w:hint="default"/>
          <w:sz w:val="16"/>
          <w:szCs w:val="16"/>
        </w:rPr>
        <w:sectPr>
          <w:type w:val="continuous"/>
          <w:pgSz w:w="11910" w:h="16840"/>
          <w:pgMar w:top="1600" w:bottom="280" w:left="960" w:right="840"/>
          <w:cols w:num="3" w:equalWidth="0">
            <w:col w:w="1740" w:space="292"/>
            <w:col w:w="2194" w:space="1707"/>
            <w:col w:w="4177"/>
          </w:cols>
        </w:sectPr>
      </w:pPr>
    </w:p>
    <w:p>
      <w:pPr>
        <w:tabs>
          <w:tab w:pos="2014" w:val="left" w:leader="none"/>
          <w:tab w:pos="2866" w:val="left" w:leader="none"/>
        </w:tabs>
        <w:spacing w:line="187" w:lineRule="exact" w:before="0"/>
        <w:ind w:left="910" w:right="-4" w:firstLine="0"/>
        <w:jc w:val="left"/>
        <w:rPr>
          <w:rFonts w:ascii="宋体" w:hAnsi="宋体" w:cs="宋体" w:eastAsia="宋体" w:hint="default"/>
          <w:sz w:val="16"/>
          <w:szCs w:val="16"/>
        </w:rPr>
      </w:pPr>
      <w:r>
        <w:rPr>
          <w:rFonts w:ascii="宋体" w:hAnsi="宋体" w:cs="宋体" w:eastAsia="宋体" w:hint="default"/>
          <w:w w:val="95"/>
          <w:sz w:val="16"/>
          <w:szCs w:val="16"/>
        </w:rPr>
        <w:t>有限公司</w:t>
        <w:tab/>
        <w:t>南京</w:t>
        <w:tab/>
        <w:t>销售</w:t>
      </w:r>
      <w:r>
        <w:rPr>
          <w:rFonts w:ascii="宋体" w:hAnsi="宋体" w:cs="宋体" w:eastAsia="宋体" w:hint="default"/>
          <w:sz w:val="16"/>
          <w:szCs w:val="16"/>
        </w:rPr>
      </w:r>
    </w:p>
    <w:p>
      <w:pPr>
        <w:tabs>
          <w:tab w:pos="1579" w:val="left" w:leader="none"/>
          <w:tab w:pos="2550" w:val="left" w:leader="none"/>
          <w:tab w:pos="3637" w:val="left" w:leader="none"/>
          <w:tab w:pos="4488" w:val="left" w:leader="none"/>
          <w:tab w:pos="5550" w:val="left" w:leader="none"/>
          <w:tab w:pos="6571" w:val="left" w:leader="none"/>
        </w:tabs>
        <w:spacing w:line="209" w:lineRule="exact" w:before="0"/>
        <w:ind w:left="681" w:right="0" w:firstLine="0"/>
        <w:jc w:val="left"/>
        <w:rPr>
          <w:rFonts w:ascii="Arial" w:hAnsi="Arial" w:cs="Arial" w:eastAsia="Arial" w:hint="default"/>
          <w:sz w:val="16"/>
          <w:szCs w:val="16"/>
        </w:rPr>
      </w:pPr>
      <w:r>
        <w:rPr>
          <w:w w:val="95"/>
        </w:rPr>
        <w:br w:type="column"/>
      </w:r>
      <w:r>
        <w:rPr>
          <w:rFonts w:ascii="宋体" w:hAnsi="宋体" w:cs="宋体" w:eastAsia="宋体" w:hint="default"/>
          <w:w w:val="95"/>
          <w:position w:val="1"/>
          <w:sz w:val="16"/>
          <w:szCs w:val="16"/>
        </w:rPr>
        <w:t>万元</w:t>
        <w:tab/>
      </w:r>
      <w:r>
        <w:rPr>
          <w:rFonts w:ascii="Arial" w:hAnsi="Arial" w:cs="Arial" w:eastAsia="Arial" w:hint="default"/>
          <w:spacing w:val="-1"/>
          <w:sz w:val="16"/>
          <w:szCs w:val="16"/>
        </w:rPr>
        <w:t>50%</w:t>
        <w:tab/>
        <w:t>50%</w:t>
        <w:tab/>
        <w:t>34</w:t>
        <w:tab/>
        <w:t>12</w:t>
        <w:tab/>
      </w:r>
      <w:r>
        <w:rPr>
          <w:rFonts w:ascii="Arial" w:hAnsi="Arial" w:cs="Arial" w:eastAsia="Arial" w:hint="default"/>
          <w:w w:val="95"/>
          <w:sz w:val="16"/>
          <w:szCs w:val="16"/>
        </w:rPr>
        <w:t>-</w:t>
        <w:tab/>
      </w:r>
      <w:r>
        <w:rPr>
          <w:rFonts w:ascii="Arial" w:hAnsi="Arial" w:cs="Arial" w:eastAsia="Arial" w:hint="default"/>
          <w:sz w:val="16"/>
          <w:szCs w:val="16"/>
        </w:rPr>
        <w:t>-</w:t>
      </w:r>
    </w:p>
    <w:p>
      <w:pPr>
        <w:spacing w:after="0" w:line="209" w:lineRule="exact"/>
        <w:jc w:val="left"/>
        <w:rPr>
          <w:rFonts w:ascii="Arial" w:hAnsi="Arial" w:cs="Arial" w:eastAsia="Arial" w:hint="default"/>
          <w:sz w:val="16"/>
          <w:szCs w:val="16"/>
        </w:rPr>
        <w:sectPr>
          <w:type w:val="continuous"/>
          <w:pgSz w:w="11910" w:h="16840"/>
          <w:pgMar w:top="1600" w:bottom="280" w:left="960" w:right="840"/>
          <w:cols w:num="2" w:equalWidth="0">
            <w:col w:w="3186" w:space="40"/>
            <w:col w:w="6884"/>
          </w:cols>
        </w:sectPr>
      </w:pPr>
    </w:p>
    <w:p>
      <w:pPr>
        <w:pStyle w:val="BodyText"/>
        <w:spacing w:line="427" w:lineRule="auto" w:before="239"/>
        <w:ind w:left="834" w:right="3800"/>
        <w:jc w:val="left"/>
      </w:pPr>
      <w:r>
        <w:rPr/>
        <w:pict>
          <v:shape style="position:absolute;margin-left:83.747269pt;margin-top:68.887741pt;width:458.55pt;height:44.6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5"/>
                    <w:gridCol w:w="1060"/>
                    <w:gridCol w:w="1306"/>
                    <w:gridCol w:w="2651"/>
                    <w:gridCol w:w="939"/>
                    <w:gridCol w:w="1020"/>
                  </w:tblGrid>
                  <w:tr>
                    <w:trPr>
                      <w:trHeight w:val="288"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8"/>
                          <w:jc w:val="right"/>
                          <w:rPr>
                            <w:rFonts w:ascii="宋体" w:hAnsi="宋体" w:cs="宋体" w:eastAsia="宋体" w:hint="default"/>
                            <w:sz w:val="16"/>
                            <w:szCs w:val="16"/>
                          </w:rPr>
                        </w:pPr>
                        <w:r>
                          <w:rPr>
                            <w:rFonts w:ascii="宋体" w:hAnsi="宋体" w:cs="宋体" w:eastAsia="宋体" w:hint="default"/>
                            <w:w w:val="95"/>
                            <w:sz w:val="16"/>
                            <w:szCs w:val="16"/>
                          </w:rPr>
                          <w:t>初始投资</w:t>
                        </w:r>
                        <w:r>
                          <w:rPr>
                            <w:rFonts w:ascii="宋体" w:hAnsi="宋体" w:cs="宋体" w:eastAsia="宋体" w:hint="default"/>
                            <w:sz w:val="16"/>
                            <w:szCs w:val="16"/>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 w:right="0"/>
                          <w:jc w:val="center"/>
                          <w:rPr>
                            <w:rFonts w:ascii="宋体" w:hAnsi="宋体" w:cs="宋体" w:eastAsia="宋体" w:hint="default"/>
                            <w:sz w:val="16"/>
                            <w:szCs w:val="16"/>
                          </w:rPr>
                        </w:pPr>
                        <w:r>
                          <w:rPr>
                            <w:rFonts w:ascii="宋体" w:hAnsi="宋体" w:cs="宋体" w:eastAsia="宋体" w:hint="default"/>
                            <w:sz w:val="16"/>
                            <w:szCs w:val="16"/>
                          </w:rPr>
                          <w:t>追加</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8"/>
                          <w:jc w:val="righ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2651" w:type="dxa"/>
                        <w:tcBorders>
                          <w:top w:val="nil" w:sz="6" w:space="0" w:color="auto"/>
                          <w:left w:val="nil" w:sz="6" w:space="0" w:color="auto"/>
                          <w:bottom w:val="nil" w:sz="6" w:space="0" w:color="auto"/>
                          <w:right w:val="nil" w:sz="6" w:space="0" w:color="auto"/>
                        </w:tcBorders>
                      </w:tcPr>
                      <w:p>
                        <w:pPr>
                          <w:pStyle w:val="TableParagraph"/>
                          <w:tabs>
                            <w:tab w:pos="1432" w:val="left" w:leader="none"/>
                          </w:tabs>
                          <w:spacing w:line="240" w:lineRule="auto" w:before="50"/>
                          <w:ind w:right="107"/>
                          <w:jc w:val="right"/>
                          <w:rPr>
                            <w:rFonts w:ascii="宋体" w:hAnsi="宋体" w:cs="宋体" w:eastAsia="宋体" w:hint="default"/>
                            <w:sz w:val="16"/>
                            <w:szCs w:val="16"/>
                          </w:rPr>
                        </w:pPr>
                        <w:r>
                          <w:rPr>
                            <w:rFonts w:ascii="宋体" w:hAnsi="宋体" w:cs="宋体" w:eastAsia="宋体" w:hint="default"/>
                            <w:w w:val="95"/>
                            <w:sz w:val="16"/>
                            <w:szCs w:val="16"/>
                          </w:rPr>
                          <w:t>按权益法调整的</w:t>
                          <w:tab/>
                          <w:t>宣告分派的现</w:t>
                        </w:r>
                        <w:r>
                          <w:rPr>
                            <w:rFonts w:ascii="宋体" w:hAnsi="宋体" w:cs="宋体" w:eastAsia="宋体" w:hint="default"/>
                            <w:sz w:val="16"/>
                            <w:szCs w:val="16"/>
                          </w:rPr>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1"/>
                          <w:jc w:val="right"/>
                          <w:rPr>
                            <w:rFonts w:ascii="宋体" w:hAnsi="宋体" w:cs="宋体" w:eastAsia="宋体" w:hint="default"/>
                            <w:sz w:val="16"/>
                            <w:szCs w:val="16"/>
                          </w:rPr>
                        </w:pPr>
                        <w:r>
                          <w:rPr>
                            <w:rFonts w:ascii="宋体" w:hAnsi="宋体" w:cs="宋体" w:eastAsia="宋体" w:hint="default"/>
                            <w:w w:val="95"/>
                            <w:sz w:val="16"/>
                            <w:szCs w:val="16"/>
                          </w:rPr>
                          <w:t>其他权益</w:t>
                        </w:r>
                        <w:r>
                          <w:rPr>
                            <w:rFonts w:ascii="宋体" w:hAnsi="宋体" w:cs="宋体" w:eastAsia="宋体" w:hint="default"/>
                            <w:sz w:val="16"/>
                            <w:szCs w:val="16"/>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r>
                  <w:tr>
                    <w:trPr>
                      <w:trHeight w:val="208"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180" w:lineRule="exact"/>
                          <w:ind w:right="377"/>
                          <w:jc w:val="right"/>
                          <w:rPr>
                            <w:rFonts w:ascii="宋体" w:hAnsi="宋体" w:cs="宋体" w:eastAsia="宋体" w:hint="default"/>
                            <w:sz w:val="16"/>
                            <w:szCs w:val="16"/>
                          </w:rPr>
                        </w:pPr>
                        <w:r>
                          <w:rPr>
                            <w:rFonts w:ascii="宋体" w:hAnsi="宋体" w:cs="宋体" w:eastAsia="宋体" w:hint="default"/>
                            <w:w w:val="95"/>
                            <w:sz w:val="16"/>
                            <w:szCs w:val="16"/>
                          </w:rPr>
                          <w:t>成本</w:t>
                        </w:r>
                        <w:r>
                          <w:rPr>
                            <w:rFonts w:ascii="宋体" w:hAnsi="宋体" w:cs="宋体" w:eastAsia="宋体" w:hint="default"/>
                            <w:sz w:val="16"/>
                            <w:szCs w:val="16"/>
                          </w:rPr>
                        </w:r>
                      </w:p>
                    </w:tc>
                    <w:tc>
                      <w:tcPr>
                        <w:tcW w:w="1060" w:type="dxa"/>
                        <w:tcBorders>
                          <w:top w:val="nil" w:sz="6" w:space="0" w:color="auto"/>
                          <w:left w:val="nil" w:sz="6" w:space="0" w:color="auto"/>
                          <w:bottom w:val="nil" w:sz="6" w:space="0" w:color="auto"/>
                          <w:right w:val="nil" w:sz="6" w:space="0" w:color="auto"/>
                        </w:tcBorders>
                      </w:tcPr>
                      <w:p>
                        <w:pPr>
                          <w:pStyle w:val="TableParagraph"/>
                          <w:spacing w:line="180" w:lineRule="exact"/>
                          <w:ind w:left="17" w:right="0"/>
                          <w:jc w:val="center"/>
                          <w:rPr>
                            <w:rFonts w:ascii="宋体" w:hAnsi="宋体" w:cs="宋体" w:eastAsia="宋体" w:hint="default"/>
                            <w:sz w:val="16"/>
                            <w:szCs w:val="16"/>
                          </w:rPr>
                        </w:pPr>
                        <w:r>
                          <w:rPr>
                            <w:rFonts w:ascii="宋体" w:hAnsi="宋体" w:cs="宋体" w:eastAsia="宋体" w:hint="default"/>
                            <w:sz w:val="16"/>
                            <w:szCs w:val="16"/>
                          </w:rPr>
                          <w:t>投资</w:t>
                        </w:r>
                      </w:p>
                    </w:tc>
                    <w:tc>
                      <w:tcPr>
                        <w:tcW w:w="1306" w:type="dxa"/>
                        <w:tcBorders>
                          <w:top w:val="nil" w:sz="6" w:space="0" w:color="auto"/>
                          <w:left w:val="nil" w:sz="6" w:space="0" w:color="auto"/>
                          <w:bottom w:val="nil" w:sz="6" w:space="0" w:color="auto"/>
                          <w:right w:val="nil" w:sz="6" w:space="0" w:color="auto"/>
                        </w:tcBorders>
                      </w:tcPr>
                      <w:p>
                        <w:pPr>
                          <w:pStyle w:val="TableParagraph"/>
                          <w:spacing w:line="191" w:lineRule="exact"/>
                          <w:ind w:right="148"/>
                          <w:jc w:val="righ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2651" w:type="dxa"/>
                        <w:tcBorders>
                          <w:top w:val="nil" w:sz="6" w:space="0" w:color="auto"/>
                          <w:left w:val="nil" w:sz="6" w:space="0" w:color="auto"/>
                          <w:bottom w:val="nil" w:sz="6" w:space="0" w:color="auto"/>
                          <w:right w:val="nil" w:sz="6" w:space="0" w:color="auto"/>
                        </w:tcBorders>
                      </w:tcPr>
                      <w:p>
                        <w:pPr>
                          <w:pStyle w:val="TableParagraph"/>
                          <w:tabs>
                            <w:tab w:pos="1273" w:val="left" w:leader="none"/>
                          </w:tabs>
                          <w:spacing w:line="180" w:lineRule="exact"/>
                          <w:ind w:right="106"/>
                          <w:jc w:val="right"/>
                          <w:rPr>
                            <w:rFonts w:ascii="宋体" w:hAnsi="宋体" w:cs="宋体" w:eastAsia="宋体" w:hint="default"/>
                            <w:sz w:val="16"/>
                            <w:szCs w:val="16"/>
                          </w:rPr>
                        </w:pPr>
                        <w:r>
                          <w:rPr>
                            <w:rFonts w:ascii="宋体" w:hAnsi="宋体" w:cs="宋体" w:eastAsia="宋体" w:hint="default"/>
                            <w:w w:val="95"/>
                            <w:sz w:val="16"/>
                            <w:szCs w:val="16"/>
                          </w:rPr>
                          <w:t>净损益</w:t>
                          <w:tab/>
                          <w:t>金股利</w:t>
                        </w:r>
                        <w:r>
                          <w:rPr>
                            <w:rFonts w:ascii="宋体" w:hAnsi="宋体" w:cs="宋体" w:eastAsia="宋体" w:hint="default"/>
                            <w:sz w:val="16"/>
                            <w:szCs w:val="16"/>
                          </w:rPr>
                        </w:r>
                      </w:p>
                    </w:tc>
                    <w:tc>
                      <w:tcPr>
                        <w:tcW w:w="939" w:type="dxa"/>
                        <w:tcBorders>
                          <w:top w:val="nil" w:sz="6" w:space="0" w:color="auto"/>
                          <w:left w:val="nil" w:sz="6" w:space="0" w:color="auto"/>
                          <w:bottom w:val="nil" w:sz="6" w:space="0" w:color="auto"/>
                          <w:right w:val="nil" w:sz="6" w:space="0" w:color="auto"/>
                        </w:tcBorders>
                      </w:tcPr>
                      <w:p>
                        <w:pPr>
                          <w:pStyle w:val="TableParagraph"/>
                          <w:spacing w:line="180" w:lineRule="exact"/>
                          <w:ind w:right="188"/>
                          <w:jc w:val="right"/>
                          <w:rPr>
                            <w:rFonts w:ascii="宋体" w:hAnsi="宋体" w:cs="宋体" w:eastAsia="宋体" w:hint="default"/>
                            <w:sz w:val="16"/>
                            <w:szCs w:val="16"/>
                          </w:rPr>
                        </w:pPr>
                        <w:r>
                          <w:rPr>
                            <w:rFonts w:ascii="宋体" w:hAnsi="宋体" w:cs="宋体" w:eastAsia="宋体" w:hint="default"/>
                            <w:w w:val="95"/>
                            <w:sz w:val="16"/>
                            <w:szCs w:val="16"/>
                          </w:rPr>
                          <w:t>变动</w:t>
                        </w:r>
                        <w:r>
                          <w:rPr>
                            <w:rFonts w:ascii="宋体" w:hAnsi="宋体" w:cs="宋体" w:eastAsia="宋体" w:hint="default"/>
                            <w:sz w:val="16"/>
                            <w:szCs w:val="16"/>
                          </w:rPr>
                        </w:r>
                      </w:p>
                    </w:tc>
                    <w:tc>
                      <w:tcPr>
                        <w:tcW w:w="1020"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208" w:hRule="exact"/>
                    </w:trPr>
                    <w:tc>
                      <w:tcPr>
                        <w:tcW w:w="2195"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2651" w:type="dxa"/>
                        <w:tcBorders>
                          <w:top w:val="nil" w:sz="6" w:space="0" w:color="auto"/>
                          <w:left w:val="nil" w:sz="6" w:space="0" w:color="auto"/>
                          <w:bottom w:val="nil" w:sz="6" w:space="0" w:color="auto"/>
                          <w:right w:val="nil" w:sz="6" w:space="0" w:color="auto"/>
                        </w:tcBorders>
                      </w:tcPr>
                      <w:p>
                        <w:pPr>
                          <w:pStyle w:val="TableParagraph"/>
                          <w:spacing w:line="191" w:lineRule="exact"/>
                          <w:ind w:left="1234" w:right="0"/>
                          <w:jc w:val="left"/>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人民币千元</w:t>
                        </w:r>
                        <w:r>
                          <w:rPr>
                            <w:rFonts w:ascii="Arial" w:hAnsi="Arial" w:cs="Arial" w:eastAsia="Arial" w:hint="default"/>
                            <w:sz w:val="16"/>
                            <w:szCs w:val="16"/>
                          </w:rPr>
                          <w:t>)</w:t>
                        </w:r>
                      </w:p>
                    </w:tc>
                    <w:tc>
                      <w:tcPr>
                        <w:tcW w:w="939"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r>
                  <w:tr>
                    <w:trPr>
                      <w:trHeight w:val="188"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6"/>
                            <w:szCs w:val="16"/>
                          </w:rPr>
                        </w:pPr>
                        <w:r>
                          <w:rPr>
                            <w:rFonts w:ascii="宋体" w:hAnsi="宋体" w:cs="宋体" w:eastAsia="宋体" w:hint="default"/>
                            <w:spacing w:val="17"/>
                            <w:sz w:val="16"/>
                            <w:szCs w:val="16"/>
                          </w:rPr>
                          <w:t>江苏格力空</w:t>
                        </w:r>
                        <w:r>
                          <w:rPr>
                            <w:rFonts w:ascii="宋体" w:hAnsi="宋体" w:cs="宋体" w:eastAsia="宋体" w:hint="default"/>
                            <w:spacing w:val="-58"/>
                            <w:sz w:val="16"/>
                            <w:szCs w:val="16"/>
                          </w:rPr>
                          <w:t> </w:t>
                        </w:r>
                        <w:r>
                          <w:rPr>
                            <w:rFonts w:ascii="宋体" w:hAnsi="宋体" w:cs="宋体" w:eastAsia="宋体" w:hint="default"/>
                            <w:sz w:val="16"/>
                            <w:szCs w:val="16"/>
                          </w:rPr>
                        </w:r>
                      </w:p>
                    </w:tc>
                    <w:tc>
                      <w:tcPr>
                        <w:tcW w:w="1060"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2651"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注：合营企业准备歇业，因此于</w:t>
      </w:r>
      <w:r>
        <w:rPr>
          <w:spacing w:val="-62"/>
        </w:rPr>
        <w:t> </w:t>
      </w:r>
      <w:r>
        <w:rPr>
          <w:rFonts w:ascii="Arial" w:hAnsi="Arial" w:cs="Arial" w:eastAsia="Arial" w:hint="default"/>
        </w:rPr>
        <w:t>2007</w:t>
      </w:r>
      <w:r>
        <w:rPr>
          <w:rFonts w:ascii="Arial" w:hAnsi="Arial" w:cs="Arial" w:eastAsia="Arial" w:hint="default"/>
          <w:spacing w:val="-9"/>
        </w:rPr>
        <w:t> </w:t>
      </w:r>
      <w:r>
        <w:rPr/>
        <w:t>年没有业务。 对合营企业投资列示如下：</w:t>
      </w:r>
    </w:p>
    <w:p>
      <w:pPr>
        <w:spacing w:after="0" w:line="427" w:lineRule="auto"/>
        <w:jc w:val="left"/>
        <w:sectPr>
          <w:type w:val="continuous"/>
          <w:pgSz w:w="11910" w:h="16840"/>
          <w:pgMar w:top="1600" w:bottom="280" w:left="960" w:right="840"/>
        </w:sectPr>
      </w:pPr>
    </w:p>
    <w:p>
      <w:pPr>
        <w:spacing w:before="931"/>
        <w:ind w:left="830" w:right="-10" w:firstLine="0"/>
        <w:jc w:val="left"/>
        <w:rPr>
          <w:rFonts w:ascii="宋体" w:hAnsi="宋体" w:cs="宋体" w:eastAsia="宋体" w:hint="default"/>
          <w:sz w:val="16"/>
          <w:szCs w:val="16"/>
        </w:rPr>
      </w:pPr>
      <w:r>
        <w:rPr>
          <w:rFonts w:ascii="宋体" w:hAnsi="宋体" w:cs="宋体" w:eastAsia="宋体" w:hint="default"/>
          <w:sz w:val="16"/>
          <w:szCs w:val="16"/>
        </w:rPr>
        <w:t>调专卖销售</w:t>
      </w:r>
      <w:r>
        <w:rPr>
          <w:rFonts w:ascii="宋体" w:hAnsi="宋体" w:cs="宋体" w:eastAsia="宋体" w:hint="default"/>
          <w:spacing w:val="-73"/>
          <w:sz w:val="16"/>
          <w:szCs w:val="16"/>
        </w:rPr>
        <w:t> </w:t>
      </w:r>
      <w:r>
        <w:rPr>
          <w:rFonts w:ascii="宋体" w:hAnsi="宋体" w:cs="宋体" w:eastAsia="宋体" w:hint="default"/>
          <w:sz w:val="16"/>
          <w:szCs w:val="16"/>
        </w:rPr>
        <w:t>有限公司</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23"/>
          <w:szCs w:val="23"/>
        </w:rPr>
      </w:pPr>
    </w:p>
    <w:p>
      <w:pPr>
        <w:spacing w:line="215" w:lineRule="exact" w:before="0"/>
        <w:ind w:left="80" w:right="0" w:firstLine="0"/>
        <w:jc w:val="left"/>
        <w:rPr>
          <w:rFonts w:ascii="Arial" w:hAnsi="Arial" w:cs="Arial" w:eastAsia="Arial" w:hint="default"/>
          <w:sz w:val="16"/>
          <w:szCs w:val="16"/>
        </w:rPr>
      </w:pPr>
      <w:r>
        <w:rPr>
          <w:rFonts w:ascii="宋体" w:hAnsi="宋体" w:cs="宋体" w:eastAsia="宋体" w:hint="default"/>
          <w:sz w:val="16"/>
          <w:szCs w:val="16"/>
        </w:rPr>
        <w:t>人民币</w:t>
      </w:r>
      <w:r>
        <w:rPr>
          <w:rFonts w:ascii="宋体" w:hAnsi="宋体" w:cs="宋体" w:eastAsia="宋体" w:hint="default"/>
          <w:spacing w:val="-58"/>
          <w:sz w:val="16"/>
          <w:szCs w:val="16"/>
        </w:rPr>
        <w:t> </w:t>
      </w:r>
      <w:r>
        <w:rPr>
          <w:rFonts w:ascii="Arial" w:hAnsi="Arial" w:cs="Arial" w:eastAsia="Arial" w:hint="default"/>
          <w:sz w:val="16"/>
          <w:szCs w:val="16"/>
        </w:rPr>
        <w:t>100</w:t>
      </w:r>
    </w:p>
    <w:p>
      <w:pPr>
        <w:tabs>
          <w:tab w:pos="1875" w:val="left" w:leader="none"/>
          <w:tab w:pos="3279" w:val="left" w:leader="none"/>
          <w:tab w:pos="4811" w:val="left" w:leader="none"/>
          <w:tab w:pos="6084" w:val="left" w:leader="none"/>
          <w:tab w:pos="6941" w:val="left" w:leader="none"/>
          <w:tab w:pos="8170" w:val="right" w:leader="none"/>
        </w:tabs>
        <w:spacing w:line="225" w:lineRule="exact" w:before="0"/>
        <w:ind w:left="531"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万元</w:t>
        <w:tab/>
      </w:r>
      <w:r>
        <w:rPr>
          <w:rFonts w:ascii="Arial" w:hAnsi="Arial" w:cs="Arial" w:eastAsia="Arial" w:hint="default"/>
          <w:w w:val="95"/>
          <w:sz w:val="16"/>
          <w:szCs w:val="16"/>
        </w:rPr>
        <w:t>-</w:t>
        <w:tab/>
      </w:r>
      <w:r>
        <w:rPr>
          <w:rFonts w:ascii="Arial" w:hAnsi="Arial" w:cs="Arial" w:eastAsia="Arial" w:hint="default"/>
          <w:spacing w:val="-7"/>
          <w:sz w:val="16"/>
          <w:szCs w:val="16"/>
        </w:rPr>
        <w:t>11</w:t>
        <w:tab/>
      </w:r>
      <w:r>
        <w:rPr>
          <w:rFonts w:ascii="Arial" w:hAnsi="Arial" w:cs="Arial" w:eastAsia="Arial" w:hint="default"/>
          <w:w w:val="95"/>
          <w:sz w:val="16"/>
          <w:szCs w:val="16"/>
        </w:rPr>
        <w:t>-</w:t>
        <w:tab/>
        <w:t>-</w:t>
        <w:tab/>
      </w:r>
      <w:r>
        <w:rPr>
          <w:rFonts w:ascii="Arial" w:hAnsi="Arial" w:cs="Arial" w:eastAsia="Arial" w:hint="default"/>
          <w:sz w:val="16"/>
          <w:szCs w:val="16"/>
        </w:rPr>
        <w:t>-</w:t>
        <w:tab/>
      </w:r>
      <w:r>
        <w:rPr>
          <w:rFonts w:ascii="Arial" w:hAnsi="Arial" w:cs="Arial" w:eastAsia="Arial" w:hint="default"/>
          <w:spacing w:val="-7"/>
          <w:sz w:val="16"/>
          <w:szCs w:val="16"/>
        </w:rPr>
        <w:t>11</w:t>
      </w:r>
    </w:p>
    <w:p>
      <w:pPr>
        <w:spacing w:after="0" w:line="225" w:lineRule="exact"/>
        <w:jc w:val="left"/>
        <w:rPr>
          <w:rFonts w:ascii="Arial" w:hAnsi="Arial" w:cs="Arial" w:eastAsia="Arial" w:hint="default"/>
          <w:sz w:val="16"/>
          <w:szCs w:val="16"/>
        </w:rPr>
        <w:sectPr>
          <w:type w:val="continuous"/>
          <w:pgSz w:w="11910" w:h="16840"/>
          <w:pgMar w:top="1600" w:bottom="280" w:left="960" w:right="840"/>
          <w:cols w:num="2" w:equalWidth="0">
            <w:col w:w="1641" w:space="40"/>
            <w:col w:w="8429"/>
          </w:cols>
        </w:sectPr>
      </w:pPr>
    </w:p>
    <w:p>
      <w:pPr>
        <w:pStyle w:val="BodyText"/>
        <w:tabs>
          <w:tab w:pos="833" w:val="left" w:leader="none"/>
        </w:tabs>
        <w:spacing w:line="240" w:lineRule="auto" w:before="204"/>
        <w:ind w:left="153" w:right="0"/>
        <w:jc w:val="left"/>
      </w:pPr>
      <w:r>
        <w:rPr>
          <w:rFonts w:ascii="Arial" w:hAnsi="Arial" w:cs="Arial" w:eastAsia="Arial" w:hint="default"/>
          <w:position w:val="2"/>
        </w:rPr>
        <w:t>(b)</w:t>
        <w:tab/>
      </w:r>
      <w:r>
        <w:rPr/>
        <w:t>其他长期股权投资</w:t>
      </w:r>
    </w:p>
    <w:p>
      <w:pPr>
        <w:spacing w:after="0" w:line="240" w:lineRule="auto"/>
        <w:jc w:val="left"/>
        <w:sectPr>
          <w:type w:val="continuous"/>
          <w:pgSz w:w="11910" w:h="16840"/>
          <w:pgMar w:top="1600" w:bottom="280" w:left="960" w:right="840"/>
        </w:sectPr>
      </w:pPr>
    </w:p>
    <w:p>
      <w:pPr>
        <w:spacing w:line="640" w:lineRule="atLeast" w:before="212"/>
        <w:ind w:left="1178" w:right="-20" w:hanging="345"/>
        <w:jc w:val="left"/>
        <w:rPr>
          <w:rFonts w:ascii="宋体" w:hAnsi="宋体" w:cs="宋体" w:eastAsia="宋体" w:hint="default"/>
          <w:sz w:val="22"/>
          <w:szCs w:val="22"/>
        </w:rPr>
      </w:pPr>
      <w:r>
        <w:rPr/>
        <w:pict>
          <v:group style="position:absolute;margin-left:54.18pt;margin-top:30.793417pt;width:26.25pt;height:.1pt;mso-position-horizontal-relative:page;mso-position-vertical-relative:paragraph;z-index:2728" coordorigin="1084,616" coordsize="525,2">
            <v:shape style="position:absolute;left:1084;top:616;width:525;height:2" coordorigin="1084,616" coordsize="525,0" path="m1084,616l1608,616e" filled="false" stroked="true" strokeweight=".72003pt" strokecolor="#000000">
              <v:path arrowok="t"/>
            </v:shape>
            <w10:wrap type="none"/>
          </v:group>
        </w:pict>
      </w:r>
      <w:r>
        <w:rPr/>
        <w:pict>
          <v:group style="position:absolute;margin-left:88.199997pt;margin-top:45.553432pt;width:142.65pt;height:.1pt;mso-position-horizontal-relative:page;mso-position-vertical-relative:paragraph;z-index:-577120" coordorigin="1764,911" coordsize="2853,2">
            <v:shape style="position:absolute;left:1764;top:911;width:2853;height:2" coordorigin="1764,911" coordsize="2853,0" path="m1764,911l4616,911e" filled="false" stroked="true" strokeweight=".72pt" strokecolor="#000000">
              <v:path arrowok="t"/>
            </v:shape>
            <w10:wrap type="none"/>
          </v:group>
        </w:pict>
      </w:r>
      <w:r>
        <w:rPr/>
        <w:pict>
          <v:group style="position:absolute;margin-left:54.18pt;margin-top:61.153431pt;width:26.25pt;height:.1pt;mso-position-horizontal-relative:page;mso-position-vertical-relative:paragraph;z-index:2824" coordorigin="1084,1223" coordsize="525,2">
            <v:shape style="position:absolute;left:1084;top:1223;width:525;height:2" coordorigin="1084,1223" coordsize="525,0" path="m1084,1223l1608,1223e" filled="false" stroked="true" strokeweight=".72pt" strokecolor="#000000">
              <v:path arrowok="t"/>
            </v:shape>
            <w10:wrap type="none"/>
          </v:group>
        </w:pict>
      </w:r>
      <w:r>
        <w:rPr/>
        <w:pict>
          <v:group style="position:absolute;margin-left:88.199997pt;margin-top:60.013432pt;width:142.65pt;height:.1pt;mso-position-horizontal-relative:page;mso-position-vertical-relative:paragraph;z-index:-577024" coordorigin="1764,1200" coordsize="2853,2">
            <v:shape style="position:absolute;left:1764;top:1200;width:2853;height:2" coordorigin="1764,1200" coordsize="2853,0" path="m1764,1200l4616,1200e" filled="false" stroked="true" strokeweight=".72pt" strokecolor="#000000">
              <v:path arrowok="t"/>
            </v:shape>
            <w10:wrap type="none"/>
          </v:group>
        </w:pict>
      </w:r>
      <w:r>
        <w:rPr/>
        <w:pict>
          <v:group style="position:absolute;margin-left:54.18pt;margin-top:77.173431pt;width:26.25pt;height:.1pt;mso-position-horizontal-relative:page;mso-position-vertical-relative:paragraph;z-index:2896" coordorigin="1084,1543" coordsize="525,2">
            <v:shape style="position:absolute;left:1084;top:1543;width:525;height:2" coordorigin="1084,1543" coordsize="525,0" path="m1084,1543l1608,1543e" filled="false" stroked="true" strokeweight=".72pt" strokecolor="#000000">
              <v:path arrowok="t"/>
            </v:shape>
            <w10:wrap type="none"/>
          </v:group>
        </w:pict>
      </w:r>
      <w:r>
        <w:rPr>
          <w:rFonts w:ascii="宋体" w:hAnsi="宋体" w:cs="宋体" w:eastAsia="宋体" w:hint="default"/>
          <w:sz w:val="22"/>
          <w:szCs w:val="22"/>
        </w:rPr>
        <w:t>被投资公司名称</w:t>
      </w:r>
      <w:r>
        <w:rPr>
          <w:rFonts w:ascii="宋体" w:hAnsi="宋体" w:cs="宋体" w:eastAsia="宋体" w:hint="default"/>
          <w:w w:val="99"/>
          <w:sz w:val="22"/>
          <w:szCs w:val="22"/>
        </w:rPr>
        <w:t> </w:t>
      </w:r>
      <w:r>
        <w:rPr>
          <w:rFonts w:ascii="宋体" w:hAnsi="宋体" w:cs="宋体" w:eastAsia="宋体" w:hint="default"/>
          <w:sz w:val="22"/>
          <w:szCs w:val="22"/>
        </w:rPr>
        <w:t>南京苏宁中央空调工程</w:t>
      </w:r>
    </w:p>
    <w:p>
      <w:pPr>
        <w:tabs>
          <w:tab w:pos="2178" w:val="left" w:leader="none"/>
        </w:tabs>
        <w:spacing w:line="295" w:lineRule="exact" w:before="278"/>
        <w:ind w:left="1069" w:right="0" w:firstLine="0"/>
        <w:jc w:val="left"/>
        <w:rPr>
          <w:rFonts w:ascii="Times New Roman" w:hAnsi="Times New Roman" w:cs="Times New Roman" w:eastAsia="Times New Roman" w:hint="default"/>
          <w:sz w:val="22"/>
          <w:szCs w:val="22"/>
        </w:rPr>
      </w:pPr>
      <w:r>
        <w:rPr/>
        <w:br w:type="column"/>
      </w:r>
      <w:r>
        <w:rPr>
          <w:rFonts w:ascii="Arial" w:hAnsi="Arial" w:cs="Arial" w:eastAsia="Arial" w:hint="default"/>
          <w:sz w:val="22"/>
          <w:szCs w:val="22"/>
        </w:rPr>
        <w:t>2006</w:t>
      </w:r>
      <w:r>
        <w:rPr>
          <w:rFonts w:ascii="Arial" w:hAnsi="Arial" w:cs="Arial" w:eastAsia="Arial" w:hint="default"/>
          <w:spacing w:val="-8"/>
          <w:sz w:val="22"/>
          <w:szCs w:val="22"/>
        </w:rPr>
        <w:t> </w:t>
      </w:r>
      <w:r>
        <w:rPr>
          <w:rFonts w:ascii="宋体" w:hAnsi="宋体" w:cs="宋体" w:eastAsia="宋体" w:hint="default"/>
          <w:sz w:val="22"/>
          <w:szCs w:val="22"/>
        </w:rPr>
        <w:t>年 </w:t>
      </w:r>
      <w:r>
        <w:rPr>
          <w:rFonts w:ascii="宋体" w:hAnsi="宋体" w:cs="宋体" w:eastAsia="宋体" w:hint="default"/>
          <w:spacing w:val="-34"/>
          <w:sz w:val="22"/>
          <w:szCs w:val="22"/>
        </w:rPr>
        <w:t> </w:t>
      </w:r>
      <w:r>
        <w:rPr>
          <w:rFonts w:ascii="Times New Roman" w:hAnsi="Times New Roman" w:cs="Times New Roman" w:eastAsia="Times New Roman" w:hint="default"/>
          <w:spacing w:val="-34"/>
          <w:w w:val="99"/>
          <w:sz w:val="22"/>
          <w:szCs w:val="22"/>
        </w:rPr>
      </w:r>
      <w:r>
        <w:rPr>
          <w:rFonts w:ascii="Times New Roman" w:hAnsi="Times New Roman" w:cs="Times New Roman" w:eastAsia="Times New Roman" w:hint="default"/>
          <w:w w:val="99"/>
          <w:sz w:val="22"/>
          <w:szCs w:val="22"/>
          <w:u w:val="single" w:color="000000"/>
        </w:rPr>
        <w:t> </w:t>
      </w:r>
      <w:r>
        <w:rPr>
          <w:rFonts w:ascii="Times New Roman" w:hAnsi="Times New Roman" w:cs="Times New Roman" w:eastAsia="Times New Roman" w:hint="default"/>
          <w:sz w:val="22"/>
          <w:szCs w:val="22"/>
          <w:u w:val="single" w:color="000000"/>
        </w:rPr>
        <w:tab/>
      </w:r>
      <w:r>
        <w:rPr>
          <w:rFonts w:ascii="Times New Roman" w:hAnsi="Times New Roman" w:cs="Times New Roman" w:eastAsia="Times New Roman" w:hint="default"/>
          <w:sz w:val="22"/>
          <w:szCs w:val="22"/>
        </w:rPr>
      </w:r>
    </w:p>
    <w:p>
      <w:pPr>
        <w:spacing w:line="295" w:lineRule="exact" w:before="0"/>
        <w:ind w:left="739" w:right="0" w:firstLine="0"/>
        <w:jc w:val="left"/>
        <w:rPr>
          <w:rFonts w:ascii="宋体" w:hAnsi="宋体" w:cs="宋体" w:eastAsia="宋体" w:hint="default"/>
          <w:sz w:val="22"/>
          <w:szCs w:val="22"/>
        </w:rPr>
      </w:pPr>
      <w:r>
        <w:rPr/>
        <w:pict>
          <v:group style="position:absolute;margin-left:238.619995pt;margin-top:16.988668pt;width:73.5pt;height:.1pt;mso-position-horizontal-relative:page;mso-position-vertical-relative:paragraph;z-index:2776" coordorigin="4772,340" coordsize="1470,2">
            <v:shape style="position:absolute;left:4772;top:340;width:1470;height:2" coordorigin="4772,340" coordsize="1470,0" path="m4772,340l6242,340e" filled="false" stroked="true" strokeweight=".72pt" strokecolor="#000000">
              <v:path arrowok="t"/>
            </v:shape>
            <w10:wrap type="none"/>
          </v:group>
        </w:pic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p>
      <w:pPr>
        <w:spacing w:line="240" w:lineRule="auto" w:before="3"/>
        <w:rPr>
          <w:rFonts w:ascii="宋体" w:hAnsi="宋体" w:cs="宋体" w:eastAsia="宋体" w:hint="default"/>
          <w:sz w:val="21"/>
          <w:szCs w:val="21"/>
        </w:rPr>
      </w:pPr>
      <w:r>
        <w:rPr/>
        <w:br w:type="column"/>
      </w:r>
      <w:r>
        <w:rPr>
          <w:rFonts w:ascii="宋体"/>
          <w:sz w:val="21"/>
        </w:rPr>
      </w:r>
    </w:p>
    <w:p>
      <w:pPr>
        <w:tabs>
          <w:tab w:pos="1947" w:val="left" w:leader="none"/>
        </w:tabs>
        <w:spacing w:line="302" w:lineRule="exact" w:before="0"/>
        <w:ind w:left="514" w:right="0" w:firstLine="0"/>
        <w:jc w:val="left"/>
        <w:rPr>
          <w:rFonts w:ascii="宋体" w:hAnsi="宋体" w:cs="宋体" w:eastAsia="宋体" w:hint="default"/>
          <w:sz w:val="22"/>
          <w:szCs w:val="22"/>
        </w:rPr>
      </w:pPr>
      <w:r>
        <w:rPr>
          <w:rFonts w:ascii="宋体" w:hAnsi="宋体" w:cs="宋体" w:eastAsia="宋体" w:hint="default"/>
          <w:w w:val="95"/>
          <w:sz w:val="22"/>
          <w:szCs w:val="22"/>
        </w:rPr>
        <w:t>本年</w:t>
        <w:tab/>
      </w:r>
      <w:r>
        <w:rPr>
          <w:rFonts w:ascii="宋体" w:hAnsi="宋体" w:cs="宋体" w:eastAsia="宋体" w:hint="default"/>
          <w:w w:val="95"/>
          <w:position w:val="-2"/>
          <w:sz w:val="22"/>
          <w:szCs w:val="22"/>
        </w:rPr>
        <w:t>本年</w:t>
      </w:r>
      <w:r>
        <w:rPr>
          <w:rFonts w:ascii="宋体" w:hAnsi="宋体" w:cs="宋体" w:eastAsia="宋体" w:hint="default"/>
          <w:sz w:val="22"/>
          <w:szCs w:val="22"/>
        </w:rPr>
      </w:r>
    </w:p>
    <w:p>
      <w:pPr>
        <w:tabs>
          <w:tab w:pos="1947" w:val="left" w:leader="none"/>
        </w:tabs>
        <w:spacing w:line="302" w:lineRule="exact" w:before="0"/>
        <w:ind w:left="514" w:right="0" w:firstLine="0"/>
        <w:jc w:val="left"/>
        <w:rPr>
          <w:rFonts w:ascii="宋体" w:hAnsi="宋体" w:cs="宋体" w:eastAsia="宋体" w:hint="default"/>
          <w:sz w:val="22"/>
          <w:szCs w:val="22"/>
        </w:rPr>
      </w:pPr>
      <w:r>
        <w:rPr>
          <w:rFonts w:ascii="宋体" w:hAnsi="宋体" w:cs="宋体" w:eastAsia="宋体" w:hint="default"/>
          <w:w w:val="95"/>
          <w:sz w:val="22"/>
          <w:szCs w:val="22"/>
        </w:rPr>
        <w:t>增加</w:t>
        <w:tab/>
      </w:r>
      <w:r>
        <w:rPr>
          <w:rFonts w:ascii="宋体" w:hAnsi="宋体" w:cs="宋体" w:eastAsia="宋体" w:hint="default"/>
          <w:w w:val="95"/>
          <w:position w:val="-2"/>
          <w:sz w:val="22"/>
          <w:szCs w:val="22"/>
        </w:rPr>
        <w:t>减少</w:t>
      </w:r>
      <w:r>
        <w:rPr>
          <w:rFonts w:ascii="宋体" w:hAnsi="宋体" w:cs="宋体" w:eastAsia="宋体" w:hint="default"/>
          <w:sz w:val="22"/>
          <w:szCs w:val="22"/>
        </w:rPr>
      </w:r>
    </w:p>
    <w:p>
      <w:pPr>
        <w:spacing w:before="3"/>
        <w:ind w:left="586" w:right="0" w:firstLine="0"/>
        <w:jc w:val="left"/>
        <w:rPr>
          <w:rFonts w:ascii="Arial" w:hAnsi="Arial" w:cs="Arial" w:eastAsia="Arial" w:hint="default"/>
          <w:sz w:val="22"/>
          <w:szCs w:val="22"/>
        </w:rPr>
      </w:pPr>
      <w:r>
        <w:rPr/>
        <w:pict>
          <v:group style="position:absolute;margin-left:335.640015pt;margin-top:1.478054pt;width:43.4pt;height:.1pt;mso-position-horizontal-relative:page;mso-position-vertical-relative:paragraph;z-index:-577072" coordorigin="6713,30" coordsize="868,2">
            <v:shape style="position:absolute;left:6713;top:30;width:868;height:2" coordorigin="6713,30" coordsize="868,0" path="m6713,30l7580,30e" filled="false" stroked="true" strokeweight=".72pt" strokecolor="#000000">
              <v:path arrowok="t"/>
            </v:shape>
            <w10:wrap type="none"/>
          </v:group>
        </w:pict>
      </w:r>
      <w:r>
        <w:rPr/>
        <w:pict>
          <v:group style="position:absolute;margin-left:238.619995pt;margin-top:17.498058pt;width:303.5pt;height:.1pt;mso-position-horizontal-relative:page;mso-position-vertical-relative:paragraph;z-index:2872" coordorigin="4772,350" coordsize="6070,2">
            <v:shape style="position:absolute;left:4772;top:350;width:6070;height:2" coordorigin="4772,350" coordsize="6070,0" path="m4772,350l10842,350e" filled="false" stroked="true" strokeweight=".71999pt" strokecolor="#000000">
              <v:path arrowok="t"/>
            </v:shape>
            <w10:wrap type="none"/>
          </v:group>
        </w:pict>
      </w:r>
      <w:r>
        <w:rPr>
          <w:rFonts w:ascii="Arial" w:hAnsi="Arial" w:cs="Arial" w:eastAsia="Arial" w:hint="default"/>
          <w:sz w:val="22"/>
          <w:szCs w:val="22"/>
        </w:rPr>
        <w:t>(</w:t>
      </w:r>
      <w:r>
        <w:rPr>
          <w:rFonts w:ascii="宋体" w:hAnsi="宋体" w:cs="宋体" w:eastAsia="宋体" w:hint="default"/>
          <w:sz w:val="22"/>
          <w:szCs w:val="22"/>
        </w:rPr>
        <w:t>人民币千元</w:t>
      </w:r>
      <w:r>
        <w:rPr>
          <w:rFonts w:ascii="Arial" w:hAnsi="Arial" w:cs="Arial" w:eastAsia="Arial" w:hint="default"/>
          <w:sz w:val="22"/>
          <w:szCs w:val="22"/>
        </w:rPr>
        <w:t>)</w:t>
      </w:r>
    </w:p>
    <w:p>
      <w:pPr>
        <w:spacing w:line="240" w:lineRule="auto" w:before="2"/>
        <w:rPr>
          <w:rFonts w:ascii="Arial" w:hAnsi="Arial" w:cs="Arial" w:eastAsia="Arial" w:hint="default"/>
          <w:sz w:val="24"/>
          <w:szCs w:val="24"/>
        </w:rPr>
      </w:pPr>
      <w:r>
        <w:rPr/>
        <w:br w:type="column"/>
      </w:r>
      <w:r>
        <w:rPr>
          <w:rFonts w:ascii="Arial"/>
          <w:sz w:val="24"/>
        </w:rPr>
      </w:r>
    </w:p>
    <w:p>
      <w:pPr>
        <w:spacing w:line="295" w:lineRule="exact" w:before="0"/>
        <w:ind w:left="988" w:right="0" w:firstLine="0"/>
        <w:jc w:val="left"/>
        <w:rPr>
          <w:rFonts w:ascii="宋体" w:hAnsi="宋体" w:cs="宋体" w:eastAsia="宋体" w:hint="default"/>
          <w:sz w:val="22"/>
          <w:szCs w:val="22"/>
        </w:rPr>
      </w:pPr>
      <w:r>
        <w:rPr>
          <w:rFonts w:ascii="Arial" w:hAnsi="Arial" w:cs="Arial" w:eastAsia="Arial" w:hint="default"/>
          <w:sz w:val="22"/>
          <w:szCs w:val="22"/>
        </w:rPr>
        <w:t>2007</w:t>
      </w:r>
      <w:r>
        <w:rPr>
          <w:rFonts w:ascii="Arial" w:hAnsi="Arial" w:cs="Arial" w:eastAsia="Arial" w:hint="default"/>
          <w:spacing w:val="-8"/>
          <w:sz w:val="22"/>
          <w:szCs w:val="22"/>
        </w:rPr>
        <w:t> </w:t>
      </w:r>
      <w:r>
        <w:rPr>
          <w:rFonts w:ascii="宋体" w:hAnsi="宋体" w:cs="宋体" w:eastAsia="宋体" w:hint="default"/>
          <w:sz w:val="22"/>
          <w:szCs w:val="22"/>
        </w:rPr>
        <w:t>年</w:t>
      </w:r>
    </w:p>
    <w:p>
      <w:pPr>
        <w:spacing w:line="295" w:lineRule="exact" w:before="0"/>
        <w:ind w:left="658" w:right="0" w:firstLine="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p>
      <w:pPr>
        <w:spacing w:after="0" w:line="295" w:lineRule="exact"/>
        <w:jc w:val="left"/>
        <w:rPr>
          <w:rFonts w:ascii="宋体" w:hAnsi="宋体" w:cs="宋体" w:eastAsia="宋体" w:hint="default"/>
          <w:sz w:val="22"/>
          <w:szCs w:val="22"/>
        </w:rPr>
        <w:sectPr>
          <w:type w:val="continuous"/>
          <w:pgSz w:w="11910" w:h="16840"/>
          <w:pgMar w:top="1600" w:bottom="280" w:left="960" w:right="840"/>
          <w:cols w:num="4" w:equalWidth="0">
            <w:col w:w="3379" w:space="40"/>
            <w:col w:w="2179" w:space="40"/>
            <w:col w:w="2387" w:space="40"/>
            <w:col w:w="2045"/>
          </w:cols>
        </w:sectPr>
      </w:pPr>
    </w:p>
    <w:p>
      <w:pPr>
        <w:tabs>
          <w:tab w:pos="4885" w:val="left" w:leader="none"/>
          <w:tab w:pos="6517" w:val="left" w:leader="none"/>
          <w:tab w:pos="7949" w:val="left" w:leader="none"/>
          <w:tab w:pos="9815" w:val="right" w:leader="none"/>
        </w:tabs>
        <w:spacing w:line="349" w:lineRule="exact" w:before="0"/>
        <w:ind w:left="1948" w:right="0" w:firstLine="0"/>
        <w:jc w:val="left"/>
        <w:rPr>
          <w:rFonts w:ascii="Arial" w:hAnsi="Arial" w:cs="Arial" w:eastAsia="Arial" w:hint="default"/>
          <w:sz w:val="22"/>
          <w:szCs w:val="22"/>
        </w:rPr>
      </w:pPr>
      <w:r>
        <w:rPr/>
        <w:pict>
          <v:group style="position:absolute;margin-left:319.920013pt;margin-top:1.393424pt;width:7.95pt;height:.1pt;mso-position-horizontal-relative:page;mso-position-vertical-relative:paragraph;z-index:-576952" coordorigin="6398,28" coordsize="159,2">
            <v:shape style="position:absolute;left:6398;top:28;width:159;height:2" coordorigin="6398,28" coordsize="159,0" path="m6398,28l6557,28e" filled="false" stroked="true" strokeweight=".72pt" strokecolor="#000000">
              <v:path arrowok="t"/>
            </v:shape>
            <w10:wrap type="none"/>
          </v:group>
        </w:pict>
      </w:r>
      <w:r>
        <w:rPr>
          <w:rFonts w:ascii="宋体" w:hAnsi="宋体" w:cs="宋体" w:eastAsia="宋体" w:hint="default"/>
          <w:w w:val="95"/>
          <w:position w:val="2"/>
          <w:sz w:val="22"/>
          <w:szCs w:val="22"/>
        </w:rPr>
        <w:t>有限公司</w:t>
        <w:tab/>
      </w:r>
      <w:r>
        <w:rPr>
          <w:rFonts w:ascii="Arial" w:hAnsi="Arial" w:cs="Arial" w:eastAsia="Arial" w:hint="default"/>
          <w:w w:val="95"/>
          <w:sz w:val="22"/>
          <w:szCs w:val="22"/>
        </w:rPr>
        <w:t>993</w:t>
        <w:tab/>
        <w:t>-</w:t>
        <w:tab/>
      </w:r>
      <w:r>
        <w:rPr>
          <w:rFonts w:ascii="Arial" w:hAnsi="Arial" w:cs="Arial" w:eastAsia="Arial" w:hint="default"/>
          <w:position w:val="-2"/>
          <w:sz w:val="22"/>
          <w:szCs w:val="22"/>
        </w:rPr>
        <w:t>-</w:t>
        <w:tab/>
        <w:t>993</w:t>
      </w:r>
      <w:r>
        <w:rPr>
          <w:rFonts w:ascii="Arial" w:hAnsi="Arial" w:cs="Arial" w:eastAsia="Arial" w:hint="default"/>
          <w:sz w:val="22"/>
          <w:szCs w:val="22"/>
        </w:rPr>
      </w:r>
    </w:p>
    <w:p>
      <w:pPr>
        <w:tabs>
          <w:tab w:pos="5652" w:val="left" w:leader="none"/>
          <w:tab w:pos="6970" w:val="left" w:leader="none"/>
          <w:tab w:pos="8437" w:val="left" w:leader="none"/>
        </w:tabs>
        <w:spacing w:line="44" w:lineRule="exact"/>
        <w:ind w:left="796" w:right="0" w:firstLine="0"/>
        <w:rPr>
          <w:rFonts w:ascii="Arial" w:hAnsi="Arial" w:cs="Arial" w:eastAsia="Arial" w:hint="default"/>
          <w:sz w:val="3"/>
          <w:szCs w:val="3"/>
        </w:rPr>
      </w:pPr>
      <w:r>
        <w:rPr>
          <w:rFonts w:ascii="Arial"/>
          <w:position w:val="0"/>
          <w:sz w:val="4"/>
        </w:rPr>
        <w:pict>
          <v:group style="width:228.6pt;height:2.25pt;mso-position-horizontal-relative:char;mso-position-vertical-relative:line" coordorigin="0,0" coordsize="4572,45">
            <v:group style="position:absolute;left:7;top:7;width:2931;height:2" coordorigin="7,7" coordsize="2931,2">
              <v:shape style="position:absolute;left:7;top:7;width:2931;height:2" coordorigin="7,7" coordsize="2931,0" path="m7,7l2938,7e" filled="false" stroked="true" strokeweight=".71999pt" strokecolor="#000000">
                <v:path arrowok="t"/>
              </v:shape>
            </v:group>
            <v:group style="position:absolute;left:3016;top:7;width:1470;height:2" coordorigin="3016,7" coordsize="1470,2">
              <v:shape style="position:absolute;left:3016;top:7;width:1470;height:2" coordorigin="3016,7" coordsize="1470,0" path="m3016,7l4486,7e" filled="false" stroked="true" strokeweight=".71999pt" strokecolor="#000000">
                <v:path arrowok="t"/>
              </v:shape>
            </v:group>
            <v:group style="position:absolute;left:2930;top:29;width:1626;height:2" coordorigin="2930,29" coordsize="1626,2">
              <v:shape style="position:absolute;left:2930;top:29;width:1626;height:2" coordorigin="2930,29" coordsize="1626,0" path="m2930,29l4556,29e" filled="false" stroked="true" strokeweight="1.5pt" strokecolor="#000000">
                <v:path arrowok="t"/>
              </v:shape>
            </v:group>
          </v:group>
        </w:pict>
      </w:r>
      <w:r>
        <w:rPr>
          <w:rFonts w:ascii="Arial"/>
          <w:position w:val="0"/>
          <w:sz w:val="4"/>
        </w:rPr>
      </w:r>
      <w:r>
        <w:rPr>
          <w:rFonts w:ascii="Arial"/>
          <w:position w:val="0"/>
          <w:sz w:val="4"/>
        </w:rPr>
        <w:tab/>
      </w:r>
      <w:r>
        <w:rPr>
          <w:rFonts w:ascii="Arial"/>
          <w:position w:val="0"/>
          <w:sz w:val="4"/>
        </w:rPr>
        <w:pict>
          <v:group style="width:52.65pt;height:2.25pt;mso-position-horizontal-relative:char;mso-position-vertical-relative:line" coordorigin="0,0" coordsize="1053,45">
            <v:group style="position:absolute;left:100;top:7;width:868;height:2" coordorigin="100,7" coordsize="868,2">
              <v:shape style="position:absolute;left:100;top:7;width:868;height:2" coordorigin="100,7" coordsize="868,0" path="m100,7l968,7e" filled="false" stroked="true" strokeweight=".71999pt" strokecolor="#000000">
                <v:path arrowok="t"/>
              </v:shape>
            </v:group>
            <v:group style="position:absolute;left:15;top:29;width:1023;height:2" coordorigin="15,29" coordsize="1023,2">
              <v:shape style="position:absolute;left:15;top:29;width:1023;height:2" coordorigin="15,29" coordsize="1023,0" path="m15,29l1037,29e" filled="false" stroked="true" strokeweight="1.5pt" strokecolor="#000000">
                <v:path arrowok="t"/>
              </v:shape>
            </v:group>
          </v:group>
        </w:pict>
      </w:r>
      <w:r>
        <w:rPr>
          <w:rFonts w:ascii="Arial"/>
          <w:position w:val="0"/>
          <w:sz w:val="4"/>
        </w:rPr>
      </w:r>
      <w:r>
        <w:rPr>
          <w:rFonts w:ascii="Arial"/>
          <w:position w:val="0"/>
          <w:sz w:val="4"/>
        </w:rPr>
        <w:tab/>
      </w:r>
      <w:r>
        <w:rPr>
          <w:rFonts w:ascii="Arial"/>
          <w:position w:val="0"/>
          <w:sz w:val="3"/>
        </w:rPr>
        <w:pict>
          <v:group style="width:60.15pt;height:1.5pt;mso-position-horizontal-relative:char;mso-position-vertical-relative:line" coordorigin="0,0" coordsize="1203,30">
            <v:group style="position:absolute;left:15;top:15;width:1173;height:2" coordorigin="15,15" coordsize="1173,2">
              <v:shape style="position:absolute;left:15;top:15;width:1173;height:2" coordorigin="15,15" coordsize="1173,0" path="m15,15l1187,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76.45pt;height:1.5pt;mso-position-horizontal-relative:char;mso-position-vertical-relative:line" coordorigin="0,0" coordsize="1529,30">
            <v:group style="position:absolute;left:15;top:15;width:1499;height:2" coordorigin="15,15" coordsize="1499,2">
              <v:shape style="position:absolute;left:15;top:15;width:1499;height:2" coordorigin="15,15" coordsize="1499,0" path="m15,15l1514,15e" filled="false" stroked="true" strokeweight="1.5pt" strokecolor="#000000">
                <v:path arrowok="t"/>
              </v:shape>
            </v:group>
          </v:group>
        </w:pict>
      </w:r>
      <w:r>
        <w:rPr>
          <w:rFonts w:ascii="Arial"/>
          <w:position w:val="0"/>
          <w:sz w:val="3"/>
        </w:rPr>
      </w:r>
    </w:p>
    <w:p>
      <w:pPr>
        <w:spacing w:line="240" w:lineRule="auto" w:before="10"/>
        <w:rPr>
          <w:rFonts w:ascii="Arial" w:hAnsi="Arial" w:cs="Arial" w:eastAsia="Arial" w:hint="default"/>
          <w:sz w:val="19"/>
          <w:szCs w:val="19"/>
        </w:rPr>
      </w:pPr>
    </w:p>
    <w:p>
      <w:pPr>
        <w:spacing w:line="20" w:lineRule="exact"/>
        <w:ind w:left="796" w:right="0" w:firstLine="0"/>
        <w:rPr>
          <w:rFonts w:ascii="Arial" w:hAnsi="Arial" w:cs="Arial" w:eastAsia="Arial" w:hint="default"/>
          <w:sz w:val="2"/>
          <w:szCs w:val="2"/>
        </w:rPr>
      </w:pPr>
      <w:r>
        <w:rPr>
          <w:rFonts w:ascii="Arial"/>
          <w:sz w:val="2"/>
        </w:rPr>
        <w:pict>
          <v:group style="width:143.35pt;height:.75pt;mso-position-horizontal-relative:char;mso-position-vertical-relative:line" coordorigin="0,0" coordsize="2867,15">
            <v:group style="position:absolute;left:7;top:7;width:2853;height:2" coordorigin="7,7" coordsize="2853,2">
              <v:shape style="position:absolute;left:7;top:7;width:2853;height:2" coordorigin="7,7" coordsize="2853,0" path="m7,7l2860,7e" filled="false" stroked="true" strokeweight=".72pt" strokecolor="#000000">
                <v:path arrowok="t"/>
              </v:shape>
            </v:group>
          </v:group>
        </w:pict>
      </w:r>
      <w:r>
        <w:rPr>
          <w:rFonts w:ascii="Arial"/>
          <w:sz w:val="2"/>
        </w:rPr>
      </w:r>
      <w:r>
        <w:rPr>
          <w:rFonts w:ascii="Times New Roman"/>
          <w:spacing w:val="133"/>
          <w:sz w:val="2"/>
        </w:rPr>
        <w:t> </w:t>
      </w:r>
      <w:r>
        <w:rPr>
          <w:rFonts w:ascii="Arial"/>
          <w:spacing w:val="133"/>
          <w:sz w:val="2"/>
        </w:rPr>
        <w:pict>
          <v:group style="width:74.25pt;height:.75pt;mso-position-horizontal-relative:char;mso-position-vertical-relative:line" coordorigin="0,0" coordsize="1485,15">
            <v:group style="position:absolute;left:7;top:7;width:1470;height:2" coordorigin="7,7" coordsize="1470,2">
              <v:shape style="position:absolute;left:7;top:7;width:1470;height:2" coordorigin="7,7" coordsize="1470,0" path="m7,7l1477,7e" filled="false" stroked="true" strokeweight=".72pt" strokecolor="#000000">
                <v:path arrowok="t"/>
              </v:shape>
            </v:group>
          </v:group>
        </w:pict>
      </w:r>
      <w:r>
        <w:rPr>
          <w:rFonts w:ascii="Arial"/>
          <w:spacing w:val="133"/>
          <w:sz w:val="2"/>
        </w:rPr>
      </w:r>
      <w:r>
        <w:rPr>
          <w:rFonts w:ascii="Times New Roman"/>
          <w:spacing w:val="133"/>
          <w:sz w:val="2"/>
        </w:rPr>
        <w:t> </w:t>
      </w:r>
      <w:r>
        <w:rPr>
          <w:rFonts w:ascii="Arial"/>
          <w:spacing w:val="133"/>
          <w:sz w:val="2"/>
        </w:rPr>
        <w:pict>
          <v:group style="width:8.65pt;height:.75pt;mso-position-horizontal-relative:char;mso-position-vertical-relative:line" coordorigin="0,0" coordsize="173,15">
            <v:group style="position:absolute;left:7;top:7;width:159;height:2" coordorigin="7,7" coordsize="159,2">
              <v:shape style="position:absolute;left:7;top:7;width:159;height:2" coordorigin="7,7" coordsize="159,0" path="m7,7l166,7e" filled="false" stroked="true" strokeweight=".72pt" strokecolor="#000000">
                <v:path arrowok="t"/>
              </v:shape>
            </v:group>
          </v:group>
        </w:pict>
      </w:r>
      <w:r>
        <w:rPr>
          <w:rFonts w:ascii="Arial"/>
          <w:spacing w:val="133"/>
          <w:sz w:val="2"/>
        </w:rPr>
      </w:r>
    </w:p>
    <w:p>
      <w:pPr>
        <w:spacing w:line="240" w:lineRule="auto" w:before="2"/>
        <w:rPr>
          <w:rFonts w:ascii="Arial" w:hAnsi="Arial" w:cs="Arial" w:eastAsia="Arial" w:hint="default"/>
          <w:sz w:val="4"/>
          <w:szCs w:val="4"/>
        </w:rPr>
      </w:pPr>
    </w:p>
    <w:p>
      <w:pPr>
        <w:tabs>
          <w:tab w:pos="5745" w:val="left" w:leader="none"/>
        </w:tabs>
        <w:spacing w:line="20" w:lineRule="exact"/>
        <w:ind w:left="116" w:right="0" w:firstLine="0"/>
        <w:rPr>
          <w:rFonts w:ascii="Arial" w:hAnsi="Arial" w:cs="Arial" w:eastAsia="Arial" w:hint="default"/>
          <w:sz w:val="2"/>
          <w:szCs w:val="2"/>
        </w:rPr>
      </w:pPr>
      <w:r>
        <w:rPr>
          <w:rFonts w:ascii="Arial"/>
          <w:sz w:val="2"/>
        </w:rPr>
        <w:pict>
          <v:group style="width:26.95pt;height:.75pt;mso-position-horizontal-relative:char;mso-position-vertical-relative:line" coordorigin="0,0" coordsize="539,15">
            <v:group style="position:absolute;left:7;top:7;width:525;height:2" coordorigin="7,7" coordsize="525,2">
              <v:shape style="position:absolute;left:7;top:7;width:525;height:2" coordorigin="7,7" coordsize="525,0" path="m7,7l532,7e" filled="false" stroked="true" strokeweight=".72pt" strokecolor="#000000">
                <v:path arrowok="t"/>
              </v:shape>
            </v:group>
          </v:group>
        </w:pict>
      </w:r>
      <w:r>
        <w:rPr>
          <w:rFonts w:ascii="Arial"/>
          <w:sz w:val="2"/>
        </w:rPr>
      </w:r>
      <w:r>
        <w:rPr>
          <w:rFonts w:ascii="Arial"/>
          <w:sz w:val="2"/>
        </w:rPr>
        <w:tab/>
      </w:r>
      <w:r>
        <w:rPr>
          <w:rFonts w:ascii="Arial"/>
          <w:sz w:val="2"/>
        </w:rPr>
        <w:pict>
          <v:group style="width:44.1pt;height:.75pt;mso-position-horizontal-relative:char;mso-position-vertical-relative:line" coordorigin="0,0" coordsize="882,15">
            <v:group style="position:absolute;left:7;top:7;width:868;height:2" coordorigin="7,7" coordsize="868,2">
              <v:shape style="position:absolute;left:7;top:7;width:868;height:2" coordorigin="7,7" coordsize="868,0" path="m7,7l875,7e" filled="false" stroked="true" strokeweight=".72pt" strokecolor="#000000">
                <v:path arrowok="t"/>
              </v:shape>
            </v:group>
          </v:group>
        </w:pict>
      </w:r>
      <w:r>
        <w:rPr>
          <w:rFonts w:ascii="Arial"/>
          <w:sz w:val="2"/>
        </w:rPr>
      </w:r>
    </w:p>
    <w:p>
      <w:pPr>
        <w:spacing w:after="0" w:line="20" w:lineRule="exact"/>
        <w:rPr>
          <w:rFonts w:ascii="Arial" w:hAnsi="Arial" w:cs="Arial" w:eastAsia="Arial" w:hint="default"/>
          <w:sz w:val="2"/>
          <w:szCs w:val="2"/>
        </w:rPr>
        <w:sectPr>
          <w:type w:val="continuous"/>
          <w:pgSz w:w="11910" w:h="16840"/>
          <w:pgMar w:top="1600" w:bottom="280" w:left="960" w:right="840"/>
        </w:sectPr>
      </w:pPr>
    </w:p>
    <w:p>
      <w:pPr>
        <w:spacing w:line="240" w:lineRule="auto" w:before="9"/>
        <w:rPr>
          <w:rFonts w:ascii="Arial" w:hAnsi="Arial" w:cs="Arial" w:eastAsia="Arial" w:hint="default"/>
          <w:sz w:val="22"/>
          <w:szCs w:val="22"/>
        </w:rPr>
      </w:pPr>
    </w:p>
    <w:p>
      <w:pPr>
        <w:pStyle w:val="Heading2"/>
        <w:tabs>
          <w:tab w:pos="797" w:val="left" w:leader="none"/>
        </w:tabs>
        <w:spacing w:line="240" w:lineRule="auto"/>
        <w:ind w:left="113" w:right="0"/>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tabs>
          <w:tab w:pos="835" w:val="left" w:leader="none"/>
        </w:tabs>
        <w:spacing w:before="0"/>
        <w:ind w:left="123" w:right="0" w:firstLine="0"/>
        <w:jc w:val="left"/>
        <w:rPr>
          <w:rFonts w:ascii="宋体" w:hAnsi="宋体" w:cs="宋体" w:eastAsia="宋体" w:hint="default"/>
          <w:sz w:val="24"/>
          <w:szCs w:val="24"/>
        </w:rPr>
      </w:pPr>
      <w:r>
        <w:rPr>
          <w:rFonts w:ascii="Arial" w:hAnsi="Arial" w:cs="Arial" w:eastAsia="Arial" w:hint="default"/>
          <w:position w:val="2"/>
          <w:sz w:val="24"/>
          <w:szCs w:val="24"/>
        </w:rPr>
        <w:t>(8)</w:t>
        <w:tab/>
      </w:r>
      <w:r>
        <w:rPr>
          <w:rFonts w:ascii="宋体" w:hAnsi="宋体" w:cs="宋体" w:eastAsia="宋体" w:hint="default"/>
          <w:b/>
          <w:bCs/>
          <w:sz w:val="24"/>
          <w:szCs w:val="24"/>
        </w:rPr>
        <w:t>固定资产</w:t>
      </w:r>
      <w:r>
        <w:rPr>
          <w:rFonts w:ascii="宋体" w:hAnsi="宋体" w:cs="宋体" w:eastAsia="宋体" w:hint="default"/>
          <w:sz w:val="24"/>
          <w:szCs w:val="24"/>
        </w:rPr>
      </w:r>
    </w:p>
    <w:p>
      <w:pPr>
        <w:spacing w:line="240" w:lineRule="auto" w:before="3"/>
        <w:rPr>
          <w:rFonts w:ascii="宋体" w:hAnsi="宋体" w:cs="宋体" w:eastAsia="宋体" w:hint="default"/>
          <w:b/>
          <w:bCs/>
          <w:sz w:val="18"/>
          <w:szCs w:val="18"/>
        </w:rPr>
      </w:pPr>
    </w:p>
    <w:p>
      <w:pPr>
        <w:spacing w:line="220" w:lineRule="exact" w:before="44"/>
        <w:ind w:left="3706" w:right="6077" w:firstLine="0"/>
        <w:jc w:val="center"/>
        <w:rPr>
          <w:rFonts w:ascii="宋体" w:hAnsi="宋体" w:cs="宋体" w:eastAsia="宋体" w:hint="default"/>
          <w:sz w:val="18"/>
          <w:szCs w:val="18"/>
        </w:rPr>
      </w:pPr>
      <w:r>
        <w:rPr>
          <w:rFonts w:ascii="宋体" w:hAnsi="宋体" w:cs="宋体" w:eastAsia="宋体" w:hint="default"/>
          <w:sz w:val="18"/>
          <w:szCs w:val="18"/>
        </w:rPr>
        <w:t>房屋及</w:t>
      </w:r>
    </w:p>
    <w:p>
      <w:pPr>
        <w:tabs>
          <w:tab w:pos="4709" w:val="left" w:leader="none"/>
          <w:tab w:pos="5959" w:val="left" w:leader="none"/>
          <w:tab w:pos="6994" w:val="left" w:leader="none"/>
          <w:tab w:pos="8226" w:val="left" w:leader="none"/>
          <w:tab w:pos="9718" w:val="left" w:leader="none"/>
        </w:tabs>
        <w:spacing w:line="249" w:lineRule="exact" w:before="0"/>
        <w:ind w:left="3725" w:right="0" w:firstLine="0"/>
        <w:jc w:val="left"/>
        <w:rPr>
          <w:rFonts w:ascii="宋体" w:hAnsi="宋体" w:cs="宋体" w:eastAsia="宋体" w:hint="default"/>
          <w:sz w:val="18"/>
          <w:szCs w:val="18"/>
        </w:rPr>
      </w:pPr>
      <w:r>
        <w:rPr>
          <w:rFonts w:ascii="宋体" w:hAnsi="宋体" w:cs="宋体" w:eastAsia="宋体" w:hint="default"/>
          <w:sz w:val="18"/>
          <w:szCs w:val="18"/>
        </w:rPr>
        <w:t>建筑物</w:t>
        <w:tab/>
        <w:t>机器设备</w:t>
        <w:tab/>
        <w:t>运输工具</w:t>
        <w:tab/>
        <w:t>电子设备</w:t>
        <w:tab/>
        <w:t>其他设备</w:t>
        <w:tab/>
      </w:r>
      <w:r>
        <w:rPr>
          <w:rFonts w:ascii="宋体" w:hAnsi="宋体" w:cs="宋体" w:eastAsia="宋体" w:hint="default"/>
          <w:position w:val="3"/>
          <w:sz w:val="18"/>
          <w:szCs w:val="18"/>
        </w:rPr>
        <w:t>合计</w:t>
      </w:r>
      <w:r>
        <w:rPr>
          <w:rFonts w:ascii="宋体" w:hAnsi="宋体" w:cs="宋体" w:eastAsia="宋体" w:hint="default"/>
          <w:sz w:val="18"/>
          <w:szCs w:val="18"/>
        </w:rPr>
      </w:r>
    </w:p>
    <w:p>
      <w:pPr>
        <w:spacing w:line="248" w:lineRule="exact" w:before="0"/>
        <w:ind w:left="6207"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p>
      <w:pPr>
        <w:spacing w:before="27"/>
        <w:ind w:left="728" w:right="0" w:firstLine="0"/>
        <w:jc w:val="left"/>
        <w:rPr>
          <w:rFonts w:ascii="宋体" w:hAnsi="宋体" w:cs="宋体" w:eastAsia="宋体" w:hint="default"/>
          <w:sz w:val="18"/>
          <w:szCs w:val="18"/>
        </w:rPr>
      </w:pPr>
      <w:r>
        <w:rPr>
          <w:rFonts w:ascii="宋体" w:hAnsi="宋体" w:cs="宋体" w:eastAsia="宋体" w:hint="default"/>
          <w:sz w:val="18"/>
          <w:szCs w:val="18"/>
        </w:rPr>
        <w:t>原价</w:t>
      </w:r>
    </w:p>
    <w:p>
      <w:pPr>
        <w:spacing w:line="240" w:lineRule="auto" w:before="1"/>
        <w:rPr>
          <w:rFonts w:ascii="宋体" w:hAnsi="宋体" w:cs="宋体" w:eastAsia="宋体" w:hint="default"/>
          <w:sz w:val="3"/>
          <w:szCs w:val="3"/>
        </w:rPr>
      </w:pPr>
    </w:p>
    <w:tbl>
      <w:tblPr>
        <w:tblW w:w="0" w:type="auto"/>
        <w:jc w:val="left"/>
        <w:tblInd w:w="977" w:type="dxa"/>
        <w:tblLayout w:type="fixed"/>
        <w:tblCellMar>
          <w:top w:w="0" w:type="dxa"/>
          <w:left w:w="0" w:type="dxa"/>
          <w:bottom w:w="0" w:type="dxa"/>
          <w:right w:w="0" w:type="dxa"/>
        </w:tblCellMar>
        <w:tblLook w:val="01E0"/>
      </w:tblPr>
      <w:tblGrid>
        <w:gridCol w:w="2344"/>
        <w:gridCol w:w="1198"/>
        <w:gridCol w:w="1124"/>
        <w:gridCol w:w="1182"/>
        <w:gridCol w:w="1106"/>
        <w:gridCol w:w="1155"/>
        <w:gridCol w:w="1169"/>
      </w:tblGrid>
      <w:tr>
        <w:trPr>
          <w:trHeight w:val="338"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02" w:right="0"/>
              <w:jc w:val="left"/>
              <w:rPr>
                <w:rFonts w:ascii="Arial" w:hAnsi="Arial" w:cs="Arial" w:eastAsia="Arial" w:hint="default"/>
                <w:sz w:val="18"/>
                <w:szCs w:val="18"/>
              </w:rPr>
            </w:pPr>
            <w:r>
              <w:rPr>
                <w:rFonts w:ascii="Arial"/>
                <w:sz w:val="18"/>
              </w:rPr>
              <w:t>187,848</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4"/>
              <w:jc w:val="right"/>
              <w:rPr>
                <w:rFonts w:ascii="Arial" w:hAnsi="Arial" w:cs="Arial" w:eastAsia="Arial" w:hint="default"/>
                <w:sz w:val="18"/>
                <w:szCs w:val="18"/>
              </w:rPr>
            </w:pPr>
            <w:r>
              <w:rPr>
                <w:rFonts w:ascii="Arial"/>
                <w:sz w:val="18"/>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9"/>
              <w:jc w:val="right"/>
              <w:rPr>
                <w:rFonts w:ascii="Arial" w:hAnsi="Arial" w:cs="Arial" w:eastAsia="Arial" w:hint="default"/>
                <w:sz w:val="18"/>
                <w:szCs w:val="18"/>
              </w:rPr>
            </w:pPr>
            <w:r>
              <w:rPr>
                <w:rFonts w:ascii="Arial"/>
                <w:spacing w:val="-1"/>
                <w:sz w:val="18"/>
              </w:rPr>
              <w:t>36,415</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81" w:right="0"/>
              <w:jc w:val="left"/>
              <w:rPr>
                <w:rFonts w:ascii="Arial" w:hAnsi="Arial" w:cs="Arial" w:eastAsia="Arial" w:hint="default"/>
                <w:sz w:val="18"/>
                <w:szCs w:val="18"/>
              </w:rPr>
            </w:pPr>
            <w:r>
              <w:rPr>
                <w:rFonts w:ascii="Arial"/>
                <w:sz w:val="18"/>
              </w:rPr>
              <w:t>250,379</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2"/>
              <w:jc w:val="right"/>
              <w:rPr>
                <w:rFonts w:ascii="Arial" w:hAnsi="Arial" w:cs="Arial" w:eastAsia="Arial" w:hint="default"/>
                <w:sz w:val="18"/>
                <w:szCs w:val="18"/>
              </w:rPr>
            </w:pPr>
            <w:r>
              <w:rPr>
                <w:rFonts w:ascii="Arial"/>
                <w:spacing w:val="-1"/>
                <w:sz w:val="18"/>
              </w:rPr>
              <w:t>22,274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49" w:right="0"/>
              <w:jc w:val="left"/>
              <w:rPr>
                <w:rFonts w:ascii="Arial" w:hAnsi="Arial" w:cs="Arial" w:eastAsia="Arial" w:hint="default"/>
                <w:sz w:val="18"/>
                <w:szCs w:val="18"/>
              </w:rPr>
            </w:pPr>
            <w:r>
              <w:rPr>
                <w:rFonts w:ascii="Arial"/>
                <w:sz w:val="18"/>
              </w:rPr>
              <w:t>496,916</w:t>
            </w:r>
          </w:p>
        </w:tc>
      </w:tr>
      <w:tr>
        <w:trPr>
          <w:trHeight w:val="276"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02" w:right="0"/>
              <w:jc w:val="left"/>
              <w:rPr>
                <w:rFonts w:ascii="Arial" w:hAnsi="Arial" w:cs="Arial" w:eastAsia="Arial" w:hint="default"/>
                <w:sz w:val="18"/>
                <w:szCs w:val="18"/>
              </w:rPr>
            </w:pPr>
            <w:r>
              <w:rPr>
                <w:rFonts w:ascii="Arial"/>
                <w:sz w:val="18"/>
              </w:rPr>
              <w:t>700,713</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38" w:right="0"/>
              <w:jc w:val="left"/>
              <w:rPr>
                <w:rFonts w:ascii="Arial" w:hAnsi="Arial" w:cs="Arial" w:eastAsia="Arial" w:hint="default"/>
                <w:sz w:val="18"/>
                <w:szCs w:val="18"/>
              </w:rPr>
            </w:pPr>
            <w:r>
              <w:rPr>
                <w:rFonts w:ascii="Arial"/>
                <w:sz w:val="18"/>
              </w:rPr>
              <w:t>2,222</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0"/>
              <w:jc w:val="right"/>
              <w:rPr>
                <w:rFonts w:ascii="Arial" w:hAnsi="Arial" w:cs="Arial" w:eastAsia="Arial" w:hint="default"/>
                <w:sz w:val="18"/>
                <w:szCs w:val="18"/>
              </w:rPr>
            </w:pPr>
            <w:r>
              <w:rPr>
                <w:rFonts w:ascii="Arial"/>
                <w:spacing w:val="-1"/>
                <w:w w:val="95"/>
                <w:sz w:val="18"/>
              </w:rPr>
              <w:t>3,945</w:t>
            </w:r>
            <w:r>
              <w:rPr>
                <w:rFonts w:ascii="Arial"/>
                <w:w w:val="95"/>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1" w:right="0"/>
              <w:jc w:val="left"/>
              <w:rPr>
                <w:rFonts w:ascii="Arial" w:hAnsi="Arial" w:cs="Arial" w:eastAsia="Arial" w:hint="default"/>
                <w:sz w:val="18"/>
                <w:szCs w:val="18"/>
              </w:rPr>
            </w:pPr>
            <w:r>
              <w:rPr>
                <w:rFonts w:ascii="Arial"/>
                <w:sz w:val="18"/>
              </w:rPr>
              <w:t>2,262</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476</w:t>
            </w:r>
            <w:r>
              <w:rPr>
                <w:rFonts w:ascii="Arial"/>
                <w:w w:val="95"/>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9" w:right="0"/>
              <w:jc w:val="left"/>
              <w:rPr>
                <w:rFonts w:ascii="Arial" w:hAnsi="Arial" w:cs="Arial" w:eastAsia="Arial" w:hint="default"/>
                <w:sz w:val="18"/>
                <w:szCs w:val="18"/>
              </w:rPr>
            </w:pPr>
            <w:r>
              <w:rPr>
                <w:rFonts w:ascii="Arial"/>
                <w:sz w:val="18"/>
              </w:rPr>
              <w:t>709,618</w:t>
            </w:r>
          </w:p>
        </w:tc>
      </w:tr>
      <w:tr>
        <w:trPr>
          <w:trHeight w:val="276"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Arial" w:hAnsi="Arial" w:cs="Arial" w:eastAsia="Arial" w:hint="default"/>
                <w:sz w:val="18"/>
                <w:szCs w:val="18"/>
              </w:rPr>
            </w:pPr>
            <w:r>
              <w:rPr>
                <w:rFonts w:ascii="宋体" w:hAnsi="宋体" w:cs="宋体" w:eastAsia="宋体" w:hint="default"/>
                <w:sz w:val="18"/>
                <w:szCs w:val="18"/>
              </w:rPr>
              <w:t>业务合并引起的增加</w:t>
            </w:r>
            <w:r>
              <w:rPr>
                <w:rFonts w:ascii="Arial" w:hAnsi="Arial" w:cs="Arial" w:eastAsia="Arial" w:hint="default"/>
                <w:sz w:val="18"/>
                <w:szCs w:val="18"/>
              </w:rPr>
              <w:t>(</w:t>
            </w:r>
            <w:r>
              <w:rPr>
                <w:rFonts w:ascii="宋体" w:hAnsi="宋体" w:cs="宋体" w:eastAsia="宋体" w:hint="default"/>
                <w:sz w:val="18"/>
                <w:szCs w:val="18"/>
              </w:rPr>
              <w:t>附注九</w:t>
            </w:r>
            <w:r>
              <w:rPr>
                <w:rFonts w:ascii="Arial" w:hAnsi="Arial" w:cs="Arial" w:eastAsia="Arial" w:hint="default"/>
                <w:sz w:val="18"/>
                <w:szCs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02" w:right="0"/>
              <w:jc w:val="left"/>
              <w:rPr>
                <w:rFonts w:ascii="Arial" w:hAnsi="Arial" w:cs="Arial" w:eastAsia="Arial" w:hint="default"/>
                <w:sz w:val="18"/>
                <w:szCs w:val="18"/>
              </w:rPr>
            </w:pPr>
            <w:r>
              <w:rPr>
                <w:rFonts w:ascii="Arial"/>
                <w:sz w:val="18"/>
              </w:rPr>
              <w:t>43,000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4"/>
              <w:jc w:val="right"/>
              <w:rPr>
                <w:rFonts w:ascii="Arial" w:hAnsi="Arial" w:cs="Arial" w:eastAsia="Arial" w:hint="default"/>
                <w:sz w:val="18"/>
                <w:szCs w:val="18"/>
              </w:rPr>
            </w:pPr>
            <w:r>
              <w:rPr>
                <w:rFonts w:ascii="Arial"/>
                <w:sz w:val="18"/>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0"/>
              <w:jc w:val="right"/>
              <w:rPr>
                <w:rFonts w:ascii="Arial" w:hAnsi="Arial" w:cs="Arial" w:eastAsia="Arial" w:hint="default"/>
                <w:sz w:val="18"/>
                <w:szCs w:val="18"/>
              </w:rPr>
            </w:pPr>
            <w:r>
              <w:rPr>
                <w:rFonts w:ascii="Arial"/>
                <w:spacing w:val="-1"/>
                <w:w w:val="95"/>
                <w:sz w:val="18"/>
              </w:rPr>
              <w:t>2,051</w:t>
            </w:r>
            <w:r>
              <w:rPr>
                <w:rFonts w:ascii="Arial"/>
                <w:w w:val="95"/>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1" w:right="0"/>
              <w:jc w:val="left"/>
              <w:rPr>
                <w:rFonts w:ascii="Arial" w:hAnsi="Arial" w:cs="Arial" w:eastAsia="Arial" w:hint="default"/>
                <w:sz w:val="18"/>
                <w:szCs w:val="18"/>
              </w:rPr>
            </w:pPr>
            <w:r>
              <w:rPr>
                <w:rFonts w:ascii="Arial"/>
                <w:sz w:val="18"/>
              </w:rPr>
              <w:t>15,325</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1,374</w:t>
            </w:r>
            <w:r>
              <w:rPr>
                <w:rFonts w:ascii="Arial"/>
                <w:w w:val="95"/>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spacing w:val="-1"/>
                <w:sz w:val="18"/>
              </w:rPr>
              <w:t>61,750</w:t>
            </w:r>
          </w:p>
        </w:tc>
      </w:tr>
      <w:tr>
        <w:trPr>
          <w:trHeight w:val="276"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本年其他增加</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02" w:right="0"/>
              <w:jc w:val="left"/>
              <w:rPr>
                <w:rFonts w:ascii="Arial" w:hAnsi="Arial" w:cs="Arial" w:eastAsia="Arial" w:hint="default"/>
                <w:sz w:val="18"/>
                <w:szCs w:val="18"/>
              </w:rPr>
            </w:pPr>
            <w:r>
              <w:rPr>
                <w:rFonts w:ascii="Arial"/>
                <w:sz w:val="18"/>
              </w:rPr>
              <w:t>698,850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38" w:right="0"/>
              <w:jc w:val="left"/>
              <w:rPr>
                <w:rFonts w:ascii="Arial" w:hAnsi="Arial" w:cs="Arial" w:eastAsia="Arial" w:hint="default"/>
                <w:sz w:val="18"/>
                <w:szCs w:val="18"/>
              </w:rPr>
            </w:pPr>
            <w:r>
              <w:rPr>
                <w:rFonts w:ascii="Arial"/>
                <w:sz w:val="18"/>
              </w:rPr>
              <w:t>19,226</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1"/>
                <w:sz w:val="18"/>
              </w:rPr>
              <w:t>18,899</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1" w:right="0"/>
              <w:jc w:val="left"/>
              <w:rPr>
                <w:rFonts w:ascii="Arial" w:hAnsi="Arial" w:cs="Arial" w:eastAsia="Arial" w:hint="default"/>
                <w:sz w:val="18"/>
                <w:szCs w:val="18"/>
              </w:rPr>
            </w:pPr>
            <w:r>
              <w:rPr>
                <w:rFonts w:ascii="Arial"/>
                <w:sz w:val="18"/>
              </w:rPr>
              <w:t>54,338</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5,861</w:t>
            </w:r>
            <w:r>
              <w:rPr>
                <w:rFonts w:ascii="Arial"/>
                <w:w w:val="95"/>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9" w:right="0"/>
              <w:jc w:val="left"/>
              <w:rPr>
                <w:rFonts w:ascii="Arial" w:hAnsi="Arial" w:cs="Arial" w:eastAsia="Arial" w:hint="default"/>
                <w:sz w:val="18"/>
                <w:szCs w:val="18"/>
              </w:rPr>
            </w:pPr>
            <w:r>
              <w:rPr>
                <w:rFonts w:ascii="Arial"/>
                <w:sz w:val="18"/>
              </w:rPr>
              <w:t>797,174</w:t>
            </w:r>
          </w:p>
        </w:tc>
      </w:tr>
      <w:tr>
        <w:trPr>
          <w:trHeight w:val="281"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198"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6"/>
              <w:ind w:left="28" w:right="0"/>
              <w:jc w:val="left"/>
              <w:rPr>
                <w:rFonts w:ascii="Arial" w:hAnsi="Arial" w:cs="Arial" w:eastAsia="Arial" w:hint="default"/>
                <w:sz w:val="18"/>
                <w:szCs w:val="18"/>
              </w:rPr>
            </w:pPr>
            <w:r>
              <w:rPr>
                <w:rFonts w:ascii="Arial"/>
                <w:sz w:val="18"/>
              </w:rPr>
            </w:r>
            <w:r>
              <w:rPr>
                <w:rFonts w:ascii="Arial"/>
                <w:sz w:val="18"/>
                <w:u w:val="single" w:color="000000"/>
              </w:rPr>
              <w:t> </w:t>
              <w:tab/>
              <w:t>(1)</w:t>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tabs>
                <w:tab w:pos="827" w:val="left" w:leader="none"/>
                <w:tab w:pos="1047" w:val="left" w:leader="none"/>
              </w:tabs>
              <w:spacing w:line="240" w:lineRule="auto" w:before="36"/>
              <w:ind w:left="91" w:right="0"/>
              <w:jc w:val="left"/>
              <w:rPr>
                <w:rFonts w:ascii="Arial" w:hAnsi="Arial" w:cs="Arial" w:eastAsia="Arial" w:hint="default"/>
                <w:sz w:val="18"/>
                <w:szCs w:val="18"/>
              </w:rPr>
            </w:pPr>
            <w:r>
              <w:rPr>
                <w:rFonts w:ascii="Arial"/>
                <w:sz w:val="18"/>
              </w:rPr>
            </w:r>
            <w:r>
              <w:rPr>
                <w:rFonts w:ascii="Arial"/>
                <w:sz w:val="18"/>
                <w:u w:val="single" w:color="000000"/>
              </w:rPr>
              <w:t> </w:t>
              <w:tab/>
              <w:t>-</w:t>
              <w:tab/>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tabs>
                <w:tab w:pos="443" w:val="left" w:leader="none"/>
              </w:tabs>
              <w:spacing w:line="240" w:lineRule="auto" w:before="36"/>
              <w:ind w:right="91"/>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(5,920)</w:t>
            </w:r>
            <w:r>
              <w:rPr>
                <w:rFonts w:ascii="Arial"/>
                <w:spacing w:val="-1"/>
                <w:sz w:val="18"/>
              </w:rPr>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tabs>
                <w:tab w:pos="420" w:val="left" w:leader="none"/>
                <w:tab w:pos="1049" w:val="left" w:leader="none"/>
              </w:tabs>
              <w:spacing w:line="240" w:lineRule="auto" w:before="36"/>
              <w:ind w:left="69" w:right="0"/>
              <w:jc w:val="left"/>
              <w:rPr>
                <w:rFonts w:ascii="Arial" w:hAnsi="Arial" w:cs="Arial" w:eastAsia="Arial" w:hint="default"/>
                <w:sz w:val="18"/>
                <w:szCs w:val="18"/>
              </w:rPr>
            </w:pPr>
            <w:r>
              <w:rPr>
                <w:rFonts w:ascii="Arial"/>
                <w:sz w:val="18"/>
              </w:rPr>
            </w:r>
            <w:r>
              <w:rPr>
                <w:rFonts w:ascii="Arial"/>
                <w:sz w:val="18"/>
                <w:u w:val="single" w:color="000000"/>
              </w:rPr>
              <w:t> </w:t>
              <w:tab/>
              <w:t>(3,494)</w:t>
              <w:tab/>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tabs>
                <w:tab w:pos="648" w:val="left" w:leader="none"/>
              </w:tabs>
              <w:spacing w:line="240" w:lineRule="auto" w:before="36"/>
              <w:ind w:left="55" w:right="0"/>
              <w:jc w:val="left"/>
              <w:rPr>
                <w:rFonts w:ascii="Arial" w:hAnsi="Arial" w:cs="Arial" w:eastAsia="Arial" w:hint="default"/>
                <w:sz w:val="18"/>
                <w:szCs w:val="18"/>
              </w:rPr>
            </w:pPr>
            <w:r>
              <w:rPr>
                <w:rFonts w:ascii="Arial"/>
                <w:sz w:val="18"/>
              </w:rPr>
            </w:r>
            <w:r>
              <w:rPr>
                <w:rFonts w:ascii="Arial"/>
                <w:sz w:val="18"/>
                <w:u w:val="single" w:color="000000"/>
              </w:rPr>
              <w:t> </w:t>
              <w:tab/>
              <w:t>(389)</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tabs>
                <w:tab w:pos="440" w:val="left" w:leader="none"/>
                <w:tab w:pos="1084" w:val="left" w:leader="none"/>
              </w:tabs>
              <w:spacing w:line="240" w:lineRule="auto" w:before="36"/>
              <w:ind w:right="33"/>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(9,804)</w:t>
              <w:tab/>
            </w:r>
            <w:r>
              <w:rPr>
                <w:rFonts w:ascii="Arial"/>
                <w:spacing w:val="-1"/>
                <w:sz w:val="18"/>
              </w:rPr>
            </w:r>
          </w:p>
        </w:tc>
      </w:tr>
      <w:tr>
        <w:trPr>
          <w:trHeight w:val="344"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98" w:type="dxa"/>
            <w:tcBorders>
              <w:top w:val="nil" w:sz="6" w:space="0" w:color="auto"/>
              <w:left w:val="nil" w:sz="6" w:space="0" w:color="auto"/>
              <w:bottom w:val="nil" w:sz="6" w:space="0" w:color="auto"/>
              <w:right w:val="nil" w:sz="6" w:space="0" w:color="auto"/>
            </w:tcBorders>
          </w:tcPr>
          <w:p>
            <w:pPr>
              <w:pStyle w:val="TableParagraph"/>
              <w:tabs>
                <w:tab w:pos="1106" w:val="left" w:leader="none"/>
              </w:tabs>
              <w:spacing w:line="240" w:lineRule="auto" w:before="41"/>
              <w:ind w:left="28" w:right="0"/>
              <w:jc w:val="left"/>
              <w:rPr>
                <w:rFonts w:ascii="Arial" w:hAnsi="Arial" w:cs="Arial" w:eastAsia="Arial" w:hint="default"/>
                <w:sz w:val="18"/>
                <w:szCs w:val="18"/>
              </w:rPr>
            </w:pPr>
            <w:r>
              <w:rPr>
                <w:rFonts w:ascii="Arial"/>
                <w:sz w:val="18"/>
              </w:rPr>
            </w:r>
            <w:r>
              <w:rPr>
                <w:rFonts w:ascii="Arial"/>
                <w:sz w:val="18"/>
                <w:u w:val="single" w:color="000000"/>
              </w:rPr>
              <w:t> </w:t>
            </w:r>
            <w:r>
              <w:rPr>
                <w:rFonts w:ascii="Arial"/>
                <w:spacing w:val="23"/>
                <w:sz w:val="18"/>
                <w:u w:val="single" w:color="000000"/>
              </w:rPr>
              <w:t> </w:t>
            </w:r>
            <w:r>
              <w:rPr>
                <w:rFonts w:ascii="Arial"/>
                <w:sz w:val="18"/>
                <w:u w:val="single" w:color="000000"/>
              </w:rPr>
              <w:t>1,630,410</w:t>
              <w:tab/>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tabs>
                <w:tab w:pos="1047" w:val="left" w:leader="none"/>
              </w:tabs>
              <w:spacing w:line="240" w:lineRule="auto" w:before="41"/>
              <w:ind w:left="91" w:right="0"/>
              <w:jc w:val="left"/>
              <w:rPr>
                <w:rFonts w:ascii="Arial" w:hAnsi="Arial" w:cs="Arial" w:eastAsia="Arial" w:hint="default"/>
                <w:sz w:val="18"/>
                <w:szCs w:val="18"/>
              </w:rPr>
            </w:pPr>
            <w:r>
              <w:rPr>
                <w:rFonts w:ascii="Arial"/>
                <w:sz w:val="18"/>
              </w:rPr>
            </w:r>
            <w:r>
              <w:rPr>
                <w:rFonts w:ascii="Arial"/>
                <w:sz w:val="18"/>
                <w:u w:val="single" w:color="000000"/>
              </w:rPr>
              <w:t>    </w:t>
            </w:r>
            <w:r>
              <w:rPr>
                <w:rFonts w:ascii="Arial"/>
                <w:spacing w:val="-4"/>
                <w:sz w:val="18"/>
                <w:u w:val="single" w:color="000000"/>
              </w:rPr>
              <w:t> </w:t>
            </w:r>
            <w:r>
              <w:rPr>
                <w:rFonts w:ascii="Arial"/>
                <w:sz w:val="18"/>
                <w:u w:val="single" w:color="000000"/>
              </w:rPr>
              <w:t>21,448</w:t>
              <w:tab/>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tabs>
                <w:tab w:pos="413" w:val="left" w:leader="none"/>
                <w:tab w:pos="1035" w:val="left" w:leader="none"/>
              </w:tabs>
              <w:spacing w:line="240" w:lineRule="auto" w:before="41"/>
              <w:ind w:right="67"/>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55,390</w:t>
              <w:tab/>
            </w:r>
            <w:r>
              <w:rPr>
                <w:rFonts w:ascii="Arial"/>
                <w:spacing w:val="-1"/>
                <w:sz w:val="18"/>
              </w:rPr>
            </w:r>
          </w:p>
        </w:tc>
        <w:tc>
          <w:tcPr>
            <w:tcW w:w="1106"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41"/>
              <w:ind w:left="69" w:right="0"/>
              <w:jc w:val="left"/>
              <w:rPr>
                <w:rFonts w:ascii="Arial" w:hAnsi="Arial" w:cs="Arial" w:eastAsia="Arial" w:hint="default"/>
                <w:sz w:val="18"/>
                <w:szCs w:val="18"/>
              </w:rPr>
            </w:pPr>
            <w:r>
              <w:rPr>
                <w:rFonts w:ascii="Arial"/>
                <w:sz w:val="18"/>
              </w:rPr>
            </w:r>
            <w:r>
              <w:rPr>
                <w:rFonts w:ascii="Arial"/>
                <w:sz w:val="18"/>
                <w:u w:val="single" w:color="000000"/>
              </w:rPr>
              <w:t>   </w:t>
            </w:r>
            <w:r>
              <w:rPr>
                <w:rFonts w:ascii="Arial"/>
                <w:spacing w:val="12"/>
                <w:sz w:val="18"/>
                <w:u w:val="single" w:color="000000"/>
              </w:rPr>
              <w:t> </w:t>
            </w:r>
            <w:r>
              <w:rPr>
                <w:rFonts w:ascii="Arial"/>
                <w:sz w:val="18"/>
                <w:u w:val="single" w:color="000000"/>
              </w:rPr>
              <w:t>318,810</w:t>
              <w:tab/>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tabs>
                <w:tab w:pos="471" w:val="left" w:leader="none"/>
                <w:tab w:pos="1105" w:val="left" w:leader="none"/>
              </w:tabs>
              <w:spacing w:line="240" w:lineRule="auto" w:before="41"/>
              <w:ind w:left="55" w:right="0"/>
              <w:jc w:val="left"/>
              <w:rPr>
                <w:rFonts w:ascii="Arial" w:hAnsi="Arial" w:cs="Arial" w:eastAsia="Arial" w:hint="default"/>
                <w:sz w:val="18"/>
                <w:szCs w:val="18"/>
              </w:rPr>
            </w:pPr>
            <w:r>
              <w:rPr>
                <w:rFonts w:ascii="Arial"/>
                <w:sz w:val="18"/>
              </w:rPr>
            </w:r>
            <w:r>
              <w:rPr>
                <w:rFonts w:ascii="Arial"/>
                <w:sz w:val="18"/>
                <w:u w:val="single" w:color="000000"/>
              </w:rPr>
              <w:t> </w:t>
              <w:tab/>
              <w:t>29,596</w:t>
              <w:tab/>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tabs>
                <w:tab w:pos="1084" w:val="left" w:leader="none"/>
              </w:tabs>
              <w:spacing w:line="240" w:lineRule="auto" w:before="41"/>
              <w:ind w:right="33"/>
              <w:jc w:val="right"/>
              <w:rPr>
                <w:rFonts w:ascii="Arial" w:hAnsi="Arial" w:cs="Arial" w:eastAsia="Arial" w:hint="default"/>
                <w:sz w:val="18"/>
                <w:szCs w:val="18"/>
              </w:rPr>
            </w:pPr>
            <w:r>
              <w:rPr>
                <w:rFonts w:ascii="Arial"/>
                <w:sz w:val="18"/>
              </w:rPr>
            </w:r>
            <w:r>
              <w:rPr>
                <w:rFonts w:ascii="Arial"/>
                <w:sz w:val="18"/>
                <w:u w:val="single" w:color="000000"/>
              </w:rPr>
              <w:t>  </w:t>
            </w:r>
            <w:r>
              <w:rPr>
                <w:rFonts w:ascii="Arial"/>
                <w:spacing w:val="1"/>
                <w:sz w:val="18"/>
                <w:u w:val="single" w:color="000000"/>
              </w:rPr>
              <w:t> </w:t>
            </w:r>
            <w:r>
              <w:rPr>
                <w:rFonts w:ascii="Arial"/>
                <w:spacing w:val="-1"/>
                <w:sz w:val="18"/>
                <w:u w:val="single" w:color="000000"/>
              </w:rPr>
              <w:t>2,055,654</w:t>
              <w:tab/>
            </w:r>
            <w:r>
              <w:rPr>
                <w:rFonts w:ascii="Arial"/>
                <w:spacing w:val="-1"/>
                <w:sz w:val="18"/>
              </w:rPr>
            </w:r>
          </w:p>
        </w:tc>
      </w:tr>
    </w:tbl>
    <w:p>
      <w:pPr>
        <w:spacing w:line="240" w:lineRule="auto" w:before="13"/>
        <w:rPr>
          <w:rFonts w:ascii="宋体" w:hAnsi="宋体" w:cs="宋体" w:eastAsia="宋体" w:hint="default"/>
          <w:sz w:val="8"/>
          <w:szCs w:val="8"/>
        </w:rPr>
      </w:pPr>
    </w:p>
    <w:p>
      <w:pPr>
        <w:spacing w:before="44"/>
        <w:ind w:left="728" w:right="0" w:firstLine="0"/>
        <w:jc w:val="left"/>
        <w:rPr>
          <w:rFonts w:ascii="宋体" w:hAnsi="宋体" w:cs="宋体" w:eastAsia="宋体" w:hint="default"/>
          <w:sz w:val="18"/>
          <w:szCs w:val="18"/>
        </w:rPr>
      </w:pPr>
      <w:r>
        <w:rPr>
          <w:rFonts w:ascii="宋体" w:hAnsi="宋体" w:cs="宋体" w:eastAsia="宋体" w:hint="default"/>
          <w:sz w:val="18"/>
          <w:szCs w:val="18"/>
        </w:rPr>
        <w:t>累计折旧</w:t>
      </w:r>
    </w:p>
    <w:p>
      <w:pPr>
        <w:spacing w:line="240" w:lineRule="auto" w:before="1"/>
        <w:rPr>
          <w:rFonts w:ascii="宋体" w:hAnsi="宋体" w:cs="宋体" w:eastAsia="宋体" w:hint="default"/>
          <w:sz w:val="3"/>
          <w:szCs w:val="3"/>
        </w:rPr>
      </w:pPr>
    </w:p>
    <w:tbl>
      <w:tblPr>
        <w:tblW w:w="0" w:type="auto"/>
        <w:jc w:val="left"/>
        <w:tblInd w:w="977" w:type="dxa"/>
        <w:tblLayout w:type="fixed"/>
        <w:tblCellMar>
          <w:top w:w="0" w:type="dxa"/>
          <w:left w:w="0" w:type="dxa"/>
          <w:bottom w:w="0" w:type="dxa"/>
          <w:right w:w="0" w:type="dxa"/>
        </w:tblCellMar>
        <w:tblLook w:val="01E0"/>
      </w:tblPr>
      <w:tblGrid>
        <w:gridCol w:w="1986"/>
        <w:gridCol w:w="1556"/>
        <w:gridCol w:w="1124"/>
        <w:gridCol w:w="1182"/>
        <w:gridCol w:w="1106"/>
        <w:gridCol w:w="1155"/>
        <w:gridCol w:w="1169"/>
      </w:tblGrid>
      <w:tr>
        <w:trPr>
          <w:trHeight w:val="338"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61" w:right="0"/>
              <w:jc w:val="center"/>
              <w:rPr>
                <w:rFonts w:ascii="Arial" w:hAnsi="Arial" w:cs="Arial" w:eastAsia="Arial" w:hint="default"/>
                <w:sz w:val="18"/>
                <w:szCs w:val="18"/>
              </w:rPr>
            </w:pPr>
            <w:r>
              <w:rPr>
                <w:rFonts w:ascii="Arial"/>
                <w:sz w:val="18"/>
              </w:rPr>
              <w:t>(12,460)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5"/>
              <w:jc w:val="right"/>
              <w:rPr>
                <w:rFonts w:ascii="Arial" w:hAnsi="Arial" w:cs="Arial" w:eastAsia="Arial" w:hint="default"/>
                <w:sz w:val="18"/>
                <w:szCs w:val="18"/>
              </w:rPr>
            </w:pPr>
            <w:r>
              <w:rPr>
                <w:rFonts w:ascii="Arial"/>
                <w:sz w:val="18"/>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1"/>
              <w:jc w:val="right"/>
              <w:rPr>
                <w:rFonts w:ascii="Arial" w:hAnsi="Arial" w:cs="Arial" w:eastAsia="Arial" w:hint="default"/>
                <w:sz w:val="18"/>
                <w:szCs w:val="18"/>
              </w:rPr>
            </w:pPr>
            <w:r>
              <w:rPr>
                <w:rFonts w:ascii="Arial"/>
                <w:spacing w:val="-1"/>
                <w:sz w:val="18"/>
              </w:rPr>
              <w:t>(16,078)</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3"/>
              <w:jc w:val="right"/>
              <w:rPr>
                <w:rFonts w:ascii="Arial" w:hAnsi="Arial" w:cs="Arial" w:eastAsia="Arial" w:hint="default"/>
                <w:sz w:val="18"/>
                <w:szCs w:val="18"/>
              </w:rPr>
            </w:pPr>
            <w:r>
              <w:rPr>
                <w:rFonts w:ascii="Arial"/>
                <w:spacing w:val="-1"/>
                <w:sz w:val="18"/>
              </w:rPr>
              <w:t>(78,442)</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Arial" w:hAnsi="Arial" w:cs="Arial" w:eastAsia="Arial" w:hint="default"/>
                <w:sz w:val="18"/>
                <w:szCs w:val="18"/>
              </w:rPr>
            </w:pPr>
            <w:r>
              <w:rPr>
                <w:rFonts w:ascii="Arial"/>
                <w:spacing w:val="-1"/>
                <w:sz w:val="18"/>
              </w:rPr>
              <w:t>(6,255)</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91" w:right="0"/>
              <w:jc w:val="left"/>
              <w:rPr>
                <w:rFonts w:ascii="Arial" w:hAnsi="Arial" w:cs="Arial" w:eastAsia="Arial" w:hint="default"/>
                <w:sz w:val="18"/>
                <w:szCs w:val="18"/>
              </w:rPr>
            </w:pPr>
            <w:r>
              <w:rPr>
                <w:rFonts w:ascii="Arial"/>
                <w:spacing w:val="-3"/>
                <w:sz w:val="18"/>
              </w:rPr>
              <w:t>(113,235)</w:t>
            </w:r>
            <w:r>
              <w:rPr>
                <w:rFonts w:ascii="Arial"/>
                <w:sz w:val="18"/>
              </w:rPr>
            </w:r>
          </w:p>
        </w:tc>
      </w:tr>
      <w:tr>
        <w:trPr>
          <w:trHeight w:val="276"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61" w:right="0"/>
              <w:jc w:val="center"/>
              <w:rPr>
                <w:rFonts w:ascii="Arial" w:hAnsi="Arial" w:cs="Arial" w:eastAsia="Arial" w:hint="default"/>
                <w:sz w:val="18"/>
                <w:szCs w:val="18"/>
              </w:rPr>
            </w:pPr>
            <w:r>
              <w:rPr>
                <w:rFonts w:ascii="Arial"/>
                <w:sz w:val="18"/>
              </w:rPr>
              <w:t>(14,676)</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28" w:right="0"/>
              <w:jc w:val="left"/>
              <w:rPr>
                <w:rFonts w:ascii="Arial" w:hAnsi="Arial" w:cs="Arial" w:eastAsia="Arial" w:hint="default"/>
                <w:sz w:val="18"/>
                <w:szCs w:val="18"/>
              </w:rPr>
            </w:pPr>
            <w:r>
              <w:rPr>
                <w:rFonts w:ascii="Arial"/>
                <w:sz w:val="18"/>
              </w:rPr>
              <w:t>(638)</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1"/>
              <w:jc w:val="right"/>
              <w:rPr>
                <w:rFonts w:ascii="Arial" w:hAnsi="Arial" w:cs="Arial" w:eastAsia="Arial" w:hint="default"/>
                <w:sz w:val="18"/>
                <w:szCs w:val="18"/>
              </w:rPr>
            </w:pPr>
            <w:r>
              <w:rPr>
                <w:rFonts w:ascii="Arial"/>
                <w:spacing w:val="-1"/>
                <w:sz w:val="18"/>
              </w:rPr>
              <w:t>(8,443)</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8"/>
                <w:szCs w:val="18"/>
              </w:rPr>
            </w:pPr>
            <w:r>
              <w:rPr>
                <w:rFonts w:ascii="Arial"/>
                <w:spacing w:val="-1"/>
                <w:sz w:val="18"/>
              </w:rPr>
              <w:t>(51,139)</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Arial" w:hAnsi="Arial" w:cs="Arial" w:eastAsia="Arial" w:hint="default"/>
                <w:sz w:val="18"/>
                <w:szCs w:val="18"/>
              </w:rPr>
            </w:pPr>
            <w:r>
              <w:rPr>
                <w:rFonts w:ascii="Arial"/>
                <w:spacing w:val="-1"/>
                <w:sz w:val="18"/>
              </w:rPr>
              <w:t>(4,177)</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9" w:right="0"/>
              <w:jc w:val="left"/>
              <w:rPr>
                <w:rFonts w:ascii="Arial" w:hAnsi="Arial" w:cs="Arial" w:eastAsia="Arial" w:hint="default"/>
                <w:sz w:val="18"/>
                <w:szCs w:val="18"/>
              </w:rPr>
            </w:pPr>
            <w:r>
              <w:rPr>
                <w:rFonts w:ascii="Arial"/>
                <w:sz w:val="18"/>
              </w:rPr>
              <w:t>(79,073)</w:t>
            </w:r>
          </w:p>
        </w:tc>
      </w:tr>
      <w:tr>
        <w:trPr>
          <w:trHeight w:val="281"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56" w:type="dxa"/>
            <w:tcBorders>
              <w:top w:val="nil" w:sz="6" w:space="0" w:color="auto"/>
              <w:left w:val="nil" w:sz="6" w:space="0" w:color="auto"/>
              <w:bottom w:val="nil" w:sz="6" w:space="0" w:color="auto"/>
              <w:right w:val="nil" w:sz="6" w:space="0" w:color="auto"/>
            </w:tcBorders>
          </w:tcPr>
          <w:p>
            <w:pPr>
              <w:pStyle w:val="TableParagraph"/>
              <w:tabs>
                <w:tab w:pos="1032" w:val="left" w:leader="none"/>
                <w:tab w:pos="1373" w:val="left" w:leader="none"/>
              </w:tabs>
              <w:spacing w:line="240" w:lineRule="auto" w:before="36"/>
              <w:ind w:left="295" w:right="0"/>
              <w:jc w:val="center"/>
              <w:rPr>
                <w:rFonts w:ascii="Arial" w:hAnsi="Arial" w:cs="Arial" w:eastAsia="Arial" w:hint="default"/>
                <w:sz w:val="18"/>
                <w:szCs w:val="18"/>
              </w:rPr>
            </w:pPr>
            <w:r>
              <w:rPr>
                <w:rFonts w:ascii="Arial"/>
                <w:sz w:val="18"/>
              </w:rPr>
            </w:r>
            <w:r>
              <w:rPr>
                <w:rFonts w:ascii="Arial"/>
                <w:sz w:val="18"/>
                <w:u w:val="single" w:color="000000"/>
              </w:rPr>
              <w:t> </w:t>
              <w:tab/>
              <w:t>-</w:t>
              <w:tab/>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tabs>
                <w:tab w:pos="827" w:val="left" w:leader="none"/>
                <w:tab w:pos="1047" w:val="left" w:leader="none"/>
              </w:tabs>
              <w:spacing w:line="240" w:lineRule="auto" w:before="36"/>
              <w:ind w:left="91" w:right="0"/>
              <w:jc w:val="left"/>
              <w:rPr>
                <w:rFonts w:ascii="Arial" w:hAnsi="Arial" w:cs="Arial" w:eastAsia="Arial" w:hint="default"/>
                <w:sz w:val="18"/>
                <w:szCs w:val="18"/>
              </w:rPr>
            </w:pPr>
            <w:r>
              <w:rPr>
                <w:rFonts w:ascii="Arial"/>
                <w:sz w:val="18"/>
              </w:rPr>
            </w:r>
            <w:r>
              <w:rPr>
                <w:rFonts w:ascii="Arial"/>
                <w:sz w:val="18"/>
                <w:u w:val="single" w:color="000000"/>
              </w:rPr>
              <w:t> </w:t>
              <w:tab/>
              <w:t>-</w:t>
              <w:tab/>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tabs>
                <w:tab w:pos="514" w:val="left" w:leader="none"/>
                <w:tab w:pos="1035" w:val="left" w:leader="none"/>
              </w:tabs>
              <w:spacing w:line="240" w:lineRule="auto" w:before="36"/>
              <w:ind w:right="67"/>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3,427</w:t>
              <w:tab/>
            </w:r>
            <w:r>
              <w:rPr>
                <w:rFonts w:ascii="Arial"/>
                <w:spacing w:val="-1"/>
                <w:sz w:val="18"/>
              </w:rPr>
            </w:r>
          </w:p>
        </w:tc>
        <w:tc>
          <w:tcPr>
            <w:tcW w:w="1106" w:type="dxa"/>
            <w:tcBorders>
              <w:top w:val="nil" w:sz="6" w:space="0" w:color="auto"/>
              <w:left w:val="nil" w:sz="6" w:space="0" w:color="auto"/>
              <w:bottom w:val="nil" w:sz="6" w:space="0" w:color="auto"/>
              <w:right w:val="nil" w:sz="6" w:space="0" w:color="auto"/>
            </w:tcBorders>
          </w:tcPr>
          <w:p>
            <w:pPr>
              <w:pStyle w:val="TableParagraph"/>
              <w:tabs>
                <w:tab w:pos="411" w:val="left" w:leader="none"/>
                <w:tab w:pos="980" w:val="left" w:leader="none"/>
              </w:tabs>
              <w:spacing w:line="240" w:lineRule="auto" w:before="36"/>
              <w:ind w:right="53"/>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2,189</w:t>
              <w:tab/>
            </w:r>
            <w:r>
              <w:rPr>
                <w:rFonts w:ascii="Arial"/>
                <w:spacing w:val="-1"/>
                <w:sz w:val="18"/>
              </w:rPr>
            </w:r>
          </w:p>
        </w:tc>
        <w:tc>
          <w:tcPr>
            <w:tcW w:w="1155" w:type="dxa"/>
            <w:tcBorders>
              <w:top w:val="nil" w:sz="6" w:space="0" w:color="auto"/>
              <w:left w:val="nil" w:sz="6" w:space="0" w:color="auto"/>
              <w:bottom w:val="nil" w:sz="6" w:space="0" w:color="auto"/>
              <w:right w:val="nil" w:sz="6" w:space="0" w:color="auto"/>
            </w:tcBorders>
          </w:tcPr>
          <w:p>
            <w:pPr>
              <w:pStyle w:val="TableParagraph"/>
              <w:tabs>
                <w:tab w:pos="665" w:val="left" w:leader="none"/>
                <w:tab w:pos="1049" w:val="left" w:leader="none"/>
              </w:tabs>
              <w:spacing w:line="240" w:lineRule="auto" w:before="36"/>
              <w:ind w:right="47"/>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303</w:t>
              <w:tab/>
            </w:r>
            <w:r>
              <w:rPr>
                <w:rFonts w:ascii="Arial"/>
                <w:spacing w:val="-1"/>
                <w:sz w:val="18"/>
              </w:rPr>
            </w:r>
          </w:p>
        </w:tc>
        <w:tc>
          <w:tcPr>
            <w:tcW w:w="1169" w:type="dxa"/>
            <w:tcBorders>
              <w:top w:val="nil" w:sz="6" w:space="0" w:color="auto"/>
              <w:left w:val="nil" w:sz="6" w:space="0" w:color="auto"/>
              <w:bottom w:val="nil" w:sz="6" w:space="0" w:color="auto"/>
              <w:right w:val="nil" w:sz="6" w:space="0" w:color="auto"/>
            </w:tcBorders>
          </w:tcPr>
          <w:p>
            <w:pPr>
              <w:pStyle w:val="TableParagraph"/>
              <w:tabs>
                <w:tab w:pos="550" w:val="left" w:leader="none"/>
                <w:tab w:pos="1133" w:val="left" w:leader="none"/>
              </w:tabs>
              <w:spacing w:line="240" w:lineRule="auto" w:before="36"/>
              <w:ind w:left="49" w:right="0"/>
              <w:jc w:val="left"/>
              <w:rPr>
                <w:rFonts w:ascii="Arial" w:hAnsi="Arial" w:cs="Arial" w:eastAsia="Arial" w:hint="default"/>
                <w:sz w:val="18"/>
                <w:szCs w:val="18"/>
              </w:rPr>
            </w:pPr>
            <w:r>
              <w:rPr>
                <w:rFonts w:ascii="Arial"/>
                <w:sz w:val="18"/>
              </w:rPr>
            </w:r>
            <w:r>
              <w:rPr>
                <w:rFonts w:ascii="Arial"/>
                <w:sz w:val="18"/>
                <w:u w:val="single" w:color="000000"/>
              </w:rPr>
              <w:t> </w:t>
              <w:tab/>
              <w:t>5,919</w:t>
              <w:tab/>
            </w:r>
            <w:r>
              <w:rPr>
                <w:rFonts w:ascii="Arial"/>
                <w:sz w:val="18"/>
              </w:rPr>
            </w:r>
          </w:p>
        </w:tc>
      </w:tr>
      <w:tr>
        <w:trPr>
          <w:trHeight w:val="344"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6"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41"/>
              <w:ind w:left="295" w:right="0"/>
              <w:jc w:val="center"/>
              <w:rPr>
                <w:rFonts w:ascii="Arial" w:hAnsi="Arial" w:cs="Arial" w:eastAsia="Arial" w:hint="default"/>
                <w:sz w:val="18"/>
                <w:szCs w:val="18"/>
              </w:rPr>
            </w:pPr>
            <w:r>
              <w:rPr>
                <w:rFonts w:ascii="Arial"/>
                <w:sz w:val="18"/>
              </w:rPr>
            </w:r>
            <w:r>
              <w:rPr>
                <w:rFonts w:ascii="Arial"/>
                <w:sz w:val="18"/>
                <w:u w:val="single" w:color="000000"/>
              </w:rPr>
              <w:t>   </w:t>
            </w:r>
            <w:r>
              <w:rPr>
                <w:rFonts w:ascii="Arial"/>
                <w:spacing w:val="-13"/>
                <w:sz w:val="18"/>
                <w:u w:val="single" w:color="000000"/>
              </w:rPr>
              <w:t> </w:t>
            </w:r>
            <w:r>
              <w:rPr>
                <w:rFonts w:ascii="Arial"/>
                <w:sz w:val="18"/>
                <w:u w:val="single" w:color="000000"/>
              </w:rPr>
              <w:t>(27,136)</w:t>
              <w:tab/>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tabs>
                <w:tab w:pos="528" w:val="left" w:leader="none"/>
                <w:tab w:pos="1047" w:val="left" w:leader="none"/>
              </w:tabs>
              <w:spacing w:line="240" w:lineRule="auto" w:before="41"/>
              <w:ind w:left="91" w:right="0"/>
              <w:jc w:val="left"/>
              <w:rPr>
                <w:rFonts w:ascii="Arial" w:hAnsi="Arial" w:cs="Arial" w:eastAsia="Arial" w:hint="default"/>
                <w:sz w:val="18"/>
                <w:szCs w:val="18"/>
              </w:rPr>
            </w:pPr>
            <w:r>
              <w:rPr>
                <w:rFonts w:ascii="Arial"/>
                <w:sz w:val="18"/>
              </w:rPr>
            </w:r>
            <w:r>
              <w:rPr>
                <w:rFonts w:ascii="Arial"/>
                <w:sz w:val="18"/>
                <w:u w:val="single" w:color="000000"/>
              </w:rPr>
              <w:t> </w:t>
              <w:tab/>
              <w:t>(638)</w:t>
              <w:tab/>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tabs>
                <w:tab w:pos="328" w:val="left" w:leader="none"/>
              </w:tabs>
              <w:spacing w:line="240" w:lineRule="auto" w:before="41"/>
              <w:ind w:right="105"/>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(21,094)</w:t>
            </w:r>
            <w:r>
              <w:rPr>
                <w:rFonts w:ascii="Arial"/>
                <w:spacing w:val="-1"/>
                <w:sz w:val="18"/>
              </w:rPr>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41"/>
              <w:ind w:right="53"/>
              <w:jc w:val="right"/>
              <w:rPr>
                <w:rFonts w:ascii="Arial" w:hAnsi="Arial" w:cs="Arial" w:eastAsia="Arial" w:hint="default"/>
                <w:sz w:val="18"/>
                <w:szCs w:val="18"/>
              </w:rPr>
            </w:pPr>
            <w:r>
              <w:rPr>
                <w:rFonts w:ascii="Arial"/>
                <w:sz w:val="18"/>
              </w:rPr>
            </w:r>
            <w:r>
              <w:rPr>
                <w:rFonts w:ascii="Arial"/>
                <w:sz w:val="18"/>
                <w:u w:val="single" w:color="000000"/>
              </w:rPr>
              <w:t>   </w:t>
            </w:r>
            <w:r>
              <w:rPr>
                <w:rFonts w:ascii="Arial"/>
                <w:spacing w:val="-1"/>
                <w:sz w:val="18"/>
                <w:u w:val="single" w:color="000000"/>
              </w:rPr>
              <w:t>(127,392)</w:t>
              <w:tab/>
            </w:r>
            <w:r>
              <w:rPr>
                <w:rFonts w:ascii="Arial"/>
                <w:spacing w:val="-1"/>
                <w:sz w:val="18"/>
              </w:rPr>
            </w:r>
          </w:p>
        </w:tc>
        <w:tc>
          <w:tcPr>
            <w:tcW w:w="1155" w:type="dxa"/>
            <w:tcBorders>
              <w:top w:val="nil" w:sz="6" w:space="0" w:color="auto"/>
              <w:left w:val="nil" w:sz="6" w:space="0" w:color="auto"/>
              <w:bottom w:val="nil" w:sz="6" w:space="0" w:color="auto"/>
              <w:right w:val="nil" w:sz="6" w:space="0" w:color="auto"/>
            </w:tcBorders>
          </w:tcPr>
          <w:p>
            <w:pPr>
              <w:pStyle w:val="TableParagraph"/>
              <w:tabs>
                <w:tab w:pos="342" w:val="left" w:leader="none"/>
              </w:tabs>
              <w:spacing w:line="240" w:lineRule="auto" w:before="41"/>
              <w:ind w:right="85"/>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(10,129)</w:t>
            </w:r>
            <w:r>
              <w:rPr>
                <w:rFonts w:ascii="Arial"/>
                <w:spacing w:val="-1"/>
                <w:sz w:val="18"/>
              </w:rPr>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41"/>
              <w:ind w:left="49" w:right="0"/>
              <w:jc w:val="left"/>
              <w:rPr>
                <w:rFonts w:ascii="Arial" w:hAnsi="Arial" w:cs="Arial" w:eastAsia="Arial" w:hint="default"/>
                <w:sz w:val="18"/>
                <w:szCs w:val="18"/>
              </w:rPr>
            </w:pPr>
            <w:r>
              <w:rPr>
                <w:rFonts w:ascii="Arial"/>
                <w:sz w:val="18"/>
              </w:rPr>
            </w:r>
            <w:r>
              <w:rPr>
                <w:rFonts w:ascii="Arial"/>
                <w:sz w:val="18"/>
                <w:u w:val="single" w:color="000000"/>
              </w:rPr>
              <w:t>    </w:t>
            </w:r>
            <w:r>
              <w:rPr>
                <w:rFonts w:ascii="Arial"/>
                <w:spacing w:val="-10"/>
                <w:sz w:val="18"/>
                <w:u w:val="single" w:color="000000"/>
              </w:rPr>
              <w:t> </w:t>
            </w:r>
            <w:r>
              <w:rPr>
                <w:rFonts w:ascii="Arial"/>
                <w:sz w:val="18"/>
                <w:u w:val="single" w:color="000000"/>
              </w:rPr>
              <w:t>(186,389)</w:t>
              <w:tab/>
            </w:r>
            <w:r>
              <w:rPr>
                <w:rFonts w:ascii="Arial"/>
                <w:sz w:val="18"/>
              </w:rPr>
            </w:r>
          </w:p>
        </w:tc>
      </w:tr>
    </w:tbl>
    <w:p>
      <w:pPr>
        <w:spacing w:line="240" w:lineRule="auto" w:before="13"/>
        <w:rPr>
          <w:rFonts w:ascii="宋体" w:hAnsi="宋体" w:cs="宋体" w:eastAsia="宋体" w:hint="default"/>
          <w:sz w:val="8"/>
          <w:szCs w:val="8"/>
        </w:rPr>
      </w:pPr>
    </w:p>
    <w:p>
      <w:pPr>
        <w:spacing w:before="44"/>
        <w:ind w:left="728" w:right="0" w:firstLine="0"/>
        <w:jc w:val="left"/>
        <w:rPr>
          <w:rFonts w:ascii="宋体" w:hAnsi="宋体" w:cs="宋体" w:eastAsia="宋体" w:hint="default"/>
          <w:sz w:val="18"/>
          <w:szCs w:val="18"/>
        </w:rPr>
      </w:pPr>
      <w:r>
        <w:rPr>
          <w:rFonts w:ascii="宋体" w:hAnsi="宋体" w:cs="宋体" w:eastAsia="宋体" w:hint="default"/>
          <w:sz w:val="18"/>
          <w:szCs w:val="18"/>
        </w:rPr>
        <w:t>净值</w:t>
      </w:r>
    </w:p>
    <w:p>
      <w:pPr>
        <w:spacing w:line="240" w:lineRule="auto" w:before="1"/>
        <w:rPr>
          <w:rFonts w:ascii="宋体" w:hAnsi="宋体" w:cs="宋体" w:eastAsia="宋体" w:hint="default"/>
          <w:sz w:val="3"/>
          <w:szCs w:val="3"/>
        </w:rPr>
      </w:pPr>
    </w:p>
    <w:tbl>
      <w:tblPr>
        <w:tblW w:w="0" w:type="auto"/>
        <w:jc w:val="left"/>
        <w:tblInd w:w="963" w:type="dxa"/>
        <w:tblLayout w:type="fixed"/>
        <w:tblCellMar>
          <w:top w:w="0" w:type="dxa"/>
          <w:left w:w="0" w:type="dxa"/>
          <w:bottom w:w="0" w:type="dxa"/>
          <w:right w:w="0" w:type="dxa"/>
        </w:tblCellMar>
        <w:tblLook w:val="01E0"/>
      </w:tblPr>
      <w:tblGrid>
        <w:gridCol w:w="2387"/>
        <w:gridCol w:w="1078"/>
        <w:gridCol w:w="182"/>
        <w:gridCol w:w="956"/>
        <w:gridCol w:w="154"/>
        <w:gridCol w:w="1036"/>
        <w:gridCol w:w="139"/>
        <w:gridCol w:w="980"/>
        <w:gridCol w:w="112"/>
        <w:gridCol w:w="1050"/>
        <w:gridCol w:w="1183"/>
      </w:tblGrid>
      <w:tr>
        <w:trPr>
          <w:trHeight w:val="322"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8"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right="152"/>
              <w:jc w:val="right"/>
              <w:rPr>
                <w:rFonts w:ascii="Arial" w:hAnsi="Arial" w:cs="Arial" w:eastAsia="Arial" w:hint="default"/>
                <w:sz w:val="18"/>
                <w:szCs w:val="18"/>
              </w:rPr>
            </w:pPr>
            <w:r>
              <w:rPr>
                <w:rFonts w:ascii="Arial"/>
                <w:spacing w:val="-1"/>
                <w:sz w:val="18"/>
              </w:rPr>
              <w:t>1,603,274</w:t>
            </w:r>
          </w:p>
        </w:tc>
        <w:tc>
          <w:tcPr>
            <w:tcW w:w="182"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right="157"/>
              <w:jc w:val="right"/>
              <w:rPr>
                <w:rFonts w:ascii="Arial" w:hAnsi="Arial" w:cs="Arial" w:eastAsia="Arial" w:hint="default"/>
                <w:sz w:val="18"/>
                <w:szCs w:val="18"/>
              </w:rPr>
            </w:pPr>
            <w:r>
              <w:rPr>
                <w:rFonts w:ascii="Arial"/>
                <w:spacing w:val="-1"/>
                <w:sz w:val="18"/>
              </w:rPr>
              <w:t>20,810</w:t>
            </w:r>
          </w:p>
        </w:tc>
        <w:tc>
          <w:tcPr>
            <w:tcW w:w="154"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right="70"/>
              <w:jc w:val="right"/>
              <w:rPr>
                <w:rFonts w:ascii="Arial" w:hAnsi="Arial" w:cs="Arial" w:eastAsia="Arial" w:hint="default"/>
                <w:sz w:val="18"/>
                <w:szCs w:val="18"/>
              </w:rPr>
            </w:pPr>
            <w:r>
              <w:rPr>
                <w:rFonts w:ascii="Arial"/>
                <w:spacing w:val="-1"/>
                <w:sz w:val="18"/>
              </w:rPr>
              <w:t>34,296</w:t>
            </w:r>
          </w:p>
        </w:tc>
        <w:tc>
          <w:tcPr>
            <w:tcW w:w="139"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left="93" w:right="0"/>
              <w:jc w:val="center"/>
              <w:rPr>
                <w:rFonts w:ascii="Arial" w:hAnsi="Arial" w:cs="Arial" w:eastAsia="Arial" w:hint="default"/>
                <w:sz w:val="18"/>
                <w:szCs w:val="18"/>
              </w:rPr>
            </w:pPr>
            <w:r>
              <w:rPr>
                <w:rFonts w:ascii="Arial"/>
                <w:sz w:val="18"/>
              </w:rPr>
              <w:t>191,418</w:t>
            </w:r>
          </w:p>
        </w:tc>
        <w:tc>
          <w:tcPr>
            <w:tcW w:w="112"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right="82"/>
              <w:jc w:val="right"/>
              <w:rPr>
                <w:rFonts w:ascii="Arial" w:hAnsi="Arial" w:cs="Arial" w:eastAsia="Arial" w:hint="default"/>
                <w:sz w:val="18"/>
                <w:szCs w:val="18"/>
              </w:rPr>
            </w:pPr>
            <w:r>
              <w:rPr>
                <w:rFonts w:ascii="Arial"/>
                <w:spacing w:val="-1"/>
                <w:sz w:val="18"/>
              </w:rPr>
              <w:t>19,467</w:t>
            </w:r>
          </w:p>
        </w:tc>
        <w:tc>
          <w:tcPr>
            <w:tcW w:w="1183"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right="132"/>
              <w:jc w:val="right"/>
              <w:rPr>
                <w:rFonts w:ascii="Arial" w:hAnsi="Arial" w:cs="Arial" w:eastAsia="Arial" w:hint="default"/>
                <w:sz w:val="18"/>
                <w:szCs w:val="18"/>
              </w:rPr>
            </w:pPr>
            <w:r>
              <w:rPr>
                <w:rFonts w:ascii="Arial"/>
                <w:spacing w:val="-1"/>
                <w:sz w:val="18"/>
              </w:rPr>
              <w:t>1,869,265</w:t>
            </w:r>
          </w:p>
        </w:tc>
      </w:tr>
      <w:tr>
        <w:trPr>
          <w:trHeight w:val="306"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9"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right="152"/>
              <w:jc w:val="right"/>
              <w:rPr>
                <w:rFonts w:ascii="Arial" w:hAnsi="Arial" w:cs="Arial" w:eastAsia="Arial" w:hint="default"/>
                <w:sz w:val="18"/>
                <w:szCs w:val="18"/>
              </w:rPr>
            </w:pPr>
            <w:r>
              <w:rPr>
                <w:rFonts w:ascii="Arial"/>
                <w:spacing w:val="-1"/>
                <w:sz w:val="18"/>
              </w:rPr>
              <w:t>175,388</w:t>
            </w:r>
          </w:p>
        </w:tc>
        <w:tc>
          <w:tcPr>
            <w:tcW w:w="182" w:type="dxa"/>
            <w:tcBorders>
              <w:top w:val="nil" w:sz="6" w:space="0" w:color="auto"/>
              <w:left w:val="nil" w:sz="6" w:space="0" w:color="auto"/>
              <w:bottom w:val="nil" w:sz="6" w:space="0" w:color="auto"/>
              <w:right w:val="nil" w:sz="6" w:space="0" w:color="auto"/>
            </w:tcBorders>
          </w:tcPr>
          <w:p>
            <w:pPr/>
          </w:p>
        </w:tc>
        <w:tc>
          <w:tcPr>
            <w:tcW w:w="9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right="159"/>
              <w:jc w:val="right"/>
              <w:rPr>
                <w:rFonts w:ascii="Arial" w:hAnsi="Arial" w:cs="Arial" w:eastAsia="Arial" w:hint="default"/>
                <w:sz w:val="18"/>
                <w:szCs w:val="18"/>
              </w:rPr>
            </w:pPr>
            <w:r>
              <w:rPr>
                <w:rFonts w:ascii="Arial"/>
                <w:sz w:val="18"/>
              </w:rPr>
              <w:t>-</w:t>
            </w:r>
          </w:p>
        </w:tc>
        <w:tc>
          <w:tcPr>
            <w:tcW w:w="154" w:type="dxa"/>
            <w:tcBorders>
              <w:top w:val="nil" w:sz="6" w:space="0" w:color="auto"/>
              <w:left w:val="nil" w:sz="6" w:space="0" w:color="auto"/>
              <w:bottom w:val="nil" w:sz="6" w:space="0" w:color="auto"/>
              <w:right w:val="nil" w:sz="6" w:space="0" w:color="auto"/>
            </w:tcBorders>
          </w:tcPr>
          <w:p>
            <w:pPr/>
          </w:p>
        </w:tc>
        <w:tc>
          <w:tcPr>
            <w:tcW w:w="10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right="70"/>
              <w:jc w:val="right"/>
              <w:rPr>
                <w:rFonts w:ascii="Arial" w:hAnsi="Arial" w:cs="Arial" w:eastAsia="Arial" w:hint="default"/>
                <w:sz w:val="18"/>
                <w:szCs w:val="18"/>
              </w:rPr>
            </w:pPr>
            <w:r>
              <w:rPr>
                <w:rFonts w:ascii="Arial"/>
                <w:spacing w:val="-1"/>
                <w:sz w:val="18"/>
              </w:rPr>
              <w:t>20,337</w:t>
            </w:r>
          </w:p>
        </w:tc>
        <w:tc>
          <w:tcPr>
            <w:tcW w:w="139" w:type="dxa"/>
            <w:tcBorders>
              <w:top w:val="nil" w:sz="6" w:space="0" w:color="auto"/>
              <w:left w:val="nil" w:sz="6" w:space="0" w:color="auto"/>
              <w:bottom w:val="nil" w:sz="6" w:space="0" w:color="auto"/>
              <w:right w:val="nil" w:sz="6" w:space="0" w:color="auto"/>
            </w:tcBorders>
          </w:tcPr>
          <w:p>
            <w:pPr/>
          </w:p>
        </w:tc>
        <w:tc>
          <w:tcPr>
            <w:tcW w:w="9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left="92" w:right="0"/>
              <w:jc w:val="center"/>
              <w:rPr>
                <w:rFonts w:ascii="Arial" w:hAnsi="Arial" w:cs="Arial" w:eastAsia="Arial" w:hint="default"/>
                <w:sz w:val="18"/>
                <w:szCs w:val="18"/>
              </w:rPr>
            </w:pPr>
            <w:r>
              <w:rPr>
                <w:rFonts w:ascii="Arial"/>
                <w:sz w:val="18"/>
              </w:rPr>
              <w:t>171,937</w:t>
            </w:r>
          </w:p>
        </w:tc>
        <w:tc>
          <w:tcPr>
            <w:tcW w:w="112" w:type="dxa"/>
            <w:tcBorders>
              <w:top w:val="nil" w:sz="6" w:space="0" w:color="auto"/>
              <w:left w:val="nil" w:sz="6" w:space="0" w:color="auto"/>
              <w:bottom w:val="nil" w:sz="6" w:space="0" w:color="auto"/>
              <w:right w:val="nil" w:sz="6" w:space="0" w:color="auto"/>
            </w:tcBorders>
          </w:tcPr>
          <w:p>
            <w:pPr/>
          </w:p>
        </w:tc>
        <w:tc>
          <w:tcPr>
            <w:tcW w:w="10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right="83"/>
              <w:jc w:val="right"/>
              <w:rPr>
                <w:rFonts w:ascii="Arial" w:hAnsi="Arial" w:cs="Arial" w:eastAsia="Arial" w:hint="default"/>
                <w:sz w:val="18"/>
                <w:szCs w:val="18"/>
              </w:rPr>
            </w:pPr>
            <w:r>
              <w:rPr>
                <w:rFonts w:ascii="Arial"/>
                <w:spacing w:val="-1"/>
                <w:sz w:val="18"/>
              </w:rPr>
              <w:t>16,019</w:t>
            </w:r>
          </w:p>
        </w:tc>
        <w:tc>
          <w:tcPr>
            <w:tcW w:w="11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right="132"/>
              <w:jc w:val="right"/>
              <w:rPr>
                <w:rFonts w:ascii="Arial" w:hAnsi="Arial" w:cs="Arial" w:eastAsia="Arial" w:hint="default"/>
                <w:sz w:val="18"/>
                <w:szCs w:val="18"/>
              </w:rPr>
            </w:pPr>
            <w:r>
              <w:rPr>
                <w:rFonts w:ascii="Arial"/>
                <w:spacing w:val="-1"/>
                <w:sz w:val="18"/>
              </w:rPr>
              <w:t>383,681</w:t>
            </w:r>
          </w:p>
        </w:tc>
      </w:tr>
    </w:tbl>
    <w:p>
      <w:pPr>
        <w:spacing w:line="240" w:lineRule="auto" w:before="13"/>
        <w:rPr>
          <w:rFonts w:ascii="宋体" w:hAnsi="宋体" w:cs="宋体" w:eastAsia="宋体" w:hint="default"/>
          <w:sz w:val="14"/>
          <w:szCs w:val="14"/>
        </w:rPr>
      </w:pPr>
    </w:p>
    <w:p>
      <w:pPr>
        <w:pStyle w:val="BodyText"/>
        <w:spacing w:line="322" w:lineRule="exact" w:before="26"/>
        <w:ind w:left="836" w:right="0"/>
        <w:jc w:val="left"/>
      </w:pPr>
      <w:r>
        <w:rPr/>
        <w:t>于</w:t>
      </w:r>
      <w:r>
        <w:rPr>
          <w:spacing w:val="-60"/>
        </w:rPr>
        <w:t> </w:t>
      </w:r>
      <w:r>
        <w:rPr>
          <w:rFonts w:ascii="Arial" w:hAnsi="Arial" w:cs="Arial" w:eastAsia="Arial" w:hint="default"/>
        </w:rPr>
        <w:t>2007</w:t>
      </w:r>
      <w:r>
        <w:rPr>
          <w:rFonts w:ascii="Arial" w:hAnsi="Arial" w:cs="Arial" w:eastAsia="Arial" w:hint="default"/>
          <w:spacing w:val="-7"/>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spacing w:val="-6"/>
        </w:rPr>
        <w:t>日，原值和净值分别约为人民币</w:t>
      </w:r>
      <w:r>
        <w:rPr>
          <w:spacing w:val="-60"/>
        </w:rPr>
        <w:t> </w:t>
      </w:r>
      <w:r>
        <w:rPr>
          <w:rFonts w:ascii="Arial" w:hAnsi="Arial" w:cs="Arial" w:eastAsia="Arial" w:hint="default"/>
        </w:rPr>
        <w:t>2,715</w:t>
      </w:r>
      <w:r>
        <w:rPr>
          <w:rFonts w:ascii="Arial" w:hAnsi="Arial" w:cs="Arial" w:eastAsia="Arial" w:hint="default"/>
          <w:spacing w:val="-7"/>
        </w:rPr>
        <w:t> </w:t>
      </w:r>
      <w:r>
        <w:rPr/>
        <w:t>万元及人民币</w:t>
      </w:r>
      <w:r>
        <w:rPr>
          <w:spacing w:val="-60"/>
        </w:rPr>
        <w:t> </w:t>
      </w:r>
      <w:r>
        <w:rPr>
          <w:rFonts w:ascii="Arial" w:hAnsi="Arial" w:cs="Arial" w:eastAsia="Arial" w:hint="default"/>
        </w:rPr>
        <w:t>1,615</w:t>
      </w:r>
      <w:r>
        <w:rPr>
          <w:rFonts w:ascii="Arial" w:hAnsi="Arial" w:cs="Arial" w:eastAsia="Arial" w:hint="default"/>
          <w:spacing w:val="-7"/>
        </w:rPr>
        <w:t> </w:t>
      </w:r>
      <w:r>
        <w:rPr/>
        <w:t>万元的房</w:t>
      </w:r>
    </w:p>
    <w:p>
      <w:pPr>
        <w:pStyle w:val="BodyText"/>
        <w:spacing w:line="312" w:lineRule="exact"/>
        <w:ind w:left="836" w:right="0"/>
        <w:jc w:val="left"/>
      </w:pPr>
      <w:r>
        <w:rPr/>
        <w:t>屋及建筑物，连同所附土地使用权</w:t>
      </w:r>
      <w:r>
        <w:rPr>
          <w:rFonts w:ascii="Arial" w:hAnsi="Arial" w:cs="Arial" w:eastAsia="Arial" w:hint="default"/>
        </w:rPr>
        <w:t>(</w:t>
      </w:r>
      <w:r>
        <w:rPr/>
        <w:t>附注八</w:t>
      </w:r>
      <w:r>
        <w:rPr>
          <w:rFonts w:ascii="Arial" w:hAnsi="Arial" w:cs="Arial" w:eastAsia="Arial" w:hint="default"/>
        </w:rPr>
        <w:t>(10))</w:t>
      </w:r>
      <w:r>
        <w:rPr/>
        <w:t>已作为人民币</w:t>
      </w:r>
      <w:r>
        <w:rPr>
          <w:spacing w:val="-81"/>
        </w:rPr>
        <w:t> </w:t>
      </w:r>
      <w:r>
        <w:rPr>
          <w:rFonts w:ascii="Arial" w:hAnsi="Arial" w:cs="Arial" w:eastAsia="Arial" w:hint="default"/>
        </w:rPr>
        <w:t>6,000</w:t>
      </w:r>
      <w:r>
        <w:rPr>
          <w:rFonts w:ascii="Arial" w:hAnsi="Arial" w:cs="Arial" w:eastAsia="Arial" w:hint="default"/>
          <w:spacing w:val="-27"/>
        </w:rPr>
        <w:t> </w:t>
      </w:r>
      <w:r>
        <w:rPr/>
        <w:t>万元的短期借款</w:t>
      </w:r>
      <w:r>
        <w:rPr>
          <w:rFonts w:ascii="Arial" w:hAnsi="Arial" w:cs="Arial" w:eastAsia="Arial" w:hint="default"/>
        </w:rPr>
        <w:t>(</w:t>
      </w:r>
      <w:r>
        <w:rPr/>
        <w:t>附注</w:t>
      </w:r>
    </w:p>
    <w:p>
      <w:pPr>
        <w:pStyle w:val="BodyText"/>
        <w:spacing w:line="312" w:lineRule="exact"/>
        <w:ind w:left="836" w:right="0"/>
        <w:jc w:val="left"/>
      </w:pPr>
      <w:r>
        <w:rPr/>
        <w:t>八</w:t>
      </w:r>
      <w:r>
        <w:rPr>
          <w:rFonts w:ascii="Arial" w:hAnsi="Arial" w:cs="Arial" w:eastAsia="Arial" w:hint="default"/>
        </w:rPr>
        <w:t>(12)(a))</w:t>
      </w:r>
      <w:r>
        <w:rPr/>
        <w:t>的抵押物</w:t>
      </w:r>
      <w:r>
        <w:rPr>
          <w:rFonts w:ascii="Arial" w:hAnsi="Arial" w:cs="Arial" w:eastAsia="Arial" w:hint="default"/>
        </w:rPr>
        <w:t>(2006</w:t>
      </w:r>
      <w:r>
        <w:rPr>
          <w:rFonts w:ascii="Arial" w:hAnsi="Arial" w:cs="Arial" w:eastAsia="Arial" w:hint="default"/>
          <w:spacing w:val="4"/>
        </w:rPr>
        <w:t> </w:t>
      </w:r>
      <w:r>
        <w:rPr/>
        <w:t>年</w:t>
      </w:r>
      <w:r>
        <w:rPr>
          <w:spacing w:val="-48"/>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4"/>
        </w:rPr>
        <w:t> </w:t>
      </w:r>
      <w:r>
        <w:rPr/>
        <w:t>日：抵押房屋及建筑物的原值和净值分别约为人民</w:t>
      </w:r>
    </w:p>
    <w:p>
      <w:pPr>
        <w:pStyle w:val="BodyText"/>
        <w:spacing w:line="322" w:lineRule="exact"/>
        <w:ind w:left="836" w:right="0"/>
        <w:jc w:val="left"/>
      </w:pPr>
      <w:r>
        <w:rPr/>
        <w:t>币</w:t>
      </w:r>
      <w:r>
        <w:rPr>
          <w:spacing w:val="-62"/>
        </w:rPr>
        <w:t> </w:t>
      </w:r>
      <w:r>
        <w:rPr>
          <w:rFonts w:ascii="Arial" w:hAnsi="Arial" w:cs="Arial" w:eastAsia="Arial" w:hint="default"/>
        </w:rPr>
        <w:t>2,715</w:t>
      </w:r>
      <w:r>
        <w:rPr>
          <w:rFonts w:ascii="Arial" w:hAnsi="Arial" w:cs="Arial" w:eastAsia="Arial" w:hint="default"/>
          <w:spacing w:val="-9"/>
        </w:rPr>
        <w:t> </w:t>
      </w:r>
      <w:r>
        <w:rPr/>
        <w:t>万元及人民币</w:t>
      </w:r>
      <w:r>
        <w:rPr>
          <w:spacing w:val="-62"/>
        </w:rPr>
        <w:t> </w:t>
      </w:r>
      <w:r>
        <w:rPr>
          <w:rFonts w:ascii="Arial" w:hAnsi="Arial" w:cs="Arial" w:eastAsia="Arial" w:hint="default"/>
        </w:rPr>
        <w:t>1,747</w:t>
      </w:r>
      <w:r>
        <w:rPr>
          <w:rFonts w:ascii="Arial" w:hAnsi="Arial" w:cs="Arial" w:eastAsia="Arial" w:hint="default"/>
          <w:spacing w:val="-9"/>
        </w:rPr>
        <w:t> </w:t>
      </w:r>
      <w:r>
        <w:rPr/>
        <w:t>万元</w:t>
      </w:r>
      <w:r>
        <w:rPr>
          <w:rFonts w:ascii="Arial" w:hAnsi="Arial" w:cs="Arial" w:eastAsia="Arial" w:hint="default"/>
        </w:rPr>
        <w:t>)</w:t>
      </w:r>
      <w:r>
        <w:rPr/>
        <w:t>。</w:t>
      </w:r>
    </w:p>
    <w:p>
      <w:pPr>
        <w:spacing w:line="240" w:lineRule="auto" w:before="4"/>
        <w:rPr>
          <w:rFonts w:ascii="宋体" w:hAnsi="宋体" w:cs="宋体" w:eastAsia="宋体" w:hint="default"/>
          <w:sz w:val="19"/>
          <w:szCs w:val="19"/>
        </w:rPr>
      </w:pPr>
    </w:p>
    <w:p>
      <w:pPr>
        <w:pStyle w:val="BodyText"/>
        <w:spacing w:line="312" w:lineRule="exact"/>
        <w:ind w:left="836" w:right="233"/>
        <w:jc w:val="left"/>
      </w:pPr>
      <w:r>
        <w:rPr/>
        <w:t>于</w:t>
      </w:r>
      <w:r>
        <w:rPr>
          <w:spacing w:val="-58"/>
        </w:rPr>
        <w:t> </w:t>
      </w:r>
      <w:r>
        <w:rPr>
          <w:rFonts w:ascii="Arial" w:hAnsi="Arial" w:cs="Arial" w:eastAsia="Arial" w:hint="default"/>
        </w:rPr>
        <w:t>2007</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日，原值和净值分别约为人民币</w:t>
      </w:r>
      <w:r>
        <w:rPr>
          <w:spacing w:val="-58"/>
        </w:rPr>
        <w:t> </w:t>
      </w:r>
      <w:r>
        <w:rPr>
          <w:rFonts w:ascii="Arial" w:hAnsi="Arial" w:cs="Arial" w:eastAsia="Arial" w:hint="default"/>
        </w:rPr>
        <w:t>1,666</w:t>
      </w:r>
      <w:r>
        <w:rPr>
          <w:rFonts w:ascii="Arial" w:hAnsi="Arial" w:cs="Arial" w:eastAsia="Arial" w:hint="default"/>
          <w:spacing w:val="-5"/>
        </w:rPr>
        <w:t> </w:t>
      </w:r>
      <w:r>
        <w:rPr/>
        <w:t>万元及人民币</w:t>
      </w:r>
      <w:r>
        <w:rPr>
          <w:spacing w:val="-58"/>
        </w:rPr>
        <w:t> </w:t>
      </w:r>
      <w:r>
        <w:rPr>
          <w:rFonts w:ascii="Arial" w:hAnsi="Arial" w:cs="Arial" w:eastAsia="Arial" w:hint="default"/>
        </w:rPr>
        <w:t>50</w:t>
      </w:r>
      <w:r>
        <w:rPr>
          <w:rFonts w:ascii="Arial" w:hAnsi="Arial" w:cs="Arial" w:eastAsia="Arial" w:hint="default"/>
          <w:spacing w:val="-5"/>
        </w:rPr>
        <w:t> </w:t>
      </w:r>
      <w:r>
        <w:rPr/>
        <w:t>万元的运输 设备、电子设备及其他设备已提足折旧但仍在继续使用。</w:t>
      </w:r>
    </w:p>
    <w:p>
      <w:pPr>
        <w:spacing w:line="240" w:lineRule="auto" w:before="10"/>
        <w:rPr>
          <w:rFonts w:ascii="宋体" w:hAnsi="宋体" w:cs="宋体" w:eastAsia="宋体" w:hint="default"/>
          <w:sz w:val="18"/>
          <w:szCs w:val="18"/>
        </w:rPr>
      </w:pPr>
    </w:p>
    <w:p>
      <w:pPr>
        <w:pStyle w:val="BodyText"/>
        <w:spacing w:line="322" w:lineRule="exact"/>
        <w:ind w:left="836" w:right="0"/>
        <w:jc w:val="left"/>
      </w:pPr>
      <w:r>
        <w:rPr>
          <w:rFonts w:ascii="Arial" w:hAnsi="Arial" w:cs="Arial" w:eastAsia="Arial" w:hint="default"/>
        </w:rPr>
        <w:t>2007  </w:t>
      </w:r>
      <w:r>
        <w:rPr>
          <w:spacing w:val="2"/>
        </w:rPr>
        <w:t>年度计入营业费用及管理费用的折旧费用分别约为：人民币 </w:t>
      </w:r>
      <w:r>
        <w:rPr>
          <w:rFonts w:ascii="Arial" w:hAnsi="Arial" w:cs="Arial" w:eastAsia="Arial" w:hint="default"/>
        </w:rPr>
        <w:t>3,488</w:t>
      </w:r>
      <w:r>
        <w:rPr>
          <w:rFonts w:ascii="Arial" w:hAnsi="Arial" w:cs="Arial" w:eastAsia="Arial" w:hint="default"/>
          <w:spacing w:val="63"/>
        </w:rPr>
        <w:t> </w:t>
      </w:r>
      <w:r>
        <w:rPr>
          <w:spacing w:val="3"/>
        </w:rPr>
        <w:t>万元及人民币</w:t>
      </w:r>
      <w:r>
        <w:rPr/>
      </w:r>
    </w:p>
    <w:p>
      <w:pPr>
        <w:pStyle w:val="BodyText"/>
        <w:spacing w:line="322" w:lineRule="exact"/>
        <w:ind w:left="836" w:right="0"/>
        <w:jc w:val="left"/>
        <w:rPr>
          <w:rFonts w:ascii="Arial" w:hAnsi="Arial" w:cs="Arial" w:eastAsia="Arial" w:hint="default"/>
        </w:rPr>
      </w:pPr>
      <w:r>
        <w:rPr>
          <w:rFonts w:ascii="Arial" w:hAnsi="Arial" w:cs="Arial" w:eastAsia="Arial" w:hint="default"/>
        </w:rPr>
        <w:t>4,419</w:t>
      </w:r>
      <w:r>
        <w:rPr>
          <w:rFonts w:ascii="Arial" w:hAnsi="Arial" w:cs="Arial" w:eastAsia="Arial" w:hint="default"/>
          <w:spacing w:val="-9"/>
        </w:rPr>
        <w:t> </w:t>
      </w:r>
      <w:r>
        <w:rPr/>
        <w:t>万元。</w:t>
      </w:r>
      <w:r>
        <w:rPr>
          <w:spacing w:val="-4"/>
        </w:rPr>
        <w:t> </w:t>
      </w:r>
      <w:r>
        <w:rPr>
          <w:rFonts w:ascii="Arial" w:hAnsi="Arial" w:cs="Arial" w:eastAsia="Arial" w:hint="default"/>
        </w:rPr>
        <w:t>(2006</w:t>
      </w:r>
      <w:r>
        <w:rPr>
          <w:rFonts w:ascii="Arial" w:hAnsi="Arial" w:cs="Arial" w:eastAsia="Arial" w:hint="default"/>
          <w:spacing w:val="-9"/>
        </w:rPr>
        <w:t> </w:t>
      </w:r>
      <w:r>
        <w:rPr/>
        <w:t>年：约人民币</w:t>
      </w:r>
      <w:r>
        <w:rPr>
          <w:spacing w:val="-62"/>
        </w:rPr>
        <w:t> </w:t>
      </w:r>
      <w:r>
        <w:rPr>
          <w:rFonts w:ascii="Arial" w:hAnsi="Arial" w:cs="Arial" w:eastAsia="Arial" w:hint="default"/>
        </w:rPr>
        <w:t>2,478</w:t>
      </w:r>
      <w:r>
        <w:rPr>
          <w:rFonts w:ascii="Arial" w:hAnsi="Arial" w:cs="Arial" w:eastAsia="Arial" w:hint="default"/>
          <w:spacing w:val="-9"/>
        </w:rPr>
        <w:t> </w:t>
      </w:r>
      <w:r>
        <w:rPr/>
        <w:t>万元及人民币</w:t>
      </w:r>
      <w:r>
        <w:rPr>
          <w:spacing w:val="-62"/>
        </w:rPr>
        <w:t> </w:t>
      </w:r>
      <w:r>
        <w:rPr>
          <w:rFonts w:ascii="Arial" w:hAnsi="Arial" w:cs="Arial" w:eastAsia="Arial" w:hint="default"/>
        </w:rPr>
        <w:t>2,887</w:t>
      </w:r>
      <w:r>
        <w:rPr>
          <w:rFonts w:ascii="Arial" w:hAnsi="Arial" w:cs="Arial" w:eastAsia="Arial" w:hint="default"/>
          <w:spacing w:val="-9"/>
        </w:rPr>
        <w:t> </w:t>
      </w:r>
      <w:r>
        <w:rPr/>
        <w:t>万元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spacing w:line="240" w:lineRule="auto"/>
        <w:ind w:left="836" w:right="0"/>
        <w:jc w:val="left"/>
      </w:pPr>
      <w:r>
        <w:rPr/>
        <w:t>于</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日，本集团无重大暂时闲置的固定资产。</w:t>
      </w:r>
    </w:p>
    <w:p>
      <w:pPr>
        <w:spacing w:after="0" w:line="240" w:lineRule="auto"/>
        <w:jc w:val="left"/>
        <w:sectPr>
          <w:pgSz w:w="11910" w:h="16840"/>
          <w:pgMar w:header="1458" w:footer="708" w:top="1640" w:bottom="900" w:left="1000" w:right="540"/>
        </w:sectPr>
      </w:pPr>
    </w:p>
    <w:p>
      <w:pPr>
        <w:spacing w:line="240" w:lineRule="auto" w:before="2"/>
        <w:rPr>
          <w:rFonts w:ascii="宋体" w:hAnsi="宋体" w:cs="宋体" w:eastAsia="宋体" w:hint="default"/>
          <w:sz w:val="16"/>
          <w:szCs w:val="16"/>
        </w:rPr>
      </w:pPr>
    </w:p>
    <w:p>
      <w:pPr>
        <w:pStyle w:val="Heading2"/>
        <w:tabs>
          <w:tab w:pos="910" w:val="left" w:leader="none"/>
        </w:tabs>
        <w:spacing w:line="240" w:lineRule="auto"/>
        <w:ind w:left="103" w:right="0"/>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910" w:val="left" w:leader="none"/>
        </w:tabs>
        <w:spacing w:before="0"/>
        <w:ind w:left="103" w:right="0" w:firstLine="0"/>
        <w:jc w:val="left"/>
        <w:rPr>
          <w:rFonts w:ascii="宋体" w:hAnsi="宋体" w:cs="宋体" w:eastAsia="宋体" w:hint="default"/>
          <w:sz w:val="24"/>
          <w:szCs w:val="24"/>
        </w:rPr>
      </w:pPr>
      <w:r>
        <w:rPr>
          <w:rFonts w:ascii="Arial" w:hAnsi="Arial" w:cs="Arial" w:eastAsia="Arial" w:hint="default"/>
          <w:position w:val="2"/>
          <w:sz w:val="24"/>
          <w:szCs w:val="24"/>
        </w:rPr>
        <w:t>(9)</w:t>
        <w:tab/>
      </w:r>
      <w:r>
        <w:rPr>
          <w:rFonts w:ascii="宋体" w:hAnsi="宋体" w:cs="宋体" w:eastAsia="宋体" w:hint="default"/>
          <w:b/>
          <w:bCs/>
          <w:sz w:val="24"/>
          <w:szCs w:val="24"/>
        </w:rPr>
        <w:t>在建工程</w:t>
      </w:r>
      <w:r>
        <w:rPr>
          <w:rFonts w:ascii="宋体" w:hAnsi="宋体" w:cs="宋体" w:eastAsia="宋体" w:hint="default"/>
          <w:sz w:val="24"/>
          <w:szCs w:val="24"/>
        </w:rPr>
      </w:r>
    </w:p>
    <w:p>
      <w:pPr>
        <w:spacing w:line="240" w:lineRule="auto" w:before="9"/>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headerReference w:type="default" r:id="rId32"/>
          <w:footerReference w:type="default" r:id="rId33"/>
          <w:pgSz w:w="16840" w:h="11910" w:orient="landscape"/>
          <w:pgMar w:header="1468" w:footer="705" w:top="1700" w:bottom="900" w:left="920" w:right="1300"/>
          <w:pgNumType w:start="127"/>
        </w:sect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tabs>
          <w:tab w:pos="2994" w:val="left" w:leader="none"/>
        </w:tabs>
        <w:spacing w:before="0"/>
        <w:ind w:left="875" w:right="-20" w:firstLine="0"/>
        <w:jc w:val="left"/>
        <w:rPr>
          <w:rFonts w:ascii="宋体" w:hAnsi="宋体" w:cs="宋体" w:eastAsia="宋体" w:hint="default"/>
          <w:sz w:val="18"/>
          <w:szCs w:val="18"/>
        </w:rPr>
      </w:pPr>
      <w:r>
        <w:rPr>
          <w:rFonts w:ascii="宋体" w:hAnsi="宋体" w:cs="宋体" w:eastAsia="宋体" w:hint="default"/>
          <w:sz w:val="18"/>
          <w:szCs w:val="18"/>
        </w:rPr>
        <w:t>工程名称</w:t>
        <w:tab/>
        <w:t>预算数</w:t>
      </w:r>
    </w:p>
    <w:p>
      <w:pPr>
        <w:spacing w:line="240" w:lineRule="auto" w:before="4"/>
        <w:rPr>
          <w:rFonts w:ascii="宋体" w:hAnsi="宋体" w:cs="宋体" w:eastAsia="宋体" w:hint="default"/>
          <w:sz w:val="21"/>
          <w:szCs w:val="21"/>
        </w:rPr>
      </w:pPr>
      <w:r>
        <w:rPr/>
        <w:br w:type="column"/>
      </w:r>
      <w:r>
        <w:rPr>
          <w:rFonts w:ascii="宋体"/>
          <w:sz w:val="21"/>
        </w:rPr>
      </w:r>
    </w:p>
    <w:p>
      <w:pPr>
        <w:spacing w:line="241" w:lineRule="exact" w:before="0"/>
        <w:ind w:left="465" w:right="-20" w:firstLine="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宋体" w:hAnsi="宋体" w:cs="宋体" w:eastAsia="宋体" w:hint="default"/>
          <w:sz w:val="18"/>
          <w:szCs w:val="18"/>
        </w:rPr>
        <w:t>年</w:t>
      </w:r>
    </w:p>
    <w:p>
      <w:pPr>
        <w:tabs>
          <w:tab w:pos="1450" w:val="left" w:leader="none"/>
        </w:tabs>
        <w:spacing w:line="241" w:lineRule="exact" w:before="0"/>
        <w:ind w:left="195" w:right="-20"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本年增加</w:t>
      </w:r>
    </w:p>
    <w:p>
      <w:pPr>
        <w:spacing w:line="240" w:lineRule="auto" w:before="4"/>
        <w:rPr>
          <w:rFonts w:ascii="宋体" w:hAnsi="宋体" w:cs="宋体" w:eastAsia="宋体" w:hint="default"/>
          <w:sz w:val="21"/>
          <w:szCs w:val="21"/>
        </w:rPr>
      </w:pPr>
      <w:r>
        <w:rPr/>
        <w:br w:type="column"/>
      </w:r>
      <w:r>
        <w:rPr>
          <w:rFonts w:ascii="宋体"/>
          <w:sz w:val="21"/>
        </w:rPr>
      </w:r>
    </w:p>
    <w:p>
      <w:pPr>
        <w:spacing w:before="0"/>
        <w:ind w:left="328" w:right="-20" w:firstLine="0"/>
        <w:jc w:val="left"/>
        <w:rPr>
          <w:rFonts w:ascii="宋体" w:hAnsi="宋体" w:cs="宋体" w:eastAsia="宋体" w:hint="default"/>
          <w:sz w:val="18"/>
          <w:szCs w:val="18"/>
        </w:rPr>
      </w:pPr>
      <w:r>
        <w:rPr>
          <w:rFonts w:ascii="宋体" w:hAnsi="宋体" w:cs="宋体" w:eastAsia="宋体" w:hint="default"/>
          <w:sz w:val="18"/>
          <w:szCs w:val="18"/>
        </w:rPr>
        <w:t>本年转入 固定资产</w:t>
      </w:r>
    </w:p>
    <w:p>
      <w:pPr>
        <w:spacing w:line="240" w:lineRule="auto" w:before="4"/>
        <w:rPr>
          <w:rFonts w:ascii="宋体" w:hAnsi="宋体" w:cs="宋体" w:eastAsia="宋体" w:hint="default"/>
          <w:sz w:val="21"/>
          <w:szCs w:val="21"/>
        </w:rPr>
      </w:pPr>
      <w:r>
        <w:rPr/>
        <w:br w:type="column"/>
      </w:r>
      <w:r>
        <w:rPr>
          <w:rFonts w:ascii="宋体"/>
          <w:sz w:val="21"/>
        </w:rPr>
      </w:r>
    </w:p>
    <w:p>
      <w:pPr>
        <w:spacing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本年转入 无形资产</w:t>
      </w:r>
    </w:p>
    <w:p>
      <w:pPr>
        <w:spacing w:line="240" w:lineRule="auto" w:before="4"/>
        <w:rPr>
          <w:rFonts w:ascii="宋体" w:hAnsi="宋体" w:cs="宋体" w:eastAsia="宋体" w:hint="default"/>
          <w:sz w:val="21"/>
          <w:szCs w:val="21"/>
        </w:rPr>
      </w:pPr>
      <w:r>
        <w:rPr/>
        <w:br w:type="column"/>
      </w:r>
      <w:r>
        <w:rPr>
          <w:rFonts w:ascii="宋体"/>
          <w:sz w:val="21"/>
        </w:rPr>
      </w:r>
    </w:p>
    <w:p>
      <w:pPr>
        <w:spacing w:before="0"/>
        <w:ind w:left="263" w:right="-20" w:firstLine="360"/>
        <w:jc w:val="left"/>
        <w:rPr>
          <w:rFonts w:ascii="宋体" w:hAnsi="宋体" w:cs="宋体" w:eastAsia="宋体" w:hint="default"/>
          <w:sz w:val="18"/>
          <w:szCs w:val="18"/>
        </w:rPr>
      </w:pPr>
      <w:r>
        <w:rPr>
          <w:rFonts w:ascii="宋体" w:hAnsi="宋体" w:cs="宋体" w:eastAsia="宋体" w:hint="default"/>
          <w:sz w:val="18"/>
          <w:szCs w:val="18"/>
        </w:rPr>
        <w:t>本年转入 长期待摊费用</w:t>
      </w:r>
    </w:p>
    <w:p>
      <w:pPr>
        <w:spacing w:line="240" w:lineRule="auto" w:before="4"/>
        <w:rPr>
          <w:rFonts w:ascii="宋体" w:hAnsi="宋体" w:cs="宋体" w:eastAsia="宋体" w:hint="default"/>
          <w:sz w:val="21"/>
          <w:szCs w:val="21"/>
        </w:rPr>
      </w:pPr>
      <w:r>
        <w:rPr/>
        <w:br w:type="column"/>
      </w:r>
      <w:r>
        <w:rPr>
          <w:rFonts w:ascii="宋体"/>
          <w:sz w:val="21"/>
        </w:rPr>
      </w:r>
    </w:p>
    <w:p>
      <w:pPr>
        <w:spacing w:before="0"/>
        <w:ind w:left="424" w:right="-20" w:firstLine="180"/>
        <w:jc w:val="left"/>
        <w:rPr>
          <w:rFonts w:ascii="宋体" w:hAnsi="宋体" w:cs="宋体" w:eastAsia="宋体" w:hint="default"/>
          <w:sz w:val="18"/>
          <w:szCs w:val="18"/>
        </w:rPr>
      </w:pPr>
      <w:r>
        <w:rPr>
          <w:rFonts w:ascii="宋体" w:hAnsi="宋体" w:cs="宋体" w:eastAsia="宋体" w:hint="default"/>
          <w:sz w:val="18"/>
          <w:szCs w:val="18"/>
        </w:rPr>
        <w:t>其他 减少数</w:t>
      </w:r>
    </w:p>
    <w:p>
      <w:pPr>
        <w:spacing w:line="240" w:lineRule="auto" w:before="4"/>
        <w:rPr>
          <w:rFonts w:ascii="宋体" w:hAnsi="宋体" w:cs="宋体" w:eastAsia="宋体" w:hint="default"/>
          <w:sz w:val="21"/>
          <w:szCs w:val="21"/>
        </w:rPr>
      </w:pPr>
      <w:r>
        <w:rPr/>
        <w:br w:type="column"/>
      </w:r>
      <w:r>
        <w:rPr>
          <w:rFonts w:ascii="宋体"/>
          <w:sz w:val="21"/>
        </w:rPr>
      </w:r>
    </w:p>
    <w:p>
      <w:pPr>
        <w:spacing w:line="241" w:lineRule="exact" w:before="0"/>
        <w:ind w:left="515" w:right="-20" w:firstLine="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p>
      <w:pPr>
        <w:tabs>
          <w:tab w:pos="1577" w:val="left" w:leader="none"/>
        </w:tabs>
        <w:spacing w:line="241" w:lineRule="exact" w:before="0"/>
        <w:ind w:left="245" w:right="-20"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资金来源</w:t>
      </w:r>
    </w:p>
    <w:p>
      <w:pPr>
        <w:spacing w:before="44"/>
        <w:ind w:left="571" w:right="769" w:hanging="180"/>
        <w:jc w:val="both"/>
        <w:rPr>
          <w:rFonts w:ascii="宋体" w:hAnsi="宋体" w:cs="宋体" w:eastAsia="宋体" w:hint="default"/>
          <w:sz w:val="18"/>
          <w:szCs w:val="18"/>
        </w:rPr>
      </w:pPr>
      <w:r>
        <w:rPr/>
        <w:br w:type="column"/>
      </w:r>
      <w:r>
        <w:rPr>
          <w:rFonts w:ascii="宋体" w:hAnsi="宋体" w:cs="宋体" w:eastAsia="宋体" w:hint="default"/>
          <w:sz w:val="18"/>
          <w:szCs w:val="18"/>
        </w:rPr>
        <w:t>工程投入 占预算 的比例</w:t>
      </w:r>
    </w:p>
    <w:p>
      <w:pPr>
        <w:spacing w:after="0"/>
        <w:jc w:val="both"/>
        <w:rPr>
          <w:rFonts w:ascii="宋体" w:hAnsi="宋体" w:cs="宋体" w:eastAsia="宋体" w:hint="default"/>
          <w:sz w:val="18"/>
          <w:szCs w:val="18"/>
        </w:rPr>
        <w:sectPr>
          <w:type w:val="continuous"/>
          <w:pgSz w:w="16840" w:h="11910" w:orient="landscape"/>
          <w:pgMar w:top="1600" w:bottom="280" w:left="920" w:right="1300"/>
          <w:cols w:num="8" w:equalWidth="0">
            <w:col w:w="3535" w:space="40"/>
            <w:col w:w="2171" w:space="40"/>
            <w:col w:w="1049" w:space="40"/>
            <w:col w:w="1098" w:space="40"/>
            <w:col w:w="1344" w:space="40"/>
            <w:col w:w="965" w:space="40"/>
            <w:col w:w="2298" w:space="40"/>
            <w:col w:w="1880"/>
          </w:cols>
        </w:sectPr>
      </w:pPr>
    </w:p>
    <w:p>
      <w:pPr>
        <w:spacing w:line="234" w:lineRule="exact" w:before="0"/>
        <w:ind w:left="6531" w:right="7029" w:firstLine="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p>
      <w:pPr>
        <w:spacing w:line="240" w:lineRule="auto" w:before="2"/>
        <w:rPr>
          <w:rFonts w:ascii="Arial" w:hAnsi="Arial" w:cs="Arial" w:eastAsia="Arial" w:hint="default"/>
          <w:sz w:val="3"/>
          <w:szCs w:val="3"/>
        </w:rPr>
      </w:pPr>
    </w:p>
    <w:tbl>
      <w:tblPr>
        <w:tblW w:w="0" w:type="auto"/>
        <w:jc w:val="left"/>
        <w:tblInd w:w="840" w:type="dxa"/>
        <w:tblLayout w:type="fixed"/>
        <w:tblCellMar>
          <w:top w:w="0" w:type="dxa"/>
          <w:left w:w="0" w:type="dxa"/>
          <w:bottom w:w="0" w:type="dxa"/>
          <w:right w:w="0" w:type="dxa"/>
        </w:tblCellMar>
        <w:tblLook w:val="01E0"/>
      </w:tblPr>
      <w:tblGrid>
        <w:gridCol w:w="1599"/>
        <w:gridCol w:w="1238"/>
        <w:gridCol w:w="1052"/>
        <w:gridCol w:w="210"/>
        <w:gridCol w:w="826"/>
        <w:gridCol w:w="210"/>
        <w:gridCol w:w="923"/>
        <w:gridCol w:w="210"/>
        <w:gridCol w:w="938"/>
        <w:gridCol w:w="210"/>
        <w:gridCol w:w="1271"/>
        <w:gridCol w:w="2102"/>
        <w:gridCol w:w="1461"/>
        <w:gridCol w:w="809"/>
      </w:tblGrid>
      <w:tr>
        <w:trPr>
          <w:trHeight w:val="495"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江苏物流中心</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1"/>
              <w:jc w:val="right"/>
              <w:rPr>
                <w:rFonts w:ascii="Arial" w:hAnsi="Arial" w:cs="Arial" w:eastAsia="Arial" w:hint="default"/>
                <w:sz w:val="18"/>
                <w:szCs w:val="18"/>
              </w:rPr>
            </w:pPr>
            <w:r>
              <w:rPr>
                <w:rFonts w:ascii="Arial"/>
                <w:spacing w:val="-1"/>
                <w:sz w:val="18"/>
              </w:rPr>
              <w:t>153,100</w:t>
            </w:r>
            <w:r>
              <w:rPr>
                <w:rFonts w:ascii="Arial"/>
                <w:sz w:val="18"/>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3"/>
              <w:jc w:val="right"/>
              <w:rPr>
                <w:rFonts w:ascii="Arial" w:hAnsi="Arial" w:cs="Arial" w:eastAsia="Arial" w:hint="default"/>
                <w:sz w:val="18"/>
                <w:szCs w:val="18"/>
              </w:rPr>
            </w:pPr>
            <w:r>
              <w:rPr>
                <w:rFonts w:ascii="Arial"/>
                <w:spacing w:val="-1"/>
                <w:sz w:val="18"/>
              </w:rPr>
              <w:t>29,284</w:t>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
              <w:jc w:val="right"/>
              <w:rPr>
                <w:rFonts w:ascii="Arial" w:hAnsi="Arial" w:cs="Arial" w:eastAsia="Arial" w:hint="default"/>
                <w:sz w:val="18"/>
                <w:szCs w:val="18"/>
              </w:rPr>
            </w:pPr>
            <w:r>
              <w:rPr>
                <w:rFonts w:ascii="Arial"/>
                <w:spacing w:val="-1"/>
                <w:sz w:val="18"/>
              </w:rPr>
              <w:t>89,321</w:t>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7" w:right="0"/>
              <w:jc w:val="left"/>
              <w:rPr>
                <w:rFonts w:ascii="Arial" w:hAnsi="Arial" w:cs="Arial" w:eastAsia="Arial" w:hint="default"/>
                <w:sz w:val="18"/>
                <w:szCs w:val="18"/>
              </w:rPr>
            </w:pPr>
            <w:r>
              <w:rPr>
                <w:rFonts w:ascii="Arial"/>
                <w:sz w:val="18"/>
              </w:rPr>
              <w:t>(35,392)</w:t>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7"/>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2"/>
              <w:jc w:val="right"/>
              <w:rPr>
                <w:rFonts w:ascii="Arial" w:hAnsi="Arial" w:cs="Arial" w:eastAsia="Arial" w:hint="default"/>
                <w:sz w:val="18"/>
                <w:szCs w:val="18"/>
              </w:rPr>
            </w:pPr>
            <w:r>
              <w:rPr>
                <w:rFonts w:ascii="Arial"/>
                <w:sz w:val="18"/>
              </w:rPr>
              <w:t>-</w:t>
            </w:r>
          </w:p>
        </w:tc>
        <w:tc>
          <w:tcPr>
            <w:tcW w:w="2102" w:type="dxa"/>
            <w:tcBorders>
              <w:top w:val="nil" w:sz="6" w:space="0" w:color="auto"/>
              <w:left w:val="nil" w:sz="6" w:space="0" w:color="auto"/>
              <w:bottom w:val="nil" w:sz="6" w:space="0" w:color="auto"/>
              <w:right w:val="nil" w:sz="6" w:space="0" w:color="auto"/>
            </w:tcBorders>
          </w:tcPr>
          <w:p>
            <w:pPr>
              <w:pStyle w:val="TableParagraph"/>
              <w:tabs>
                <w:tab w:pos="974" w:val="left" w:leader="none"/>
              </w:tabs>
              <w:spacing w:line="240" w:lineRule="auto" w:before="54"/>
              <w:ind w:right="89"/>
              <w:jc w:val="right"/>
              <w:rPr>
                <w:rFonts w:ascii="Arial" w:hAnsi="Arial" w:cs="Arial" w:eastAsia="Arial" w:hint="default"/>
                <w:sz w:val="18"/>
                <w:szCs w:val="18"/>
              </w:rPr>
            </w:pPr>
            <w:r>
              <w:rPr>
                <w:rFonts w:ascii="Arial"/>
                <w:spacing w:val="-1"/>
                <w:sz w:val="18"/>
              </w:rPr>
              <w:t>(654)</w:t>
              <w:tab/>
              <w:t>82,559</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ind w:left="427" w:right="311"/>
              <w:jc w:val="left"/>
              <w:rPr>
                <w:rFonts w:ascii="宋体" w:hAnsi="宋体" w:cs="宋体" w:eastAsia="宋体" w:hint="default"/>
                <w:sz w:val="18"/>
                <w:szCs w:val="18"/>
              </w:rPr>
            </w:pPr>
            <w:r>
              <w:rPr>
                <w:rFonts w:ascii="宋体" w:hAnsi="宋体" w:cs="宋体" w:eastAsia="宋体" w:hint="default"/>
                <w:sz w:val="18"/>
                <w:szCs w:val="18"/>
              </w:rPr>
              <w:t>募集资金 募集资金</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w w:val="95"/>
                <w:sz w:val="18"/>
              </w:rPr>
              <w:t>77%</w:t>
            </w:r>
            <w:r>
              <w:rPr>
                <w:rFonts w:ascii="Arial"/>
                <w:w w:val="95"/>
                <w:sz w:val="18"/>
              </w:rPr>
            </w:r>
          </w:p>
        </w:tc>
      </w:tr>
      <w:tr>
        <w:trPr>
          <w:trHeight w:val="249"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北京配送中心</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0"/>
              <w:jc w:val="right"/>
              <w:rPr>
                <w:rFonts w:ascii="Arial" w:hAnsi="Arial" w:cs="Arial" w:eastAsia="Arial" w:hint="default"/>
                <w:sz w:val="18"/>
                <w:szCs w:val="18"/>
              </w:rPr>
            </w:pPr>
            <w:r>
              <w:rPr>
                <w:rFonts w:ascii="Arial"/>
                <w:spacing w:val="-1"/>
                <w:sz w:val="18"/>
              </w:rPr>
              <w:t>77,596</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3"/>
              <w:jc w:val="right"/>
              <w:rPr>
                <w:rFonts w:ascii="Arial" w:hAnsi="Arial" w:cs="Arial" w:eastAsia="Arial" w:hint="default"/>
                <w:sz w:val="18"/>
                <w:szCs w:val="18"/>
              </w:rPr>
            </w:pPr>
            <w:r>
              <w:rPr>
                <w:rFonts w:ascii="Arial"/>
                <w:spacing w:val="-1"/>
                <w:sz w:val="18"/>
              </w:rPr>
              <w:t>27,034</w:t>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8"/>
              <w:jc w:val="right"/>
              <w:rPr>
                <w:rFonts w:ascii="Arial" w:hAnsi="Arial" w:cs="Arial" w:eastAsia="Arial" w:hint="default"/>
                <w:sz w:val="18"/>
                <w:szCs w:val="18"/>
              </w:rPr>
            </w:pPr>
            <w:r>
              <w:rPr>
                <w:rFonts w:ascii="Arial"/>
                <w:spacing w:val="-1"/>
                <w:sz w:val="18"/>
              </w:rPr>
              <w:t>35,888</w:t>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87" w:right="0"/>
              <w:jc w:val="left"/>
              <w:rPr>
                <w:rFonts w:ascii="Arial" w:hAnsi="Arial" w:cs="Arial" w:eastAsia="Arial" w:hint="default"/>
                <w:sz w:val="18"/>
                <w:szCs w:val="18"/>
              </w:rPr>
            </w:pPr>
            <w:r>
              <w:rPr>
                <w:rFonts w:ascii="Arial"/>
                <w:sz w:val="18"/>
              </w:rPr>
              <w:t>(52,693)</w:t>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8"/>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5"/>
              <w:jc w:val="right"/>
              <w:rPr>
                <w:rFonts w:ascii="Arial" w:hAnsi="Arial" w:cs="Arial" w:eastAsia="Arial" w:hint="default"/>
                <w:sz w:val="18"/>
                <w:szCs w:val="18"/>
              </w:rPr>
            </w:pPr>
            <w:r>
              <w:rPr>
                <w:rFonts w:ascii="Arial"/>
                <w:spacing w:val="-1"/>
                <w:sz w:val="18"/>
              </w:rPr>
              <w:t>(10,189)</w:t>
            </w:r>
            <w:r>
              <w:rPr>
                <w:rFonts w:ascii="Arial"/>
                <w:sz w:val="18"/>
              </w:rPr>
            </w:r>
          </w:p>
        </w:tc>
        <w:tc>
          <w:tcPr>
            <w:tcW w:w="2102" w:type="dxa"/>
            <w:tcBorders>
              <w:top w:val="nil" w:sz="6" w:space="0" w:color="auto"/>
              <w:left w:val="nil" w:sz="6" w:space="0" w:color="auto"/>
              <w:bottom w:val="nil" w:sz="6" w:space="0" w:color="auto"/>
              <w:right w:val="nil" w:sz="6" w:space="0" w:color="auto"/>
            </w:tcBorders>
          </w:tcPr>
          <w:p>
            <w:pPr>
              <w:pStyle w:val="TableParagraph"/>
              <w:tabs>
                <w:tab w:pos="1040" w:val="left" w:leader="none"/>
              </w:tabs>
              <w:spacing w:line="240" w:lineRule="auto" w:before="27"/>
              <w:ind w:right="90"/>
              <w:jc w:val="right"/>
              <w:rPr>
                <w:rFonts w:ascii="Arial" w:hAnsi="Arial" w:cs="Arial" w:eastAsia="Arial" w:hint="default"/>
                <w:sz w:val="18"/>
                <w:szCs w:val="18"/>
              </w:rPr>
            </w:pPr>
            <w:r>
              <w:rPr>
                <w:rFonts w:ascii="Arial"/>
                <w:sz w:val="18"/>
              </w:rPr>
              <w:t>-</w:t>
              <w:tab/>
            </w:r>
            <w:r>
              <w:rPr>
                <w:rFonts w:ascii="Arial"/>
                <w:spacing w:val="-1"/>
                <w:sz w:val="18"/>
              </w:rPr>
              <w:t>40</w:t>
            </w:r>
          </w:p>
        </w:tc>
        <w:tc>
          <w:tcPr>
            <w:tcW w:w="1461" w:type="dxa"/>
            <w:tcBorders>
              <w:top w:val="nil" w:sz="6" w:space="0" w:color="auto"/>
              <w:left w:val="nil" w:sz="6" w:space="0" w:color="auto"/>
              <w:bottom w:val="nil" w:sz="6" w:space="0" w:color="auto"/>
              <w:right w:val="nil" w:sz="6" w:space="0" w:color="auto"/>
            </w:tcBorders>
          </w:tcPr>
          <w:p>
            <w:pPr>
              <w:pStyle w:val="TableParagraph"/>
              <w:spacing w:line="207" w:lineRule="exact"/>
              <w:ind w:right="311"/>
              <w:jc w:val="right"/>
              <w:rPr>
                <w:rFonts w:ascii="宋体" w:hAnsi="宋体" w:cs="宋体" w:eastAsia="宋体" w:hint="default"/>
                <w:sz w:val="18"/>
                <w:szCs w:val="18"/>
              </w:rPr>
            </w:pPr>
            <w:r>
              <w:rPr>
                <w:rFonts w:ascii="宋体" w:hAnsi="宋体" w:cs="宋体" w:eastAsia="宋体" w:hint="default"/>
                <w:sz w:val="18"/>
                <w:szCs w:val="18"/>
              </w:rPr>
              <w:t>及自有资金</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18"/>
                <w:szCs w:val="18"/>
              </w:rPr>
            </w:pPr>
            <w:r>
              <w:rPr>
                <w:rFonts w:ascii="Arial"/>
                <w:spacing w:val="-1"/>
                <w:w w:val="95"/>
                <w:sz w:val="18"/>
              </w:rPr>
              <w:t>81%</w:t>
            </w:r>
            <w:r>
              <w:rPr>
                <w:rFonts w:ascii="Arial"/>
                <w:w w:val="95"/>
                <w:sz w:val="18"/>
              </w:rPr>
            </w:r>
          </w:p>
        </w:tc>
      </w:tr>
      <w:tr>
        <w:trPr>
          <w:trHeight w:val="242"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北京配送基地</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0"/>
              <w:jc w:val="right"/>
              <w:rPr>
                <w:rFonts w:ascii="Arial" w:hAnsi="Arial" w:cs="Arial" w:eastAsia="Arial" w:hint="default"/>
                <w:sz w:val="18"/>
                <w:szCs w:val="18"/>
              </w:rPr>
            </w:pPr>
            <w:r>
              <w:rPr>
                <w:rFonts w:ascii="Arial"/>
                <w:spacing w:val="-1"/>
                <w:sz w:val="18"/>
              </w:rPr>
              <w:t>31,039</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
              <w:jc w:val="right"/>
              <w:rPr>
                <w:rFonts w:ascii="Arial" w:hAnsi="Arial" w:cs="Arial" w:eastAsia="Arial" w:hint="default"/>
                <w:sz w:val="18"/>
                <w:szCs w:val="18"/>
              </w:rPr>
            </w:pPr>
            <w:r>
              <w:rPr>
                <w:rFonts w:ascii="Arial"/>
                <w:spacing w:val="-1"/>
                <w:sz w:val="18"/>
              </w:rPr>
              <w:t>10,406</w:t>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
              <w:jc w:val="right"/>
              <w:rPr>
                <w:rFonts w:ascii="Arial" w:hAnsi="Arial" w:cs="Arial" w:eastAsia="Arial" w:hint="default"/>
                <w:sz w:val="18"/>
                <w:szCs w:val="18"/>
              </w:rPr>
            </w:pPr>
            <w:r>
              <w:rPr>
                <w:rFonts w:ascii="Arial"/>
                <w:spacing w:val="-1"/>
                <w:sz w:val="18"/>
              </w:rPr>
              <w:t>10,342</w:t>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7" w:right="0"/>
              <w:jc w:val="left"/>
              <w:rPr>
                <w:rFonts w:ascii="Arial" w:hAnsi="Arial" w:cs="Arial" w:eastAsia="Arial" w:hint="default"/>
                <w:sz w:val="18"/>
                <w:szCs w:val="18"/>
              </w:rPr>
            </w:pPr>
            <w:r>
              <w:rPr>
                <w:rFonts w:ascii="Arial"/>
                <w:sz w:val="18"/>
              </w:rPr>
              <w:t>(20,748)</w:t>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7"/>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2"/>
              <w:jc w:val="right"/>
              <w:rPr>
                <w:rFonts w:ascii="Arial" w:hAnsi="Arial" w:cs="Arial" w:eastAsia="Arial" w:hint="default"/>
                <w:sz w:val="18"/>
                <w:szCs w:val="18"/>
              </w:rPr>
            </w:pPr>
            <w:r>
              <w:rPr>
                <w:rFonts w:ascii="Arial"/>
                <w:sz w:val="18"/>
              </w:rPr>
              <w:t>-</w:t>
            </w:r>
          </w:p>
        </w:tc>
        <w:tc>
          <w:tcPr>
            <w:tcW w:w="2102" w:type="dxa"/>
            <w:tcBorders>
              <w:top w:val="nil" w:sz="6" w:space="0" w:color="auto"/>
              <w:left w:val="nil" w:sz="6" w:space="0" w:color="auto"/>
              <w:bottom w:val="nil" w:sz="6" w:space="0" w:color="auto"/>
              <w:right w:val="nil" w:sz="6" w:space="0" w:color="auto"/>
            </w:tcBorders>
          </w:tcPr>
          <w:p>
            <w:pPr>
              <w:pStyle w:val="TableParagraph"/>
              <w:tabs>
                <w:tab w:pos="1179" w:val="left" w:leader="none"/>
              </w:tabs>
              <w:spacing w:line="240" w:lineRule="auto" w:before="19"/>
              <w:ind w:right="90"/>
              <w:jc w:val="right"/>
              <w:rPr>
                <w:rFonts w:ascii="Arial" w:hAnsi="Arial" w:cs="Arial" w:eastAsia="Arial" w:hint="default"/>
                <w:sz w:val="18"/>
                <w:szCs w:val="18"/>
              </w:rPr>
            </w:pPr>
            <w:r>
              <w:rPr>
                <w:rFonts w:ascii="Arial"/>
                <w:sz w:val="18"/>
              </w:rPr>
              <w:t>-</w:t>
              <w:tab/>
              <w:t>-</w:t>
            </w:r>
          </w:p>
        </w:tc>
        <w:tc>
          <w:tcPr>
            <w:tcW w:w="1461" w:type="dxa"/>
            <w:tcBorders>
              <w:top w:val="nil" w:sz="6" w:space="0" w:color="auto"/>
              <w:left w:val="nil" w:sz="6" w:space="0" w:color="auto"/>
              <w:bottom w:val="nil" w:sz="6" w:space="0" w:color="auto"/>
              <w:right w:val="nil" w:sz="6" w:space="0" w:color="auto"/>
            </w:tcBorders>
          </w:tcPr>
          <w:p>
            <w:pPr>
              <w:pStyle w:val="TableParagraph"/>
              <w:spacing w:line="199" w:lineRule="exact"/>
              <w:ind w:right="31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spacing w:val="-1"/>
                <w:w w:val="95"/>
                <w:sz w:val="18"/>
              </w:rPr>
              <w:t>67%</w:t>
            </w:r>
            <w:r>
              <w:rPr>
                <w:rFonts w:ascii="Arial"/>
                <w:w w:val="95"/>
                <w:sz w:val="18"/>
              </w:rPr>
            </w:r>
          </w:p>
        </w:tc>
      </w:tr>
      <w:tr>
        <w:trPr>
          <w:trHeight w:val="242"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信息中心项目</w:t>
            </w:r>
            <w:r>
              <w:rPr>
                <w:rFonts w:ascii="Arial" w:hAnsi="Arial" w:cs="Arial" w:eastAsia="Arial" w:hint="default"/>
                <w:sz w:val="18"/>
                <w:szCs w:val="18"/>
              </w:rPr>
              <w:t>-</w:t>
            </w:r>
            <w:r>
              <w:rPr>
                <w:rFonts w:ascii="宋体" w:hAnsi="宋体" w:cs="宋体" w:eastAsia="宋体" w:hint="default"/>
                <w:sz w:val="18"/>
                <w:szCs w:val="18"/>
              </w:rPr>
              <w:t>机房</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18"/>
                <w:szCs w:val="18"/>
              </w:rPr>
            </w:pPr>
            <w:r>
              <w:rPr>
                <w:rFonts w:ascii="Arial"/>
                <w:spacing w:val="-1"/>
                <w:w w:val="95"/>
                <w:sz w:val="18"/>
              </w:rPr>
              <w:t>5,047</w:t>
            </w:r>
            <w:r>
              <w:rPr>
                <w:rFonts w:ascii="Arial"/>
                <w:w w:val="95"/>
                <w:sz w:val="18"/>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
              <w:jc w:val="right"/>
              <w:rPr>
                <w:rFonts w:ascii="Arial" w:hAnsi="Arial" w:cs="Arial" w:eastAsia="Arial" w:hint="default"/>
                <w:sz w:val="18"/>
                <w:szCs w:val="18"/>
              </w:rPr>
            </w:pPr>
            <w:r>
              <w:rPr>
                <w:rFonts w:ascii="Arial"/>
                <w:spacing w:val="-1"/>
                <w:w w:val="95"/>
                <w:sz w:val="18"/>
              </w:rPr>
              <w:t>5,047</w:t>
            </w:r>
            <w:r>
              <w:rPr>
                <w:rFonts w:ascii="Arial"/>
                <w:w w:val="95"/>
                <w:sz w:val="18"/>
              </w:rPr>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5"/>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7"/>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1"/>
              <w:jc w:val="right"/>
              <w:rPr>
                <w:rFonts w:ascii="Arial" w:hAnsi="Arial" w:cs="Arial" w:eastAsia="Arial" w:hint="default"/>
                <w:sz w:val="18"/>
                <w:szCs w:val="18"/>
              </w:rPr>
            </w:pPr>
            <w:r>
              <w:rPr>
                <w:rFonts w:ascii="Arial"/>
                <w:spacing w:val="-1"/>
                <w:sz w:val="18"/>
              </w:rPr>
              <w:t>(5,047)</w:t>
            </w:r>
            <w:r>
              <w:rPr>
                <w:rFonts w:ascii="Arial"/>
                <w:sz w:val="18"/>
              </w:rPr>
            </w:r>
          </w:p>
        </w:tc>
        <w:tc>
          <w:tcPr>
            <w:tcW w:w="2102" w:type="dxa"/>
            <w:tcBorders>
              <w:top w:val="nil" w:sz="6" w:space="0" w:color="auto"/>
              <w:left w:val="nil" w:sz="6" w:space="0" w:color="auto"/>
              <w:bottom w:val="nil" w:sz="6" w:space="0" w:color="auto"/>
              <w:right w:val="nil" w:sz="6" w:space="0" w:color="auto"/>
            </w:tcBorders>
          </w:tcPr>
          <w:p>
            <w:pPr>
              <w:pStyle w:val="TableParagraph"/>
              <w:tabs>
                <w:tab w:pos="1179" w:val="left" w:leader="none"/>
              </w:tabs>
              <w:spacing w:line="240" w:lineRule="auto" w:before="20"/>
              <w:ind w:right="89"/>
              <w:jc w:val="right"/>
              <w:rPr>
                <w:rFonts w:ascii="Arial" w:hAnsi="Arial" w:cs="Arial" w:eastAsia="Arial" w:hint="default"/>
                <w:sz w:val="18"/>
                <w:szCs w:val="18"/>
              </w:rPr>
            </w:pPr>
            <w:r>
              <w:rPr>
                <w:rFonts w:ascii="Arial"/>
                <w:sz w:val="18"/>
              </w:rPr>
              <w:t>-</w:t>
              <w:tab/>
              <w:t>-</w:t>
            </w:r>
          </w:p>
        </w:tc>
        <w:tc>
          <w:tcPr>
            <w:tcW w:w="1461" w:type="dxa"/>
            <w:tcBorders>
              <w:top w:val="nil" w:sz="6" w:space="0" w:color="auto"/>
              <w:left w:val="nil" w:sz="6" w:space="0" w:color="auto"/>
              <w:bottom w:val="nil" w:sz="6" w:space="0" w:color="auto"/>
              <w:right w:val="nil" w:sz="6" w:space="0" w:color="auto"/>
            </w:tcBorders>
          </w:tcPr>
          <w:p>
            <w:pPr>
              <w:pStyle w:val="TableParagraph"/>
              <w:spacing w:line="200" w:lineRule="exact"/>
              <w:ind w:right="311"/>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18"/>
                <w:szCs w:val="18"/>
              </w:rPr>
            </w:pPr>
            <w:r>
              <w:rPr>
                <w:rFonts w:ascii="Arial"/>
                <w:spacing w:val="-1"/>
                <w:sz w:val="18"/>
              </w:rPr>
              <w:t>100%</w:t>
            </w:r>
          </w:p>
        </w:tc>
      </w:tr>
      <w:tr>
        <w:trPr>
          <w:trHeight w:val="241"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Arial" w:hAnsi="Arial" w:cs="Arial" w:eastAsia="Arial" w:hint="default"/>
                <w:sz w:val="18"/>
                <w:szCs w:val="18"/>
              </w:rPr>
              <w:t>B2B</w:t>
            </w:r>
            <w:r>
              <w:rPr>
                <w:rFonts w:ascii="Arial" w:hAnsi="Arial" w:cs="Arial" w:eastAsia="Arial" w:hint="default"/>
                <w:spacing w:val="-8"/>
                <w:sz w:val="18"/>
                <w:szCs w:val="18"/>
              </w:rPr>
              <w:t> </w:t>
            </w:r>
            <w:r>
              <w:rPr>
                <w:rFonts w:ascii="宋体" w:hAnsi="宋体" w:cs="宋体" w:eastAsia="宋体" w:hint="default"/>
                <w:sz w:val="18"/>
                <w:szCs w:val="18"/>
              </w:rPr>
              <w:t>项目</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1"/>
              <w:jc w:val="right"/>
              <w:rPr>
                <w:rFonts w:ascii="Arial" w:hAnsi="Arial" w:cs="Arial" w:eastAsia="Arial" w:hint="default"/>
                <w:sz w:val="18"/>
                <w:szCs w:val="18"/>
              </w:rPr>
            </w:pPr>
            <w:r>
              <w:rPr>
                <w:rFonts w:ascii="Arial"/>
                <w:spacing w:val="-1"/>
                <w:w w:val="95"/>
                <w:sz w:val="18"/>
              </w:rPr>
              <w:t>1,020</w:t>
            </w:r>
            <w:r>
              <w:rPr>
                <w:rFonts w:ascii="Arial"/>
                <w:w w:val="95"/>
                <w:sz w:val="18"/>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
              <w:jc w:val="right"/>
              <w:rPr>
                <w:rFonts w:ascii="Arial" w:hAnsi="Arial" w:cs="Arial" w:eastAsia="Arial" w:hint="default"/>
                <w:sz w:val="18"/>
                <w:szCs w:val="18"/>
              </w:rPr>
            </w:pPr>
            <w:r>
              <w:rPr>
                <w:rFonts w:ascii="Arial"/>
                <w:spacing w:val="-1"/>
                <w:w w:val="95"/>
                <w:sz w:val="18"/>
              </w:rPr>
              <w:t>720</w:t>
            </w:r>
            <w:r>
              <w:rPr>
                <w:rFonts w:ascii="Arial"/>
                <w:w w:val="95"/>
                <w:sz w:val="18"/>
              </w:rPr>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
              <w:jc w:val="right"/>
              <w:rPr>
                <w:rFonts w:ascii="Arial" w:hAnsi="Arial" w:cs="Arial" w:eastAsia="Arial" w:hint="default"/>
                <w:sz w:val="18"/>
                <w:szCs w:val="18"/>
              </w:rPr>
            </w:pPr>
            <w:r>
              <w:rPr>
                <w:rFonts w:ascii="Arial"/>
                <w:spacing w:val="-1"/>
                <w:w w:val="95"/>
                <w:sz w:val="18"/>
              </w:rPr>
              <w:t>300</w:t>
            </w:r>
            <w:r>
              <w:rPr>
                <w:rFonts w:ascii="Arial"/>
                <w:w w:val="95"/>
                <w:sz w:val="18"/>
              </w:rPr>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3"/>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4" w:right="0"/>
              <w:jc w:val="left"/>
              <w:rPr>
                <w:rFonts w:ascii="Arial" w:hAnsi="Arial" w:cs="Arial" w:eastAsia="Arial" w:hint="default"/>
                <w:sz w:val="18"/>
                <w:szCs w:val="18"/>
              </w:rPr>
            </w:pPr>
            <w:r>
              <w:rPr>
                <w:rFonts w:ascii="Arial"/>
                <w:sz w:val="18"/>
              </w:rPr>
              <w:t>(1,020)</w:t>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sz w:val="18"/>
              </w:rPr>
              <w:t>-</w:t>
            </w:r>
          </w:p>
        </w:tc>
        <w:tc>
          <w:tcPr>
            <w:tcW w:w="2102" w:type="dxa"/>
            <w:tcBorders>
              <w:top w:val="nil" w:sz="6" w:space="0" w:color="auto"/>
              <w:left w:val="nil" w:sz="6" w:space="0" w:color="auto"/>
              <w:bottom w:val="nil" w:sz="6" w:space="0" w:color="auto"/>
              <w:right w:val="nil" w:sz="6" w:space="0" w:color="auto"/>
            </w:tcBorders>
          </w:tcPr>
          <w:p>
            <w:pPr>
              <w:pStyle w:val="TableParagraph"/>
              <w:tabs>
                <w:tab w:pos="1179" w:val="left" w:leader="none"/>
              </w:tabs>
              <w:spacing w:line="240" w:lineRule="auto" w:before="19"/>
              <w:ind w:right="89"/>
              <w:jc w:val="right"/>
              <w:rPr>
                <w:rFonts w:ascii="Arial" w:hAnsi="Arial" w:cs="Arial" w:eastAsia="Arial" w:hint="default"/>
                <w:sz w:val="18"/>
                <w:szCs w:val="18"/>
              </w:rPr>
            </w:pPr>
            <w:r>
              <w:rPr>
                <w:rFonts w:ascii="Arial"/>
                <w:sz w:val="18"/>
              </w:rPr>
              <w:t>-</w:t>
              <w:tab/>
              <w:t>-</w:t>
            </w:r>
          </w:p>
        </w:tc>
        <w:tc>
          <w:tcPr>
            <w:tcW w:w="1461" w:type="dxa"/>
            <w:tcBorders>
              <w:top w:val="nil" w:sz="6" w:space="0" w:color="auto"/>
              <w:left w:val="nil" w:sz="6" w:space="0" w:color="auto"/>
              <w:bottom w:val="nil" w:sz="6" w:space="0" w:color="auto"/>
              <w:right w:val="nil" w:sz="6" w:space="0" w:color="auto"/>
            </w:tcBorders>
          </w:tcPr>
          <w:p>
            <w:pPr>
              <w:pStyle w:val="TableParagraph"/>
              <w:spacing w:line="199" w:lineRule="exact"/>
              <w:ind w:right="31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spacing w:val="-1"/>
                <w:sz w:val="18"/>
              </w:rPr>
              <w:t>100%</w:t>
            </w:r>
          </w:p>
        </w:tc>
      </w:tr>
      <w:tr>
        <w:trPr>
          <w:trHeight w:val="241"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18"/>
                <w:szCs w:val="18"/>
              </w:rPr>
            </w:pPr>
            <w:r>
              <w:rPr>
                <w:rFonts w:ascii="宋体" w:hAnsi="宋体" w:cs="宋体" w:eastAsia="宋体" w:hint="default"/>
                <w:sz w:val="18"/>
                <w:szCs w:val="18"/>
              </w:rPr>
              <w:t>常州南大街店</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1"/>
              <w:jc w:val="right"/>
              <w:rPr>
                <w:rFonts w:ascii="Arial" w:hAnsi="Arial" w:cs="Arial" w:eastAsia="Arial" w:hint="default"/>
                <w:sz w:val="18"/>
                <w:szCs w:val="18"/>
              </w:rPr>
            </w:pPr>
            <w:r>
              <w:rPr>
                <w:rFonts w:ascii="Arial"/>
                <w:spacing w:val="-1"/>
                <w:sz w:val="18"/>
              </w:rPr>
              <w:t>149,995</w:t>
            </w:r>
            <w:r>
              <w:rPr>
                <w:rFonts w:ascii="Arial"/>
                <w:sz w:val="18"/>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4"/>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
              <w:jc w:val="right"/>
              <w:rPr>
                <w:rFonts w:ascii="Arial" w:hAnsi="Arial" w:cs="Arial" w:eastAsia="Arial" w:hint="default"/>
                <w:sz w:val="18"/>
                <w:szCs w:val="18"/>
              </w:rPr>
            </w:pPr>
            <w:r>
              <w:rPr>
                <w:rFonts w:ascii="Arial"/>
                <w:spacing w:val="-1"/>
                <w:sz w:val="18"/>
              </w:rPr>
              <w:t>149,995</w:t>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8" w:right="0"/>
              <w:jc w:val="left"/>
              <w:rPr>
                <w:rFonts w:ascii="Arial" w:hAnsi="Arial" w:cs="Arial" w:eastAsia="Arial" w:hint="default"/>
                <w:sz w:val="18"/>
                <w:szCs w:val="18"/>
              </w:rPr>
            </w:pPr>
            <w:r>
              <w:rPr>
                <w:rFonts w:ascii="Arial"/>
                <w:sz w:val="18"/>
              </w:rPr>
              <w:t>(149,995)</w:t>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7"/>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sz w:val="18"/>
              </w:rPr>
              <w:t>-</w:t>
            </w:r>
          </w:p>
        </w:tc>
        <w:tc>
          <w:tcPr>
            <w:tcW w:w="2102" w:type="dxa"/>
            <w:tcBorders>
              <w:top w:val="nil" w:sz="6" w:space="0" w:color="auto"/>
              <w:left w:val="nil" w:sz="6" w:space="0" w:color="auto"/>
              <w:bottom w:val="nil" w:sz="6" w:space="0" w:color="auto"/>
              <w:right w:val="nil" w:sz="6" w:space="0" w:color="auto"/>
            </w:tcBorders>
          </w:tcPr>
          <w:p>
            <w:pPr>
              <w:pStyle w:val="TableParagraph"/>
              <w:tabs>
                <w:tab w:pos="1179" w:val="left" w:leader="none"/>
              </w:tabs>
              <w:spacing w:line="240" w:lineRule="auto" w:before="19"/>
              <w:ind w:right="89"/>
              <w:jc w:val="right"/>
              <w:rPr>
                <w:rFonts w:ascii="Arial" w:hAnsi="Arial" w:cs="Arial" w:eastAsia="Arial" w:hint="default"/>
                <w:sz w:val="18"/>
                <w:szCs w:val="18"/>
              </w:rPr>
            </w:pPr>
            <w:r>
              <w:rPr>
                <w:rFonts w:ascii="Arial"/>
                <w:sz w:val="18"/>
              </w:rPr>
              <w:t>-</w:t>
              <w:tab/>
              <w:t>-</w:t>
            </w:r>
          </w:p>
        </w:tc>
        <w:tc>
          <w:tcPr>
            <w:tcW w:w="1461" w:type="dxa"/>
            <w:tcBorders>
              <w:top w:val="nil" w:sz="6" w:space="0" w:color="auto"/>
              <w:left w:val="nil" w:sz="6" w:space="0" w:color="auto"/>
              <w:bottom w:val="nil" w:sz="6" w:space="0" w:color="auto"/>
              <w:right w:val="nil" w:sz="6" w:space="0" w:color="auto"/>
            </w:tcBorders>
          </w:tcPr>
          <w:p>
            <w:pPr>
              <w:pStyle w:val="TableParagraph"/>
              <w:spacing w:line="199" w:lineRule="exact"/>
              <w:ind w:right="31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spacing w:val="-1"/>
                <w:sz w:val="18"/>
              </w:rPr>
              <w:t>100%</w:t>
            </w:r>
          </w:p>
        </w:tc>
      </w:tr>
      <w:tr>
        <w:trPr>
          <w:trHeight w:val="238"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18"/>
                <w:szCs w:val="18"/>
              </w:rPr>
            </w:pPr>
            <w:r>
              <w:rPr>
                <w:rFonts w:ascii="宋体" w:hAnsi="宋体" w:cs="宋体" w:eastAsia="宋体" w:hint="default"/>
                <w:sz w:val="18"/>
                <w:szCs w:val="18"/>
              </w:rPr>
              <w:t>武汉中南旗舰店</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1"/>
              <w:jc w:val="right"/>
              <w:rPr>
                <w:rFonts w:ascii="Arial" w:hAnsi="Arial" w:cs="Arial" w:eastAsia="Arial" w:hint="default"/>
                <w:sz w:val="18"/>
                <w:szCs w:val="18"/>
              </w:rPr>
            </w:pPr>
            <w:r>
              <w:rPr>
                <w:rFonts w:ascii="Arial"/>
                <w:spacing w:val="-1"/>
                <w:sz w:val="18"/>
              </w:rPr>
              <w:t>206,582</w:t>
            </w:r>
            <w:r>
              <w:rPr>
                <w:rFonts w:ascii="Arial"/>
                <w:sz w:val="18"/>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4"/>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
              <w:jc w:val="right"/>
              <w:rPr>
                <w:rFonts w:ascii="Arial" w:hAnsi="Arial" w:cs="Arial" w:eastAsia="Arial" w:hint="default"/>
                <w:sz w:val="18"/>
                <w:szCs w:val="18"/>
              </w:rPr>
            </w:pPr>
            <w:r>
              <w:rPr>
                <w:rFonts w:ascii="Arial"/>
                <w:spacing w:val="-1"/>
                <w:sz w:val="18"/>
              </w:rPr>
              <w:t>206,582</w:t>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8" w:right="0"/>
              <w:jc w:val="left"/>
              <w:rPr>
                <w:rFonts w:ascii="Arial" w:hAnsi="Arial" w:cs="Arial" w:eastAsia="Arial" w:hint="default"/>
                <w:sz w:val="18"/>
                <w:szCs w:val="18"/>
              </w:rPr>
            </w:pPr>
            <w:r>
              <w:rPr>
                <w:rFonts w:ascii="Arial"/>
                <w:sz w:val="18"/>
              </w:rPr>
              <w:t>(206,582)</w:t>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7"/>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1"/>
              <w:jc w:val="right"/>
              <w:rPr>
                <w:rFonts w:ascii="Arial" w:hAnsi="Arial" w:cs="Arial" w:eastAsia="Arial" w:hint="default"/>
                <w:sz w:val="18"/>
                <w:szCs w:val="18"/>
              </w:rPr>
            </w:pPr>
            <w:r>
              <w:rPr>
                <w:rFonts w:ascii="Arial"/>
                <w:sz w:val="18"/>
              </w:rPr>
              <w:t>-</w:t>
            </w:r>
          </w:p>
        </w:tc>
        <w:tc>
          <w:tcPr>
            <w:tcW w:w="2102" w:type="dxa"/>
            <w:tcBorders>
              <w:top w:val="nil" w:sz="6" w:space="0" w:color="auto"/>
              <w:left w:val="nil" w:sz="6" w:space="0" w:color="auto"/>
              <w:bottom w:val="nil" w:sz="6" w:space="0" w:color="auto"/>
              <w:right w:val="nil" w:sz="6" w:space="0" w:color="auto"/>
            </w:tcBorders>
          </w:tcPr>
          <w:p>
            <w:pPr>
              <w:pStyle w:val="TableParagraph"/>
              <w:tabs>
                <w:tab w:pos="1179" w:val="left" w:leader="none"/>
              </w:tabs>
              <w:spacing w:line="240" w:lineRule="auto" w:before="19"/>
              <w:ind w:right="89"/>
              <w:jc w:val="right"/>
              <w:rPr>
                <w:rFonts w:ascii="Arial" w:hAnsi="Arial" w:cs="Arial" w:eastAsia="Arial" w:hint="default"/>
                <w:sz w:val="18"/>
                <w:szCs w:val="18"/>
              </w:rPr>
            </w:pPr>
            <w:r>
              <w:rPr>
                <w:rFonts w:ascii="Arial"/>
                <w:sz w:val="18"/>
              </w:rPr>
              <w:t>-</w:t>
              <w:tab/>
              <w:t>-</w:t>
            </w:r>
          </w:p>
        </w:tc>
        <w:tc>
          <w:tcPr>
            <w:tcW w:w="1461" w:type="dxa"/>
            <w:tcBorders>
              <w:top w:val="nil" w:sz="6" w:space="0" w:color="auto"/>
              <w:left w:val="nil" w:sz="6" w:space="0" w:color="auto"/>
              <w:bottom w:val="nil" w:sz="6" w:space="0" w:color="auto"/>
              <w:right w:val="nil" w:sz="6" w:space="0" w:color="auto"/>
            </w:tcBorders>
          </w:tcPr>
          <w:p>
            <w:pPr>
              <w:pStyle w:val="TableParagraph"/>
              <w:spacing w:line="199" w:lineRule="exact"/>
              <w:ind w:right="31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18"/>
                <w:szCs w:val="18"/>
              </w:rPr>
            </w:pPr>
            <w:r>
              <w:rPr>
                <w:rFonts w:ascii="Arial"/>
                <w:spacing w:val="-1"/>
                <w:sz w:val="18"/>
              </w:rPr>
              <w:t>100%</w:t>
            </w:r>
          </w:p>
        </w:tc>
      </w:tr>
      <w:tr>
        <w:trPr>
          <w:trHeight w:val="242"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南京龙吟广场</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1"/>
              <w:jc w:val="right"/>
              <w:rPr>
                <w:rFonts w:ascii="Arial" w:hAnsi="Arial" w:cs="Arial" w:eastAsia="Arial" w:hint="default"/>
                <w:sz w:val="18"/>
                <w:szCs w:val="18"/>
              </w:rPr>
            </w:pPr>
            <w:r>
              <w:rPr>
                <w:rFonts w:ascii="Arial"/>
                <w:spacing w:val="-1"/>
                <w:sz w:val="18"/>
              </w:rPr>
              <w:t>156,658</w:t>
            </w:r>
            <w:r>
              <w:rPr>
                <w:rFonts w:ascii="Arial"/>
                <w:sz w:val="18"/>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4"/>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
              <w:jc w:val="right"/>
              <w:rPr>
                <w:rFonts w:ascii="Arial" w:hAnsi="Arial" w:cs="Arial" w:eastAsia="Arial" w:hint="default"/>
                <w:sz w:val="18"/>
                <w:szCs w:val="18"/>
              </w:rPr>
            </w:pPr>
            <w:r>
              <w:rPr>
                <w:rFonts w:ascii="Arial"/>
                <w:spacing w:val="-1"/>
                <w:sz w:val="18"/>
              </w:rPr>
              <w:t>156,658</w:t>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8" w:right="0"/>
              <w:jc w:val="left"/>
              <w:rPr>
                <w:rFonts w:ascii="Arial" w:hAnsi="Arial" w:cs="Arial" w:eastAsia="Arial" w:hint="default"/>
                <w:sz w:val="18"/>
                <w:szCs w:val="18"/>
              </w:rPr>
            </w:pPr>
            <w:r>
              <w:rPr>
                <w:rFonts w:ascii="Arial"/>
                <w:sz w:val="18"/>
              </w:rPr>
              <w:t>(156,658)</w:t>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7"/>
              <w:jc w:val="right"/>
              <w:rPr>
                <w:rFonts w:ascii="Arial" w:hAnsi="Arial" w:cs="Arial" w:eastAsia="Arial" w:hint="default"/>
                <w:sz w:val="18"/>
                <w:szCs w:val="18"/>
              </w:rPr>
            </w:pPr>
            <w:r>
              <w:rPr>
                <w:rFonts w:ascii="Arial"/>
                <w:sz w:val="18"/>
              </w:rPr>
              <w:t>-</w:t>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1"/>
              <w:jc w:val="right"/>
              <w:rPr>
                <w:rFonts w:ascii="Arial" w:hAnsi="Arial" w:cs="Arial" w:eastAsia="Arial" w:hint="default"/>
                <w:sz w:val="18"/>
                <w:szCs w:val="18"/>
              </w:rPr>
            </w:pPr>
            <w:r>
              <w:rPr>
                <w:rFonts w:ascii="Arial"/>
                <w:sz w:val="18"/>
              </w:rPr>
              <w:t>-</w:t>
            </w:r>
          </w:p>
        </w:tc>
        <w:tc>
          <w:tcPr>
            <w:tcW w:w="2102" w:type="dxa"/>
            <w:tcBorders>
              <w:top w:val="nil" w:sz="6" w:space="0" w:color="auto"/>
              <w:left w:val="nil" w:sz="6" w:space="0" w:color="auto"/>
              <w:bottom w:val="nil" w:sz="6" w:space="0" w:color="auto"/>
              <w:right w:val="nil" w:sz="6" w:space="0" w:color="auto"/>
            </w:tcBorders>
          </w:tcPr>
          <w:p>
            <w:pPr>
              <w:pStyle w:val="TableParagraph"/>
              <w:tabs>
                <w:tab w:pos="1179" w:val="left" w:leader="none"/>
              </w:tabs>
              <w:spacing w:line="240" w:lineRule="auto" w:before="23"/>
              <w:ind w:right="89"/>
              <w:jc w:val="right"/>
              <w:rPr>
                <w:rFonts w:ascii="Arial" w:hAnsi="Arial" w:cs="Arial" w:eastAsia="Arial" w:hint="default"/>
                <w:sz w:val="18"/>
                <w:szCs w:val="18"/>
              </w:rPr>
            </w:pPr>
            <w:r>
              <w:rPr>
                <w:rFonts w:ascii="Arial"/>
                <w:sz w:val="18"/>
              </w:rPr>
              <w:t>-</w:t>
              <w:tab/>
              <w:t>-</w:t>
            </w:r>
          </w:p>
        </w:tc>
        <w:tc>
          <w:tcPr>
            <w:tcW w:w="1461" w:type="dxa"/>
            <w:tcBorders>
              <w:top w:val="nil" w:sz="6" w:space="0" w:color="auto"/>
              <w:left w:val="nil" w:sz="6" w:space="0" w:color="auto"/>
              <w:bottom w:val="nil" w:sz="6" w:space="0" w:color="auto"/>
              <w:right w:val="nil" w:sz="6" w:space="0" w:color="auto"/>
            </w:tcBorders>
          </w:tcPr>
          <w:p>
            <w:pPr>
              <w:pStyle w:val="TableParagraph"/>
              <w:spacing w:line="196" w:lineRule="exact"/>
              <w:ind w:right="31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18"/>
                <w:szCs w:val="18"/>
              </w:rPr>
            </w:pPr>
            <w:r>
              <w:rPr>
                <w:rFonts w:ascii="Arial"/>
                <w:spacing w:val="-1"/>
                <w:sz w:val="18"/>
              </w:rPr>
              <w:t>100%</w:t>
            </w:r>
          </w:p>
        </w:tc>
      </w:tr>
      <w:tr>
        <w:trPr>
          <w:trHeight w:val="261"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南京山畔大厦</w:t>
            </w:r>
          </w:p>
        </w:tc>
        <w:tc>
          <w:tcPr>
            <w:tcW w:w="1238" w:type="dxa"/>
            <w:tcBorders>
              <w:top w:val="nil" w:sz="6" w:space="0" w:color="auto"/>
              <w:left w:val="nil" w:sz="6" w:space="0" w:color="auto"/>
              <w:bottom w:val="nil" w:sz="6" w:space="0" w:color="auto"/>
              <w:right w:val="nil" w:sz="6" w:space="0" w:color="auto"/>
            </w:tcBorders>
          </w:tcPr>
          <w:p>
            <w:pPr>
              <w:pStyle w:val="TableParagraph"/>
              <w:tabs>
                <w:tab w:pos="481" w:val="left" w:leader="none"/>
                <w:tab w:pos="1091" w:val="left" w:leader="none"/>
              </w:tabs>
              <w:spacing w:line="240" w:lineRule="auto" w:before="23"/>
              <w:ind w:right="79"/>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87,550</w:t>
              <w:tab/>
            </w:r>
            <w:r>
              <w:rPr>
                <w:rFonts w:ascii="Arial"/>
                <w:spacing w:val="-1"/>
                <w:sz w:val="18"/>
              </w:rPr>
            </w:r>
          </w:p>
        </w:tc>
        <w:tc>
          <w:tcPr>
            <w:tcW w:w="1052"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23"/>
              <w:ind w:right="0"/>
              <w:jc w:val="right"/>
              <w:rPr>
                <w:rFonts w:ascii="Arial" w:hAnsi="Arial" w:cs="Arial" w:eastAsia="Arial" w:hint="default"/>
                <w:sz w:val="18"/>
                <w:szCs w:val="18"/>
              </w:rPr>
            </w:pPr>
            <w:r>
              <w:rPr>
                <w:rFonts w:ascii="Arial"/>
                <w:sz w:val="18"/>
              </w:rPr>
            </w:r>
            <w:r>
              <w:rPr>
                <w:rFonts w:ascii="Arial"/>
                <w:sz w:val="18"/>
                <w:u w:val="single" w:color="000000"/>
              </w:rPr>
              <w:t> </w:t>
              <w:tab/>
              <w:t>-</w:t>
              <w:tab/>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tabs>
                <w:tab w:pos="255" w:val="left" w:leader="none"/>
              </w:tabs>
              <w:spacing w:line="240" w:lineRule="auto" w:before="23"/>
              <w:ind w:right="18"/>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87,550</w:t>
            </w:r>
            <w:r>
              <w:rPr>
                <w:rFonts w:ascii="Arial"/>
                <w:spacing w:val="-1"/>
                <w:sz w:val="18"/>
              </w:rPr>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tabs>
                <w:tab w:pos="922" w:val="left" w:leader="none"/>
              </w:tabs>
              <w:spacing w:line="240" w:lineRule="auto" w:before="23"/>
              <w:ind w:right="0"/>
              <w:jc w:val="left"/>
              <w:rPr>
                <w:rFonts w:ascii="Arial" w:hAnsi="Arial" w:cs="Arial" w:eastAsia="Arial" w:hint="default"/>
                <w:sz w:val="18"/>
                <w:szCs w:val="18"/>
              </w:rPr>
            </w:pPr>
            <w:r>
              <w:rPr>
                <w:rFonts w:ascii="Arial"/>
                <w:sz w:val="18"/>
              </w:rPr>
            </w:r>
            <w:r>
              <w:rPr>
                <w:rFonts w:ascii="Arial"/>
                <w:sz w:val="18"/>
                <w:u w:val="single" w:color="000000"/>
              </w:rPr>
              <w:t>   </w:t>
            </w:r>
            <w:r>
              <w:rPr>
                <w:rFonts w:ascii="Arial"/>
                <w:spacing w:val="-13"/>
                <w:sz w:val="18"/>
                <w:u w:val="single" w:color="000000"/>
              </w:rPr>
              <w:t> </w:t>
            </w:r>
            <w:r>
              <w:rPr>
                <w:rFonts w:ascii="Arial"/>
                <w:sz w:val="18"/>
                <w:u w:val="single" w:color="000000"/>
              </w:rPr>
              <w:t>(87,550)</w:t>
              <w:tab/>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tabs>
                <w:tab w:pos="728" w:val="left" w:leader="none"/>
                <w:tab w:pos="938" w:val="left" w:leader="none"/>
              </w:tabs>
              <w:spacing w:line="240" w:lineRule="auto" w:before="23"/>
              <w:ind w:right="0"/>
              <w:jc w:val="left"/>
              <w:rPr>
                <w:rFonts w:ascii="Arial" w:hAnsi="Arial" w:cs="Arial" w:eastAsia="Arial" w:hint="default"/>
                <w:sz w:val="18"/>
                <w:szCs w:val="18"/>
              </w:rPr>
            </w:pPr>
            <w:r>
              <w:rPr>
                <w:rFonts w:ascii="Arial"/>
                <w:sz w:val="18"/>
              </w:rPr>
            </w:r>
            <w:r>
              <w:rPr>
                <w:rFonts w:ascii="Arial"/>
                <w:sz w:val="18"/>
                <w:u w:val="single" w:color="000000"/>
              </w:rPr>
              <w:t> </w:t>
              <w:tab/>
              <w:t>-</w:t>
              <w:tab/>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tabs>
                <w:tab w:pos="1037" w:val="left" w:leader="none"/>
              </w:tabs>
              <w:spacing w:line="240" w:lineRule="auto" w:before="23"/>
              <w:ind w:right="80"/>
              <w:jc w:val="right"/>
              <w:rPr>
                <w:rFonts w:ascii="Arial" w:hAnsi="Arial" w:cs="Arial" w:eastAsia="Arial" w:hint="default"/>
                <w:sz w:val="18"/>
                <w:szCs w:val="18"/>
              </w:rPr>
            </w:pPr>
            <w:r>
              <w:rPr>
                <w:rFonts w:ascii="Arial"/>
                <w:sz w:val="18"/>
              </w:rPr>
            </w:r>
            <w:r>
              <w:rPr>
                <w:rFonts w:ascii="Arial"/>
                <w:sz w:val="18"/>
                <w:u w:val="single" w:color="000000"/>
              </w:rPr>
              <w:t> </w:t>
              <w:tab/>
              <w:t>-</w:t>
              <w:tab/>
            </w:r>
            <w:r>
              <w:rPr>
                <w:rFonts w:ascii="Arial"/>
                <w:sz w:val="18"/>
              </w:rPr>
            </w:r>
          </w:p>
        </w:tc>
        <w:tc>
          <w:tcPr>
            <w:tcW w:w="2102" w:type="dxa"/>
            <w:tcBorders>
              <w:top w:val="nil" w:sz="6" w:space="0" w:color="auto"/>
              <w:left w:val="nil" w:sz="6" w:space="0" w:color="auto"/>
              <w:bottom w:val="nil" w:sz="6" w:space="0" w:color="auto"/>
              <w:right w:val="nil" w:sz="6" w:space="0" w:color="auto"/>
            </w:tcBorders>
          </w:tcPr>
          <w:p>
            <w:pPr>
              <w:pStyle w:val="TableParagraph"/>
              <w:tabs>
                <w:tab w:pos="688" w:val="left" w:leader="none"/>
                <w:tab w:pos="1867" w:val="left" w:leader="none"/>
                <w:tab w:pos="2019" w:val="left" w:leader="none"/>
              </w:tabs>
              <w:spacing w:line="240" w:lineRule="auto" w:before="23"/>
              <w:ind w:right="0"/>
              <w:jc w:val="right"/>
              <w:rPr>
                <w:rFonts w:ascii="Arial" w:hAnsi="Arial" w:cs="Arial" w:eastAsia="Arial" w:hint="default"/>
                <w:sz w:val="18"/>
                <w:szCs w:val="18"/>
              </w:rPr>
            </w:pPr>
            <w:r>
              <w:rPr>
                <w:rFonts w:ascii="Arial"/>
                <w:sz w:val="18"/>
              </w:rPr>
            </w:r>
            <w:r>
              <w:rPr>
                <w:rFonts w:ascii="Arial"/>
                <w:sz w:val="18"/>
                <w:u w:val="single" w:color="000000"/>
              </w:rPr>
              <w:t> </w:t>
              <w:tab/>
              <w:t>-</w:t>
            </w:r>
            <w:r>
              <w:rPr>
                <w:rFonts w:ascii="Arial"/>
                <w:sz w:val="18"/>
              </w:rPr>
            </w:r>
            <w:r>
              <w:rPr>
                <w:rFonts w:ascii="Arial"/>
                <w:sz w:val="18"/>
                <w:u w:val="single" w:color="000000"/>
              </w:rPr>
              <w:t> </w:t>
              <w:tab/>
              <w:t>-</w:t>
              <w:tab/>
            </w:r>
            <w:r>
              <w:rPr>
                <w:rFonts w:ascii="Arial"/>
                <w:sz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195" w:lineRule="exact"/>
              <w:ind w:right="311"/>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18"/>
                <w:szCs w:val="18"/>
              </w:rPr>
            </w:pPr>
            <w:r>
              <w:rPr>
                <w:rFonts w:ascii="Arial"/>
                <w:spacing w:val="-1"/>
                <w:sz w:val="18"/>
              </w:rPr>
              <w:t>100%</w:t>
            </w:r>
          </w:p>
        </w:tc>
      </w:tr>
      <w:tr>
        <w:trPr>
          <w:trHeight w:val="237" w:hRule="exact"/>
        </w:trPr>
        <w:tc>
          <w:tcPr>
            <w:tcW w:w="159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41"/>
              <w:jc w:val="right"/>
              <w:rPr>
                <w:rFonts w:ascii="Arial" w:hAnsi="Arial" w:cs="Arial" w:eastAsia="Arial" w:hint="default"/>
                <w:sz w:val="18"/>
                <w:szCs w:val="18"/>
              </w:rPr>
            </w:pPr>
            <w:r>
              <w:rPr>
                <w:rFonts w:ascii="Arial"/>
                <w:spacing w:val="-1"/>
                <w:sz w:val="18"/>
              </w:rPr>
              <w:t>868,587</w:t>
            </w:r>
            <w:r>
              <w:rPr>
                <w:rFonts w:ascii="Arial"/>
                <w:sz w:val="18"/>
              </w:rPr>
            </w:r>
          </w:p>
        </w:tc>
        <w:tc>
          <w:tcPr>
            <w:tcW w:w="1052"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63"/>
              <w:jc w:val="right"/>
              <w:rPr>
                <w:rFonts w:ascii="Arial" w:hAnsi="Arial" w:cs="Arial" w:eastAsia="Arial" w:hint="default"/>
                <w:sz w:val="18"/>
                <w:szCs w:val="18"/>
              </w:rPr>
            </w:pPr>
            <w:r>
              <w:rPr>
                <w:rFonts w:ascii="Arial"/>
                <w:spacing w:val="-1"/>
                <w:sz w:val="18"/>
              </w:rPr>
              <w:t>72,491</w:t>
            </w:r>
          </w:p>
        </w:tc>
        <w:tc>
          <w:tcPr>
            <w:tcW w:w="210"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8"/>
              <w:jc w:val="right"/>
              <w:rPr>
                <w:rFonts w:ascii="Arial" w:hAnsi="Arial" w:cs="Arial" w:eastAsia="Arial" w:hint="default"/>
                <w:sz w:val="18"/>
                <w:szCs w:val="18"/>
              </w:rPr>
            </w:pPr>
            <w:r>
              <w:rPr>
                <w:rFonts w:ascii="Arial"/>
                <w:spacing w:val="-1"/>
                <w:sz w:val="18"/>
              </w:rPr>
              <w:t>736,636</w:t>
            </w:r>
          </w:p>
        </w:tc>
        <w:tc>
          <w:tcPr>
            <w:tcW w:w="210"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95" w:right="0"/>
              <w:jc w:val="left"/>
              <w:rPr>
                <w:rFonts w:ascii="Arial" w:hAnsi="Arial" w:cs="Arial" w:eastAsia="Arial" w:hint="default"/>
                <w:sz w:val="18"/>
                <w:szCs w:val="18"/>
              </w:rPr>
            </w:pPr>
            <w:r>
              <w:rPr>
                <w:rFonts w:ascii="Arial"/>
                <w:sz w:val="18"/>
              </w:rPr>
              <w:t>(709,618)</w:t>
            </w:r>
          </w:p>
        </w:tc>
        <w:tc>
          <w:tcPr>
            <w:tcW w:w="210"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280" w:right="0"/>
              <w:jc w:val="left"/>
              <w:rPr>
                <w:rFonts w:ascii="Arial" w:hAnsi="Arial" w:cs="Arial" w:eastAsia="Arial" w:hint="default"/>
                <w:sz w:val="18"/>
                <w:szCs w:val="18"/>
              </w:rPr>
            </w:pPr>
            <w:r>
              <w:rPr>
                <w:rFonts w:ascii="Arial"/>
                <w:sz w:val="18"/>
              </w:rPr>
              <w:t>(1,020)</w:t>
            </w:r>
          </w:p>
        </w:tc>
        <w:tc>
          <w:tcPr>
            <w:tcW w:w="21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01"/>
              <w:jc w:val="right"/>
              <w:rPr>
                <w:rFonts w:ascii="Arial" w:hAnsi="Arial" w:cs="Arial" w:eastAsia="Arial" w:hint="default"/>
                <w:sz w:val="18"/>
                <w:szCs w:val="18"/>
              </w:rPr>
            </w:pPr>
            <w:r>
              <w:rPr>
                <w:rFonts w:ascii="Arial"/>
                <w:spacing w:val="-1"/>
                <w:sz w:val="18"/>
              </w:rPr>
              <w:t>(15,236)</w:t>
            </w:r>
            <w:r>
              <w:rPr>
                <w:rFonts w:ascii="Arial"/>
                <w:sz w:val="18"/>
              </w:rPr>
            </w:r>
          </w:p>
        </w:tc>
        <w:tc>
          <w:tcPr>
            <w:tcW w:w="2102" w:type="dxa"/>
            <w:tcBorders>
              <w:top w:val="nil" w:sz="6" w:space="0" w:color="auto"/>
              <w:left w:val="nil" w:sz="6" w:space="0" w:color="auto"/>
              <w:bottom w:val="single" w:sz="12" w:space="0" w:color="000000"/>
              <w:right w:val="nil" w:sz="6" w:space="0" w:color="auto"/>
            </w:tcBorders>
          </w:tcPr>
          <w:p>
            <w:pPr>
              <w:pStyle w:val="TableParagraph"/>
              <w:tabs>
                <w:tab w:pos="974" w:val="left" w:leader="none"/>
              </w:tabs>
              <w:spacing w:line="240" w:lineRule="auto" w:before="12"/>
              <w:ind w:right="89"/>
              <w:jc w:val="right"/>
              <w:rPr>
                <w:rFonts w:ascii="Arial" w:hAnsi="Arial" w:cs="Arial" w:eastAsia="Arial" w:hint="default"/>
                <w:sz w:val="18"/>
                <w:szCs w:val="18"/>
              </w:rPr>
            </w:pPr>
            <w:r>
              <w:rPr>
                <w:rFonts w:ascii="Arial"/>
                <w:spacing w:val="-1"/>
                <w:sz w:val="18"/>
              </w:rPr>
              <w:t>(654)</w:t>
              <w:tab/>
              <w:t>82,599</w:t>
            </w:r>
          </w:p>
        </w:tc>
        <w:tc>
          <w:tcPr>
            <w:tcW w:w="1461"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Arial" w:hAnsi="Arial" w:cs="Arial" w:eastAsia="Arial" w:hint="default"/>
          <w:sz w:val="17"/>
          <w:szCs w:val="17"/>
        </w:rPr>
      </w:pPr>
    </w:p>
    <w:p>
      <w:pPr>
        <w:pStyle w:val="BodyText"/>
        <w:spacing w:line="240" w:lineRule="auto" w:before="26"/>
        <w:ind w:left="911" w:right="0"/>
        <w:jc w:val="left"/>
      </w:pPr>
      <w:r>
        <w:rPr/>
        <w:pict>
          <v:group style="position:absolute;margin-left:526.48999pt;margin-top:-11.294375pt;width:42.1pt;height:.1pt;mso-position-horizontal-relative:page;mso-position-vertical-relative:paragraph;z-index:-576904" coordorigin="10530,-226" coordsize="842,2">
            <v:shape style="position:absolute;left:10530;top:-226;width:842;height:2" coordorigin="10530,-226" coordsize="842,0" path="m10530,-226l11371,-226e" filled="false" stroked="true" strokeweight="1.5pt" strokecolor="#000000">
              <v:path arrowok="t"/>
            </v:shape>
            <w10:wrap type="none"/>
          </v:group>
        </w:pict>
      </w:r>
      <w:r>
        <w:rPr/>
        <w:t>于</w:t>
      </w:r>
      <w:r>
        <w:rPr>
          <w:spacing w:val="-62"/>
        </w:rPr>
        <w:t> </w:t>
      </w:r>
      <w:r>
        <w:rPr>
          <w:rFonts w:ascii="Arial" w:hAnsi="Arial" w:cs="Arial" w:eastAsia="Arial" w:hint="default"/>
        </w:rPr>
        <w:t>2007</w:t>
      </w:r>
      <w:r>
        <w:rPr>
          <w:rFonts w:ascii="Arial" w:hAnsi="Arial" w:cs="Arial" w:eastAsia="Arial" w:hint="default"/>
          <w:spacing w:val="-9"/>
        </w:rPr>
        <w:t> </w:t>
      </w:r>
      <w:r>
        <w:rPr/>
        <w:t>年度，在建工程年初余额及当年增加额中均无资本化的借款费用。</w:t>
      </w:r>
    </w:p>
    <w:p>
      <w:pPr>
        <w:spacing w:after="0" w:line="240" w:lineRule="auto"/>
        <w:jc w:val="left"/>
        <w:sectPr>
          <w:type w:val="continuous"/>
          <w:pgSz w:w="16840" w:h="11910" w:orient="landscape"/>
          <w:pgMar w:top="1600" w:bottom="280" w:left="920" w:right="1300"/>
        </w:sectPr>
      </w:pPr>
    </w:p>
    <w:p>
      <w:pPr>
        <w:spacing w:line="240" w:lineRule="auto" w:before="3"/>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797"/>
        <w:gridCol w:w="1289"/>
        <w:gridCol w:w="1006"/>
        <w:gridCol w:w="269"/>
        <w:gridCol w:w="1290"/>
        <w:gridCol w:w="269"/>
        <w:gridCol w:w="1290"/>
        <w:gridCol w:w="269"/>
        <w:gridCol w:w="1148"/>
        <w:gridCol w:w="270"/>
        <w:gridCol w:w="1303"/>
        <w:gridCol w:w="1267"/>
        <w:gridCol w:w="268"/>
        <w:gridCol w:w="1291"/>
        <w:gridCol w:w="276"/>
        <w:gridCol w:w="1036"/>
        <w:gridCol w:w="1191"/>
      </w:tblGrid>
      <w:tr>
        <w:trPr>
          <w:trHeight w:val="1130"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82" w:lineRule="exact"/>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(10)</w:t>
            </w:r>
          </w:p>
        </w:tc>
        <w:tc>
          <w:tcPr>
            <w:tcW w:w="3853" w:type="dxa"/>
            <w:gridSpan w:val="4"/>
            <w:tcBorders>
              <w:top w:val="single" w:sz="6" w:space="0" w:color="000000"/>
              <w:left w:val="nil" w:sz="6" w:space="0" w:color="auto"/>
              <w:bottom w:val="nil" w:sz="6" w:space="0" w:color="auto"/>
              <w:right w:val="nil" w:sz="6" w:space="0" w:color="auto"/>
            </w:tcBorders>
          </w:tcPr>
          <w:p>
            <w:pPr>
              <w:pStyle w:val="TableParagraph"/>
              <w:spacing w:line="292" w:lineRule="exact"/>
              <w:ind w:left="4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6" w:right="0"/>
              <w:jc w:val="left"/>
              <w:rPr>
                <w:rFonts w:ascii="宋体" w:hAnsi="宋体" w:cs="宋体" w:eastAsia="宋体" w:hint="default"/>
                <w:sz w:val="24"/>
                <w:szCs w:val="24"/>
              </w:rPr>
            </w:pPr>
            <w:r>
              <w:rPr>
                <w:rFonts w:ascii="宋体" w:hAnsi="宋体" w:cs="宋体" w:eastAsia="宋体" w:hint="default"/>
                <w:b/>
                <w:bCs/>
                <w:sz w:val="24"/>
                <w:szCs w:val="24"/>
              </w:rPr>
              <w:t>无形资产</w:t>
            </w:r>
            <w:r>
              <w:rPr>
                <w:rFonts w:ascii="宋体" w:hAnsi="宋体" w:cs="宋体" w:eastAsia="宋体" w:hint="default"/>
                <w:sz w:val="24"/>
                <w:szCs w:val="24"/>
              </w:rPr>
            </w:r>
          </w:p>
        </w:tc>
        <w:tc>
          <w:tcPr>
            <w:tcW w:w="9878" w:type="dxa"/>
            <w:gridSpan w:val="12"/>
            <w:tcBorders>
              <w:top w:val="single" w:sz="6" w:space="0" w:color="000000"/>
              <w:left w:val="nil" w:sz="6" w:space="0" w:color="auto"/>
              <w:bottom w:val="nil" w:sz="6" w:space="0" w:color="auto"/>
              <w:right w:val="nil" w:sz="6" w:space="0" w:color="auto"/>
            </w:tcBorders>
          </w:tcPr>
          <w:p>
            <w:pPr/>
          </w:p>
        </w:tc>
      </w:tr>
      <w:tr>
        <w:trPr>
          <w:trHeight w:val="506" w:hRule="exact"/>
        </w:trPr>
        <w:tc>
          <w:tcPr>
            <w:tcW w:w="797" w:type="dxa"/>
            <w:tcBorders>
              <w:top w:val="nil" w:sz="6" w:space="0" w:color="auto"/>
              <w:left w:val="nil" w:sz="6" w:space="0" w:color="auto"/>
              <w:bottom w:val="nil" w:sz="6" w:space="0" w:color="auto"/>
              <w:right w:val="nil" w:sz="6" w:space="0" w:color="auto"/>
            </w:tcBorders>
          </w:tcPr>
          <w:p>
            <w:pPr/>
          </w:p>
        </w:tc>
        <w:tc>
          <w:tcPr>
            <w:tcW w:w="385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94"/>
              <w:ind w:right="61"/>
              <w:jc w:val="righ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32"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15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本年转</w:t>
            </w:r>
          </w:p>
        </w:tc>
        <w:tc>
          <w:tcPr>
            <w:tcW w:w="1267" w:type="dxa"/>
            <w:tcBorders>
              <w:top w:val="nil" w:sz="6" w:space="0" w:color="auto"/>
              <w:left w:val="nil" w:sz="6" w:space="0" w:color="auto"/>
              <w:bottom w:val="nil" w:sz="6" w:space="0" w:color="auto"/>
              <w:right w:val="nil" w:sz="6" w:space="0" w:color="auto"/>
            </w:tcBorders>
          </w:tcPr>
          <w:p>
            <w:pP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4"/>
              <w:ind w:left="798"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5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24" w:right="0"/>
              <w:jc w:val="left"/>
              <w:rPr>
                <w:rFonts w:ascii="宋体" w:hAnsi="宋体" w:cs="宋体" w:eastAsia="宋体" w:hint="default"/>
                <w:sz w:val="21"/>
                <w:szCs w:val="21"/>
              </w:rPr>
            </w:pPr>
            <w:r>
              <w:rPr>
                <w:rFonts w:ascii="宋体" w:hAnsi="宋体" w:cs="宋体" w:eastAsia="宋体" w:hint="default"/>
                <w:sz w:val="21"/>
                <w:szCs w:val="21"/>
              </w:rPr>
              <w:t>累计</w:t>
            </w:r>
          </w:p>
        </w:tc>
      </w:tr>
      <w:tr>
        <w:trPr>
          <w:trHeight w:val="248" w:hRule="exact"/>
        </w:trPr>
        <w:tc>
          <w:tcPr>
            <w:tcW w:w="797" w:type="dxa"/>
            <w:tcBorders>
              <w:top w:val="nil" w:sz="6" w:space="0" w:color="auto"/>
              <w:left w:val="nil" w:sz="6" w:space="0" w:color="auto"/>
              <w:bottom w:val="nil" w:sz="6" w:space="0" w:color="auto"/>
              <w:right w:val="nil" w:sz="6" w:space="0" w:color="auto"/>
            </w:tcBorders>
          </w:tcPr>
          <w:p>
            <w:pPr/>
          </w:p>
        </w:tc>
        <w:tc>
          <w:tcPr>
            <w:tcW w:w="3853" w:type="dxa"/>
            <w:gridSpan w:val="4"/>
            <w:tcBorders>
              <w:top w:val="nil" w:sz="6" w:space="0" w:color="auto"/>
              <w:left w:val="nil" w:sz="6" w:space="0" w:color="auto"/>
              <w:bottom w:val="nil" w:sz="6" w:space="0" w:color="auto"/>
              <w:right w:val="nil" w:sz="6" w:space="0" w:color="auto"/>
            </w:tcBorders>
          </w:tcPr>
          <w:p>
            <w:pPr>
              <w:pStyle w:val="TableParagraph"/>
              <w:tabs>
                <w:tab w:pos="2745" w:val="left" w:leader="none"/>
              </w:tabs>
              <w:spacing w:line="252" w:lineRule="exact"/>
              <w:ind w:left="1874" w:right="0"/>
              <w:jc w:val="left"/>
              <w:rPr>
                <w:rFonts w:ascii="宋体" w:hAnsi="宋体" w:cs="宋体" w:eastAsia="宋体" w:hint="default"/>
                <w:sz w:val="21"/>
                <w:szCs w:val="21"/>
              </w:rPr>
            </w:pPr>
            <w:r>
              <w:rPr>
                <w:rFonts w:ascii="宋体" w:hAnsi="宋体" w:cs="宋体" w:eastAsia="宋体" w:hint="default"/>
                <w:sz w:val="21"/>
                <w:szCs w:val="21"/>
              </w:rPr>
              <w:t>原价</w:t>
              <w:tab/>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37" w:lineRule="exact"/>
              <w:ind w:right="62"/>
              <w:jc w:val="right"/>
              <w:rPr>
                <w:rFonts w:ascii="宋体" w:hAnsi="宋体" w:cs="宋体" w:eastAsia="宋体" w:hint="default"/>
                <w:sz w:val="21"/>
                <w:szCs w:val="21"/>
              </w:rPr>
            </w:pPr>
            <w:r>
              <w:rPr>
                <w:rFonts w:ascii="宋体" w:hAnsi="宋体" w:cs="宋体" w:eastAsia="宋体" w:hint="default"/>
                <w:sz w:val="21"/>
                <w:szCs w:val="21"/>
              </w:rPr>
              <w:t>转入</w:t>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37" w:lineRule="exact"/>
              <w:ind w:left="512" w:right="0"/>
              <w:jc w:val="left"/>
              <w:rPr>
                <w:rFonts w:ascii="宋体" w:hAnsi="宋体" w:cs="宋体" w:eastAsia="宋体" w:hint="default"/>
                <w:sz w:val="21"/>
                <w:szCs w:val="21"/>
              </w:rPr>
            </w:pPr>
            <w:r>
              <w:rPr>
                <w:rFonts w:ascii="宋体" w:hAnsi="宋体" w:cs="宋体" w:eastAsia="宋体" w:hint="default"/>
                <w:sz w:val="21"/>
                <w:szCs w:val="21"/>
              </w:rPr>
              <w:t>其他增加</w:t>
            </w:r>
          </w:p>
        </w:tc>
        <w:tc>
          <w:tcPr>
            <w:tcW w:w="1573" w:type="dxa"/>
            <w:gridSpan w:val="2"/>
            <w:tcBorders>
              <w:top w:val="nil" w:sz="6" w:space="0" w:color="auto"/>
              <w:left w:val="nil" w:sz="6" w:space="0" w:color="auto"/>
              <w:bottom w:val="nil" w:sz="6" w:space="0" w:color="auto"/>
              <w:right w:val="nil" w:sz="6" w:space="0" w:color="auto"/>
            </w:tcBorders>
          </w:tcPr>
          <w:p>
            <w:pPr>
              <w:pStyle w:val="TableParagraph"/>
              <w:spacing w:line="237" w:lineRule="exact"/>
              <w:ind w:left="1000"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267" w:type="dxa"/>
            <w:tcBorders>
              <w:top w:val="nil" w:sz="6" w:space="0" w:color="auto"/>
              <w:left w:val="nil" w:sz="6" w:space="0" w:color="auto"/>
              <w:bottom w:val="nil" w:sz="6" w:space="0" w:color="auto"/>
              <w:right w:val="nil" w:sz="6" w:space="0" w:color="auto"/>
            </w:tcBorders>
          </w:tcPr>
          <w:p>
            <w:pPr>
              <w:pStyle w:val="TableParagraph"/>
              <w:spacing w:line="236" w:lineRule="exact"/>
              <w:ind w:left="362" w:right="0"/>
              <w:jc w:val="left"/>
              <w:rPr>
                <w:rFonts w:ascii="宋体" w:hAnsi="宋体" w:cs="宋体" w:eastAsia="宋体" w:hint="default"/>
                <w:sz w:val="21"/>
                <w:szCs w:val="21"/>
              </w:rPr>
            </w:pPr>
            <w:r>
              <w:rPr>
                <w:rFonts w:ascii="宋体" w:hAnsi="宋体" w:cs="宋体" w:eastAsia="宋体" w:hint="default"/>
                <w:sz w:val="21"/>
                <w:szCs w:val="21"/>
              </w:rPr>
              <w:t>本年摊销</w:t>
            </w: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52" w:lineRule="exact"/>
              <w:ind w:left="48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503" w:type="dxa"/>
            <w:gridSpan w:val="3"/>
            <w:tcBorders>
              <w:top w:val="nil" w:sz="6" w:space="0" w:color="auto"/>
              <w:left w:val="nil" w:sz="6" w:space="0" w:color="auto"/>
              <w:bottom w:val="nil" w:sz="6" w:space="0" w:color="auto"/>
              <w:right w:val="nil" w:sz="6" w:space="0" w:color="auto"/>
            </w:tcBorders>
          </w:tcPr>
          <w:p>
            <w:pPr>
              <w:pStyle w:val="TableParagraph"/>
              <w:spacing w:line="237" w:lineRule="exact"/>
              <w:ind w:left="614" w:right="0"/>
              <w:jc w:val="left"/>
              <w:rPr>
                <w:rFonts w:ascii="宋体" w:hAnsi="宋体" w:cs="宋体" w:eastAsia="宋体" w:hint="default"/>
                <w:sz w:val="21"/>
                <w:szCs w:val="21"/>
              </w:rPr>
            </w:pPr>
            <w:r>
              <w:rPr>
                <w:rFonts w:ascii="宋体" w:hAnsi="宋体" w:cs="宋体" w:eastAsia="宋体" w:hint="default"/>
                <w:sz w:val="21"/>
                <w:szCs w:val="21"/>
              </w:rPr>
              <w:t>摊销额</w:t>
            </w:r>
          </w:p>
        </w:tc>
      </w:tr>
      <w:tr>
        <w:trPr>
          <w:trHeight w:val="298" w:hRule="exact"/>
        </w:trPr>
        <w:tc>
          <w:tcPr>
            <w:tcW w:w="14529" w:type="dxa"/>
            <w:gridSpan w:val="17"/>
            <w:tcBorders>
              <w:top w:val="nil" w:sz="6" w:space="0" w:color="auto"/>
              <w:left w:val="nil" w:sz="6" w:space="0" w:color="auto"/>
              <w:bottom w:val="nil" w:sz="6" w:space="0" w:color="auto"/>
              <w:right w:val="nil" w:sz="6" w:space="0" w:color="auto"/>
            </w:tcBorders>
          </w:tcPr>
          <w:p>
            <w:pPr>
              <w:pStyle w:val="TableParagraph"/>
              <w:spacing w:line="277" w:lineRule="exact"/>
              <w:ind w:left="785"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r>
      <w:tr>
        <w:trPr>
          <w:trHeight w:val="283" w:hRule="exact"/>
        </w:trPr>
        <w:tc>
          <w:tcPr>
            <w:tcW w:w="2086"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84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2"/>
              <w:jc w:val="right"/>
              <w:rPr>
                <w:rFonts w:ascii="Arial" w:hAnsi="Arial" w:cs="Arial" w:eastAsia="Arial" w:hint="default"/>
                <w:sz w:val="21"/>
                <w:szCs w:val="21"/>
              </w:rPr>
            </w:pPr>
            <w:r>
              <w:rPr>
                <w:rFonts w:ascii="Arial"/>
                <w:spacing w:val="-1"/>
                <w:sz w:val="21"/>
              </w:rPr>
              <w:t>89,599</w:t>
            </w:r>
            <w:r>
              <w:rPr>
                <w:rFonts w:ascii="Arial"/>
                <w:sz w:val="21"/>
              </w:rPr>
            </w:r>
          </w:p>
        </w:tc>
        <w:tc>
          <w:tcPr>
            <w:tcW w:w="26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6"/>
              <w:jc w:val="right"/>
              <w:rPr>
                <w:rFonts w:ascii="Arial" w:hAnsi="Arial" w:cs="Arial" w:eastAsia="Arial" w:hint="default"/>
                <w:sz w:val="21"/>
                <w:szCs w:val="21"/>
              </w:rPr>
            </w:pPr>
            <w:r>
              <w:rPr>
                <w:rFonts w:ascii="Arial"/>
                <w:spacing w:val="-1"/>
                <w:sz w:val="21"/>
              </w:rPr>
              <w:t>62,975</w:t>
            </w:r>
            <w:r>
              <w:rPr>
                <w:rFonts w:ascii="Arial"/>
                <w:sz w:val="21"/>
              </w:rPr>
            </w:r>
          </w:p>
        </w:tc>
        <w:tc>
          <w:tcPr>
            <w:tcW w:w="26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1"/>
              <w:jc w:val="right"/>
              <w:rPr>
                <w:rFonts w:ascii="Arial" w:hAnsi="Arial" w:cs="Arial" w:eastAsia="Arial" w:hint="default"/>
                <w:sz w:val="21"/>
                <w:szCs w:val="21"/>
              </w:rPr>
            </w:pPr>
            <w:r>
              <w:rPr>
                <w:rFonts w:ascii="Arial"/>
                <w:sz w:val="21"/>
              </w:rPr>
              <w:t>-</w:t>
            </w:r>
          </w:p>
        </w:tc>
        <w:tc>
          <w:tcPr>
            <w:tcW w:w="269"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15" w:right="0"/>
              <w:jc w:val="left"/>
              <w:rPr>
                <w:rFonts w:ascii="Arial" w:hAnsi="Arial" w:cs="Arial" w:eastAsia="Arial" w:hint="default"/>
                <w:sz w:val="21"/>
                <w:szCs w:val="21"/>
              </w:rPr>
            </w:pPr>
            <w:r>
              <w:rPr>
                <w:rFonts w:ascii="Arial"/>
                <w:spacing w:val="-4"/>
                <w:sz w:val="21"/>
              </w:rPr>
              <w:t>25,117</w:t>
            </w:r>
          </w:p>
        </w:tc>
        <w:tc>
          <w:tcPr>
            <w:tcW w:w="270" w:type="dxa"/>
            <w:tcBorders>
              <w:top w:val="nil" w:sz="6" w:space="0" w:color="auto"/>
              <w:left w:val="nil" w:sz="6" w:space="0" w:color="auto"/>
              <w:bottom w:val="nil" w:sz="6" w:space="0" w:color="auto"/>
              <w:right w:val="nil" w:sz="6" w:space="0" w:color="auto"/>
            </w:tcBorders>
          </w:tcPr>
          <w:p>
            <w:pPr/>
          </w:p>
        </w:tc>
        <w:tc>
          <w:tcPr>
            <w:tcW w:w="2570" w:type="dxa"/>
            <w:gridSpan w:val="2"/>
            <w:tcBorders>
              <w:top w:val="nil" w:sz="6" w:space="0" w:color="auto"/>
              <w:left w:val="nil" w:sz="6" w:space="0" w:color="auto"/>
              <w:bottom w:val="nil" w:sz="6" w:space="0" w:color="auto"/>
              <w:right w:val="nil" w:sz="6" w:space="0" w:color="auto"/>
            </w:tcBorders>
          </w:tcPr>
          <w:p>
            <w:pPr>
              <w:pStyle w:val="TableParagraph"/>
              <w:tabs>
                <w:tab w:pos="1841" w:val="left" w:leader="none"/>
              </w:tabs>
              <w:spacing w:line="240" w:lineRule="auto" w:before="30"/>
              <w:ind w:left="828" w:right="0"/>
              <w:jc w:val="left"/>
              <w:rPr>
                <w:rFonts w:ascii="Arial" w:hAnsi="Arial" w:cs="Arial" w:eastAsia="Arial" w:hint="default"/>
                <w:sz w:val="21"/>
                <w:szCs w:val="21"/>
              </w:rPr>
            </w:pPr>
            <w:r>
              <w:rPr>
                <w:rFonts w:ascii="Arial"/>
                <w:sz w:val="21"/>
              </w:rPr>
              <w:t>-</w:t>
              <w:tab/>
              <w:t>(1,695)</w:t>
            </w:r>
          </w:p>
        </w:tc>
        <w:tc>
          <w:tcPr>
            <w:tcW w:w="268"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1"/>
              <w:jc w:val="right"/>
              <w:rPr>
                <w:rFonts w:ascii="Arial" w:hAnsi="Arial" w:cs="Arial" w:eastAsia="Arial" w:hint="default"/>
                <w:sz w:val="21"/>
                <w:szCs w:val="21"/>
              </w:rPr>
            </w:pPr>
            <w:r>
              <w:rPr>
                <w:rFonts w:ascii="Arial"/>
                <w:spacing w:val="-1"/>
                <w:sz w:val="21"/>
              </w:rPr>
              <w:t>86,397</w:t>
            </w:r>
            <w:r>
              <w:rPr>
                <w:rFonts w:ascii="Arial"/>
                <w:sz w:val="21"/>
              </w:rPr>
            </w:r>
          </w:p>
        </w:tc>
        <w:tc>
          <w:tcPr>
            <w:tcW w:w="27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Arial" w:hAnsi="Arial" w:cs="Arial" w:eastAsia="Arial" w:hint="default"/>
                <w:sz w:val="21"/>
                <w:szCs w:val="21"/>
              </w:rPr>
            </w:pPr>
            <w:r>
              <w:rPr>
                <w:rFonts w:ascii="Arial"/>
                <w:spacing w:val="-1"/>
                <w:sz w:val="21"/>
              </w:rPr>
              <w:t>(3,202)</w:t>
            </w:r>
            <w:r>
              <w:rPr>
                <w:rFonts w:ascii="Arial"/>
                <w:sz w:val="21"/>
              </w:rPr>
            </w:r>
          </w:p>
        </w:tc>
        <w:tc>
          <w:tcPr>
            <w:tcW w:w="1191" w:type="dxa"/>
            <w:tcBorders>
              <w:top w:val="nil" w:sz="6" w:space="0" w:color="auto"/>
              <w:left w:val="nil" w:sz="6" w:space="0" w:color="auto"/>
              <w:bottom w:val="nil" w:sz="6" w:space="0" w:color="auto"/>
              <w:right w:val="nil" w:sz="6" w:space="0" w:color="auto"/>
            </w:tcBorders>
          </w:tcPr>
          <w:p>
            <w:pPr/>
          </w:p>
        </w:tc>
      </w:tr>
      <w:tr>
        <w:trPr>
          <w:trHeight w:val="273" w:hRule="exact"/>
        </w:trPr>
        <w:tc>
          <w:tcPr>
            <w:tcW w:w="2086"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21"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2"/>
              <w:jc w:val="right"/>
              <w:rPr>
                <w:rFonts w:ascii="Arial" w:hAnsi="Arial" w:cs="Arial" w:eastAsia="Arial" w:hint="default"/>
                <w:sz w:val="21"/>
                <w:szCs w:val="21"/>
              </w:rPr>
            </w:pPr>
            <w:r>
              <w:rPr>
                <w:rFonts w:ascii="Arial"/>
                <w:spacing w:val="-1"/>
                <w:sz w:val="21"/>
              </w:rPr>
              <w:t>52,179</w:t>
            </w:r>
            <w:r>
              <w:rPr>
                <w:rFonts w:ascii="Arial"/>
                <w:sz w:val="21"/>
              </w:rPr>
            </w:r>
          </w:p>
        </w:tc>
        <w:tc>
          <w:tcPr>
            <w:tcW w:w="26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7"/>
              <w:jc w:val="right"/>
              <w:rPr>
                <w:rFonts w:ascii="Arial" w:hAnsi="Arial" w:cs="Arial" w:eastAsia="Arial" w:hint="default"/>
                <w:sz w:val="21"/>
                <w:szCs w:val="21"/>
              </w:rPr>
            </w:pPr>
            <w:r>
              <w:rPr>
                <w:rFonts w:ascii="Arial"/>
                <w:spacing w:val="-1"/>
                <w:sz w:val="21"/>
              </w:rPr>
              <w:t>20,181</w:t>
            </w:r>
            <w:r>
              <w:rPr>
                <w:rFonts w:ascii="Arial"/>
                <w:sz w:val="21"/>
              </w:rPr>
            </w:r>
          </w:p>
        </w:tc>
        <w:tc>
          <w:tcPr>
            <w:tcW w:w="26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2"/>
              <w:jc w:val="right"/>
              <w:rPr>
                <w:rFonts w:ascii="Arial" w:hAnsi="Arial" w:cs="Arial" w:eastAsia="Arial" w:hint="default"/>
                <w:sz w:val="21"/>
                <w:szCs w:val="21"/>
              </w:rPr>
            </w:pPr>
            <w:r>
              <w:rPr>
                <w:rFonts w:ascii="Arial"/>
                <w:spacing w:val="-1"/>
                <w:w w:val="95"/>
                <w:sz w:val="21"/>
              </w:rPr>
              <w:t>1,020</w:t>
            </w:r>
            <w:r>
              <w:rPr>
                <w:rFonts w:ascii="Arial"/>
                <w:w w:val="95"/>
                <w:sz w:val="21"/>
              </w:rPr>
            </w:r>
          </w:p>
        </w:tc>
        <w:tc>
          <w:tcPr>
            <w:tcW w:w="269"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8" w:right="0"/>
              <w:jc w:val="left"/>
              <w:rPr>
                <w:rFonts w:ascii="Arial" w:hAnsi="Arial" w:cs="Arial" w:eastAsia="Arial" w:hint="default"/>
                <w:sz w:val="21"/>
                <w:szCs w:val="21"/>
              </w:rPr>
            </w:pPr>
            <w:r>
              <w:rPr>
                <w:rFonts w:ascii="Arial"/>
                <w:sz w:val="21"/>
              </w:rPr>
              <w:t>27,247</w:t>
            </w:r>
          </w:p>
        </w:tc>
        <w:tc>
          <w:tcPr>
            <w:tcW w:w="270" w:type="dxa"/>
            <w:tcBorders>
              <w:top w:val="nil" w:sz="6" w:space="0" w:color="auto"/>
              <w:left w:val="nil" w:sz="6" w:space="0" w:color="auto"/>
              <w:bottom w:val="nil" w:sz="6" w:space="0" w:color="auto"/>
              <w:right w:val="nil" w:sz="6" w:space="0" w:color="auto"/>
            </w:tcBorders>
          </w:tcPr>
          <w:p>
            <w:pPr/>
          </w:p>
        </w:tc>
        <w:tc>
          <w:tcPr>
            <w:tcW w:w="2570" w:type="dxa"/>
            <w:gridSpan w:val="2"/>
            <w:tcBorders>
              <w:top w:val="nil" w:sz="6" w:space="0" w:color="auto"/>
              <w:left w:val="nil" w:sz="6" w:space="0" w:color="auto"/>
              <w:bottom w:val="nil" w:sz="6" w:space="0" w:color="auto"/>
              <w:right w:val="nil" w:sz="6" w:space="0" w:color="auto"/>
            </w:tcBorders>
          </w:tcPr>
          <w:p>
            <w:pPr>
              <w:pStyle w:val="TableParagraph"/>
              <w:tabs>
                <w:tab w:pos="1841" w:val="left" w:leader="none"/>
              </w:tabs>
              <w:spacing w:line="240" w:lineRule="auto" w:before="20"/>
              <w:ind w:left="840" w:right="0"/>
              <w:jc w:val="left"/>
              <w:rPr>
                <w:rFonts w:ascii="Arial" w:hAnsi="Arial" w:cs="Arial" w:eastAsia="Arial" w:hint="default"/>
                <w:sz w:val="21"/>
                <w:szCs w:val="21"/>
              </w:rPr>
            </w:pPr>
            <w:r>
              <w:rPr>
                <w:rFonts w:ascii="Arial"/>
                <w:sz w:val="21"/>
              </w:rPr>
              <w:t>-</w:t>
              <w:tab/>
              <w:t>(5,765)</w:t>
            </w:r>
          </w:p>
        </w:tc>
        <w:tc>
          <w:tcPr>
            <w:tcW w:w="268"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
              <w:jc w:val="right"/>
              <w:rPr>
                <w:rFonts w:ascii="Arial" w:hAnsi="Arial" w:cs="Arial" w:eastAsia="Arial" w:hint="default"/>
                <w:sz w:val="21"/>
                <w:szCs w:val="21"/>
              </w:rPr>
            </w:pPr>
            <w:r>
              <w:rPr>
                <w:rFonts w:ascii="Arial"/>
                <w:spacing w:val="-1"/>
                <w:sz w:val="21"/>
              </w:rPr>
              <w:t>42,683</w:t>
            </w:r>
            <w:r>
              <w:rPr>
                <w:rFonts w:ascii="Arial"/>
                <w:sz w:val="21"/>
              </w:rPr>
            </w:r>
          </w:p>
        </w:tc>
        <w:tc>
          <w:tcPr>
            <w:tcW w:w="27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Arial" w:hAnsi="Arial" w:cs="Arial" w:eastAsia="Arial" w:hint="default"/>
                <w:sz w:val="21"/>
                <w:szCs w:val="21"/>
              </w:rPr>
            </w:pPr>
            <w:r>
              <w:rPr>
                <w:rFonts w:ascii="Arial"/>
                <w:spacing w:val="-1"/>
                <w:sz w:val="21"/>
              </w:rPr>
              <w:t>(9,496)</w:t>
            </w:r>
            <w:r>
              <w:rPr>
                <w:rFonts w:ascii="Arial"/>
                <w:sz w:val="21"/>
              </w:rPr>
            </w:r>
          </w:p>
        </w:tc>
        <w:tc>
          <w:tcPr>
            <w:tcW w:w="1191" w:type="dxa"/>
            <w:tcBorders>
              <w:top w:val="nil" w:sz="6" w:space="0" w:color="auto"/>
              <w:left w:val="nil" w:sz="6" w:space="0" w:color="auto"/>
              <w:bottom w:val="nil" w:sz="6" w:space="0" w:color="auto"/>
              <w:right w:val="nil" w:sz="6" w:space="0" w:color="auto"/>
            </w:tcBorders>
          </w:tcPr>
          <w:p>
            <w:pPr/>
          </w:p>
        </w:tc>
      </w:tr>
      <w:tr>
        <w:trPr>
          <w:trHeight w:val="267" w:hRule="exact"/>
        </w:trPr>
        <w:tc>
          <w:tcPr>
            <w:tcW w:w="2086"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843" w:right="0"/>
              <w:jc w:val="left"/>
              <w:rPr>
                <w:rFonts w:ascii="Arial" w:hAnsi="Arial" w:cs="Arial" w:eastAsia="Arial" w:hint="default"/>
                <w:sz w:val="21"/>
                <w:szCs w:val="21"/>
              </w:rPr>
            </w:pPr>
            <w:r>
              <w:rPr>
                <w:rFonts w:ascii="宋体" w:hAnsi="宋体" w:cs="宋体" w:eastAsia="宋体" w:hint="default"/>
                <w:sz w:val="21"/>
                <w:szCs w:val="21"/>
              </w:rPr>
              <w:t>优惠承租权</w:t>
            </w:r>
            <w:r>
              <w:rPr>
                <w:rFonts w:ascii="Arial" w:hAnsi="Arial" w:cs="Arial" w:eastAsia="Arial" w:hint="default"/>
                <w:sz w:val="21"/>
                <w:szCs w:val="21"/>
              </w:rPr>
              <w:t>(a</w:t>
            </w:r>
          </w:p>
        </w:tc>
        <w:tc>
          <w:tcPr>
            <w:tcW w:w="1006"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20"/>
              <w:ind w:right="5"/>
              <w:jc w:val="right"/>
              <w:rPr>
                <w:rFonts w:ascii="Arial" w:hAnsi="Arial" w:cs="Arial" w:eastAsia="Arial" w:hint="default"/>
                <w:sz w:val="21"/>
                <w:szCs w:val="21"/>
              </w:rPr>
            </w:pPr>
            <w:r>
              <w:rPr>
                <w:rFonts w:ascii="Arial"/>
                <w:sz w:val="21"/>
              </w:rPr>
            </w:r>
            <w:r>
              <w:rPr>
                <w:rFonts w:ascii="Arial"/>
                <w:sz w:val="21"/>
                <w:u w:val="single" w:color="000000"/>
              </w:rPr>
              <w:t>  </w:t>
            </w:r>
            <w:r>
              <w:rPr>
                <w:rFonts w:ascii="Arial"/>
                <w:spacing w:val="2"/>
                <w:sz w:val="21"/>
                <w:u w:val="single" w:color="000000"/>
              </w:rPr>
              <w:t> </w:t>
            </w:r>
            <w:r>
              <w:rPr>
                <w:rFonts w:ascii="Arial"/>
                <w:spacing w:val="-1"/>
                <w:sz w:val="21"/>
                <w:u w:val="single" w:color="000000"/>
              </w:rPr>
              <w:t>245,233</w:t>
              <w:tab/>
            </w:r>
            <w:r>
              <w:rPr>
                <w:rFonts w:ascii="Arial"/>
                <w:spacing w:val="-1"/>
                <w:sz w:val="21"/>
              </w:rPr>
            </w:r>
          </w:p>
        </w:tc>
        <w:tc>
          <w:tcPr>
            <w:tcW w:w="26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tabs>
                <w:tab w:pos="1154" w:val="left" w:leader="none"/>
              </w:tabs>
              <w:spacing w:line="240" w:lineRule="auto" w:before="20"/>
              <w:ind w:right="56"/>
              <w:jc w:val="right"/>
              <w:rPr>
                <w:rFonts w:ascii="Arial" w:hAnsi="Arial" w:cs="Arial" w:eastAsia="Arial" w:hint="default"/>
                <w:sz w:val="21"/>
                <w:szCs w:val="21"/>
              </w:rPr>
            </w:pPr>
            <w:r>
              <w:rPr>
                <w:rFonts w:ascii="Arial"/>
                <w:sz w:val="21"/>
              </w:rPr>
            </w:r>
            <w:r>
              <w:rPr>
                <w:rFonts w:ascii="Arial"/>
                <w:sz w:val="21"/>
                <w:u w:val="single" w:color="000000"/>
              </w:rPr>
              <w:t> </w:t>
              <w:tab/>
              <w:t>-</w:t>
            </w:r>
            <w:r>
              <w:rPr>
                <w:rFonts w:ascii="Arial"/>
                <w:sz w:val="21"/>
              </w:rPr>
            </w:r>
          </w:p>
        </w:tc>
        <w:tc>
          <w:tcPr>
            <w:tcW w:w="26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tabs>
                <w:tab w:pos="1149" w:val="left" w:leader="none"/>
              </w:tabs>
              <w:spacing w:line="240" w:lineRule="auto" w:before="20"/>
              <w:ind w:right="61"/>
              <w:jc w:val="right"/>
              <w:rPr>
                <w:rFonts w:ascii="Arial" w:hAnsi="Arial" w:cs="Arial" w:eastAsia="Arial" w:hint="default"/>
                <w:sz w:val="21"/>
                <w:szCs w:val="21"/>
              </w:rPr>
            </w:pPr>
            <w:r>
              <w:rPr>
                <w:rFonts w:ascii="Arial"/>
                <w:sz w:val="21"/>
              </w:rPr>
            </w:r>
            <w:r>
              <w:rPr>
                <w:rFonts w:ascii="Arial"/>
                <w:sz w:val="21"/>
                <w:u w:val="single" w:color="000000"/>
              </w:rPr>
              <w:t> </w:t>
              <w:tab/>
              <w:t>-</w:t>
            </w:r>
            <w:r>
              <w:rPr>
                <w:rFonts w:ascii="Arial"/>
                <w:sz w:val="21"/>
              </w:rPr>
            </w:r>
          </w:p>
        </w:tc>
        <w:tc>
          <w:tcPr>
            <w:tcW w:w="269"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tabs>
                <w:tab w:pos="283" w:val="left" w:leader="none"/>
                <w:tab w:pos="1140" w:val="left" w:leader="none"/>
              </w:tabs>
              <w:spacing w:line="240" w:lineRule="auto" w:before="20"/>
              <w:ind w:left="7" w:right="0"/>
              <w:jc w:val="left"/>
              <w:rPr>
                <w:rFonts w:ascii="Arial" w:hAnsi="Arial" w:cs="Arial" w:eastAsia="Arial" w:hint="default"/>
                <w:sz w:val="21"/>
                <w:szCs w:val="21"/>
              </w:rPr>
            </w:pPr>
            <w:r>
              <w:rPr>
                <w:rFonts w:ascii="Arial"/>
                <w:sz w:val="21"/>
              </w:rPr>
            </w:r>
            <w:r>
              <w:rPr>
                <w:rFonts w:ascii="Arial"/>
                <w:sz w:val="21"/>
                <w:u w:val="single" w:color="000000"/>
              </w:rPr>
              <w:t> </w:t>
              <w:tab/>
              <w:t>245,233</w:t>
              <w:tab/>
            </w:r>
            <w:r>
              <w:rPr>
                <w:rFonts w:ascii="Arial"/>
                <w:sz w:val="21"/>
              </w:rPr>
            </w:r>
          </w:p>
        </w:tc>
        <w:tc>
          <w:tcPr>
            <w:tcW w:w="270" w:type="dxa"/>
            <w:tcBorders>
              <w:top w:val="nil" w:sz="6" w:space="0" w:color="auto"/>
              <w:left w:val="nil" w:sz="6" w:space="0" w:color="auto"/>
              <w:bottom w:val="nil" w:sz="6" w:space="0" w:color="auto"/>
              <w:right w:val="nil" w:sz="6" w:space="0" w:color="auto"/>
            </w:tcBorders>
          </w:tcPr>
          <w:p>
            <w:pPr/>
          </w:p>
        </w:tc>
        <w:tc>
          <w:tcPr>
            <w:tcW w:w="2570" w:type="dxa"/>
            <w:gridSpan w:val="2"/>
            <w:tcBorders>
              <w:top w:val="nil" w:sz="6" w:space="0" w:color="auto"/>
              <w:left w:val="nil" w:sz="6" w:space="0" w:color="auto"/>
              <w:bottom w:val="nil" w:sz="6" w:space="0" w:color="auto"/>
              <w:right w:val="nil" w:sz="6" w:space="0" w:color="auto"/>
            </w:tcBorders>
          </w:tcPr>
          <w:p>
            <w:pPr>
              <w:pStyle w:val="TableParagraph"/>
              <w:tabs>
                <w:tab w:pos="828" w:val="left" w:leader="none"/>
                <w:tab w:pos="1282" w:val="left" w:leader="none"/>
                <w:tab w:pos="2338" w:val="left" w:leader="none"/>
                <w:tab w:pos="2563" w:val="left" w:leader="none"/>
              </w:tabs>
              <w:spacing w:line="240" w:lineRule="auto" w:before="20"/>
              <w:ind w:left="7" w:right="0"/>
              <w:jc w:val="left"/>
              <w:rPr>
                <w:rFonts w:ascii="Arial" w:hAnsi="Arial" w:cs="Arial" w:eastAsia="Arial" w:hint="default"/>
                <w:sz w:val="21"/>
                <w:szCs w:val="21"/>
              </w:rPr>
            </w:pPr>
            <w:r>
              <w:rPr>
                <w:rFonts w:ascii="Arial"/>
                <w:sz w:val="21"/>
              </w:rPr>
            </w:r>
            <w:r>
              <w:rPr>
                <w:rFonts w:ascii="Arial"/>
                <w:sz w:val="21"/>
                <w:u w:val="single" w:color="000000"/>
              </w:rPr>
              <w:t> </w:t>
              <w:tab/>
              <w:t>-</w:t>
            </w:r>
            <w:r>
              <w:rPr>
                <w:rFonts w:ascii="Arial"/>
                <w:sz w:val="21"/>
              </w:rPr>
              <w:tab/>
            </w:r>
            <w:r>
              <w:rPr>
                <w:rFonts w:ascii="Arial"/>
                <w:sz w:val="21"/>
                <w:u w:val="single" w:color="000000"/>
              </w:rPr>
              <w:t> </w:t>
              <w:tab/>
              <w:t>-</w:t>
              <w:tab/>
            </w:r>
            <w:r>
              <w:rPr>
                <w:rFonts w:ascii="Arial"/>
                <w:sz w:val="21"/>
              </w:rPr>
            </w:r>
          </w:p>
        </w:tc>
        <w:tc>
          <w:tcPr>
            <w:tcW w:w="268"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tabs>
                <w:tab w:pos="493" w:val="left" w:leader="none"/>
              </w:tabs>
              <w:spacing w:line="240" w:lineRule="auto" w:before="20"/>
              <w:ind w:right="31"/>
              <w:jc w:val="right"/>
              <w:rPr>
                <w:rFonts w:ascii="Arial" w:hAnsi="Arial" w:cs="Arial" w:eastAsia="Arial" w:hint="default"/>
                <w:sz w:val="21"/>
                <w:szCs w:val="21"/>
              </w:rPr>
            </w:pPr>
            <w:r>
              <w:rPr>
                <w:rFonts w:ascii="Arial"/>
                <w:sz w:val="21"/>
              </w:rPr>
            </w:r>
            <w:r>
              <w:rPr>
                <w:rFonts w:ascii="Arial"/>
                <w:sz w:val="21"/>
                <w:u w:val="single" w:color="000000"/>
              </w:rPr>
              <w:t> </w:t>
              <w:tab/>
            </w:r>
            <w:r>
              <w:rPr>
                <w:rFonts w:ascii="Arial"/>
                <w:spacing w:val="-1"/>
                <w:sz w:val="21"/>
                <w:u w:val="single" w:color="000000"/>
              </w:rPr>
              <w:t>245,233</w:t>
            </w:r>
            <w:r>
              <w:rPr>
                <w:rFonts w:ascii="Arial"/>
                <w:spacing w:val="-1"/>
                <w:sz w:val="21"/>
              </w:rPr>
            </w:r>
            <w:r>
              <w:rPr>
                <w:rFonts w:ascii="Arial"/>
                <w:sz w:val="21"/>
              </w:rPr>
            </w:r>
          </w:p>
        </w:tc>
        <w:tc>
          <w:tcPr>
            <w:tcW w:w="27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single" w:sz="4" w:space="0" w:color="000000"/>
              <w:right w:val="nil" w:sz="6" w:space="0" w:color="auto"/>
            </w:tcBorders>
          </w:tcPr>
          <w:p>
            <w:pPr>
              <w:pStyle w:val="TableParagraph"/>
              <w:spacing w:line="230" w:lineRule="exact"/>
              <w:ind w:right="105"/>
              <w:jc w:val="right"/>
              <w:rPr>
                <w:rFonts w:ascii="Arial" w:hAnsi="Arial" w:cs="Arial" w:eastAsia="Arial" w:hint="default"/>
                <w:sz w:val="21"/>
                <w:szCs w:val="21"/>
              </w:rPr>
            </w:pPr>
            <w:r>
              <w:rPr>
                <w:rFonts w:ascii="Arial"/>
                <w:sz w:val="21"/>
              </w:rPr>
              <w:t>-</w:t>
            </w:r>
          </w:p>
        </w:tc>
        <w:tc>
          <w:tcPr>
            <w:tcW w:w="1191" w:type="dxa"/>
            <w:tcBorders>
              <w:top w:val="nil" w:sz="6" w:space="0" w:color="auto"/>
              <w:left w:val="nil" w:sz="6" w:space="0" w:color="auto"/>
              <w:bottom w:val="nil" w:sz="6" w:space="0" w:color="auto"/>
              <w:right w:val="nil" w:sz="6" w:space="0" w:color="auto"/>
            </w:tcBorders>
          </w:tcPr>
          <w:p>
            <w:pPr/>
          </w:p>
        </w:tc>
      </w:tr>
      <w:tr>
        <w:trPr>
          <w:trHeight w:val="261" w:hRule="exact"/>
        </w:trPr>
        <w:tc>
          <w:tcPr>
            <w:tcW w:w="2086" w:type="dxa"/>
            <w:gridSpan w:val="2"/>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61"/>
              <w:jc w:val="right"/>
              <w:rPr>
                <w:rFonts w:ascii="Arial" w:hAnsi="Arial" w:cs="Arial" w:eastAsia="Arial" w:hint="default"/>
                <w:sz w:val="21"/>
                <w:szCs w:val="21"/>
              </w:rPr>
            </w:pPr>
            <w:r>
              <w:rPr>
                <w:rFonts w:ascii="Arial"/>
                <w:spacing w:val="-3"/>
                <w:sz w:val="21"/>
              </w:rPr>
              <w:t>387,011</w:t>
            </w:r>
          </w:p>
        </w:tc>
        <w:tc>
          <w:tcPr>
            <w:tcW w:w="26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57"/>
              <w:jc w:val="right"/>
              <w:rPr>
                <w:rFonts w:ascii="Arial" w:hAnsi="Arial" w:cs="Arial" w:eastAsia="Arial" w:hint="default"/>
                <w:sz w:val="21"/>
                <w:szCs w:val="21"/>
              </w:rPr>
            </w:pPr>
            <w:r>
              <w:rPr>
                <w:rFonts w:ascii="Arial"/>
                <w:spacing w:val="-1"/>
                <w:sz w:val="21"/>
              </w:rPr>
              <w:t>83,156</w:t>
            </w:r>
            <w:r>
              <w:rPr>
                <w:rFonts w:ascii="Arial"/>
                <w:sz w:val="21"/>
              </w:rPr>
            </w:r>
          </w:p>
        </w:tc>
        <w:tc>
          <w:tcPr>
            <w:tcW w:w="26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62"/>
              <w:jc w:val="right"/>
              <w:rPr>
                <w:rFonts w:ascii="Arial" w:hAnsi="Arial" w:cs="Arial" w:eastAsia="Arial" w:hint="default"/>
                <w:sz w:val="21"/>
                <w:szCs w:val="21"/>
              </w:rPr>
            </w:pPr>
            <w:r>
              <w:rPr>
                <w:rFonts w:ascii="Arial"/>
                <w:spacing w:val="-1"/>
                <w:w w:val="95"/>
                <w:sz w:val="21"/>
              </w:rPr>
              <w:t>1,020</w:t>
            </w:r>
            <w:r>
              <w:rPr>
                <w:rFonts w:ascii="Arial"/>
                <w:w w:val="95"/>
                <w:sz w:val="21"/>
              </w:rPr>
            </w:r>
          </w:p>
        </w:tc>
        <w:tc>
          <w:tcPr>
            <w:tcW w:w="269"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281" w:right="0"/>
              <w:jc w:val="left"/>
              <w:rPr>
                <w:rFonts w:ascii="Arial" w:hAnsi="Arial" w:cs="Arial" w:eastAsia="Arial" w:hint="default"/>
                <w:sz w:val="21"/>
                <w:szCs w:val="21"/>
              </w:rPr>
            </w:pPr>
            <w:r>
              <w:rPr>
                <w:rFonts w:ascii="Arial"/>
                <w:sz w:val="21"/>
              </w:rPr>
              <w:t>297,597</w:t>
            </w:r>
          </w:p>
        </w:tc>
        <w:tc>
          <w:tcPr>
            <w:tcW w:w="270" w:type="dxa"/>
            <w:tcBorders>
              <w:top w:val="nil" w:sz="6" w:space="0" w:color="auto"/>
              <w:left w:val="nil" w:sz="6" w:space="0" w:color="auto"/>
              <w:bottom w:val="nil" w:sz="6" w:space="0" w:color="auto"/>
              <w:right w:val="nil" w:sz="6" w:space="0" w:color="auto"/>
            </w:tcBorders>
          </w:tcPr>
          <w:p>
            <w:pPr/>
          </w:p>
        </w:tc>
        <w:tc>
          <w:tcPr>
            <w:tcW w:w="2570" w:type="dxa"/>
            <w:gridSpan w:val="2"/>
            <w:tcBorders>
              <w:top w:val="nil" w:sz="6" w:space="0" w:color="auto"/>
              <w:left w:val="nil" w:sz="6" w:space="0" w:color="auto"/>
              <w:bottom w:val="nil" w:sz="6" w:space="0" w:color="auto"/>
              <w:right w:val="nil" w:sz="6" w:space="0" w:color="auto"/>
            </w:tcBorders>
          </w:tcPr>
          <w:p>
            <w:pPr>
              <w:pStyle w:val="TableParagraph"/>
              <w:tabs>
                <w:tab w:pos="1842" w:val="left" w:leader="none"/>
              </w:tabs>
              <w:spacing w:line="240" w:lineRule="auto" w:before="4"/>
              <w:ind w:left="841" w:right="0"/>
              <w:jc w:val="left"/>
              <w:rPr>
                <w:rFonts w:ascii="Arial" w:hAnsi="Arial" w:cs="Arial" w:eastAsia="Arial" w:hint="default"/>
                <w:sz w:val="21"/>
                <w:szCs w:val="21"/>
              </w:rPr>
            </w:pPr>
            <w:r>
              <w:rPr>
                <w:rFonts w:ascii="Arial"/>
                <w:sz w:val="21"/>
              </w:rPr>
              <w:t>-</w:t>
              <w:tab/>
              <w:t>(7,460)</w:t>
            </w:r>
          </w:p>
        </w:tc>
        <w:tc>
          <w:tcPr>
            <w:tcW w:w="268"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31"/>
              <w:jc w:val="right"/>
              <w:rPr>
                <w:rFonts w:ascii="Arial" w:hAnsi="Arial" w:cs="Arial" w:eastAsia="Arial" w:hint="default"/>
                <w:sz w:val="21"/>
                <w:szCs w:val="21"/>
              </w:rPr>
            </w:pPr>
            <w:r>
              <w:rPr>
                <w:rFonts w:ascii="Arial"/>
                <w:spacing w:val="-1"/>
                <w:sz w:val="21"/>
              </w:rPr>
              <w:t>374,313</w:t>
            </w:r>
            <w:r>
              <w:rPr>
                <w:rFonts w:ascii="Arial"/>
                <w:sz w:val="21"/>
              </w:rPr>
            </w:r>
          </w:p>
        </w:tc>
        <w:tc>
          <w:tcPr>
            <w:tcW w:w="276" w:type="dxa"/>
            <w:tcBorders>
              <w:top w:val="nil" w:sz="6" w:space="0" w:color="auto"/>
              <w:left w:val="nil" w:sz="6" w:space="0" w:color="auto"/>
              <w:bottom w:val="nil" w:sz="6" w:space="0" w:color="auto"/>
              <w:right w:val="nil" w:sz="6" w:space="0" w:color="auto"/>
            </w:tcBorders>
          </w:tcPr>
          <w:p>
            <w:pPr/>
          </w:p>
        </w:tc>
        <w:tc>
          <w:tcPr>
            <w:tcW w:w="103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33"/>
              <w:jc w:val="right"/>
              <w:rPr>
                <w:rFonts w:ascii="Arial" w:hAnsi="Arial" w:cs="Arial" w:eastAsia="Arial" w:hint="default"/>
                <w:sz w:val="21"/>
                <w:szCs w:val="21"/>
              </w:rPr>
            </w:pPr>
            <w:r>
              <w:rPr>
                <w:rFonts w:ascii="Arial"/>
                <w:spacing w:val="-1"/>
                <w:sz w:val="21"/>
              </w:rPr>
              <w:t>(12,698)</w:t>
            </w:r>
          </w:p>
        </w:tc>
        <w:tc>
          <w:tcPr>
            <w:tcW w:w="1191"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2"/>
          <w:szCs w:val="12"/>
        </w:rPr>
      </w:pPr>
    </w:p>
    <w:p>
      <w:pPr>
        <w:pStyle w:val="BodyText"/>
        <w:spacing w:line="225" w:lineRule="auto" w:before="42"/>
        <w:ind w:left="943" w:right="307"/>
        <w:jc w:val="both"/>
      </w:pPr>
      <w:r>
        <w:rPr/>
        <w:pict>
          <v:group style="position:absolute;margin-left:439.911011pt;margin-top:-9.655309pt;width:50.3pt;height:.1pt;mso-position-horizontal-relative:page;mso-position-vertical-relative:paragraph;z-index:-576880" coordorigin="8798,-193" coordsize="1006,2">
            <v:shape style="position:absolute;left:8798;top:-193;width:1006;height:2" coordorigin="8798,-193" coordsize="1006,0" path="m8798,-193l9804,-193e" filled="false" stroked="true" strokeweight="1.5pt" strokecolor="#000000">
              <v:path arrowok="t"/>
            </v:shape>
            <w10:wrap type="none"/>
          </v:group>
        </w:pict>
      </w:r>
      <w:r>
        <w:rPr/>
        <w:t>于</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31</w:t>
      </w:r>
      <w:r>
        <w:rPr/>
        <w:t>日，原值和摊余价值分别约为人民币</w:t>
      </w:r>
      <w:r>
        <w:rPr>
          <w:rFonts w:ascii="Arial" w:hAnsi="Arial" w:cs="Arial" w:eastAsia="Arial" w:hint="default"/>
        </w:rPr>
        <w:t>295</w:t>
      </w:r>
      <w:r>
        <w:rPr/>
        <w:t>万元及人民币</w:t>
      </w:r>
      <w:r>
        <w:rPr>
          <w:rFonts w:ascii="Arial" w:hAnsi="Arial" w:cs="Arial" w:eastAsia="Arial" w:hint="default"/>
        </w:rPr>
        <w:t>258</w:t>
      </w:r>
      <w:r>
        <w:rPr/>
        <w:t>万元的土地使用权，连同土地上的房屋及建筑物</w:t>
      </w:r>
      <w:r>
        <w:rPr>
          <w:rFonts w:ascii="Arial" w:hAnsi="Arial" w:cs="Arial" w:eastAsia="Arial" w:hint="default"/>
        </w:rPr>
        <w:t>(</w:t>
      </w:r>
      <w:r>
        <w:rPr/>
        <w:t>附注</w:t>
      </w:r>
      <w:r>
        <w:rPr>
          <w:spacing w:val="1"/>
        </w:rPr>
        <w:t> </w:t>
      </w:r>
      <w:r>
        <w:rPr>
          <w:spacing w:val="-2"/>
        </w:rPr>
        <w:t>八</w:t>
      </w:r>
      <w:r>
        <w:rPr>
          <w:rFonts w:ascii="Arial" w:hAnsi="Arial" w:cs="Arial" w:eastAsia="Arial" w:hint="default"/>
          <w:spacing w:val="-2"/>
        </w:rPr>
        <w:t>(8))</w:t>
      </w:r>
      <w:r>
        <w:rPr>
          <w:spacing w:val="-2"/>
        </w:rPr>
        <w:t>，已作为人民币</w:t>
      </w:r>
      <w:r>
        <w:rPr>
          <w:rFonts w:ascii="Arial" w:hAnsi="Arial" w:cs="Arial" w:eastAsia="Arial" w:hint="default"/>
          <w:spacing w:val="-2"/>
        </w:rPr>
        <w:t>6,000</w:t>
      </w:r>
      <w:r>
        <w:rPr>
          <w:spacing w:val="-2"/>
        </w:rPr>
        <w:t>万元短期借款</w:t>
      </w:r>
      <w:r>
        <w:rPr>
          <w:rFonts w:ascii="Arial" w:hAnsi="Arial" w:cs="Arial" w:eastAsia="Arial" w:hint="default"/>
          <w:spacing w:val="-2"/>
        </w:rPr>
        <w:t>(</w:t>
      </w:r>
      <w:r>
        <w:rPr>
          <w:spacing w:val="-2"/>
        </w:rPr>
        <w:t>附注八</w:t>
      </w:r>
      <w:r>
        <w:rPr>
          <w:rFonts w:ascii="Arial" w:hAnsi="Arial" w:cs="Arial" w:eastAsia="Arial" w:hint="default"/>
          <w:spacing w:val="-2"/>
        </w:rPr>
        <w:t>(12(a)))</w:t>
      </w:r>
      <w:r>
        <w:rPr>
          <w:spacing w:val="-2"/>
        </w:rPr>
        <w:t>的抵押物</w:t>
      </w:r>
      <w:r>
        <w:rPr>
          <w:rFonts w:ascii="Arial" w:hAnsi="Arial" w:cs="Arial" w:eastAsia="Arial" w:hint="default"/>
          <w:spacing w:val="-2"/>
        </w:rPr>
        <w:t>(2006</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日：抵押土地的原值和摊余价值分别约为人民币</w:t>
      </w:r>
      <w:r>
        <w:rPr>
          <w:spacing w:val="-71"/>
        </w:rPr>
        <w:t> </w:t>
      </w:r>
      <w:r>
        <w:rPr>
          <w:spacing w:val="-71"/>
        </w:rPr>
      </w:r>
      <w:r>
        <w:rPr>
          <w:rFonts w:ascii="Arial" w:hAnsi="Arial" w:cs="Arial" w:eastAsia="Arial" w:hint="default"/>
        </w:rPr>
        <w:t>295</w:t>
      </w:r>
      <w:r>
        <w:rPr/>
        <w:t>万元及人民币</w:t>
      </w:r>
      <w:r>
        <w:rPr>
          <w:rFonts w:ascii="Arial" w:hAnsi="Arial" w:cs="Arial" w:eastAsia="Arial" w:hint="default"/>
        </w:rPr>
        <w:t>270</w:t>
      </w:r>
      <w:r>
        <w:rPr/>
        <w:t>万元</w:t>
      </w:r>
      <w:r>
        <w:rPr>
          <w:rFonts w:ascii="Arial" w:hAnsi="Arial" w:cs="Arial" w:eastAsia="Arial" w:hint="default"/>
        </w:rPr>
        <w:t>)</w:t>
      </w:r>
      <w:r>
        <w:rPr/>
        <w:t>。</w:t>
      </w:r>
    </w:p>
    <w:p>
      <w:pPr>
        <w:spacing w:line="240" w:lineRule="auto" w:before="3"/>
        <w:rPr>
          <w:rFonts w:ascii="宋体" w:hAnsi="宋体" w:cs="宋体" w:eastAsia="宋体" w:hint="default"/>
          <w:sz w:val="22"/>
          <w:szCs w:val="22"/>
        </w:rPr>
      </w:pPr>
    </w:p>
    <w:p>
      <w:pPr>
        <w:pStyle w:val="BodyText"/>
        <w:spacing w:line="312" w:lineRule="exact"/>
        <w:ind w:left="943" w:right="307"/>
        <w:jc w:val="both"/>
      </w:pPr>
      <w:r>
        <w:rPr>
          <w:spacing w:val="-3"/>
        </w:rPr>
        <w:t>于</w:t>
      </w:r>
      <w:r>
        <w:rPr>
          <w:rFonts w:ascii="Arial" w:hAnsi="Arial" w:cs="Arial" w:eastAsia="Arial" w:hint="default"/>
          <w:spacing w:val="-3"/>
        </w:rPr>
        <w:t>2007</w:t>
      </w:r>
      <w:r>
        <w:rPr>
          <w:spacing w:val="-3"/>
        </w:rPr>
        <w:t>年度，研究开发支出共计约人民币</w:t>
      </w:r>
      <w:r>
        <w:rPr>
          <w:rFonts w:ascii="Arial" w:hAnsi="Arial" w:cs="Arial" w:eastAsia="Arial" w:hint="default"/>
          <w:spacing w:val="-3"/>
        </w:rPr>
        <w:t>2,865</w:t>
      </w:r>
      <w:r>
        <w:rPr>
          <w:spacing w:val="-3"/>
        </w:rPr>
        <w:t>万元，其中计入当期损益的约人民币</w:t>
      </w:r>
      <w:r>
        <w:rPr>
          <w:rFonts w:ascii="Arial" w:hAnsi="Arial" w:cs="Arial" w:eastAsia="Arial" w:hint="default"/>
          <w:spacing w:val="-3"/>
        </w:rPr>
        <w:t>33</w:t>
      </w:r>
      <w:r>
        <w:rPr>
          <w:spacing w:val="-3"/>
        </w:rPr>
        <w:t>万元，确认为无形资产</w:t>
      </w:r>
      <w:r>
        <w:rPr>
          <w:rFonts w:ascii="Arial" w:hAnsi="Arial" w:cs="Arial" w:eastAsia="Arial" w:hint="default"/>
          <w:spacing w:val="-3"/>
        </w:rPr>
        <w:t>(</w:t>
      </w:r>
      <w:r>
        <w:rPr>
          <w:spacing w:val="-3"/>
        </w:rPr>
        <w:t>软件</w:t>
      </w:r>
      <w:r>
        <w:rPr>
          <w:rFonts w:ascii="Arial" w:hAnsi="Arial" w:cs="Arial" w:eastAsia="Arial" w:hint="default"/>
          <w:spacing w:val="-3"/>
        </w:rPr>
        <w:t>)</w:t>
      </w:r>
      <w:r>
        <w:rPr>
          <w:spacing w:val="-3"/>
        </w:rPr>
        <w:t>和开发支出</w:t>
      </w:r>
      <w:r>
        <w:rPr>
          <w:rFonts w:ascii="Arial" w:hAnsi="Arial" w:cs="Arial" w:eastAsia="Arial" w:hint="default"/>
          <w:spacing w:val="-3"/>
        </w:rPr>
        <w:t>(</w:t>
      </w:r>
      <w:r>
        <w:rPr>
          <w:spacing w:val="-3"/>
        </w:rPr>
        <w:t>在</w:t>
      </w:r>
      <w:r>
        <w:rPr>
          <w:spacing w:val="-95"/>
        </w:rPr>
        <w:t> </w:t>
      </w:r>
      <w:r>
        <w:rPr/>
        <w:t>开发软件</w:t>
      </w:r>
      <w:r>
        <w:rPr>
          <w:rFonts w:ascii="Arial" w:hAnsi="Arial" w:cs="Arial" w:eastAsia="Arial" w:hint="default"/>
        </w:rPr>
        <w:t>)</w:t>
      </w:r>
      <w:r>
        <w:rPr/>
        <w:t>的分别约为人民币</w:t>
      </w:r>
      <w:r>
        <w:rPr>
          <w:rFonts w:ascii="Arial" w:hAnsi="Arial" w:cs="Arial" w:eastAsia="Arial" w:hint="default"/>
        </w:rPr>
        <w:t>1,900</w:t>
      </w:r>
      <w:r>
        <w:rPr/>
        <w:t>万元和人民币</w:t>
      </w:r>
      <w:r>
        <w:rPr>
          <w:rFonts w:ascii="Arial" w:hAnsi="Arial" w:cs="Arial" w:eastAsia="Arial" w:hint="default"/>
        </w:rPr>
        <w:t>932</w:t>
      </w:r>
      <w:r>
        <w:rPr/>
        <w:t>万元。</w:t>
      </w:r>
    </w:p>
    <w:p>
      <w:pPr>
        <w:spacing w:after="0" w:line="312" w:lineRule="exact"/>
        <w:jc w:val="both"/>
        <w:sectPr>
          <w:pgSz w:w="16840" w:h="11910" w:orient="landscape"/>
          <w:pgMar w:header="1468" w:footer="705" w:top="1700" w:bottom="900" w:left="80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13" w:val="left" w:leader="none"/>
        </w:tabs>
        <w:spacing w:line="240" w:lineRule="auto"/>
        <w:ind w:left="103" w:right="191"/>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3" w:val="left" w:leader="none"/>
        </w:tabs>
        <w:spacing w:before="0"/>
        <w:ind w:left="103" w:right="191" w:firstLine="0"/>
        <w:jc w:val="left"/>
        <w:rPr>
          <w:rFonts w:ascii="Arial" w:hAnsi="Arial" w:cs="Arial" w:eastAsia="Arial" w:hint="default"/>
          <w:sz w:val="24"/>
          <w:szCs w:val="24"/>
        </w:rPr>
      </w:pPr>
      <w:r>
        <w:rPr>
          <w:rFonts w:ascii="Arial" w:hAnsi="Arial" w:cs="Arial" w:eastAsia="Arial" w:hint="default"/>
          <w:position w:val="2"/>
          <w:sz w:val="24"/>
          <w:szCs w:val="24"/>
        </w:rPr>
        <w:t>(10)</w:t>
        <w:tab/>
      </w:r>
      <w:r>
        <w:rPr>
          <w:rFonts w:ascii="宋体" w:hAnsi="宋体" w:cs="宋体" w:eastAsia="宋体" w:hint="default"/>
          <w:b/>
          <w:bCs/>
          <w:sz w:val="24"/>
          <w:szCs w:val="24"/>
        </w:rPr>
        <w:t>无形资产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3" w:val="left" w:leader="none"/>
        </w:tabs>
        <w:spacing w:line="240" w:lineRule="auto"/>
        <w:ind w:left="103" w:right="191"/>
        <w:jc w:val="left"/>
      </w:pPr>
      <w:r>
        <w:rPr>
          <w:rFonts w:ascii="Arial" w:hAnsi="Arial" w:cs="Arial" w:eastAsia="Arial" w:hint="default"/>
          <w:position w:val="2"/>
        </w:rPr>
        <w:t>(a)</w:t>
        <w:tab/>
      </w:r>
      <w:r>
        <w:rPr/>
        <w:t>优惠承租权</w:t>
      </w:r>
    </w:p>
    <w:p>
      <w:pPr>
        <w:spacing w:line="240" w:lineRule="auto" w:before="4"/>
        <w:rPr>
          <w:rFonts w:ascii="宋体" w:hAnsi="宋体" w:cs="宋体" w:eastAsia="宋体" w:hint="default"/>
          <w:sz w:val="23"/>
          <w:szCs w:val="23"/>
        </w:rPr>
      </w:pPr>
    </w:p>
    <w:p>
      <w:pPr>
        <w:pStyle w:val="BodyText"/>
        <w:spacing w:line="312" w:lineRule="exact"/>
        <w:ind w:left="813" w:right="208"/>
        <w:jc w:val="both"/>
      </w:pPr>
      <w:r>
        <w:rPr/>
        <w:t>优惠承租权系本集团对加盟店进行业务合并</w:t>
      </w:r>
      <w:r>
        <w:rPr>
          <w:rFonts w:ascii="Arial" w:hAnsi="Arial" w:cs="Arial" w:eastAsia="Arial" w:hint="default"/>
        </w:rPr>
        <w:t>(</w:t>
      </w:r>
      <w:r>
        <w:rPr/>
        <w:t>附注九</w:t>
      </w:r>
      <w:r>
        <w:rPr>
          <w:rFonts w:ascii="Arial" w:hAnsi="Arial" w:cs="Arial" w:eastAsia="Arial" w:hint="default"/>
        </w:rPr>
        <w:t>)</w:t>
      </w:r>
      <w:r>
        <w:rPr/>
        <w:t>的过程中确认的无形资产。根 </w:t>
      </w:r>
      <w:r>
        <w:rPr>
          <w:spacing w:val="-3"/>
        </w:rPr>
        <w:t>据本集团与加盟公司签署《特许加盟终止协议》，加盟公司须协助本集团承接原加</w:t>
      </w:r>
      <w:r>
        <w:rPr>
          <w:spacing w:val="-97"/>
        </w:rPr>
        <w:t> </w:t>
      </w:r>
      <w:r>
        <w:rPr>
          <w:spacing w:val="-97"/>
        </w:rPr>
      </w:r>
      <w:r>
        <w:rPr>
          <w:spacing w:val="-3"/>
        </w:rPr>
        <w:t>盟店的租约。由于部分租约的租金较市场租金优惠，本集团按照评估值确认该优惠</w:t>
      </w:r>
      <w:r>
        <w:rPr>
          <w:spacing w:val="-92"/>
        </w:rPr>
        <w:t> </w:t>
      </w:r>
      <w:r>
        <w:rPr>
          <w:spacing w:val="-92"/>
        </w:rPr>
      </w:r>
      <w:r>
        <w:rPr/>
        <w:t>承租权作为本集团的无形资产，并在预计受益期内以直线法摊销。</w:t>
      </w:r>
    </w:p>
    <w:p>
      <w:pPr>
        <w:spacing w:line="240" w:lineRule="auto" w:before="1"/>
        <w:rPr>
          <w:rFonts w:ascii="宋体" w:hAnsi="宋体" w:cs="宋体" w:eastAsia="宋体" w:hint="default"/>
          <w:sz w:val="21"/>
          <w:szCs w:val="21"/>
        </w:rPr>
      </w:pPr>
    </w:p>
    <w:p>
      <w:pPr>
        <w:pStyle w:val="BodyText"/>
        <w:spacing w:line="312" w:lineRule="exact"/>
        <w:ind w:left="813" w:right="191"/>
        <w:jc w:val="left"/>
      </w:pPr>
      <w:r>
        <w:rPr/>
        <w:t>本集团聘请拥有证券从业资格的第三方评估机构对优惠承租权的价值进行了评估， </w:t>
      </w:r>
      <w:r>
        <w:rPr>
          <w:spacing w:val="-3"/>
        </w:rPr>
        <w:t>并出具了评估报告。评估值的确定系将预计受益期内节省的未来租金，根据市场利</w:t>
      </w:r>
      <w:r>
        <w:rPr>
          <w:spacing w:val="-92"/>
        </w:rPr>
        <w:t> </w:t>
      </w:r>
      <w:r>
        <w:rPr>
          <w:spacing w:val="-92"/>
        </w:rPr>
      </w:r>
      <w:r>
        <w:rPr/>
        <w:t>率折现而得。</w:t>
      </w:r>
    </w:p>
    <w:p>
      <w:pPr>
        <w:spacing w:line="240" w:lineRule="auto" w:before="10"/>
        <w:rPr>
          <w:rFonts w:ascii="宋体" w:hAnsi="宋体" w:cs="宋体" w:eastAsia="宋体" w:hint="default"/>
          <w:sz w:val="18"/>
          <w:szCs w:val="18"/>
        </w:rPr>
      </w:pPr>
    </w:p>
    <w:p>
      <w:pPr>
        <w:tabs>
          <w:tab w:pos="813" w:val="left" w:leader="none"/>
        </w:tabs>
        <w:spacing w:before="0"/>
        <w:ind w:left="103" w:right="191" w:firstLine="0"/>
        <w:jc w:val="left"/>
        <w:rPr>
          <w:rFonts w:ascii="宋体" w:hAnsi="宋体" w:cs="宋体" w:eastAsia="宋体" w:hint="default"/>
          <w:sz w:val="24"/>
          <w:szCs w:val="24"/>
        </w:rPr>
      </w:pPr>
      <w:r>
        <w:rPr>
          <w:rFonts w:ascii="Arial" w:hAnsi="Arial" w:cs="Arial" w:eastAsia="Arial" w:hint="default"/>
          <w:spacing w:val="-5"/>
          <w:position w:val="2"/>
          <w:sz w:val="24"/>
          <w:szCs w:val="24"/>
        </w:rPr>
        <w:t>(11)</w:t>
        <w:tab/>
      </w:r>
      <w:r>
        <w:rPr>
          <w:rFonts w:ascii="宋体" w:hAnsi="宋体" w:cs="宋体" w:eastAsia="宋体" w:hint="default"/>
          <w:b/>
          <w:bCs/>
          <w:sz w:val="24"/>
          <w:szCs w:val="24"/>
        </w:rPr>
        <w:t>长期待摊费用</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headerReference w:type="default" r:id="rId34"/>
          <w:footerReference w:type="default" r:id="rId35"/>
          <w:pgSz w:w="11910" w:h="16840"/>
          <w:pgMar w:header="748" w:footer="708" w:top="980" w:bottom="900" w:left="960" w:right="1280"/>
          <w:pgNumType w:start="129"/>
        </w:sectPr>
      </w:pPr>
    </w:p>
    <w:p>
      <w:pPr>
        <w:pStyle w:val="BodyText"/>
        <w:spacing w:line="322" w:lineRule="exact" w:before="26"/>
        <w:ind w:left="0" w:right="0"/>
        <w:jc w:val="right"/>
      </w:pPr>
      <w:r>
        <w:rPr>
          <w:rFonts w:ascii="Arial" w:hAnsi="Arial" w:cs="Arial" w:eastAsia="Arial" w:hint="default"/>
        </w:rPr>
        <w:t>2007</w:t>
      </w:r>
      <w:r>
        <w:rPr>
          <w:rFonts w:ascii="Arial" w:hAnsi="Arial" w:cs="Arial" w:eastAsia="Arial" w:hint="default"/>
          <w:spacing w:val="-10"/>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before="26"/>
        <w:ind w:left="1819" w:right="0"/>
        <w:jc w:val="left"/>
      </w:pPr>
      <w:r>
        <w:rPr/>
        <w:br w:type="column"/>
      </w:r>
      <w:r>
        <w:rPr>
          <w:rFonts w:ascii="Arial" w:hAnsi="Arial" w:cs="Arial" w:eastAsia="Arial" w:hint="default"/>
        </w:rPr>
        <w:t>2006</w:t>
      </w:r>
      <w:r>
        <w:rPr>
          <w:rFonts w:ascii="Arial" w:hAnsi="Arial" w:cs="Arial" w:eastAsia="Arial" w:hint="default"/>
          <w:spacing w:val="-10"/>
        </w:rPr>
        <w:t> </w:t>
      </w:r>
      <w:r>
        <w:rPr/>
        <w:t>年</w:t>
      </w:r>
    </w:p>
    <w:p>
      <w:pPr>
        <w:pStyle w:val="BodyText"/>
        <w:spacing w:line="322" w:lineRule="exact"/>
        <w:ind w:left="1458"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960" w:right="1280"/>
          <w:cols w:num="2" w:equalWidth="0">
            <w:col w:w="6681" w:space="40"/>
            <w:col w:w="2949"/>
          </w:cols>
        </w:sectPr>
      </w:pPr>
    </w:p>
    <w:p>
      <w:pPr>
        <w:pStyle w:val="BodyText"/>
        <w:tabs>
          <w:tab w:pos="8012" w:val="left" w:leader="none"/>
        </w:tabs>
        <w:spacing w:line="312" w:lineRule="exact"/>
        <w:ind w:left="5284" w:right="191"/>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2"/>
        <w:rPr>
          <w:rFonts w:ascii="Arial" w:hAnsi="Arial" w:cs="Arial" w:eastAsia="Arial" w:hint="default"/>
          <w:sz w:val="22"/>
          <w:szCs w:val="22"/>
        </w:rPr>
      </w:pPr>
    </w:p>
    <w:p>
      <w:pPr>
        <w:pStyle w:val="BodyText"/>
        <w:tabs>
          <w:tab w:pos="5779" w:val="left" w:leader="none"/>
          <w:tab w:pos="8506" w:val="left" w:leader="none"/>
        </w:tabs>
        <w:spacing w:line="332" w:lineRule="exact"/>
        <w:ind w:left="813" w:right="191"/>
        <w:jc w:val="left"/>
        <w:rPr>
          <w:rFonts w:ascii="Arial" w:hAnsi="Arial" w:cs="Arial" w:eastAsia="Arial" w:hint="default"/>
        </w:rPr>
      </w:pPr>
      <w:r>
        <w:rPr>
          <w:position w:val="2"/>
        </w:rPr>
        <w:t>经营租入固定资产改良</w:t>
        <w:tab/>
      </w:r>
      <w:r>
        <w:rPr>
          <w:rFonts w:ascii="Arial" w:hAnsi="Arial" w:cs="Arial" w:eastAsia="Arial" w:hint="default"/>
          <w:spacing w:val="-1"/>
        </w:rPr>
        <w:t>128,542</w:t>
        <w:tab/>
        <w:t>128,832</w:t>
      </w:r>
      <w:r>
        <w:rPr>
          <w:rFonts w:ascii="Arial" w:hAnsi="Arial" w:cs="Arial" w:eastAsia="Arial" w:hint="default"/>
        </w:rPr>
      </w:r>
    </w:p>
    <w:p>
      <w:pPr>
        <w:pStyle w:val="BodyText"/>
        <w:tabs>
          <w:tab w:pos="5912" w:val="left" w:leader="none"/>
          <w:tab w:pos="9292" w:val="left" w:leader="none"/>
        </w:tabs>
        <w:spacing w:line="312" w:lineRule="exact"/>
        <w:ind w:left="813" w:right="191"/>
        <w:jc w:val="left"/>
        <w:rPr>
          <w:rFonts w:ascii="Arial" w:hAnsi="Arial" w:cs="Arial" w:eastAsia="Arial" w:hint="default"/>
        </w:rPr>
      </w:pPr>
      <w:r>
        <w:rPr>
          <w:position w:val="2"/>
        </w:rPr>
        <w:t>预付长期房屋租赁费</w:t>
      </w:r>
      <w:r>
        <w:rPr>
          <w:rFonts w:ascii="Arial" w:hAnsi="Arial" w:cs="Arial" w:eastAsia="Arial" w:hint="default"/>
          <w:position w:val="2"/>
        </w:rPr>
        <w:t>(a)</w:t>
        <w:tab/>
      </w:r>
      <w:r>
        <w:rPr>
          <w:rFonts w:ascii="Arial" w:hAnsi="Arial" w:cs="Arial" w:eastAsia="Arial" w:hint="default"/>
          <w:spacing w:val="-1"/>
        </w:rPr>
        <w:t>59,750</w:t>
        <w:tab/>
      </w:r>
      <w:r>
        <w:rPr>
          <w:rFonts w:ascii="Arial" w:hAnsi="Arial" w:cs="Arial" w:eastAsia="Arial" w:hint="default"/>
        </w:rPr>
        <w:t>-</w:t>
      </w:r>
    </w:p>
    <w:p>
      <w:pPr>
        <w:pStyle w:val="BodyText"/>
        <w:tabs>
          <w:tab w:pos="6045" w:val="left" w:leader="none"/>
          <w:tab w:pos="9292" w:val="left" w:leader="none"/>
        </w:tabs>
        <w:spacing w:line="312" w:lineRule="exact"/>
        <w:ind w:left="813" w:right="191"/>
        <w:jc w:val="left"/>
        <w:rPr>
          <w:rFonts w:ascii="Arial" w:hAnsi="Arial" w:cs="Arial" w:eastAsia="Arial" w:hint="default"/>
        </w:rPr>
      </w:pPr>
      <w:r>
        <w:rPr>
          <w:position w:val="2"/>
        </w:rPr>
        <w:t>水电设施使用费</w:t>
        <w:tab/>
      </w:r>
      <w:r>
        <w:rPr>
          <w:rFonts w:ascii="Arial" w:hAnsi="Arial" w:cs="Arial" w:eastAsia="Arial" w:hint="default"/>
          <w:spacing w:val="-1"/>
        </w:rPr>
        <w:t>9,425</w:t>
        <w:tab/>
      </w:r>
      <w:r>
        <w:rPr>
          <w:rFonts w:ascii="Arial" w:hAnsi="Arial" w:cs="Arial" w:eastAsia="Arial" w:hint="default"/>
        </w:rPr>
        <w:t>-</w:t>
      </w:r>
    </w:p>
    <w:p>
      <w:pPr>
        <w:pStyle w:val="BodyText"/>
        <w:tabs>
          <w:tab w:pos="4669" w:val="left" w:leader="none"/>
          <w:tab w:pos="6565" w:val="left" w:leader="none"/>
          <w:tab w:pos="7425" w:val="left" w:leader="none"/>
          <w:tab w:pos="8973" w:val="left" w:leader="none"/>
        </w:tabs>
        <w:spacing w:line="332" w:lineRule="exact"/>
        <w:ind w:left="813" w:right="191"/>
        <w:jc w:val="left"/>
        <w:rPr>
          <w:rFonts w:ascii="Arial" w:hAnsi="Arial" w:cs="Arial" w:eastAsia="Arial" w:hint="default"/>
        </w:rPr>
      </w:pPr>
      <w:r>
        <w:rPr>
          <w:position w:val="2"/>
        </w:rPr>
        <w:t>开办费</w:t>
        <w:tab/>
      </w:r>
      <w:r>
        <w:rPr>
          <w:rFonts w:ascii="Arial" w:hAnsi="Arial" w:cs="Arial" w:eastAsia="Arial" w:hint="default"/>
        </w:rPr>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247</w:t>
      </w:r>
      <w:r>
        <w:rPr>
          <w:rFonts w:ascii="Arial" w:hAnsi="Arial" w:cs="Arial" w:eastAsia="Arial" w:hint="default"/>
        </w:rPr>
      </w:r>
    </w:p>
    <w:p>
      <w:pPr>
        <w:pStyle w:val="BodyText"/>
        <w:tabs>
          <w:tab w:pos="5779" w:val="left" w:leader="none"/>
          <w:tab w:pos="7425" w:val="left" w:leader="none"/>
          <w:tab w:pos="8506" w:val="left" w:leader="none"/>
        </w:tabs>
        <w:spacing w:line="240" w:lineRule="auto" w:before="9"/>
        <w:ind w:left="4669" w:right="191"/>
        <w:jc w:val="left"/>
        <w:rPr>
          <w:rFonts w:ascii="Arial" w:hAnsi="Arial" w:cs="Arial" w:eastAsia="Arial" w:hint="default"/>
        </w:rPr>
      </w:pPr>
      <w:r>
        <w:rPr>
          <w:rFonts w:ascii="Arial"/>
        </w:rPr>
      </w:r>
      <w:r>
        <w:rPr>
          <w:rFonts w:ascii="Arial"/>
          <w:u w:val="thick" w:color="000000"/>
        </w:rPr>
        <w:t> </w:t>
        <w:tab/>
      </w:r>
      <w:r>
        <w:rPr>
          <w:rFonts w:ascii="Arial"/>
          <w:spacing w:val="-1"/>
          <w:u w:val="thick" w:color="000000"/>
        </w:rPr>
        <w:t>197,717</w:t>
      </w:r>
      <w:r>
        <w:rPr>
          <w:rFonts w:ascii="Arial"/>
          <w:spacing w:val="-1"/>
        </w:rPr>
        <w:tab/>
      </w:r>
      <w:r>
        <w:rPr>
          <w:rFonts w:ascii="Arial"/>
          <w:spacing w:val="-1"/>
          <w:u w:val="thick" w:color="000000"/>
        </w:rPr>
        <w:t> </w:t>
        <w:tab/>
        <w:t>129,079</w:t>
      </w:r>
      <w:r>
        <w:rPr>
          <w:rFonts w:ascii="Arial"/>
          <w:spacing w:val="-1"/>
        </w:rPr>
      </w:r>
      <w:r>
        <w:rPr>
          <w:rFonts w:ascii="Arial"/>
        </w:rPr>
      </w:r>
    </w:p>
    <w:p>
      <w:pPr>
        <w:spacing w:line="240" w:lineRule="auto" w:before="8"/>
        <w:rPr>
          <w:rFonts w:ascii="Arial" w:hAnsi="Arial" w:cs="Arial" w:eastAsia="Arial" w:hint="default"/>
          <w:sz w:val="20"/>
          <w:szCs w:val="20"/>
        </w:rPr>
      </w:pPr>
    </w:p>
    <w:p>
      <w:pPr>
        <w:pStyle w:val="BodyText"/>
        <w:tabs>
          <w:tab w:pos="878" w:val="left" w:leader="none"/>
        </w:tabs>
        <w:spacing w:line="322" w:lineRule="exact" w:before="32"/>
        <w:ind w:left="167" w:right="191"/>
        <w:jc w:val="left"/>
      </w:pPr>
      <w:r>
        <w:rPr>
          <w:rFonts w:ascii="Arial" w:hAnsi="Arial" w:cs="Arial" w:eastAsia="Arial" w:hint="default"/>
          <w:position w:val="2"/>
        </w:rPr>
        <w:t>(a)</w:t>
        <w:tab/>
      </w:r>
      <w:r>
        <w:rPr/>
        <w:t>根据本集团于</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spacing w:val="-3"/>
        </w:rPr>
        <w:t>月签署的合同，本集团预付合计约人民币</w:t>
      </w:r>
      <w:r>
        <w:rPr>
          <w:spacing w:val="-61"/>
        </w:rPr>
        <w:t> </w:t>
      </w:r>
      <w:r>
        <w:rPr>
          <w:rFonts w:ascii="Arial" w:hAnsi="Arial" w:cs="Arial" w:eastAsia="Arial" w:hint="default"/>
        </w:rPr>
        <w:t>8,200</w:t>
      </w:r>
      <w:r>
        <w:rPr>
          <w:rFonts w:ascii="Arial" w:hAnsi="Arial" w:cs="Arial" w:eastAsia="Arial" w:hint="default"/>
          <w:spacing w:val="-8"/>
        </w:rPr>
        <w:t> </w:t>
      </w:r>
      <w:r>
        <w:rPr/>
        <w:t>万元的</w:t>
      </w:r>
    </w:p>
    <w:p>
      <w:pPr>
        <w:pStyle w:val="BodyText"/>
        <w:spacing w:line="312" w:lineRule="exact"/>
        <w:ind w:left="878" w:right="191"/>
        <w:jc w:val="left"/>
      </w:pPr>
      <w:r>
        <w:rPr/>
        <w:t>租赁费，取得两处商铺为期分别为</w:t>
      </w:r>
      <w:r>
        <w:rPr>
          <w:spacing w:val="-62"/>
        </w:rPr>
        <w:t> </w:t>
      </w:r>
      <w:r>
        <w:rPr>
          <w:rFonts w:ascii="Arial" w:hAnsi="Arial" w:cs="Arial" w:eastAsia="Arial" w:hint="default"/>
        </w:rPr>
        <w:t>2</w:t>
      </w:r>
      <w:r>
        <w:rPr>
          <w:rFonts w:ascii="Arial" w:hAnsi="Arial" w:cs="Arial" w:eastAsia="Arial" w:hint="default"/>
          <w:spacing w:val="-9"/>
        </w:rPr>
        <w:t> </w:t>
      </w:r>
      <w:r>
        <w:rPr/>
        <w:t>年及</w:t>
      </w:r>
      <w:r>
        <w:rPr>
          <w:spacing w:val="-62"/>
        </w:rPr>
        <w:t> </w:t>
      </w:r>
      <w:r>
        <w:rPr>
          <w:rFonts w:ascii="Arial" w:hAnsi="Arial" w:cs="Arial" w:eastAsia="Arial" w:hint="default"/>
        </w:rPr>
        <w:t>8</w:t>
      </w:r>
      <w:r>
        <w:rPr>
          <w:rFonts w:ascii="Arial" w:hAnsi="Arial" w:cs="Arial" w:eastAsia="Arial" w:hint="default"/>
          <w:spacing w:val="-9"/>
        </w:rPr>
        <w:t> </w:t>
      </w:r>
      <w:r>
        <w:rPr/>
        <w:t>年的租赁权，其中预付的</w:t>
      </w:r>
      <w:r>
        <w:rPr>
          <w:spacing w:val="-62"/>
        </w:rPr>
        <w:t> </w:t>
      </w:r>
      <w:r>
        <w:rPr>
          <w:rFonts w:ascii="Arial" w:hAnsi="Arial" w:cs="Arial" w:eastAsia="Arial" w:hint="default"/>
        </w:rPr>
        <w:t>1</w:t>
      </w:r>
      <w:r>
        <w:rPr>
          <w:rFonts w:ascii="Arial" w:hAnsi="Arial" w:cs="Arial" w:eastAsia="Arial" w:hint="default"/>
          <w:spacing w:val="-9"/>
        </w:rPr>
        <w:t> </w:t>
      </w:r>
      <w:r>
        <w:rPr/>
        <w:t>年以上的</w:t>
      </w:r>
    </w:p>
    <w:p>
      <w:pPr>
        <w:pStyle w:val="BodyText"/>
        <w:spacing w:line="322" w:lineRule="exact"/>
        <w:ind w:left="878" w:right="191"/>
        <w:jc w:val="left"/>
      </w:pPr>
      <w:r>
        <w:rPr/>
        <w:t>租赁费合计约人民币</w:t>
      </w:r>
      <w:r>
        <w:rPr>
          <w:spacing w:val="-62"/>
        </w:rPr>
        <w:t> </w:t>
      </w:r>
      <w:r>
        <w:rPr>
          <w:rFonts w:ascii="Arial" w:hAnsi="Arial" w:cs="Arial" w:eastAsia="Arial" w:hint="default"/>
        </w:rPr>
        <w:t>5,975</w:t>
      </w:r>
      <w:r>
        <w:rPr>
          <w:rFonts w:ascii="Arial" w:hAnsi="Arial" w:cs="Arial" w:eastAsia="Arial" w:hint="default"/>
          <w:spacing w:val="-9"/>
        </w:rPr>
        <w:t> </w:t>
      </w:r>
      <w:r>
        <w:rPr/>
        <w:t>万元。</w:t>
      </w:r>
    </w:p>
    <w:p>
      <w:pPr>
        <w:spacing w:after="0" w:line="322" w:lineRule="exact"/>
        <w:jc w:val="left"/>
        <w:sectPr>
          <w:type w:val="continuous"/>
          <w:pgSz w:w="11910" w:h="16840"/>
          <w:pgMar w:top="1600" w:bottom="280" w:left="960" w:right="12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18" w:val="left" w:leader="none"/>
        </w:tabs>
        <w:spacing w:line="240" w:lineRule="auto"/>
        <w:ind w:right="0"/>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8" w:val="left" w:leader="none"/>
        </w:tabs>
        <w:spacing w:before="0"/>
        <w:ind w:left="108" w:right="0" w:firstLine="0"/>
        <w:jc w:val="left"/>
        <w:rPr>
          <w:rFonts w:ascii="宋体" w:hAnsi="宋体" w:cs="宋体" w:eastAsia="宋体" w:hint="default"/>
          <w:sz w:val="24"/>
          <w:szCs w:val="24"/>
        </w:rPr>
      </w:pPr>
      <w:r>
        <w:rPr>
          <w:rFonts w:ascii="Arial" w:hAnsi="Arial" w:cs="Arial" w:eastAsia="Arial" w:hint="default"/>
          <w:position w:val="2"/>
          <w:sz w:val="24"/>
          <w:szCs w:val="24"/>
        </w:rPr>
        <w:t>(12)</w:t>
        <w:tab/>
      </w:r>
      <w:r>
        <w:rPr>
          <w:rFonts w:ascii="宋体" w:hAnsi="宋体" w:cs="宋体" w:eastAsia="宋体" w:hint="default"/>
          <w:b/>
          <w:bCs/>
          <w:sz w:val="24"/>
          <w:szCs w:val="24"/>
        </w:rPr>
        <w:t>短期借款</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8" w:footer="708" w:top="980" w:bottom="900" w:left="1020" w:right="780"/>
        </w:sectPr>
      </w:pP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5"/>
          <w:szCs w:val="25"/>
        </w:rPr>
      </w:pPr>
    </w:p>
    <w:p>
      <w:pPr>
        <w:pStyle w:val="BodyText"/>
        <w:spacing w:line="240" w:lineRule="auto"/>
        <w:ind w:left="818" w:right="-19"/>
        <w:jc w:val="left"/>
        <w:rPr>
          <w:rFonts w:ascii="Arial" w:hAnsi="Arial" w:cs="Arial" w:eastAsia="Arial" w:hint="default"/>
        </w:rPr>
      </w:pPr>
      <w:r>
        <w:rPr/>
        <w:t>担保借款</w:t>
      </w:r>
      <w:r>
        <w:rPr>
          <w:rFonts w:ascii="Arial" w:hAnsi="Arial" w:cs="Arial" w:eastAsia="Arial" w:hint="default"/>
        </w:rPr>
        <w:t>(a)</w:t>
      </w:r>
    </w:p>
    <w:p>
      <w:pPr>
        <w:pStyle w:val="BodyText"/>
        <w:tabs>
          <w:tab w:pos="2579" w:val="left" w:leader="none"/>
          <w:tab w:pos="5665" w:val="left" w:leader="none"/>
        </w:tabs>
        <w:spacing w:line="322" w:lineRule="exact" w:before="26"/>
        <w:ind w:left="531" w:right="0"/>
        <w:jc w:val="left"/>
      </w:pPr>
      <w:r>
        <w:rPr/>
        <w:br w:type="column"/>
      </w:r>
      <w:r>
        <w:rPr/>
        <w:t>币种</w:t>
        <w:tab/>
      </w: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6425" w:val="left" w:leader="none"/>
        </w:tabs>
        <w:spacing w:line="322" w:lineRule="exact"/>
        <w:ind w:left="3305" w:right="0"/>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after="0" w:line="322" w:lineRule="exact"/>
        <w:jc w:val="left"/>
        <w:rPr>
          <w:rFonts w:ascii="Arial" w:hAnsi="Arial" w:cs="Arial" w:eastAsia="Arial" w:hint="default"/>
        </w:rPr>
        <w:sectPr>
          <w:type w:val="continuous"/>
          <w:pgSz w:w="11910" w:h="16840"/>
          <w:pgMar w:top="1600" w:bottom="280" w:left="1020" w:right="780"/>
          <w:cols w:num="2" w:equalWidth="0">
            <w:col w:w="2073" w:space="40"/>
            <w:col w:w="7997"/>
          </w:cols>
        </w:sectPr>
      </w:pPr>
    </w:p>
    <w:p>
      <w:pPr>
        <w:pStyle w:val="BodyText"/>
        <w:tabs>
          <w:tab w:pos="2643" w:val="left" w:leader="none"/>
          <w:tab w:pos="6045" w:val="left" w:leader="none"/>
          <w:tab w:pos="9165" w:val="left" w:leader="none"/>
        </w:tabs>
        <w:spacing w:line="310" w:lineRule="exact"/>
        <w:ind w:left="818" w:right="0"/>
        <w:jc w:val="left"/>
        <w:rPr>
          <w:rFonts w:ascii="Arial" w:hAnsi="Arial" w:cs="Arial" w:eastAsia="Arial" w:hint="default"/>
        </w:rPr>
      </w:pPr>
      <w:r>
        <w:rPr>
          <w:position w:val="2"/>
        </w:rPr>
        <w:t>－抵押</w:t>
        <w:tab/>
        <w:t>人民币</w:t>
        <w:tab/>
      </w:r>
      <w:r>
        <w:rPr>
          <w:rFonts w:ascii="Arial" w:hAnsi="Arial" w:cs="Arial" w:eastAsia="Arial" w:hint="default"/>
          <w:spacing w:val="-1"/>
        </w:rPr>
        <w:t>60,000</w:t>
        <w:tab/>
        <w:t>60,000</w:t>
      </w:r>
      <w:r>
        <w:rPr>
          <w:rFonts w:ascii="Arial" w:hAnsi="Arial" w:cs="Arial" w:eastAsia="Arial" w:hint="default"/>
        </w:rPr>
      </w:r>
    </w:p>
    <w:p>
      <w:pPr>
        <w:pStyle w:val="BodyText"/>
        <w:tabs>
          <w:tab w:pos="2643" w:val="left" w:leader="none"/>
          <w:tab w:pos="4529" w:val="left" w:leader="none"/>
          <w:tab w:pos="6045" w:val="left" w:leader="none"/>
          <w:tab w:pos="7556" w:val="left" w:leader="none"/>
          <w:tab w:pos="9032" w:val="left" w:leader="none"/>
          <w:tab w:pos="9999" w:val="left" w:leader="none"/>
        </w:tabs>
        <w:spacing w:line="332" w:lineRule="exact"/>
        <w:ind w:left="818" w:right="0"/>
        <w:jc w:val="left"/>
        <w:rPr>
          <w:rFonts w:ascii="Arial" w:hAnsi="Arial" w:cs="Arial" w:eastAsia="Arial" w:hint="default"/>
        </w:rPr>
      </w:pPr>
      <w:r>
        <w:rPr>
          <w:position w:val="2"/>
        </w:rPr>
        <w:t>－保证</w:t>
        <w:tab/>
        <w:t>人民币</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80,000</w:t>
      </w:r>
      <w:r>
        <w:rPr>
          <w:rFonts w:ascii="Arial" w:hAnsi="Arial" w:cs="Arial" w:eastAsia="Arial" w:hint="default"/>
          <w:spacing w:val="-1"/>
        </w:rPr>
        <w:tab/>
      </w:r>
      <w:r>
        <w:rPr>
          <w:rFonts w:ascii="Arial" w:hAnsi="Arial" w:cs="Arial" w:eastAsia="Arial" w:hint="default"/>
          <w:spacing w:val="-1"/>
          <w:u w:val="single" w:color="000000"/>
        </w:rPr>
        <w:t> </w:t>
        <w:tab/>
        <w:t>216,000</w:t>
        <w:tab/>
      </w:r>
      <w:r>
        <w:rPr>
          <w:rFonts w:ascii="Arial" w:hAnsi="Arial" w:cs="Arial" w:eastAsia="Arial" w:hint="default"/>
          <w:spacing w:val="-1"/>
        </w:rPr>
      </w:r>
    </w:p>
    <w:p>
      <w:pPr>
        <w:pStyle w:val="BodyText"/>
        <w:tabs>
          <w:tab w:pos="5912" w:val="left" w:leader="none"/>
          <w:tab w:pos="7556" w:val="left" w:leader="none"/>
          <w:tab w:pos="9032" w:val="left" w:leader="none"/>
          <w:tab w:pos="9999" w:val="left" w:leader="none"/>
        </w:tabs>
        <w:spacing w:line="240" w:lineRule="auto" w:before="9"/>
        <w:ind w:left="4530" w:right="0"/>
        <w:jc w:val="left"/>
        <w:rPr>
          <w:rFonts w:ascii="Arial" w:hAnsi="Arial" w:cs="Arial" w:eastAsia="Arial" w:hint="default"/>
        </w:rPr>
      </w:pPr>
      <w:r>
        <w:rPr>
          <w:rFonts w:ascii="Arial"/>
        </w:rPr>
      </w:r>
      <w:r>
        <w:rPr>
          <w:rFonts w:ascii="Arial"/>
          <w:u w:val="thick" w:color="000000"/>
        </w:rPr>
        <w:t> </w:t>
        <w:tab/>
      </w:r>
      <w:r>
        <w:rPr>
          <w:rFonts w:ascii="Arial"/>
          <w:spacing w:val="-1"/>
          <w:u w:val="thick" w:color="000000"/>
        </w:rPr>
        <w:t>140,000</w:t>
      </w:r>
      <w:r>
        <w:rPr>
          <w:rFonts w:ascii="Arial"/>
          <w:spacing w:val="-1"/>
        </w:rPr>
        <w:tab/>
      </w:r>
      <w:r>
        <w:rPr>
          <w:rFonts w:ascii="Arial"/>
          <w:spacing w:val="-1"/>
          <w:u w:val="thick" w:color="000000"/>
        </w:rPr>
        <w:t> </w:t>
        <w:tab/>
        <w:t>276,000</w:t>
        <w:tab/>
      </w:r>
      <w:r>
        <w:rPr>
          <w:rFonts w:ascii="Arial"/>
          <w:spacing w:val="-1"/>
        </w:rPr>
      </w:r>
    </w:p>
    <w:p>
      <w:pPr>
        <w:spacing w:line="240" w:lineRule="auto" w:before="7"/>
        <w:rPr>
          <w:rFonts w:ascii="Arial" w:hAnsi="Arial" w:cs="Arial" w:eastAsia="Arial" w:hint="default"/>
          <w:sz w:val="20"/>
          <w:szCs w:val="20"/>
        </w:rPr>
      </w:pPr>
    </w:p>
    <w:p>
      <w:pPr>
        <w:pStyle w:val="BodyText"/>
        <w:tabs>
          <w:tab w:pos="818" w:val="left" w:leader="none"/>
        </w:tabs>
        <w:spacing w:line="240" w:lineRule="auto" w:before="32"/>
        <w:ind w:left="107" w:right="0"/>
        <w:jc w:val="left"/>
      </w:pPr>
      <w:r>
        <w:rPr>
          <w:rFonts w:ascii="Arial" w:hAnsi="Arial" w:cs="Arial" w:eastAsia="Arial" w:hint="default"/>
          <w:position w:val="2"/>
        </w:rPr>
        <w:t>(a)</w:t>
        <w:tab/>
      </w:r>
      <w:r>
        <w:rPr/>
        <w:t>于</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日，短期担保借款包括：</w:t>
      </w:r>
    </w:p>
    <w:p>
      <w:pPr>
        <w:spacing w:line="240" w:lineRule="auto" w:before="8"/>
        <w:rPr>
          <w:rFonts w:ascii="宋体" w:hAnsi="宋体" w:cs="宋体" w:eastAsia="宋体" w:hint="default"/>
          <w:sz w:val="19"/>
          <w:szCs w:val="19"/>
        </w:rPr>
      </w:pPr>
    </w:p>
    <w:p>
      <w:pPr>
        <w:pStyle w:val="BodyText"/>
        <w:spacing w:line="322" w:lineRule="exact"/>
        <w:ind w:left="818" w:right="0"/>
        <w:jc w:val="left"/>
      </w:pPr>
      <w:r>
        <w:rPr/>
        <w:t>银行抵押借款人民币</w:t>
      </w:r>
      <w:r>
        <w:rPr>
          <w:spacing w:val="-63"/>
        </w:rPr>
        <w:t> </w:t>
      </w:r>
      <w:r>
        <w:rPr>
          <w:rFonts w:ascii="Arial" w:hAnsi="Arial" w:cs="Arial" w:eastAsia="Arial" w:hint="default"/>
        </w:rPr>
        <w:t>6,000</w:t>
      </w:r>
      <w:r>
        <w:rPr>
          <w:rFonts w:ascii="Arial" w:hAnsi="Arial" w:cs="Arial" w:eastAsia="Arial" w:hint="default"/>
          <w:spacing w:val="-10"/>
        </w:rPr>
        <w:t> </w:t>
      </w:r>
      <w:r>
        <w:rPr/>
        <w:t>万元</w:t>
      </w:r>
      <w:r>
        <w:rPr>
          <w:rFonts w:ascii="Arial" w:hAnsi="Arial" w:cs="Arial" w:eastAsia="Arial" w:hint="default"/>
        </w:rPr>
        <w:t>(2006</w:t>
      </w:r>
      <w:r>
        <w:rPr>
          <w:rFonts w:ascii="Arial" w:hAnsi="Arial" w:cs="Arial" w:eastAsia="Arial" w:hint="default"/>
          <w:spacing w:val="-10"/>
        </w:rPr>
        <w:t> </w:t>
      </w:r>
      <w:r>
        <w:rPr>
          <w:spacing w:val="-15"/>
        </w:rPr>
        <w:t>年：人民币</w:t>
      </w:r>
      <w:r>
        <w:rPr>
          <w:spacing w:val="-63"/>
        </w:rPr>
        <w:t> </w:t>
      </w:r>
      <w:r>
        <w:rPr>
          <w:rFonts w:ascii="Arial" w:hAnsi="Arial" w:cs="Arial" w:eastAsia="Arial" w:hint="default"/>
        </w:rPr>
        <w:t>6,000</w:t>
      </w:r>
      <w:r>
        <w:rPr>
          <w:rFonts w:ascii="Arial" w:hAnsi="Arial" w:cs="Arial" w:eastAsia="Arial" w:hint="default"/>
          <w:spacing w:val="-10"/>
        </w:rPr>
        <w:t> </w:t>
      </w:r>
      <w:r>
        <w:rPr/>
        <w:t>万元</w:t>
      </w:r>
      <w:r>
        <w:rPr>
          <w:rFonts w:ascii="Arial" w:hAnsi="Arial" w:cs="Arial" w:eastAsia="Arial" w:hint="default"/>
        </w:rPr>
        <w:t>)</w:t>
      </w:r>
      <w:r>
        <w:rPr/>
        <w:t>系由原值和净值分别约为</w:t>
      </w:r>
    </w:p>
    <w:p>
      <w:pPr>
        <w:pStyle w:val="BodyText"/>
        <w:spacing w:line="312" w:lineRule="exact"/>
        <w:ind w:left="818" w:right="0"/>
        <w:jc w:val="left"/>
      </w:pPr>
      <w:r>
        <w:rPr/>
        <w:t>人民</w:t>
      </w:r>
      <w:r>
        <w:rPr>
          <w:spacing w:val="-70"/>
        </w:rPr>
        <w:t> </w:t>
      </w:r>
      <w:r>
        <w:rPr>
          <w:rFonts w:ascii="Arial" w:hAnsi="Arial" w:cs="Arial" w:eastAsia="Arial" w:hint="default"/>
        </w:rPr>
        <w:t>2,715</w:t>
      </w:r>
      <w:r>
        <w:rPr>
          <w:rFonts w:ascii="Arial" w:hAnsi="Arial" w:cs="Arial" w:eastAsia="Arial" w:hint="default"/>
          <w:spacing w:val="-17"/>
        </w:rPr>
        <w:t> </w:t>
      </w:r>
      <w:r>
        <w:rPr/>
        <w:t>万元及</w:t>
      </w:r>
      <w:r>
        <w:rPr>
          <w:spacing w:val="-70"/>
        </w:rPr>
        <w:t> </w:t>
      </w:r>
      <w:r>
        <w:rPr>
          <w:rFonts w:ascii="Arial" w:hAnsi="Arial" w:cs="Arial" w:eastAsia="Arial" w:hint="default"/>
        </w:rPr>
        <w:t>1,615</w:t>
      </w:r>
      <w:r>
        <w:rPr>
          <w:rFonts w:ascii="Arial" w:hAnsi="Arial" w:cs="Arial" w:eastAsia="Arial" w:hint="default"/>
          <w:spacing w:val="-17"/>
        </w:rPr>
        <w:t> </w:t>
      </w:r>
      <w:r>
        <w:rPr/>
        <w:t>万元的房屋及建筑物</w:t>
      </w:r>
      <w:r>
        <w:rPr>
          <w:rFonts w:ascii="Arial" w:hAnsi="Arial" w:cs="Arial" w:eastAsia="Arial" w:hint="default"/>
        </w:rPr>
        <w:t>(</w:t>
      </w:r>
      <w:r>
        <w:rPr/>
        <w:t>附注八</w:t>
      </w:r>
      <w:r>
        <w:rPr>
          <w:rFonts w:ascii="Arial" w:hAnsi="Arial" w:cs="Arial" w:eastAsia="Arial" w:hint="default"/>
        </w:rPr>
        <w:t>(8))</w:t>
      </w:r>
      <w:r>
        <w:rPr/>
        <w:t>以及原值和摊余价值分别约为</w:t>
      </w:r>
    </w:p>
    <w:p>
      <w:pPr>
        <w:pStyle w:val="BodyText"/>
        <w:spacing w:line="322" w:lineRule="exact"/>
        <w:ind w:left="818" w:right="0"/>
        <w:jc w:val="left"/>
      </w:pPr>
      <w:r>
        <w:rPr/>
        <w:t>人民币</w:t>
      </w:r>
      <w:r>
        <w:rPr>
          <w:spacing w:val="-61"/>
        </w:rPr>
        <w:t> </w:t>
      </w:r>
      <w:r>
        <w:rPr>
          <w:rFonts w:ascii="Arial" w:hAnsi="Arial" w:cs="Arial" w:eastAsia="Arial" w:hint="default"/>
        </w:rPr>
        <w:t>295</w:t>
      </w:r>
      <w:r>
        <w:rPr>
          <w:rFonts w:ascii="Arial" w:hAnsi="Arial" w:cs="Arial" w:eastAsia="Arial" w:hint="default"/>
          <w:spacing w:val="-8"/>
        </w:rPr>
        <w:t> </w:t>
      </w:r>
      <w:r>
        <w:rPr/>
        <w:t>万元及人民币</w:t>
      </w:r>
      <w:r>
        <w:rPr>
          <w:spacing w:val="-61"/>
        </w:rPr>
        <w:t> </w:t>
      </w:r>
      <w:r>
        <w:rPr>
          <w:rFonts w:ascii="Arial" w:hAnsi="Arial" w:cs="Arial" w:eastAsia="Arial" w:hint="default"/>
        </w:rPr>
        <w:t>258</w:t>
      </w:r>
      <w:r>
        <w:rPr>
          <w:rFonts w:ascii="Arial" w:hAnsi="Arial" w:cs="Arial" w:eastAsia="Arial" w:hint="default"/>
          <w:spacing w:val="-7"/>
        </w:rPr>
        <w:t> </w:t>
      </w:r>
      <w:r>
        <w:rPr/>
        <w:t>万元</w:t>
      </w:r>
      <w:r>
        <w:rPr>
          <w:spacing w:val="-2"/>
        </w:rPr>
        <w:t> </w:t>
      </w:r>
      <w:r>
        <w:rPr/>
        <w:t>的土地使用权</w:t>
      </w:r>
      <w:r>
        <w:rPr>
          <w:rFonts w:ascii="Arial" w:hAnsi="Arial" w:cs="Arial" w:eastAsia="Arial" w:hint="default"/>
        </w:rPr>
        <w:t>(</w:t>
      </w:r>
      <w:r>
        <w:rPr/>
        <w:t>附注八</w:t>
      </w:r>
      <w:r>
        <w:rPr>
          <w:rFonts w:ascii="Arial" w:hAnsi="Arial" w:cs="Arial" w:eastAsia="Arial" w:hint="default"/>
        </w:rPr>
        <w:t>(10))</w:t>
      </w:r>
      <w:r>
        <w:rPr/>
        <w:t>作为抵押物；</w:t>
      </w:r>
    </w:p>
    <w:p>
      <w:pPr>
        <w:spacing w:line="240" w:lineRule="auto" w:before="13"/>
        <w:rPr>
          <w:rFonts w:ascii="宋体" w:hAnsi="宋体" w:cs="宋体" w:eastAsia="宋体" w:hint="default"/>
          <w:sz w:val="21"/>
          <w:szCs w:val="21"/>
        </w:rPr>
      </w:pPr>
    </w:p>
    <w:p>
      <w:pPr>
        <w:pStyle w:val="BodyText"/>
        <w:spacing w:line="312" w:lineRule="exact"/>
        <w:ind w:left="818" w:right="199"/>
        <w:jc w:val="left"/>
      </w:pPr>
      <w:r>
        <w:rPr/>
        <w:t>银行保证借款人民币</w:t>
      </w:r>
      <w:r>
        <w:rPr>
          <w:spacing w:val="-62"/>
        </w:rPr>
        <w:t> </w:t>
      </w:r>
      <w:r>
        <w:rPr>
          <w:rFonts w:ascii="Arial" w:hAnsi="Arial" w:cs="Arial" w:eastAsia="Arial" w:hint="default"/>
        </w:rPr>
        <w:t>8,000</w:t>
      </w:r>
      <w:r>
        <w:rPr>
          <w:rFonts w:ascii="Arial" w:hAnsi="Arial" w:cs="Arial" w:eastAsia="Arial" w:hint="default"/>
          <w:spacing w:val="-9"/>
        </w:rPr>
        <w:t> </w:t>
      </w:r>
      <w:r>
        <w:rPr/>
        <w:t>万元</w:t>
      </w:r>
      <w:r>
        <w:rPr>
          <w:rFonts w:ascii="Arial" w:hAnsi="Arial" w:cs="Arial" w:eastAsia="Arial" w:hint="default"/>
        </w:rPr>
        <w:t>(2006</w:t>
      </w:r>
      <w:r>
        <w:rPr>
          <w:rFonts w:ascii="Arial" w:hAnsi="Arial" w:cs="Arial" w:eastAsia="Arial" w:hint="default"/>
          <w:spacing w:val="-9"/>
        </w:rPr>
        <w:t> </w:t>
      </w:r>
      <w:r>
        <w:rPr>
          <w:spacing w:val="-11"/>
        </w:rPr>
        <w:t>年：其中人民币</w:t>
      </w:r>
      <w:r>
        <w:rPr>
          <w:spacing w:val="-62"/>
        </w:rPr>
        <w:t> </w:t>
      </w:r>
      <w:r>
        <w:rPr>
          <w:rFonts w:ascii="Arial" w:hAnsi="Arial" w:cs="Arial" w:eastAsia="Arial" w:hint="default"/>
        </w:rPr>
        <w:t>6,000</w:t>
      </w:r>
      <w:r>
        <w:rPr>
          <w:rFonts w:ascii="Arial" w:hAnsi="Arial" w:cs="Arial" w:eastAsia="Arial" w:hint="default"/>
          <w:spacing w:val="-9"/>
        </w:rPr>
        <w:t> </w:t>
      </w:r>
      <w:r>
        <w:rPr/>
        <w:t>万元</w:t>
      </w:r>
      <w:r>
        <w:rPr>
          <w:rFonts w:ascii="Arial" w:hAnsi="Arial" w:cs="Arial" w:eastAsia="Arial" w:hint="default"/>
        </w:rPr>
        <w:t>)</w:t>
      </w:r>
      <w:r>
        <w:rPr/>
        <w:t>系由本公司股东江苏 苏宁电器有限公司提供保证</w:t>
      </w:r>
      <w:r>
        <w:rPr>
          <w:rFonts w:ascii="Arial" w:hAnsi="Arial" w:cs="Arial" w:eastAsia="Arial" w:hint="default"/>
        </w:rPr>
        <w:t>(</w:t>
      </w:r>
      <w:r>
        <w:rPr/>
        <w:t>附注十一</w:t>
      </w:r>
      <w:r>
        <w:rPr>
          <w:rFonts w:ascii="Arial" w:hAnsi="Arial" w:cs="Arial" w:eastAsia="Arial" w:hint="default"/>
        </w:rPr>
        <w:t>(3)(d))</w:t>
      </w:r>
      <w:r>
        <w:rPr/>
        <w:t>。</w:t>
      </w:r>
    </w:p>
    <w:p>
      <w:pPr>
        <w:spacing w:line="240" w:lineRule="auto" w:before="10"/>
        <w:rPr>
          <w:rFonts w:ascii="宋体" w:hAnsi="宋体" w:cs="宋体" w:eastAsia="宋体" w:hint="default"/>
          <w:sz w:val="18"/>
          <w:szCs w:val="18"/>
        </w:rPr>
      </w:pPr>
    </w:p>
    <w:p>
      <w:pPr>
        <w:pStyle w:val="BodyText"/>
        <w:spacing w:line="240" w:lineRule="auto"/>
        <w:ind w:left="818" w:right="0"/>
        <w:jc w:val="left"/>
      </w:pPr>
      <w:r>
        <w:rPr>
          <w:rFonts w:ascii="Arial" w:hAnsi="Arial" w:cs="Arial" w:eastAsia="Arial" w:hint="default"/>
        </w:rPr>
        <w:t>2007</w:t>
      </w:r>
      <w:r>
        <w:rPr>
          <w:rFonts w:ascii="Arial" w:hAnsi="Arial" w:cs="Arial" w:eastAsia="Arial" w:hint="default"/>
          <w:spacing w:val="-13"/>
        </w:rPr>
        <w:t> </w:t>
      </w:r>
      <w:r>
        <w:rPr/>
        <w:t>年度短期借款的加权平均年利率为</w:t>
      </w:r>
      <w:r>
        <w:rPr>
          <w:spacing w:val="-66"/>
        </w:rPr>
        <w:t> </w:t>
      </w:r>
      <w:r>
        <w:rPr>
          <w:rFonts w:ascii="Arial" w:hAnsi="Arial" w:cs="Arial" w:eastAsia="Arial" w:hint="default"/>
        </w:rPr>
        <w:t>6.23%(2006</w:t>
      </w:r>
      <w:r>
        <w:rPr>
          <w:rFonts w:ascii="Arial" w:hAnsi="Arial" w:cs="Arial" w:eastAsia="Arial" w:hint="default"/>
          <w:spacing w:val="-13"/>
        </w:rPr>
        <w:t> </w:t>
      </w:r>
      <w:r>
        <w:rPr/>
        <w:t>年：</w:t>
      </w:r>
      <w:r>
        <w:rPr>
          <w:rFonts w:ascii="Arial" w:hAnsi="Arial" w:cs="Arial" w:eastAsia="Arial" w:hint="default"/>
        </w:rPr>
        <w:t>6.15%)</w:t>
      </w:r>
      <w:r>
        <w:rPr/>
        <w:t>。</w:t>
      </w:r>
    </w:p>
    <w:p>
      <w:pPr>
        <w:spacing w:line="240" w:lineRule="auto" w:before="8"/>
        <w:rPr>
          <w:rFonts w:ascii="宋体" w:hAnsi="宋体" w:cs="宋体" w:eastAsia="宋体" w:hint="default"/>
          <w:sz w:val="19"/>
          <w:szCs w:val="19"/>
        </w:rPr>
      </w:pPr>
    </w:p>
    <w:p>
      <w:pPr>
        <w:tabs>
          <w:tab w:pos="818" w:val="left" w:leader="none"/>
        </w:tabs>
        <w:spacing w:before="0"/>
        <w:ind w:left="107" w:right="0" w:firstLine="0"/>
        <w:jc w:val="left"/>
        <w:rPr>
          <w:rFonts w:ascii="宋体" w:hAnsi="宋体" w:cs="宋体" w:eastAsia="宋体" w:hint="default"/>
          <w:sz w:val="24"/>
          <w:szCs w:val="24"/>
        </w:rPr>
      </w:pPr>
      <w:r>
        <w:rPr>
          <w:rFonts w:ascii="Arial" w:hAnsi="Arial" w:cs="Arial" w:eastAsia="Arial" w:hint="default"/>
          <w:position w:val="2"/>
          <w:sz w:val="24"/>
          <w:szCs w:val="24"/>
        </w:rPr>
        <w:t>(13)</w:t>
        <w:tab/>
      </w:r>
      <w:r>
        <w:rPr>
          <w:rFonts w:ascii="宋体" w:hAnsi="宋体" w:cs="宋体" w:eastAsia="宋体" w:hint="default"/>
          <w:b/>
          <w:bCs/>
          <w:sz w:val="24"/>
          <w:szCs w:val="24"/>
        </w:rPr>
        <w:t>应付票据</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18"/>
          <w:szCs w:val="18"/>
        </w:rPr>
      </w:pPr>
    </w:p>
    <w:p>
      <w:pPr>
        <w:pStyle w:val="BodyText"/>
        <w:tabs>
          <w:tab w:pos="7810" w:val="left" w:leader="none"/>
        </w:tabs>
        <w:spacing w:line="322" w:lineRule="exact"/>
        <w:ind w:left="4800" w:right="0"/>
        <w:jc w:val="left"/>
      </w:pP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8536" w:val="left" w:leader="none"/>
        </w:tabs>
        <w:spacing w:line="322" w:lineRule="exact"/>
        <w:ind w:left="5525" w:right="0"/>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2"/>
        <w:rPr>
          <w:rFonts w:ascii="Arial" w:hAnsi="Arial" w:cs="Arial" w:eastAsia="Arial" w:hint="default"/>
          <w:sz w:val="22"/>
          <w:szCs w:val="22"/>
        </w:rPr>
      </w:pPr>
    </w:p>
    <w:p>
      <w:pPr>
        <w:pStyle w:val="BodyText"/>
        <w:tabs>
          <w:tab w:pos="4591" w:val="left" w:leader="none"/>
          <w:tab w:pos="5818" w:val="left" w:leader="none"/>
          <w:tab w:pos="7582" w:val="left" w:leader="none"/>
          <w:tab w:pos="8829" w:val="left" w:leader="none"/>
          <w:tab w:pos="9999" w:val="left" w:leader="none"/>
        </w:tabs>
        <w:spacing w:line="240" w:lineRule="auto"/>
        <w:ind w:left="818" w:right="0"/>
        <w:jc w:val="left"/>
        <w:rPr>
          <w:rFonts w:ascii="Arial" w:hAnsi="Arial" w:cs="Arial" w:eastAsia="Arial" w:hint="default"/>
        </w:rPr>
      </w:pPr>
      <w:r>
        <w:rPr>
          <w:position w:val="2"/>
        </w:rPr>
        <w:t>银行承兑汇票</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6,582,678</w:t>
      </w:r>
      <w:r>
        <w:rPr>
          <w:rFonts w:ascii="Arial" w:hAnsi="Arial" w:cs="Arial" w:eastAsia="Arial" w:hint="default"/>
          <w:spacing w:val="-1"/>
        </w:rPr>
        <w:tab/>
      </w:r>
      <w:r>
        <w:rPr>
          <w:rFonts w:ascii="Arial" w:hAnsi="Arial" w:cs="Arial" w:eastAsia="Arial" w:hint="default"/>
          <w:spacing w:val="-1"/>
          <w:u w:val="thick" w:color="000000"/>
        </w:rPr>
        <w:t> </w:t>
        <w:tab/>
        <w:t>3,182,959</w:t>
        <w:tab/>
      </w:r>
      <w:r>
        <w:rPr>
          <w:rFonts w:ascii="Arial" w:hAnsi="Arial" w:cs="Arial" w:eastAsia="Arial" w:hint="default"/>
          <w:spacing w:val="-1"/>
        </w:rPr>
      </w:r>
    </w:p>
    <w:p>
      <w:pPr>
        <w:spacing w:line="240" w:lineRule="auto" w:before="1"/>
        <w:rPr>
          <w:rFonts w:ascii="Arial" w:hAnsi="Arial" w:cs="Arial" w:eastAsia="Arial" w:hint="default"/>
          <w:sz w:val="21"/>
          <w:szCs w:val="21"/>
        </w:rPr>
      </w:pPr>
    </w:p>
    <w:p>
      <w:pPr>
        <w:pStyle w:val="BodyText"/>
        <w:spacing w:line="322" w:lineRule="exact" w:before="26"/>
        <w:ind w:left="818" w:right="0"/>
        <w:jc w:val="left"/>
      </w:pPr>
      <w:r>
        <w:rPr/>
        <w:t>于</w:t>
      </w:r>
      <w:r>
        <w:rPr>
          <w:spacing w:val="-66"/>
        </w:rPr>
        <w:t> </w:t>
      </w:r>
      <w:r>
        <w:rPr>
          <w:rFonts w:ascii="Arial" w:hAnsi="Arial" w:cs="Arial" w:eastAsia="Arial" w:hint="default"/>
        </w:rPr>
        <w:t>2007</w:t>
      </w:r>
      <w:r>
        <w:rPr>
          <w:rFonts w:ascii="Arial" w:hAnsi="Arial" w:cs="Arial" w:eastAsia="Arial" w:hint="default"/>
          <w:spacing w:val="-13"/>
        </w:rPr>
        <w:t> </w:t>
      </w:r>
      <w:r>
        <w:rPr/>
        <w:t>年</w:t>
      </w:r>
      <w:r>
        <w:rPr>
          <w:spacing w:val="-65"/>
        </w:rPr>
        <w:t> </w:t>
      </w:r>
      <w:r>
        <w:rPr>
          <w:rFonts w:ascii="Arial" w:hAnsi="Arial" w:cs="Arial" w:eastAsia="Arial" w:hint="default"/>
        </w:rPr>
        <w:t>12</w:t>
      </w:r>
      <w:r>
        <w:rPr>
          <w:rFonts w:ascii="Arial" w:hAnsi="Arial" w:cs="Arial" w:eastAsia="Arial" w:hint="default"/>
          <w:spacing w:val="-13"/>
        </w:rPr>
        <w:t> </w:t>
      </w:r>
      <w:r>
        <w:rPr/>
        <w:t>月</w:t>
      </w:r>
      <w:r>
        <w:rPr>
          <w:spacing w:val="-66"/>
        </w:rPr>
        <w:t> </w:t>
      </w:r>
      <w:r>
        <w:rPr>
          <w:rFonts w:ascii="Arial" w:hAnsi="Arial" w:cs="Arial" w:eastAsia="Arial" w:hint="default"/>
        </w:rPr>
        <w:t>31</w:t>
      </w:r>
      <w:r>
        <w:rPr>
          <w:rFonts w:ascii="Arial" w:hAnsi="Arial" w:cs="Arial" w:eastAsia="Arial" w:hint="default"/>
          <w:spacing w:val="-13"/>
        </w:rPr>
        <w:t> </w:t>
      </w:r>
      <w:r>
        <w:rPr/>
        <w:t>日，本集团开立的银行承兑汇票以存于银行的汇票保证金约人民币</w:t>
      </w:r>
    </w:p>
    <w:p>
      <w:pPr>
        <w:pStyle w:val="BodyText"/>
        <w:spacing w:line="322" w:lineRule="exact"/>
        <w:ind w:left="818" w:right="0"/>
        <w:jc w:val="left"/>
      </w:pPr>
      <w:r>
        <w:rPr>
          <w:rFonts w:ascii="Arial" w:hAnsi="Arial" w:cs="Arial" w:eastAsia="Arial" w:hint="default"/>
        </w:rPr>
        <w:t>39.6</w:t>
      </w:r>
      <w:r>
        <w:rPr>
          <w:rFonts w:ascii="Arial" w:hAnsi="Arial" w:cs="Arial" w:eastAsia="Arial" w:hint="default"/>
          <w:spacing w:val="-9"/>
        </w:rPr>
        <w:t> </w:t>
      </w:r>
      <w:r>
        <w:rPr/>
        <w:t>亿元作为保证</w:t>
      </w:r>
      <w:r>
        <w:rPr>
          <w:rFonts w:ascii="Arial" w:hAnsi="Arial" w:cs="Arial" w:eastAsia="Arial" w:hint="default"/>
        </w:rPr>
        <w:t>(2006</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日：共约人民币</w:t>
      </w:r>
      <w:r>
        <w:rPr>
          <w:spacing w:val="-62"/>
        </w:rPr>
        <w:t> </w:t>
      </w:r>
      <w:r>
        <w:rPr>
          <w:rFonts w:ascii="Arial" w:hAnsi="Arial" w:cs="Arial" w:eastAsia="Arial" w:hint="default"/>
        </w:rPr>
        <w:t>18.4</w:t>
      </w:r>
      <w:r>
        <w:rPr>
          <w:rFonts w:ascii="Arial" w:hAnsi="Arial" w:cs="Arial" w:eastAsia="Arial" w:hint="default"/>
          <w:spacing w:val="-9"/>
        </w:rPr>
        <w:t> </w:t>
      </w:r>
      <w:r>
        <w:rPr/>
        <w:t>亿元</w:t>
      </w:r>
      <w:r>
        <w:rPr>
          <w:rFonts w:ascii="Arial" w:hAnsi="Arial" w:cs="Arial" w:eastAsia="Arial" w:hint="default"/>
        </w:rPr>
        <w:t>)(</w:t>
      </w:r>
      <w:r>
        <w:rPr/>
        <w:t>附注八</w:t>
      </w:r>
      <w:r>
        <w:rPr>
          <w:rFonts w:ascii="Arial" w:hAnsi="Arial" w:cs="Arial" w:eastAsia="Arial" w:hint="default"/>
        </w:rPr>
        <w:t>(1))</w:t>
      </w:r>
      <w:r>
        <w:rPr/>
        <w:t>。</w:t>
      </w:r>
    </w:p>
    <w:p>
      <w:pPr>
        <w:spacing w:line="240" w:lineRule="auto" w:before="13"/>
        <w:rPr>
          <w:rFonts w:ascii="宋体" w:hAnsi="宋体" w:cs="宋体" w:eastAsia="宋体" w:hint="default"/>
          <w:sz w:val="21"/>
          <w:szCs w:val="21"/>
        </w:rPr>
      </w:pPr>
    </w:p>
    <w:p>
      <w:pPr>
        <w:pStyle w:val="BodyText"/>
        <w:spacing w:line="312" w:lineRule="exact"/>
        <w:ind w:left="818" w:right="202"/>
        <w:jc w:val="left"/>
      </w:pPr>
      <w:r>
        <w:rPr>
          <w:spacing w:val="-1"/>
        </w:rPr>
        <w:t>于</w:t>
      </w:r>
      <w:r>
        <w:rPr>
          <w:rFonts w:ascii="Arial" w:hAnsi="Arial" w:cs="Arial" w:eastAsia="Arial" w:hint="default"/>
          <w:spacing w:val="-1"/>
        </w:rPr>
        <w:t>2007</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日，人民币</w:t>
      </w:r>
      <w:r>
        <w:rPr>
          <w:rFonts w:ascii="Arial" w:hAnsi="Arial" w:cs="Arial" w:eastAsia="Arial" w:hint="default"/>
          <w:spacing w:val="-1"/>
        </w:rPr>
        <w:t>1.357</w:t>
      </w:r>
      <w:r>
        <w:rPr>
          <w:spacing w:val="-1"/>
        </w:rPr>
        <w:t>亿元的银行承兑汇票以本公司股东江苏苏宁电器有限</w:t>
      </w:r>
      <w:r>
        <w:rPr>
          <w:spacing w:val="-115"/>
        </w:rPr>
        <w:t> </w:t>
      </w:r>
      <w:r>
        <w:rPr/>
        <w:t>公司提供的担保作为保证</w:t>
      </w:r>
      <w:r>
        <w:rPr>
          <w:rFonts w:ascii="Arial" w:hAnsi="Arial" w:cs="Arial" w:eastAsia="Arial" w:hint="default"/>
        </w:rPr>
        <w:t>(2006</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5,000</w:t>
      </w:r>
      <w:r>
        <w:rPr/>
        <w:t>万元</w:t>
      </w:r>
      <w:r>
        <w:rPr>
          <w:rFonts w:ascii="Arial" w:hAnsi="Arial" w:cs="Arial" w:eastAsia="Arial" w:hint="default"/>
        </w:rPr>
        <w:t>)(</w:t>
      </w:r>
      <w:r>
        <w:rPr/>
        <w:t>附注十一</w:t>
      </w:r>
      <w:r>
        <w:rPr>
          <w:rFonts w:ascii="Arial" w:hAnsi="Arial" w:cs="Arial" w:eastAsia="Arial" w:hint="default"/>
        </w:rPr>
        <w:t>(3)(d))</w:t>
      </w:r>
      <w:r>
        <w:rPr/>
        <w:t>。</w:t>
      </w:r>
    </w:p>
    <w:p>
      <w:pPr>
        <w:spacing w:line="240" w:lineRule="auto" w:before="10"/>
        <w:rPr>
          <w:rFonts w:ascii="宋体" w:hAnsi="宋体" w:cs="宋体" w:eastAsia="宋体" w:hint="default"/>
          <w:sz w:val="18"/>
          <w:szCs w:val="18"/>
        </w:rPr>
      </w:pPr>
    </w:p>
    <w:p>
      <w:pPr>
        <w:pStyle w:val="BodyText"/>
        <w:spacing w:line="240" w:lineRule="auto"/>
        <w:ind w:left="818" w:right="0"/>
        <w:jc w:val="left"/>
      </w:pPr>
      <w:r>
        <w:rPr/>
        <w:t>于</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日，银行承兑汇票余额全部将在</w:t>
      </w:r>
      <w:r>
        <w:rPr>
          <w:spacing w:val="-62"/>
        </w:rPr>
        <w:t> </w:t>
      </w:r>
      <w:r>
        <w:rPr>
          <w:rFonts w:ascii="Arial" w:hAnsi="Arial" w:cs="Arial" w:eastAsia="Arial" w:hint="default"/>
        </w:rPr>
        <w:t>2008</w:t>
      </w:r>
      <w:r>
        <w:rPr>
          <w:rFonts w:ascii="Arial" w:hAnsi="Arial" w:cs="Arial" w:eastAsia="Arial" w:hint="default"/>
          <w:spacing w:val="-8"/>
        </w:rPr>
        <w:t> </w:t>
      </w:r>
      <w:r>
        <w:rPr/>
        <w:t>年到期。</w:t>
      </w:r>
    </w:p>
    <w:p>
      <w:pPr>
        <w:spacing w:after="0" w:line="240" w:lineRule="auto"/>
        <w:jc w:val="left"/>
        <w:sectPr>
          <w:type w:val="continuous"/>
          <w:pgSz w:w="11910" w:h="16840"/>
          <w:pgMar w:top="1600" w:bottom="280" w:left="1020" w:right="7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14" w:val="left" w:leader="none"/>
        </w:tabs>
        <w:spacing w:line="240" w:lineRule="auto"/>
        <w:ind w:left="103" w:right="217"/>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80" w:val="left" w:leader="none"/>
        </w:tabs>
        <w:spacing w:before="0"/>
        <w:ind w:left="168" w:right="217" w:firstLine="0"/>
        <w:jc w:val="left"/>
        <w:rPr>
          <w:rFonts w:ascii="宋体" w:hAnsi="宋体" w:cs="宋体" w:eastAsia="宋体" w:hint="default"/>
          <w:sz w:val="24"/>
          <w:szCs w:val="24"/>
        </w:rPr>
      </w:pPr>
      <w:r>
        <w:rPr>
          <w:rFonts w:ascii="Arial" w:hAnsi="Arial" w:cs="Arial" w:eastAsia="Arial" w:hint="default"/>
          <w:position w:val="2"/>
          <w:sz w:val="24"/>
          <w:szCs w:val="24"/>
        </w:rPr>
        <w:t>(14)</w:t>
        <w:tab/>
      </w:r>
      <w:r>
        <w:rPr>
          <w:rFonts w:ascii="宋体" w:hAnsi="宋体" w:cs="宋体" w:eastAsia="宋体" w:hint="default"/>
          <w:b/>
          <w:bCs/>
          <w:sz w:val="24"/>
          <w:szCs w:val="24"/>
        </w:rPr>
        <w:t>应付账款</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80" w:right="217"/>
        <w:jc w:val="left"/>
      </w:pPr>
      <w:r>
        <w:rPr/>
        <w:t>于</w:t>
      </w:r>
      <w:r>
        <w:rPr>
          <w:spacing w:val="-49"/>
        </w:rPr>
        <w:t> </w:t>
      </w:r>
      <w:r>
        <w:rPr>
          <w:rFonts w:ascii="Arial" w:hAnsi="Arial" w:cs="Arial" w:eastAsia="Arial" w:hint="default"/>
        </w:rPr>
        <w:t>2007</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8"/>
        </w:rPr>
        <w:t> </w:t>
      </w:r>
      <w:r>
        <w:rPr>
          <w:rFonts w:ascii="Arial" w:hAnsi="Arial" w:cs="Arial" w:eastAsia="Arial" w:hint="default"/>
        </w:rPr>
        <w:t>31</w:t>
      </w:r>
      <w:r>
        <w:rPr>
          <w:rFonts w:ascii="Arial" w:hAnsi="Arial" w:cs="Arial" w:eastAsia="Arial" w:hint="default"/>
          <w:spacing w:val="4"/>
        </w:rPr>
        <w:t> </w:t>
      </w:r>
      <w:r>
        <w:rPr/>
        <w:t>日及</w:t>
      </w:r>
      <w:r>
        <w:rPr>
          <w:spacing w:val="-49"/>
        </w:rPr>
        <w:t> </w:t>
      </w:r>
      <w:r>
        <w:rPr>
          <w:rFonts w:ascii="Arial" w:hAnsi="Arial" w:cs="Arial" w:eastAsia="Arial" w:hint="default"/>
        </w:rPr>
        <w:t>2006</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8"/>
        </w:rPr>
        <w:t> </w:t>
      </w:r>
      <w:r>
        <w:rPr>
          <w:rFonts w:ascii="Arial" w:hAnsi="Arial" w:cs="Arial" w:eastAsia="Arial" w:hint="default"/>
        </w:rPr>
        <w:t>31</w:t>
      </w:r>
      <w:r>
        <w:rPr>
          <w:rFonts w:ascii="Arial" w:hAnsi="Arial" w:cs="Arial" w:eastAsia="Arial" w:hint="default"/>
          <w:spacing w:val="4"/>
        </w:rPr>
        <w:t> </w:t>
      </w:r>
      <w:r>
        <w:rPr/>
        <w:t>日，应付账款中无应付持有本公司</w:t>
      </w:r>
      <w:r>
        <w:rPr>
          <w:spacing w:val="-49"/>
        </w:rPr>
        <w:t> </w:t>
      </w:r>
      <w:r>
        <w:rPr>
          <w:rFonts w:ascii="Arial" w:hAnsi="Arial" w:cs="Arial" w:eastAsia="Arial" w:hint="default"/>
        </w:rPr>
        <w:t>5%(</w:t>
      </w:r>
      <w:r>
        <w:rPr/>
        <w:t>含 </w:t>
      </w:r>
      <w:r>
        <w:rPr>
          <w:rFonts w:ascii="Arial" w:hAnsi="Arial" w:cs="Arial" w:eastAsia="Arial" w:hint="default"/>
        </w:rPr>
        <w:t>5%)</w:t>
      </w:r>
      <w:r>
        <w:rPr/>
        <w:t>以上表决权股份的股东的款项。</w:t>
      </w:r>
    </w:p>
    <w:p>
      <w:pPr>
        <w:spacing w:line="240" w:lineRule="auto" w:before="10"/>
        <w:rPr>
          <w:rFonts w:ascii="宋体" w:hAnsi="宋体" w:cs="宋体" w:eastAsia="宋体" w:hint="default"/>
          <w:sz w:val="18"/>
          <w:szCs w:val="18"/>
        </w:rPr>
      </w:pPr>
    </w:p>
    <w:p>
      <w:pPr>
        <w:pStyle w:val="BodyText"/>
        <w:spacing w:line="322" w:lineRule="exact"/>
        <w:ind w:left="880" w:right="217"/>
        <w:jc w:val="left"/>
        <w:rPr>
          <w:rFonts w:ascii="Arial" w:hAnsi="Arial" w:cs="Arial" w:eastAsia="Arial" w:hint="default"/>
        </w:rPr>
      </w:pPr>
      <w:r>
        <w:rPr/>
        <w:t>于</w:t>
      </w:r>
      <w:r>
        <w:rPr>
          <w:spacing w:val="-52"/>
        </w:rPr>
        <w:t> </w:t>
      </w:r>
      <w:r>
        <w:rPr>
          <w:rFonts w:ascii="Arial" w:hAnsi="Arial" w:cs="Arial" w:eastAsia="Arial" w:hint="default"/>
        </w:rPr>
        <w:t>2007</w:t>
      </w:r>
      <w:r>
        <w:rPr>
          <w:rFonts w:ascii="Arial" w:hAnsi="Arial" w:cs="Arial" w:eastAsia="Arial" w:hint="default"/>
          <w:spacing w:val="1"/>
        </w:rPr>
        <w:t> </w:t>
      </w:r>
      <w:r>
        <w:rPr/>
        <w:t>年</w:t>
      </w:r>
      <w:r>
        <w:rPr>
          <w:spacing w:val="-54"/>
        </w:rPr>
        <w:t> </w:t>
      </w:r>
      <w:r>
        <w:rPr>
          <w:rFonts w:ascii="Arial" w:hAnsi="Arial" w:cs="Arial" w:eastAsia="Arial" w:hint="default"/>
        </w:rPr>
        <w:t>12</w:t>
      </w:r>
      <w:r>
        <w:rPr>
          <w:rFonts w:ascii="Arial" w:hAnsi="Arial" w:cs="Arial" w:eastAsia="Arial" w:hint="default"/>
          <w:spacing w:val="1"/>
        </w:rPr>
        <w:t> </w:t>
      </w:r>
      <w:r>
        <w:rPr/>
        <w:t>月</w:t>
      </w:r>
      <w:r>
        <w:rPr>
          <w:spacing w:val="-52"/>
        </w:rPr>
        <w:t> </w:t>
      </w:r>
      <w:r>
        <w:rPr>
          <w:rFonts w:ascii="Arial" w:hAnsi="Arial" w:cs="Arial" w:eastAsia="Arial" w:hint="default"/>
        </w:rPr>
        <w:t>31</w:t>
      </w:r>
      <w:r>
        <w:rPr>
          <w:rFonts w:ascii="Arial" w:hAnsi="Arial" w:cs="Arial" w:eastAsia="Arial" w:hint="default"/>
          <w:spacing w:val="1"/>
        </w:rPr>
        <w:t> </w:t>
      </w:r>
      <w:r>
        <w:rPr/>
        <w:t>日，账龄超过一年的应付账款约为人民币</w:t>
      </w:r>
      <w:r>
        <w:rPr>
          <w:spacing w:val="-52"/>
        </w:rPr>
        <w:t> </w:t>
      </w:r>
      <w:r>
        <w:rPr>
          <w:rFonts w:ascii="Arial" w:hAnsi="Arial" w:cs="Arial" w:eastAsia="Arial" w:hint="default"/>
        </w:rPr>
        <w:t>3,635 </w:t>
      </w:r>
      <w:r>
        <w:rPr/>
        <w:t>万元</w:t>
      </w:r>
      <w:r>
        <w:rPr>
          <w:rFonts w:ascii="Arial" w:hAnsi="Arial" w:cs="Arial" w:eastAsia="Arial" w:hint="default"/>
        </w:rPr>
        <w:t>(2006</w:t>
      </w:r>
      <w:r>
        <w:rPr>
          <w:rFonts w:ascii="Arial" w:hAnsi="Arial" w:cs="Arial" w:eastAsia="Arial" w:hint="default"/>
          <w:spacing w:val="1"/>
        </w:rPr>
        <w:t> </w:t>
      </w:r>
      <w:r>
        <w:rPr/>
        <w:t>年</w:t>
      </w:r>
      <w:r>
        <w:rPr>
          <w:spacing w:val="-52"/>
        </w:rPr>
        <w:t> </w:t>
      </w:r>
      <w:r>
        <w:rPr>
          <w:rFonts w:ascii="Arial" w:hAnsi="Arial" w:cs="Arial" w:eastAsia="Arial" w:hint="default"/>
        </w:rPr>
        <w:t>12</w:t>
      </w:r>
    </w:p>
    <w:p>
      <w:pPr>
        <w:pStyle w:val="BodyText"/>
        <w:spacing w:line="312" w:lineRule="exact" w:before="21"/>
        <w:ind w:left="880" w:right="212"/>
        <w:jc w:val="left"/>
      </w:pPr>
      <w:r>
        <w:rPr/>
        <w:t>月</w:t>
      </w:r>
      <w:r>
        <w:rPr>
          <w:spacing w:val="-49"/>
        </w:rPr>
        <w:t> </w:t>
      </w:r>
      <w:r>
        <w:rPr>
          <w:rFonts w:ascii="Arial" w:hAnsi="Arial" w:cs="Arial" w:eastAsia="Arial" w:hint="default"/>
        </w:rPr>
        <w:t>31</w:t>
      </w:r>
      <w:r>
        <w:rPr>
          <w:rFonts w:ascii="Arial" w:hAnsi="Arial" w:cs="Arial" w:eastAsia="Arial" w:hint="default"/>
          <w:spacing w:val="4"/>
        </w:rPr>
        <w:t> </w:t>
      </w:r>
      <w:r>
        <w:rPr/>
        <w:t>日：约人民币</w:t>
      </w:r>
      <w:r>
        <w:rPr>
          <w:spacing w:val="-50"/>
        </w:rPr>
        <w:t> </w:t>
      </w:r>
      <w:r>
        <w:rPr>
          <w:rFonts w:ascii="Arial" w:hAnsi="Arial" w:cs="Arial" w:eastAsia="Arial" w:hint="default"/>
        </w:rPr>
        <w:t>1,249</w:t>
      </w:r>
      <w:r>
        <w:rPr>
          <w:rFonts w:ascii="Arial" w:hAnsi="Arial" w:cs="Arial" w:eastAsia="Arial" w:hint="default"/>
          <w:spacing w:val="4"/>
        </w:rPr>
        <w:t> </w:t>
      </w:r>
      <w:r>
        <w:rPr/>
        <w:t>万元</w:t>
      </w:r>
      <w:r>
        <w:rPr>
          <w:rFonts w:ascii="Arial" w:hAnsi="Arial" w:cs="Arial" w:eastAsia="Arial" w:hint="default"/>
        </w:rPr>
        <w:t>)</w:t>
      </w:r>
      <w:r>
        <w:rPr>
          <w:rFonts w:ascii="Arial" w:hAnsi="Arial" w:cs="Arial" w:eastAsia="Arial" w:hint="default"/>
          <w:spacing w:val="35"/>
        </w:rPr>
        <w:t> </w:t>
      </w:r>
      <w:r>
        <w:rPr/>
        <w:t>，主要为以前年度滚存的供应商货款，供应商未及时 与本集团进行结算。</w:t>
      </w:r>
    </w:p>
    <w:p>
      <w:pPr>
        <w:spacing w:line="240" w:lineRule="auto" w:before="10"/>
        <w:rPr>
          <w:rFonts w:ascii="宋体" w:hAnsi="宋体" w:cs="宋体" w:eastAsia="宋体" w:hint="default"/>
          <w:sz w:val="18"/>
          <w:szCs w:val="18"/>
        </w:rPr>
      </w:pPr>
    </w:p>
    <w:p>
      <w:pPr>
        <w:pStyle w:val="BodyText"/>
        <w:spacing w:line="240" w:lineRule="auto"/>
        <w:ind w:left="880" w:right="217"/>
        <w:jc w:val="left"/>
      </w:pPr>
      <w:r>
        <w:rPr/>
        <w:t>本集团的应付账款均为人民币余额。</w:t>
      </w:r>
    </w:p>
    <w:p>
      <w:pPr>
        <w:spacing w:line="240" w:lineRule="auto" w:before="12"/>
        <w:rPr>
          <w:rFonts w:ascii="宋体" w:hAnsi="宋体" w:cs="宋体" w:eastAsia="宋体" w:hint="default"/>
          <w:sz w:val="20"/>
          <w:szCs w:val="20"/>
        </w:rPr>
      </w:pPr>
    </w:p>
    <w:p>
      <w:pPr>
        <w:tabs>
          <w:tab w:pos="880" w:val="left" w:leader="none"/>
        </w:tabs>
        <w:spacing w:before="0"/>
        <w:ind w:left="167" w:right="217" w:firstLine="0"/>
        <w:jc w:val="left"/>
        <w:rPr>
          <w:rFonts w:ascii="宋体" w:hAnsi="宋体" w:cs="宋体" w:eastAsia="宋体" w:hint="default"/>
          <w:sz w:val="24"/>
          <w:szCs w:val="24"/>
        </w:rPr>
      </w:pPr>
      <w:r>
        <w:rPr>
          <w:rFonts w:ascii="Arial" w:hAnsi="Arial" w:cs="Arial" w:eastAsia="Arial" w:hint="default"/>
          <w:position w:val="2"/>
          <w:sz w:val="24"/>
          <w:szCs w:val="24"/>
        </w:rPr>
        <w:t>(15)</w:t>
        <w:tab/>
      </w:r>
      <w:r>
        <w:rPr>
          <w:rFonts w:ascii="宋体" w:hAnsi="宋体" w:cs="宋体" w:eastAsia="宋体" w:hint="default"/>
          <w:b/>
          <w:bCs/>
          <w:sz w:val="24"/>
          <w:szCs w:val="24"/>
        </w:rPr>
        <w:t>预收款项</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80" w:right="217"/>
        <w:jc w:val="left"/>
      </w:pPr>
      <w:r>
        <w:rPr/>
        <w:t>于</w:t>
      </w:r>
      <w:r>
        <w:rPr>
          <w:spacing w:val="-49"/>
        </w:rPr>
        <w:t> </w:t>
      </w:r>
      <w:r>
        <w:rPr>
          <w:rFonts w:ascii="Arial" w:hAnsi="Arial" w:cs="Arial" w:eastAsia="Arial" w:hint="default"/>
        </w:rPr>
        <w:t>2007</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8"/>
        </w:rPr>
        <w:t> </w:t>
      </w:r>
      <w:r>
        <w:rPr>
          <w:rFonts w:ascii="Arial" w:hAnsi="Arial" w:cs="Arial" w:eastAsia="Arial" w:hint="default"/>
        </w:rPr>
        <w:t>31</w:t>
      </w:r>
      <w:r>
        <w:rPr>
          <w:rFonts w:ascii="Arial" w:hAnsi="Arial" w:cs="Arial" w:eastAsia="Arial" w:hint="default"/>
          <w:spacing w:val="4"/>
        </w:rPr>
        <w:t> </w:t>
      </w:r>
      <w:r>
        <w:rPr/>
        <w:t>日及</w:t>
      </w:r>
      <w:r>
        <w:rPr>
          <w:spacing w:val="-49"/>
        </w:rPr>
        <w:t> </w:t>
      </w:r>
      <w:r>
        <w:rPr>
          <w:rFonts w:ascii="Arial" w:hAnsi="Arial" w:cs="Arial" w:eastAsia="Arial" w:hint="default"/>
        </w:rPr>
        <w:t>2006</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8"/>
        </w:rPr>
        <w:t> </w:t>
      </w:r>
      <w:r>
        <w:rPr>
          <w:rFonts w:ascii="Arial" w:hAnsi="Arial" w:cs="Arial" w:eastAsia="Arial" w:hint="default"/>
        </w:rPr>
        <w:t>31</w:t>
      </w:r>
      <w:r>
        <w:rPr>
          <w:rFonts w:ascii="Arial" w:hAnsi="Arial" w:cs="Arial" w:eastAsia="Arial" w:hint="default"/>
          <w:spacing w:val="4"/>
        </w:rPr>
        <w:t> </w:t>
      </w:r>
      <w:r>
        <w:rPr/>
        <w:t>日，预收款项中无预收持有本公司</w:t>
      </w:r>
      <w:r>
        <w:rPr>
          <w:spacing w:val="-49"/>
        </w:rPr>
        <w:t> </w:t>
      </w:r>
      <w:r>
        <w:rPr>
          <w:rFonts w:ascii="Arial" w:hAnsi="Arial" w:cs="Arial" w:eastAsia="Arial" w:hint="default"/>
        </w:rPr>
        <w:t>5%(</w:t>
      </w:r>
      <w:r>
        <w:rPr/>
        <w:t>含 </w:t>
      </w:r>
      <w:r>
        <w:rPr>
          <w:rFonts w:ascii="Arial" w:hAnsi="Arial" w:cs="Arial" w:eastAsia="Arial" w:hint="default"/>
        </w:rPr>
        <w:t>5%)</w:t>
      </w:r>
      <w:r>
        <w:rPr/>
        <w:t>以上表决权股份的股东的款项。</w:t>
      </w:r>
    </w:p>
    <w:p>
      <w:pPr>
        <w:spacing w:line="240" w:lineRule="auto" w:before="10"/>
        <w:rPr>
          <w:rFonts w:ascii="宋体" w:hAnsi="宋体" w:cs="宋体" w:eastAsia="宋体" w:hint="default"/>
          <w:sz w:val="18"/>
          <w:szCs w:val="18"/>
        </w:rPr>
      </w:pPr>
    </w:p>
    <w:p>
      <w:pPr>
        <w:pStyle w:val="BodyText"/>
        <w:spacing w:line="322" w:lineRule="exact"/>
        <w:ind w:left="880" w:right="0"/>
        <w:jc w:val="left"/>
      </w:pPr>
      <w:r>
        <w:rPr/>
        <w:t>于</w:t>
      </w:r>
      <w:r>
        <w:rPr>
          <w:spacing w:val="-48"/>
        </w:rPr>
        <w:t> </w:t>
      </w:r>
      <w:r>
        <w:rPr>
          <w:rFonts w:ascii="Arial" w:hAnsi="Arial" w:cs="Arial" w:eastAsia="Arial" w:hint="default"/>
        </w:rPr>
        <w:t>2007</w:t>
      </w:r>
      <w:r>
        <w:rPr>
          <w:rFonts w:ascii="Arial" w:hAnsi="Arial" w:cs="Arial" w:eastAsia="Arial" w:hint="default"/>
          <w:spacing w:val="6"/>
        </w:rPr>
        <w:t> </w:t>
      </w:r>
      <w:r>
        <w:rPr/>
        <w:t>年</w:t>
      </w:r>
      <w:r>
        <w:rPr>
          <w:spacing w:val="-48"/>
        </w:rPr>
        <w:t> </w:t>
      </w:r>
      <w:r>
        <w:rPr>
          <w:rFonts w:ascii="Arial" w:hAnsi="Arial" w:cs="Arial" w:eastAsia="Arial" w:hint="default"/>
        </w:rPr>
        <w:t>12</w:t>
      </w:r>
      <w:r>
        <w:rPr>
          <w:rFonts w:ascii="Arial" w:hAnsi="Arial" w:cs="Arial" w:eastAsia="Arial" w:hint="default"/>
          <w:spacing w:val="5"/>
        </w:rPr>
        <w:t> </w:t>
      </w:r>
      <w:r>
        <w:rPr/>
        <w:t>月</w:t>
      </w:r>
      <w:r>
        <w:rPr>
          <w:spacing w:val="-48"/>
        </w:rPr>
        <w:t> </w:t>
      </w:r>
      <w:r>
        <w:rPr>
          <w:rFonts w:ascii="Arial" w:hAnsi="Arial" w:cs="Arial" w:eastAsia="Arial" w:hint="default"/>
        </w:rPr>
        <w:t>31</w:t>
      </w:r>
      <w:r>
        <w:rPr>
          <w:rFonts w:ascii="Arial" w:hAnsi="Arial" w:cs="Arial" w:eastAsia="Arial" w:hint="default"/>
          <w:spacing w:val="5"/>
        </w:rPr>
        <w:t> </w:t>
      </w:r>
      <w:r>
        <w:rPr/>
        <w:t>日，账龄超过一年的预收款项约为人民币</w:t>
      </w:r>
      <w:r>
        <w:rPr>
          <w:spacing w:val="-48"/>
        </w:rPr>
        <w:t> </w:t>
      </w:r>
      <w:r>
        <w:rPr>
          <w:rFonts w:ascii="Arial" w:hAnsi="Arial" w:cs="Arial" w:eastAsia="Arial" w:hint="default"/>
        </w:rPr>
        <w:t>92</w:t>
      </w:r>
      <w:r>
        <w:rPr>
          <w:rFonts w:ascii="Arial" w:hAnsi="Arial" w:cs="Arial" w:eastAsia="Arial" w:hint="default"/>
          <w:spacing w:val="5"/>
        </w:rPr>
        <w:t> </w:t>
      </w:r>
      <w:r>
        <w:rPr/>
        <w:t>万元</w:t>
      </w:r>
      <w:r>
        <w:rPr>
          <w:rFonts w:ascii="Arial" w:hAnsi="Arial" w:cs="Arial" w:eastAsia="Arial" w:hint="default"/>
        </w:rPr>
        <w:t>(2006</w:t>
      </w:r>
      <w:r>
        <w:rPr>
          <w:rFonts w:ascii="Arial" w:hAnsi="Arial" w:cs="Arial" w:eastAsia="Arial" w:hint="default"/>
          <w:spacing w:val="5"/>
        </w:rPr>
        <w:t> </w:t>
      </w:r>
      <w:r>
        <w:rPr/>
        <w:t>年</w:t>
      </w:r>
      <w:r>
        <w:rPr>
          <w:spacing w:val="-48"/>
        </w:rPr>
        <w:t> </w:t>
      </w:r>
      <w:r>
        <w:rPr>
          <w:rFonts w:ascii="Arial" w:hAnsi="Arial" w:cs="Arial" w:eastAsia="Arial" w:hint="default"/>
        </w:rPr>
        <w:t>12</w:t>
      </w:r>
      <w:r>
        <w:rPr>
          <w:rFonts w:ascii="Arial" w:hAnsi="Arial" w:cs="Arial" w:eastAsia="Arial" w:hint="default"/>
          <w:spacing w:val="5"/>
        </w:rPr>
        <w:t> </w:t>
      </w:r>
      <w:r>
        <w:rPr/>
        <w:t>月</w:t>
      </w:r>
    </w:p>
    <w:p>
      <w:pPr>
        <w:pStyle w:val="BodyText"/>
        <w:spacing w:line="427" w:lineRule="auto"/>
        <w:ind w:left="880" w:right="2797"/>
        <w:jc w:val="left"/>
      </w:pPr>
      <w:r>
        <w:rPr>
          <w:rFonts w:ascii="Arial" w:hAnsi="Arial" w:cs="Arial" w:eastAsia="Arial" w:hint="default"/>
        </w:rPr>
        <w:t>31</w:t>
      </w:r>
      <w:r>
        <w:rPr>
          <w:rFonts w:ascii="Arial" w:hAnsi="Arial" w:cs="Arial" w:eastAsia="Arial" w:hint="default"/>
          <w:spacing w:val="-7"/>
        </w:rPr>
        <w:t> </w:t>
      </w:r>
      <w:r>
        <w:rPr/>
        <w:t>日：约人民币</w:t>
      </w:r>
      <w:r>
        <w:rPr>
          <w:spacing w:val="-60"/>
        </w:rPr>
        <w:t> </w:t>
      </w:r>
      <w:r>
        <w:rPr>
          <w:rFonts w:ascii="Arial" w:hAnsi="Arial" w:cs="Arial" w:eastAsia="Arial" w:hint="default"/>
          <w:spacing w:val="-7"/>
        </w:rPr>
        <w:t>116</w:t>
      </w:r>
      <w:r>
        <w:rPr>
          <w:rFonts w:ascii="Arial" w:hAnsi="Arial" w:cs="Arial" w:eastAsia="Arial" w:hint="default"/>
          <w:spacing w:val="-6"/>
        </w:rPr>
        <w:t> </w:t>
      </w:r>
      <w:r>
        <w:rPr/>
        <w:t>万元</w:t>
      </w:r>
      <w:r>
        <w:rPr>
          <w:rFonts w:ascii="Arial" w:hAnsi="Arial" w:cs="Arial" w:eastAsia="Arial" w:hint="default"/>
        </w:rPr>
        <w:t>)</w:t>
      </w:r>
      <w:r>
        <w:rPr/>
        <w:t>，主要为尚未与客户结算的尾款。 本集团的预收账款均为人民币余额。</w:t>
      </w:r>
    </w:p>
    <w:p>
      <w:pPr>
        <w:spacing w:before="86"/>
        <w:ind w:left="223" w:right="217" w:firstLine="0"/>
        <w:jc w:val="left"/>
        <w:rPr>
          <w:rFonts w:ascii="宋体" w:hAnsi="宋体" w:cs="宋体" w:eastAsia="宋体" w:hint="default"/>
          <w:sz w:val="24"/>
          <w:szCs w:val="24"/>
        </w:rPr>
      </w:pPr>
      <w:r>
        <w:rPr>
          <w:rFonts w:ascii="Arial" w:hAnsi="Arial" w:cs="Arial" w:eastAsia="Arial" w:hint="default"/>
          <w:position w:val="2"/>
          <w:sz w:val="24"/>
          <w:szCs w:val="24"/>
        </w:rPr>
        <w:t>(16) </w:t>
      </w:r>
      <w:r>
        <w:rPr>
          <w:rFonts w:ascii="Arial" w:hAnsi="Arial" w:cs="Arial" w:eastAsia="Arial" w:hint="default"/>
          <w:spacing w:val="25"/>
          <w:position w:val="2"/>
          <w:sz w:val="24"/>
          <w:szCs w:val="24"/>
        </w:rPr>
        <w:t> </w:t>
      </w:r>
      <w:r>
        <w:rPr>
          <w:rFonts w:ascii="宋体" w:hAnsi="宋体" w:cs="宋体" w:eastAsia="宋体" w:hint="default"/>
          <w:b/>
          <w:bCs/>
          <w:sz w:val="24"/>
          <w:szCs w:val="24"/>
        </w:rPr>
        <w:t>应付职工薪酬</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8" w:footer="708" w:top="980" w:bottom="900" w:left="960" w:right="820"/>
        </w:sectPr>
      </w:pPr>
    </w:p>
    <w:p>
      <w:pPr>
        <w:pStyle w:val="BodyText"/>
        <w:spacing w:line="322" w:lineRule="exact" w:before="26"/>
        <w:ind w:left="0" w:right="31"/>
        <w:jc w:val="right"/>
      </w:pPr>
      <w:r>
        <w:rPr>
          <w:rFonts w:ascii="Arial" w:hAnsi="Arial" w:cs="Arial" w:eastAsia="Arial" w:hint="default"/>
        </w:rPr>
        <w:t>2006</w:t>
      </w:r>
      <w:r>
        <w:rPr>
          <w:rFonts w:ascii="Arial" w:hAnsi="Arial" w:cs="Arial" w:eastAsia="Arial" w:hint="default"/>
          <w:spacing w:val="-10"/>
        </w:rPr>
        <w:t> </w:t>
      </w:r>
      <w:r>
        <w:rPr/>
        <w:t>年</w:t>
      </w:r>
    </w:p>
    <w:p>
      <w:pPr>
        <w:pStyle w:val="BodyText"/>
        <w:spacing w:line="322" w:lineRule="exact"/>
        <w:ind w:left="0" w:right="0"/>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1652" w:val="left" w:leader="none"/>
          <w:tab w:pos="3631" w:val="left" w:leader="none"/>
        </w:tabs>
        <w:spacing w:line="322" w:lineRule="exact" w:before="26"/>
        <w:ind w:left="0" w:right="278"/>
        <w:jc w:val="right"/>
      </w:pPr>
      <w:r>
        <w:rPr/>
        <w:br w:type="column"/>
      </w:r>
      <w:r>
        <w:rPr/>
        <w:t>本年增加</w:t>
        <w:tab/>
        <w:t>本年减少</w:t>
        <w:tab/>
      </w:r>
      <w:r>
        <w:rPr>
          <w:rFonts w:ascii="Arial" w:hAnsi="Arial" w:cs="Arial" w:eastAsia="Arial" w:hint="default"/>
        </w:rPr>
        <w:t>2007</w:t>
      </w:r>
      <w:r>
        <w:rPr>
          <w:rFonts w:ascii="Arial" w:hAnsi="Arial" w:cs="Arial" w:eastAsia="Arial" w:hint="default"/>
          <w:spacing w:val="-10"/>
        </w:rPr>
        <w:t> </w:t>
      </w:r>
      <w:r>
        <w:rPr/>
        <w:t>年</w:t>
      </w:r>
    </w:p>
    <w:p>
      <w:pPr>
        <w:pStyle w:val="BodyText"/>
        <w:spacing w:line="312" w:lineRule="exact"/>
        <w:ind w:left="0" w:right="28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ind w:left="1137" w:right="0"/>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after="0" w:line="322" w:lineRule="exact"/>
        <w:jc w:val="left"/>
        <w:rPr>
          <w:rFonts w:ascii="Arial" w:hAnsi="Arial" w:cs="Arial" w:eastAsia="Arial" w:hint="default"/>
        </w:rPr>
        <w:sectPr>
          <w:type w:val="continuous"/>
          <w:pgSz w:w="11910" w:h="16840"/>
          <w:pgMar w:top="1600" w:bottom="280" w:left="960" w:right="820"/>
          <w:cols w:num="2" w:equalWidth="0">
            <w:col w:w="4772" w:space="40"/>
            <w:col w:w="5318"/>
          </w:cols>
        </w:sectPr>
      </w:pPr>
    </w:p>
    <w:p>
      <w:pPr>
        <w:spacing w:line="240" w:lineRule="auto" w:before="1"/>
        <w:rPr>
          <w:rFonts w:ascii="Arial" w:hAnsi="Arial" w:cs="Arial" w:eastAsia="Arial" w:hint="default"/>
          <w:sz w:val="20"/>
          <w:szCs w:val="20"/>
        </w:rPr>
      </w:pPr>
    </w:p>
    <w:tbl>
      <w:tblPr>
        <w:tblW w:w="0" w:type="auto"/>
        <w:jc w:val="left"/>
        <w:tblInd w:w="845" w:type="dxa"/>
        <w:tblLayout w:type="fixed"/>
        <w:tblCellMar>
          <w:top w:w="0" w:type="dxa"/>
          <w:left w:w="0" w:type="dxa"/>
          <w:bottom w:w="0" w:type="dxa"/>
          <w:right w:w="0" w:type="dxa"/>
        </w:tblCellMar>
        <w:tblLook w:val="01E0"/>
      </w:tblPr>
      <w:tblGrid>
        <w:gridCol w:w="2413"/>
        <w:gridCol w:w="1761"/>
        <w:gridCol w:w="1567"/>
        <w:gridCol w:w="1646"/>
        <w:gridCol w:w="1780"/>
      </w:tblGrid>
      <w:tr>
        <w:trPr>
          <w:trHeight w:val="688"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35" w:right="0"/>
              <w:jc w:val="left"/>
              <w:rPr>
                <w:rFonts w:ascii="宋体" w:hAnsi="宋体" w:cs="宋体" w:eastAsia="宋体" w:hint="default"/>
                <w:sz w:val="24"/>
                <w:szCs w:val="24"/>
              </w:rPr>
            </w:pPr>
            <w:r>
              <w:rPr>
                <w:rFonts w:ascii="宋体" w:hAnsi="宋体" w:cs="宋体" w:eastAsia="宋体" w:hint="default"/>
                <w:sz w:val="24"/>
                <w:szCs w:val="24"/>
              </w:rPr>
              <w:t>工资、奖金和补贴</w:t>
            </w:r>
          </w:p>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pacing w:val="19"/>
                <w:sz w:val="24"/>
                <w:szCs w:val="24"/>
              </w:rPr>
              <w:t>工会经费和职工教育</w:t>
            </w:r>
            <w:r>
              <w:rPr>
                <w:rFonts w:ascii="宋体" w:hAnsi="宋体" w:cs="宋体" w:eastAsia="宋体" w:hint="default"/>
                <w:sz w:val="24"/>
                <w:szCs w:val="24"/>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47"/>
              <w:jc w:val="right"/>
              <w:rPr>
                <w:rFonts w:ascii="Arial" w:hAnsi="Arial" w:cs="Arial" w:eastAsia="Arial" w:hint="default"/>
                <w:sz w:val="24"/>
                <w:szCs w:val="24"/>
              </w:rPr>
            </w:pPr>
            <w:r>
              <w:rPr>
                <w:rFonts w:ascii="Arial"/>
                <w:spacing w:val="-1"/>
                <w:sz w:val="24"/>
              </w:rPr>
              <w:t>14,124</w:t>
            </w:r>
            <w:r>
              <w:rPr>
                <w:rFonts w:ascii="Arial"/>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53" w:right="0"/>
              <w:jc w:val="left"/>
              <w:rPr>
                <w:rFonts w:ascii="Arial" w:hAnsi="Arial" w:cs="Arial" w:eastAsia="Arial" w:hint="default"/>
                <w:sz w:val="24"/>
                <w:szCs w:val="24"/>
              </w:rPr>
            </w:pPr>
            <w:r>
              <w:rPr>
                <w:rFonts w:ascii="Arial"/>
                <w:sz w:val="24"/>
              </w:rPr>
              <w:t>745,972</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77" w:right="0"/>
              <w:jc w:val="left"/>
              <w:rPr>
                <w:rFonts w:ascii="Arial" w:hAnsi="Arial" w:cs="Arial" w:eastAsia="Arial" w:hint="default"/>
                <w:sz w:val="24"/>
                <w:szCs w:val="24"/>
              </w:rPr>
            </w:pPr>
            <w:r>
              <w:rPr>
                <w:rFonts w:ascii="Arial"/>
                <w:sz w:val="24"/>
              </w:rPr>
              <w:t>(694,823)</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10" w:right="0"/>
              <w:jc w:val="left"/>
              <w:rPr>
                <w:rFonts w:ascii="Arial" w:hAnsi="Arial" w:cs="Arial" w:eastAsia="Arial" w:hint="default"/>
                <w:sz w:val="24"/>
                <w:szCs w:val="24"/>
              </w:rPr>
            </w:pPr>
            <w:r>
              <w:rPr>
                <w:rFonts w:ascii="Arial"/>
                <w:sz w:val="24"/>
              </w:rPr>
              <w:t>65,273</w:t>
            </w:r>
          </w:p>
        </w:tc>
      </w:tr>
      <w:tr>
        <w:trPr>
          <w:trHeight w:val="327"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76" w:lineRule="exact"/>
              <w:ind w:left="207" w:right="0"/>
              <w:jc w:val="left"/>
              <w:rPr>
                <w:rFonts w:ascii="宋体" w:hAnsi="宋体" w:cs="宋体" w:eastAsia="宋体" w:hint="default"/>
                <w:sz w:val="24"/>
                <w:szCs w:val="24"/>
              </w:rPr>
            </w:pPr>
            <w:r>
              <w:rPr>
                <w:rFonts w:ascii="宋体" w:hAnsi="宋体" w:cs="宋体" w:eastAsia="宋体" w:hint="default"/>
                <w:sz w:val="24"/>
                <w:szCs w:val="24"/>
              </w:rPr>
              <w:t>经费</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7"/>
              <w:jc w:val="right"/>
              <w:rPr>
                <w:rFonts w:ascii="Arial" w:hAnsi="Arial" w:cs="Arial" w:eastAsia="Arial" w:hint="default"/>
                <w:sz w:val="24"/>
                <w:szCs w:val="24"/>
              </w:rPr>
            </w:pPr>
            <w:r>
              <w:rPr>
                <w:rFonts w:ascii="Arial"/>
                <w:spacing w:val="-1"/>
                <w:sz w:val="24"/>
              </w:rPr>
              <w:t>15,735</w:t>
            </w:r>
            <w:r>
              <w:rPr>
                <w:rFonts w:ascii="Arial"/>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6" w:right="0"/>
              <w:jc w:val="left"/>
              <w:rPr>
                <w:rFonts w:ascii="Arial" w:hAnsi="Arial" w:cs="Arial" w:eastAsia="Arial" w:hint="default"/>
                <w:sz w:val="24"/>
                <w:szCs w:val="24"/>
              </w:rPr>
            </w:pPr>
            <w:r>
              <w:rPr>
                <w:rFonts w:ascii="Arial"/>
                <w:sz w:val="24"/>
              </w:rPr>
              <w:t>18,374</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0"/>
              <w:jc w:val="right"/>
              <w:rPr>
                <w:rFonts w:ascii="Arial" w:hAnsi="Arial" w:cs="Arial" w:eastAsia="Arial" w:hint="default"/>
                <w:sz w:val="24"/>
                <w:szCs w:val="24"/>
              </w:rPr>
            </w:pPr>
            <w:r>
              <w:rPr>
                <w:rFonts w:ascii="Arial"/>
                <w:spacing w:val="-1"/>
                <w:sz w:val="24"/>
              </w:rPr>
              <w:t>(6,361)</w:t>
            </w:r>
            <w:r>
              <w:rPr>
                <w:rFonts w:ascii="Arial"/>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10" w:right="0"/>
              <w:jc w:val="left"/>
              <w:rPr>
                <w:rFonts w:ascii="Arial" w:hAnsi="Arial" w:cs="Arial" w:eastAsia="Arial" w:hint="default"/>
                <w:sz w:val="24"/>
                <w:szCs w:val="24"/>
              </w:rPr>
            </w:pPr>
            <w:r>
              <w:rPr>
                <w:rFonts w:ascii="Arial"/>
                <w:sz w:val="24"/>
              </w:rPr>
              <w:t>27,748</w:t>
            </w:r>
          </w:p>
        </w:tc>
      </w:tr>
      <w:tr>
        <w:trPr>
          <w:trHeight w:val="312"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Arial" w:hAnsi="Arial" w:cs="Arial" w:eastAsia="Arial" w:hint="default"/>
                <w:sz w:val="24"/>
                <w:szCs w:val="24"/>
              </w:rPr>
            </w:pPr>
            <w:r>
              <w:rPr>
                <w:rFonts w:ascii="Arial"/>
                <w:spacing w:val="-1"/>
                <w:w w:val="95"/>
                <w:sz w:val="24"/>
              </w:rPr>
              <w:t>231</w:t>
            </w:r>
            <w:r>
              <w:rPr>
                <w:rFonts w:ascii="Arial"/>
                <w:w w:val="95"/>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3" w:right="0"/>
              <w:jc w:val="left"/>
              <w:rPr>
                <w:rFonts w:ascii="Arial" w:hAnsi="Arial" w:cs="Arial" w:eastAsia="Arial" w:hint="default"/>
                <w:sz w:val="24"/>
                <w:szCs w:val="24"/>
              </w:rPr>
            </w:pPr>
            <w:r>
              <w:rPr>
                <w:rFonts w:ascii="Arial"/>
                <w:sz w:val="24"/>
              </w:rPr>
              <w:t>124,060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77" w:right="0"/>
              <w:jc w:val="left"/>
              <w:rPr>
                <w:rFonts w:ascii="Arial" w:hAnsi="Arial" w:cs="Arial" w:eastAsia="Arial" w:hint="default"/>
                <w:sz w:val="24"/>
                <w:szCs w:val="24"/>
              </w:rPr>
            </w:pPr>
            <w:r>
              <w:rPr>
                <w:rFonts w:ascii="Arial"/>
                <w:sz w:val="24"/>
              </w:rPr>
              <w:t>(122,777)</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43" w:right="0"/>
              <w:jc w:val="left"/>
              <w:rPr>
                <w:rFonts w:ascii="Arial" w:hAnsi="Arial" w:cs="Arial" w:eastAsia="Arial" w:hint="default"/>
                <w:sz w:val="24"/>
                <w:szCs w:val="24"/>
              </w:rPr>
            </w:pPr>
            <w:r>
              <w:rPr>
                <w:rFonts w:ascii="Arial"/>
                <w:sz w:val="24"/>
              </w:rPr>
              <w:t>1,514</w:t>
            </w:r>
          </w:p>
        </w:tc>
      </w:tr>
      <w:tr>
        <w:trPr>
          <w:trHeight w:val="312"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其中：基本养老保险</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Arial" w:hAnsi="Arial" w:cs="Arial" w:eastAsia="Arial" w:hint="default"/>
                <w:sz w:val="24"/>
                <w:szCs w:val="24"/>
              </w:rPr>
            </w:pPr>
            <w:r>
              <w:rPr>
                <w:rFonts w:ascii="Arial"/>
                <w:spacing w:val="-1"/>
                <w:w w:val="95"/>
                <w:sz w:val="24"/>
              </w:rPr>
              <w:t>140</w:t>
            </w:r>
            <w:r>
              <w:rPr>
                <w:rFonts w:ascii="Arial"/>
                <w:w w:val="95"/>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86" w:right="0"/>
              <w:jc w:val="left"/>
              <w:rPr>
                <w:rFonts w:ascii="Arial" w:hAnsi="Arial" w:cs="Arial" w:eastAsia="Arial" w:hint="default"/>
                <w:sz w:val="24"/>
                <w:szCs w:val="24"/>
              </w:rPr>
            </w:pPr>
            <w:r>
              <w:rPr>
                <w:rFonts w:ascii="Arial"/>
                <w:sz w:val="24"/>
              </w:rPr>
              <w:t>81,585</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0"/>
              <w:jc w:val="right"/>
              <w:rPr>
                <w:rFonts w:ascii="Arial" w:hAnsi="Arial" w:cs="Arial" w:eastAsia="Arial" w:hint="default"/>
                <w:sz w:val="24"/>
                <w:szCs w:val="24"/>
              </w:rPr>
            </w:pPr>
            <w:r>
              <w:rPr>
                <w:rFonts w:ascii="Arial"/>
                <w:spacing w:val="-1"/>
                <w:sz w:val="24"/>
              </w:rPr>
              <w:t>(80,408)</w:t>
            </w:r>
            <w:r>
              <w:rPr>
                <w:rFonts w:ascii="Arial"/>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44" w:right="0"/>
              <w:jc w:val="left"/>
              <w:rPr>
                <w:rFonts w:ascii="Arial" w:hAnsi="Arial" w:cs="Arial" w:eastAsia="Arial" w:hint="default"/>
                <w:sz w:val="24"/>
                <w:szCs w:val="24"/>
              </w:rPr>
            </w:pPr>
            <w:r>
              <w:rPr>
                <w:rFonts w:ascii="Arial"/>
                <w:sz w:val="24"/>
              </w:rPr>
              <w:t>1,317</w:t>
            </w:r>
          </w:p>
        </w:tc>
      </w:tr>
      <w:tr>
        <w:trPr>
          <w:trHeight w:val="312"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754" w:right="0"/>
              <w:jc w:val="left"/>
              <w:rPr>
                <w:rFonts w:ascii="宋体" w:hAnsi="宋体" w:cs="宋体" w:eastAsia="宋体" w:hint="default"/>
                <w:sz w:val="24"/>
                <w:szCs w:val="24"/>
              </w:rPr>
            </w:pPr>
            <w:r>
              <w:rPr>
                <w:rFonts w:ascii="宋体" w:hAnsi="宋体" w:cs="宋体" w:eastAsia="宋体" w:hint="default"/>
                <w:sz w:val="24"/>
                <w:szCs w:val="24"/>
              </w:rPr>
              <w:t>医疗保险费</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Arial" w:hAnsi="Arial" w:cs="Arial" w:eastAsia="Arial" w:hint="default"/>
                <w:sz w:val="24"/>
                <w:szCs w:val="24"/>
              </w:rPr>
            </w:pPr>
            <w:r>
              <w:rPr>
                <w:rFonts w:ascii="Arial"/>
                <w:spacing w:val="-1"/>
                <w:w w:val="95"/>
                <w:sz w:val="24"/>
              </w:rPr>
              <w:t>67</w:t>
            </w:r>
            <w:r>
              <w:rPr>
                <w:rFonts w:ascii="Arial"/>
                <w:w w:val="95"/>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86" w:right="0"/>
              <w:jc w:val="left"/>
              <w:rPr>
                <w:rFonts w:ascii="Arial" w:hAnsi="Arial" w:cs="Arial" w:eastAsia="Arial" w:hint="default"/>
                <w:sz w:val="24"/>
                <w:szCs w:val="24"/>
              </w:rPr>
            </w:pPr>
            <w:r>
              <w:rPr>
                <w:rFonts w:ascii="Arial"/>
                <w:sz w:val="24"/>
              </w:rPr>
              <w:t>30,725</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0"/>
              <w:jc w:val="right"/>
              <w:rPr>
                <w:rFonts w:ascii="Arial" w:hAnsi="Arial" w:cs="Arial" w:eastAsia="Arial" w:hint="default"/>
                <w:sz w:val="24"/>
                <w:szCs w:val="24"/>
              </w:rPr>
            </w:pPr>
            <w:r>
              <w:rPr>
                <w:rFonts w:ascii="Arial"/>
                <w:spacing w:val="-1"/>
                <w:sz w:val="24"/>
              </w:rPr>
              <w:t>(30,657)</w:t>
            </w:r>
            <w:r>
              <w:rPr>
                <w:rFonts w:ascii="Arial"/>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135</w:t>
            </w:r>
            <w:r>
              <w:rPr>
                <w:rFonts w:ascii="Arial"/>
                <w:w w:val="95"/>
                <w:sz w:val="24"/>
              </w:rPr>
            </w:r>
          </w:p>
        </w:tc>
      </w:tr>
      <w:tr>
        <w:trPr>
          <w:trHeight w:val="312"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754" w:right="0"/>
              <w:jc w:val="left"/>
              <w:rPr>
                <w:rFonts w:ascii="宋体" w:hAnsi="宋体" w:cs="宋体" w:eastAsia="宋体" w:hint="default"/>
                <w:sz w:val="24"/>
                <w:szCs w:val="24"/>
              </w:rPr>
            </w:pPr>
            <w:r>
              <w:rPr>
                <w:rFonts w:ascii="宋体" w:hAnsi="宋体" w:cs="宋体" w:eastAsia="宋体" w:hint="default"/>
                <w:sz w:val="24"/>
                <w:szCs w:val="24"/>
              </w:rPr>
              <w:t>失业保险费</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Arial" w:hAnsi="Arial" w:cs="Arial" w:eastAsia="Arial" w:hint="default"/>
                <w:sz w:val="24"/>
                <w:szCs w:val="24"/>
              </w:rPr>
            </w:pPr>
            <w:r>
              <w:rPr>
                <w:rFonts w:ascii="Arial"/>
                <w:spacing w:val="-1"/>
                <w:w w:val="95"/>
                <w:sz w:val="24"/>
              </w:rPr>
              <w:t>14</w:t>
            </w:r>
            <w:r>
              <w:rPr>
                <w:rFonts w:ascii="Arial"/>
                <w:w w:val="95"/>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19" w:right="0"/>
              <w:jc w:val="left"/>
              <w:rPr>
                <w:rFonts w:ascii="Arial" w:hAnsi="Arial" w:cs="Arial" w:eastAsia="Arial" w:hint="default"/>
                <w:sz w:val="24"/>
                <w:szCs w:val="24"/>
              </w:rPr>
            </w:pPr>
            <w:r>
              <w:rPr>
                <w:rFonts w:ascii="Arial"/>
                <w:sz w:val="24"/>
              </w:rPr>
              <w:t>7,039</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0"/>
              <w:jc w:val="right"/>
              <w:rPr>
                <w:rFonts w:ascii="Arial" w:hAnsi="Arial" w:cs="Arial" w:eastAsia="Arial" w:hint="default"/>
                <w:sz w:val="24"/>
                <w:szCs w:val="24"/>
              </w:rPr>
            </w:pPr>
            <w:r>
              <w:rPr>
                <w:rFonts w:ascii="Arial"/>
                <w:spacing w:val="-1"/>
                <w:sz w:val="24"/>
              </w:rPr>
              <w:t>(7,014)</w:t>
            </w:r>
            <w:r>
              <w:rPr>
                <w:rFonts w:ascii="Arial"/>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39</w:t>
            </w:r>
            <w:r>
              <w:rPr>
                <w:rFonts w:ascii="Arial"/>
                <w:w w:val="95"/>
                <w:sz w:val="24"/>
              </w:rPr>
            </w:r>
          </w:p>
        </w:tc>
      </w:tr>
      <w:tr>
        <w:trPr>
          <w:trHeight w:val="312"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754" w:right="0"/>
              <w:jc w:val="left"/>
              <w:rPr>
                <w:rFonts w:ascii="宋体" w:hAnsi="宋体" w:cs="宋体" w:eastAsia="宋体" w:hint="default"/>
                <w:sz w:val="24"/>
                <w:szCs w:val="24"/>
              </w:rPr>
            </w:pPr>
            <w:r>
              <w:rPr>
                <w:rFonts w:ascii="宋体" w:hAnsi="宋体" w:cs="宋体" w:eastAsia="宋体" w:hint="default"/>
                <w:sz w:val="24"/>
                <w:szCs w:val="24"/>
              </w:rPr>
              <w:t>工伤保险费</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Arial" w:hAnsi="Arial" w:cs="Arial" w:eastAsia="Arial" w:hint="default"/>
                <w:sz w:val="24"/>
                <w:szCs w:val="24"/>
              </w:rPr>
            </w:pPr>
            <w:r>
              <w:rPr>
                <w:rFonts w:ascii="Arial"/>
                <w:sz w:val="24"/>
              </w:rPr>
              <w:t>3</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19" w:right="0"/>
              <w:jc w:val="left"/>
              <w:rPr>
                <w:rFonts w:ascii="Arial" w:hAnsi="Arial" w:cs="Arial" w:eastAsia="Arial" w:hint="default"/>
                <w:sz w:val="24"/>
                <w:szCs w:val="24"/>
              </w:rPr>
            </w:pPr>
            <w:r>
              <w:rPr>
                <w:rFonts w:ascii="Arial"/>
                <w:sz w:val="24"/>
              </w:rPr>
              <w:t>2,150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0"/>
              <w:jc w:val="right"/>
              <w:rPr>
                <w:rFonts w:ascii="Arial" w:hAnsi="Arial" w:cs="Arial" w:eastAsia="Arial" w:hint="default"/>
                <w:sz w:val="24"/>
                <w:szCs w:val="24"/>
              </w:rPr>
            </w:pPr>
            <w:r>
              <w:rPr>
                <w:rFonts w:ascii="Arial"/>
                <w:spacing w:val="-1"/>
                <w:sz w:val="24"/>
              </w:rPr>
              <w:t>(2,145)</w:t>
            </w:r>
            <w:r>
              <w:rPr>
                <w:rFonts w:ascii="Arial"/>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Arial" w:hAnsi="Arial" w:cs="Arial" w:eastAsia="Arial" w:hint="default"/>
                <w:sz w:val="24"/>
                <w:szCs w:val="24"/>
              </w:rPr>
            </w:pPr>
            <w:r>
              <w:rPr>
                <w:rFonts w:ascii="Arial"/>
                <w:sz w:val="24"/>
              </w:rPr>
              <w:t>8</w:t>
            </w:r>
          </w:p>
        </w:tc>
      </w:tr>
      <w:tr>
        <w:trPr>
          <w:trHeight w:val="312"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754" w:right="0"/>
              <w:jc w:val="left"/>
              <w:rPr>
                <w:rFonts w:ascii="宋体" w:hAnsi="宋体" w:cs="宋体" w:eastAsia="宋体" w:hint="default"/>
                <w:sz w:val="24"/>
                <w:szCs w:val="24"/>
              </w:rPr>
            </w:pPr>
            <w:r>
              <w:rPr>
                <w:rFonts w:ascii="宋体" w:hAnsi="宋体" w:cs="宋体" w:eastAsia="宋体" w:hint="default"/>
                <w:sz w:val="24"/>
                <w:szCs w:val="24"/>
              </w:rPr>
              <w:t>生育保险费</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Arial" w:hAnsi="Arial" w:cs="Arial" w:eastAsia="Arial" w:hint="default"/>
                <w:sz w:val="24"/>
                <w:szCs w:val="24"/>
              </w:rPr>
            </w:pPr>
            <w:r>
              <w:rPr>
                <w:rFonts w:ascii="Arial"/>
                <w:sz w:val="24"/>
              </w:rPr>
              <w:t>7</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19" w:right="0"/>
              <w:jc w:val="left"/>
              <w:rPr>
                <w:rFonts w:ascii="Arial" w:hAnsi="Arial" w:cs="Arial" w:eastAsia="Arial" w:hint="default"/>
                <w:sz w:val="24"/>
                <w:szCs w:val="24"/>
              </w:rPr>
            </w:pPr>
            <w:r>
              <w:rPr>
                <w:rFonts w:ascii="Arial"/>
                <w:sz w:val="24"/>
              </w:rPr>
              <w:t>2,561</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0"/>
              <w:jc w:val="right"/>
              <w:rPr>
                <w:rFonts w:ascii="Arial" w:hAnsi="Arial" w:cs="Arial" w:eastAsia="Arial" w:hint="default"/>
                <w:sz w:val="24"/>
                <w:szCs w:val="24"/>
              </w:rPr>
            </w:pPr>
            <w:r>
              <w:rPr>
                <w:rFonts w:ascii="Arial"/>
                <w:spacing w:val="-1"/>
                <w:sz w:val="24"/>
              </w:rPr>
              <w:t>(2,553)</w:t>
            </w:r>
            <w:r>
              <w:rPr>
                <w:rFonts w:ascii="Arial"/>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15</w:t>
            </w:r>
            <w:r>
              <w:rPr>
                <w:rFonts w:ascii="Arial"/>
                <w:w w:val="95"/>
                <w:sz w:val="24"/>
              </w:rPr>
            </w:r>
          </w:p>
        </w:tc>
      </w:tr>
      <w:tr>
        <w:trPr>
          <w:trHeight w:val="312"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7"/>
              <w:jc w:val="right"/>
              <w:rPr>
                <w:rFonts w:ascii="Arial" w:hAnsi="Arial" w:cs="Arial" w:eastAsia="Arial" w:hint="default"/>
                <w:sz w:val="24"/>
                <w:szCs w:val="24"/>
              </w:rPr>
            </w:pPr>
            <w:r>
              <w:rPr>
                <w:rFonts w:ascii="Arial"/>
                <w:spacing w:val="-1"/>
                <w:sz w:val="24"/>
              </w:rPr>
              <w:t>19,981</w:t>
            </w:r>
            <w:r>
              <w:rPr>
                <w:rFonts w:ascii="Arial"/>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86" w:right="0"/>
              <w:jc w:val="left"/>
              <w:rPr>
                <w:rFonts w:ascii="Arial" w:hAnsi="Arial" w:cs="Arial" w:eastAsia="Arial" w:hint="default"/>
                <w:sz w:val="24"/>
                <w:szCs w:val="24"/>
              </w:rPr>
            </w:pPr>
            <w:r>
              <w:rPr>
                <w:rFonts w:ascii="Arial"/>
                <w:sz w:val="24"/>
              </w:rPr>
              <w:t>70,183</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0"/>
              <w:jc w:val="right"/>
              <w:rPr>
                <w:rFonts w:ascii="Arial" w:hAnsi="Arial" w:cs="Arial" w:eastAsia="Arial" w:hint="default"/>
                <w:sz w:val="24"/>
                <w:szCs w:val="24"/>
              </w:rPr>
            </w:pPr>
            <w:r>
              <w:rPr>
                <w:rFonts w:ascii="Arial"/>
                <w:spacing w:val="-1"/>
                <w:sz w:val="24"/>
              </w:rPr>
              <w:t>(85,383)</w:t>
            </w:r>
            <w:r>
              <w:rPr>
                <w:rFonts w:ascii="Arial"/>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44" w:right="0"/>
              <w:jc w:val="left"/>
              <w:rPr>
                <w:rFonts w:ascii="Arial" w:hAnsi="Arial" w:cs="Arial" w:eastAsia="Arial" w:hint="default"/>
                <w:sz w:val="24"/>
                <w:szCs w:val="24"/>
              </w:rPr>
            </w:pPr>
            <w:r>
              <w:rPr>
                <w:rFonts w:ascii="Arial"/>
                <w:sz w:val="24"/>
              </w:rPr>
              <w:t>4,781</w:t>
            </w:r>
          </w:p>
        </w:tc>
      </w:tr>
      <w:tr>
        <w:trPr>
          <w:trHeight w:val="312"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劳务薪资</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Arial" w:hAnsi="Arial" w:cs="Arial" w:eastAsia="Arial" w:hint="default"/>
                <w:sz w:val="24"/>
                <w:szCs w:val="24"/>
              </w:rPr>
            </w:pPr>
            <w:r>
              <w:rPr>
                <w:rFonts w:ascii="Arial"/>
                <w:spacing w:val="-1"/>
                <w:w w:val="95"/>
                <w:sz w:val="24"/>
              </w:rPr>
              <w:t>2,434</w:t>
            </w:r>
            <w:r>
              <w:rPr>
                <w:rFonts w:ascii="Arial"/>
                <w:w w:val="95"/>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86" w:right="0"/>
              <w:jc w:val="left"/>
              <w:rPr>
                <w:rFonts w:ascii="Arial" w:hAnsi="Arial" w:cs="Arial" w:eastAsia="Arial" w:hint="default"/>
                <w:sz w:val="24"/>
                <w:szCs w:val="24"/>
              </w:rPr>
            </w:pPr>
            <w:r>
              <w:rPr>
                <w:rFonts w:ascii="Arial"/>
                <w:sz w:val="24"/>
              </w:rPr>
              <w:t>20,422</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0"/>
              <w:jc w:val="right"/>
              <w:rPr>
                <w:rFonts w:ascii="Arial" w:hAnsi="Arial" w:cs="Arial" w:eastAsia="Arial" w:hint="default"/>
                <w:sz w:val="24"/>
                <w:szCs w:val="24"/>
              </w:rPr>
            </w:pPr>
            <w:r>
              <w:rPr>
                <w:rFonts w:ascii="Arial"/>
                <w:spacing w:val="-1"/>
                <w:sz w:val="24"/>
              </w:rPr>
              <w:t>(21,365)</w:t>
            </w:r>
            <w:r>
              <w:rPr>
                <w:rFonts w:ascii="Arial"/>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44" w:right="0"/>
              <w:jc w:val="left"/>
              <w:rPr>
                <w:rFonts w:ascii="Arial" w:hAnsi="Arial" w:cs="Arial" w:eastAsia="Arial" w:hint="default"/>
                <w:sz w:val="24"/>
                <w:szCs w:val="24"/>
              </w:rPr>
            </w:pPr>
            <w:r>
              <w:rPr>
                <w:rFonts w:ascii="Arial"/>
                <w:sz w:val="24"/>
              </w:rPr>
              <w:t>1,491</w:t>
            </w:r>
          </w:p>
        </w:tc>
      </w:tr>
      <w:tr>
        <w:trPr>
          <w:trHeight w:val="312"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Arial" w:hAnsi="Arial" w:cs="Arial" w:eastAsia="Arial" w:hint="default"/>
                <w:sz w:val="24"/>
                <w:szCs w:val="24"/>
              </w:rPr>
            </w:pPr>
            <w:r>
              <w:rPr>
                <w:rFonts w:ascii="Arial"/>
                <w:spacing w:val="-1"/>
                <w:w w:val="95"/>
                <w:sz w:val="24"/>
              </w:rPr>
              <w:t>23</w:t>
            </w:r>
            <w:r>
              <w:rPr>
                <w:rFonts w:ascii="Arial"/>
                <w:w w:val="95"/>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86" w:right="0"/>
              <w:jc w:val="left"/>
              <w:rPr>
                <w:rFonts w:ascii="Arial" w:hAnsi="Arial" w:cs="Arial" w:eastAsia="Arial" w:hint="default"/>
                <w:sz w:val="24"/>
                <w:szCs w:val="24"/>
              </w:rPr>
            </w:pPr>
            <w:r>
              <w:rPr>
                <w:rFonts w:ascii="Arial"/>
                <w:sz w:val="24"/>
              </w:rPr>
              <w:t>13,359</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0"/>
              <w:jc w:val="right"/>
              <w:rPr>
                <w:rFonts w:ascii="Arial" w:hAnsi="Arial" w:cs="Arial" w:eastAsia="Arial" w:hint="default"/>
                <w:sz w:val="24"/>
                <w:szCs w:val="24"/>
              </w:rPr>
            </w:pPr>
            <w:r>
              <w:rPr>
                <w:rFonts w:ascii="Arial"/>
                <w:spacing w:val="-1"/>
                <w:sz w:val="24"/>
              </w:rPr>
              <w:t>(13,164)</w:t>
            </w:r>
            <w:r>
              <w:rPr>
                <w:rFonts w:ascii="Arial"/>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218</w:t>
            </w:r>
            <w:r>
              <w:rPr>
                <w:rFonts w:ascii="Arial"/>
                <w:w w:val="95"/>
                <w:sz w:val="24"/>
              </w:rPr>
            </w:r>
          </w:p>
        </w:tc>
      </w:tr>
      <w:tr>
        <w:trPr>
          <w:trHeight w:val="311"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61" w:type="dxa"/>
            <w:tcBorders>
              <w:top w:val="nil" w:sz="6" w:space="0" w:color="auto"/>
              <w:left w:val="nil" w:sz="6" w:space="0" w:color="auto"/>
              <w:bottom w:val="nil" w:sz="6" w:space="0" w:color="auto"/>
              <w:right w:val="nil" w:sz="6" w:space="0" w:color="auto"/>
            </w:tcBorders>
          </w:tcPr>
          <w:p>
            <w:pPr>
              <w:pStyle w:val="TableParagraph"/>
              <w:tabs>
                <w:tab w:pos="873" w:val="left" w:leader="none"/>
                <w:tab w:pos="1574" w:val="left" w:leader="none"/>
              </w:tabs>
              <w:spacing w:line="240" w:lineRule="auto" w:before="20"/>
              <w:ind w:right="145"/>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1,967</w:t>
              <w:tab/>
            </w:r>
            <w:r>
              <w:rPr>
                <w:rFonts w:ascii="Arial"/>
                <w:spacing w:val="-1"/>
                <w:sz w:val="24"/>
              </w:rPr>
            </w:r>
          </w:p>
        </w:tc>
        <w:tc>
          <w:tcPr>
            <w:tcW w:w="1567" w:type="dxa"/>
            <w:tcBorders>
              <w:top w:val="nil" w:sz="6" w:space="0" w:color="auto"/>
              <w:left w:val="nil" w:sz="6" w:space="0" w:color="auto"/>
              <w:bottom w:val="nil" w:sz="6" w:space="0" w:color="auto"/>
              <w:right w:val="nil" w:sz="6" w:space="0" w:color="auto"/>
            </w:tcBorders>
          </w:tcPr>
          <w:p>
            <w:pPr>
              <w:pStyle w:val="TableParagraph"/>
              <w:tabs>
                <w:tab w:pos="772" w:val="left" w:leader="none"/>
                <w:tab w:pos="1273" w:val="left" w:leader="none"/>
              </w:tabs>
              <w:spacing w:line="240" w:lineRule="auto" w:before="20"/>
              <w:ind w:right="145"/>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344</w:t>
              <w:tab/>
            </w:r>
            <w:r>
              <w:rPr>
                <w:rFonts w:ascii="Arial"/>
                <w:spacing w:val="-1"/>
                <w:sz w:val="24"/>
              </w:rPr>
            </w:r>
          </w:p>
        </w:tc>
        <w:tc>
          <w:tcPr>
            <w:tcW w:w="1646" w:type="dxa"/>
            <w:tcBorders>
              <w:top w:val="nil" w:sz="6" w:space="0" w:color="auto"/>
              <w:left w:val="nil" w:sz="6" w:space="0" w:color="auto"/>
              <w:bottom w:val="nil" w:sz="6" w:space="0" w:color="auto"/>
              <w:right w:val="nil" w:sz="6" w:space="0" w:color="auto"/>
            </w:tcBorders>
          </w:tcPr>
          <w:p>
            <w:pPr>
              <w:pStyle w:val="TableParagraph"/>
              <w:tabs>
                <w:tab w:pos="496" w:val="left" w:leader="none"/>
                <w:tab w:pos="1358" w:val="left" w:leader="none"/>
              </w:tabs>
              <w:spacing w:line="240" w:lineRule="auto" w:before="20"/>
              <w:ind w:right="139"/>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(1,866)</w:t>
              <w:tab/>
            </w:r>
            <w:r>
              <w:rPr>
                <w:rFonts w:ascii="Arial"/>
                <w:spacing w:val="-1"/>
                <w:sz w:val="24"/>
              </w:rPr>
            </w:r>
          </w:p>
        </w:tc>
        <w:tc>
          <w:tcPr>
            <w:tcW w:w="1780" w:type="dxa"/>
            <w:tcBorders>
              <w:top w:val="nil" w:sz="6" w:space="0" w:color="auto"/>
              <w:left w:val="nil" w:sz="6" w:space="0" w:color="auto"/>
              <w:bottom w:val="nil" w:sz="6" w:space="0" w:color="auto"/>
              <w:right w:val="nil" w:sz="6" w:space="0" w:color="auto"/>
            </w:tcBorders>
          </w:tcPr>
          <w:p>
            <w:pPr>
              <w:pStyle w:val="TableParagraph"/>
              <w:tabs>
                <w:tab w:pos="1103" w:val="left" w:leader="none"/>
                <w:tab w:pos="1604" w:val="left" w:leader="none"/>
              </w:tabs>
              <w:spacing w:line="240" w:lineRule="auto" w:before="20"/>
              <w:ind w:right="33"/>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445</w:t>
              <w:tab/>
            </w:r>
            <w:r>
              <w:rPr>
                <w:rFonts w:ascii="Arial"/>
                <w:spacing w:val="-1"/>
                <w:sz w:val="24"/>
              </w:rPr>
            </w:r>
          </w:p>
        </w:tc>
      </w:tr>
      <w:tr>
        <w:trPr>
          <w:trHeight w:val="360" w:hRule="exact"/>
        </w:trPr>
        <w:tc>
          <w:tcPr>
            <w:tcW w:w="2413"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Style w:val="TableParagraph"/>
              <w:tabs>
                <w:tab w:pos="740" w:val="left" w:leader="none"/>
                <w:tab w:pos="1574" w:val="left" w:leader="none"/>
              </w:tabs>
              <w:spacing w:line="266" w:lineRule="exact"/>
              <w:ind w:right="145"/>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54,495</w:t>
              <w:tab/>
            </w:r>
            <w:r>
              <w:rPr>
                <w:rFonts w:ascii="Arial"/>
                <w:spacing w:val="-1"/>
                <w:sz w:val="24"/>
              </w:rPr>
            </w:r>
          </w:p>
        </w:tc>
        <w:tc>
          <w:tcPr>
            <w:tcW w:w="1567" w:type="dxa"/>
            <w:tcBorders>
              <w:top w:val="nil" w:sz="6" w:space="0" w:color="auto"/>
              <w:left w:val="nil" w:sz="6" w:space="0" w:color="auto"/>
              <w:bottom w:val="nil" w:sz="6" w:space="0" w:color="auto"/>
              <w:right w:val="nil" w:sz="6" w:space="0" w:color="auto"/>
            </w:tcBorders>
          </w:tcPr>
          <w:p>
            <w:pPr>
              <w:pStyle w:val="TableParagraph"/>
              <w:tabs>
                <w:tab w:pos="305" w:val="left" w:leader="none"/>
                <w:tab w:pos="1272" w:val="left" w:leader="none"/>
              </w:tabs>
              <w:spacing w:line="266" w:lineRule="exact"/>
              <w:ind w:right="145"/>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992,714</w:t>
              <w:tab/>
            </w:r>
            <w:r>
              <w:rPr>
                <w:rFonts w:ascii="Arial"/>
                <w:spacing w:val="-1"/>
                <w:sz w:val="24"/>
              </w:rPr>
            </w:r>
          </w:p>
        </w:tc>
        <w:tc>
          <w:tcPr>
            <w:tcW w:w="1646" w:type="dxa"/>
            <w:tcBorders>
              <w:top w:val="nil" w:sz="6" w:space="0" w:color="auto"/>
              <w:left w:val="nil" w:sz="6" w:space="0" w:color="auto"/>
              <w:bottom w:val="nil" w:sz="6" w:space="0" w:color="auto"/>
              <w:right w:val="nil" w:sz="6" w:space="0" w:color="auto"/>
            </w:tcBorders>
          </w:tcPr>
          <w:p>
            <w:pPr>
              <w:pStyle w:val="TableParagraph"/>
              <w:tabs>
                <w:tab w:pos="1358" w:val="left" w:leader="none"/>
              </w:tabs>
              <w:spacing w:line="266" w:lineRule="exact"/>
              <w:ind w:right="139"/>
              <w:jc w:val="right"/>
              <w:rPr>
                <w:rFonts w:ascii="Arial" w:hAnsi="Arial" w:cs="Arial" w:eastAsia="Arial" w:hint="default"/>
                <w:sz w:val="24"/>
                <w:szCs w:val="24"/>
              </w:rPr>
            </w:pPr>
            <w:r>
              <w:rPr>
                <w:rFonts w:ascii="Arial"/>
                <w:sz w:val="24"/>
              </w:rPr>
            </w:r>
            <w:r>
              <w:rPr>
                <w:rFonts w:ascii="Arial"/>
                <w:sz w:val="24"/>
                <w:u w:val="thick" w:color="000000"/>
              </w:rPr>
              <w:t>  </w:t>
            </w:r>
            <w:r>
              <w:rPr>
                <w:rFonts w:ascii="Arial"/>
                <w:spacing w:val="30"/>
                <w:sz w:val="24"/>
                <w:u w:val="thick" w:color="000000"/>
              </w:rPr>
              <w:t> </w:t>
            </w:r>
            <w:r>
              <w:rPr>
                <w:rFonts w:ascii="Arial"/>
                <w:spacing w:val="-1"/>
                <w:sz w:val="24"/>
                <w:u w:val="thick" w:color="000000"/>
              </w:rPr>
              <w:t>(945,739)</w:t>
              <w:tab/>
            </w:r>
            <w:r>
              <w:rPr>
                <w:rFonts w:ascii="Arial"/>
                <w:spacing w:val="-1"/>
                <w:sz w:val="24"/>
              </w:rPr>
            </w:r>
          </w:p>
        </w:tc>
        <w:tc>
          <w:tcPr>
            <w:tcW w:w="1780" w:type="dxa"/>
            <w:tcBorders>
              <w:top w:val="nil" w:sz="6" w:space="0" w:color="auto"/>
              <w:left w:val="nil" w:sz="6" w:space="0" w:color="auto"/>
              <w:bottom w:val="nil" w:sz="6" w:space="0" w:color="auto"/>
              <w:right w:val="nil" w:sz="6" w:space="0" w:color="auto"/>
            </w:tcBorders>
          </w:tcPr>
          <w:p>
            <w:pPr>
              <w:pStyle w:val="TableParagraph"/>
              <w:tabs>
                <w:tab w:pos="636" w:val="left" w:leader="none"/>
                <w:tab w:pos="1604" w:val="left" w:leader="none"/>
              </w:tabs>
              <w:spacing w:line="266" w:lineRule="exact"/>
              <w:ind w:right="33"/>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101,470</w:t>
              <w:tab/>
            </w:r>
            <w:r>
              <w:rPr>
                <w:rFonts w:ascii="Arial"/>
                <w:spacing w:val="-1"/>
                <w:sz w:val="24"/>
              </w:rPr>
            </w:r>
          </w:p>
        </w:tc>
      </w:tr>
    </w:tbl>
    <w:p>
      <w:pPr>
        <w:spacing w:after="0" w:line="266" w:lineRule="exact"/>
        <w:jc w:val="right"/>
        <w:rPr>
          <w:rFonts w:ascii="Arial" w:hAnsi="Arial" w:cs="Arial" w:eastAsia="Arial" w:hint="default"/>
          <w:sz w:val="24"/>
          <w:szCs w:val="24"/>
        </w:rPr>
        <w:sectPr>
          <w:type w:val="continuous"/>
          <w:pgSz w:w="11910" w:h="16840"/>
          <w:pgMar w:top="1600" w:bottom="280" w:left="960" w:right="8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637"/>
        <w:gridCol w:w="3790"/>
        <w:gridCol w:w="2700"/>
        <w:gridCol w:w="2752"/>
      </w:tblGrid>
      <w:tr>
        <w:trPr>
          <w:trHeight w:val="1102" w:hRule="exact"/>
        </w:trPr>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
              <w:ind w:right="0"/>
              <w:jc w:val="left"/>
              <w:rPr>
                <w:rFonts w:ascii="Arial" w:hAnsi="Arial" w:cs="Arial" w:eastAsia="Arial" w:hint="default"/>
                <w:sz w:val="27"/>
                <w:szCs w:val="27"/>
              </w:rPr>
            </w:pPr>
          </w:p>
          <w:p>
            <w:pPr>
              <w:pStyle w:val="TableParagraph"/>
              <w:spacing w:line="240" w:lineRule="auto"/>
              <w:ind w:left="99" w:right="0"/>
              <w:jc w:val="left"/>
              <w:rPr>
                <w:rFonts w:ascii="Arial" w:hAnsi="Arial" w:cs="Arial" w:eastAsia="Arial" w:hint="default"/>
                <w:sz w:val="24"/>
                <w:szCs w:val="24"/>
              </w:rPr>
            </w:pPr>
            <w:r>
              <w:rPr>
                <w:rFonts w:ascii="Arial"/>
                <w:sz w:val="24"/>
              </w:rPr>
              <w:t>(17)</w:t>
            </w:r>
          </w:p>
        </w:tc>
        <w:tc>
          <w:tcPr>
            <w:tcW w:w="3790"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75" w:right="874" w:hanging="65"/>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应交税费</w:t>
            </w:r>
            <w:r>
              <w:rPr>
                <w:rFonts w:ascii="宋体" w:hAnsi="宋体" w:cs="宋体" w:eastAsia="宋体" w:hint="default"/>
                <w:sz w:val="24"/>
                <w:szCs w:val="24"/>
              </w:rPr>
            </w:r>
          </w:p>
        </w:tc>
        <w:tc>
          <w:tcPr>
            <w:tcW w:w="5453" w:type="dxa"/>
            <w:gridSpan w:val="2"/>
            <w:tcBorders>
              <w:top w:val="nil" w:sz="6" w:space="0" w:color="auto"/>
              <w:left w:val="nil" w:sz="6" w:space="0" w:color="auto"/>
              <w:bottom w:val="nil" w:sz="6" w:space="0" w:color="auto"/>
              <w:right w:val="nil" w:sz="6" w:space="0" w:color="auto"/>
            </w:tcBorders>
          </w:tcPr>
          <w:p>
            <w:pPr/>
          </w:p>
        </w:tc>
      </w:tr>
      <w:tr>
        <w:trPr>
          <w:trHeight w:val="456"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52"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3"/>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0"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87" w:lineRule="exact"/>
              <w:ind w:left="978"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752" w:type="dxa"/>
            <w:tcBorders>
              <w:top w:val="nil" w:sz="6" w:space="0" w:color="auto"/>
              <w:left w:val="nil" w:sz="6" w:space="0" w:color="auto"/>
              <w:bottom w:val="nil" w:sz="6" w:space="0" w:color="auto"/>
              <w:right w:val="nil" w:sz="6" w:space="0" w:color="auto"/>
            </w:tcBorders>
          </w:tcPr>
          <w:p>
            <w:pPr>
              <w:pStyle w:val="TableParagraph"/>
              <w:spacing w:line="287" w:lineRule="exact"/>
              <w:ind w:right="134"/>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4"/>
                <w:szCs w:val="24"/>
              </w:rPr>
            </w:pPr>
            <w:r>
              <w:rPr>
                <w:rFonts w:ascii="宋体" w:hAnsi="宋体" w:cs="宋体" w:eastAsia="宋体" w:hint="default"/>
                <w:sz w:val="24"/>
                <w:szCs w:val="24"/>
              </w:rPr>
              <w:t>应交企业所得税</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473" w:right="0"/>
              <w:jc w:val="left"/>
              <w:rPr>
                <w:rFonts w:ascii="Arial" w:hAnsi="Arial" w:cs="Arial" w:eastAsia="Arial" w:hint="default"/>
                <w:sz w:val="24"/>
                <w:szCs w:val="24"/>
              </w:rPr>
            </w:pPr>
            <w:r>
              <w:rPr>
                <w:rFonts w:ascii="Arial"/>
                <w:sz w:val="24"/>
              </w:rPr>
              <w:t>445,461</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4"/>
              <w:jc w:val="right"/>
              <w:rPr>
                <w:rFonts w:ascii="Arial" w:hAnsi="Arial" w:cs="Arial" w:eastAsia="Arial" w:hint="default"/>
                <w:sz w:val="24"/>
                <w:szCs w:val="24"/>
              </w:rPr>
            </w:pPr>
            <w:r>
              <w:rPr>
                <w:rFonts w:ascii="Arial"/>
                <w:spacing w:val="-1"/>
                <w:sz w:val="24"/>
              </w:rPr>
              <w:t>154,632</w:t>
            </w:r>
            <w:r>
              <w:rPr>
                <w:rFonts w:ascii="Arial"/>
                <w:sz w:val="24"/>
              </w:rPr>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待抵扣增值税</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72"/>
              <w:jc w:val="right"/>
              <w:rPr>
                <w:rFonts w:ascii="Arial" w:hAnsi="Arial" w:cs="Arial" w:eastAsia="Arial" w:hint="default"/>
                <w:sz w:val="24"/>
                <w:szCs w:val="24"/>
              </w:rPr>
            </w:pPr>
            <w:r>
              <w:rPr>
                <w:rFonts w:ascii="Arial"/>
                <w:spacing w:val="-3"/>
                <w:sz w:val="24"/>
              </w:rPr>
              <w:t>(181,011)</w:t>
            </w:r>
            <w:r>
              <w:rPr>
                <w:rFonts w:ascii="Arial"/>
                <w:sz w:val="24"/>
              </w:rPr>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7"/>
              <w:jc w:val="right"/>
              <w:rPr>
                <w:rFonts w:ascii="Arial" w:hAnsi="Arial" w:cs="Arial" w:eastAsia="Arial" w:hint="default"/>
                <w:sz w:val="24"/>
                <w:szCs w:val="24"/>
              </w:rPr>
            </w:pPr>
            <w:r>
              <w:rPr>
                <w:rFonts w:ascii="Arial"/>
                <w:spacing w:val="-1"/>
                <w:sz w:val="24"/>
              </w:rPr>
              <w:t>(262,399)</w:t>
            </w:r>
            <w:r>
              <w:rPr>
                <w:rFonts w:ascii="Arial"/>
                <w:sz w:val="24"/>
              </w:rPr>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应交营业税</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39" w:right="0"/>
              <w:jc w:val="left"/>
              <w:rPr>
                <w:rFonts w:ascii="Arial" w:hAnsi="Arial" w:cs="Arial" w:eastAsia="Arial" w:hint="default"/>
                <w:sz w:val="24"/>
                <w:szCs w:val="24"/>
              </w:rPr>
            </w:pPr>
            <w:r>
              <w:rPr>
                <w:rFonts w:ascii="Arial"/>
                <w:sz w:val="24"/>
              </w:rPr>
              <w:t>9,777</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Arial" w:hAnsi="Arial" w:cs="Arial" w:eastAsia="Arial" w:hint="default"/>
                <w:sz w:val="24"/>
                <w:szCs w:val="24"/>
              </w:rPr>
            </w:pPr>
            <w:r>
              <w:rPr>
                <w:rFonts w:ascii="Arial"/>
                <w:spacing w:val="-1"/>
                <w:sz w:val="24"/>
              </w:rPr>
              <w:t>13,978</w:t>
            </w:r>
            <w:r>
              <w:rPr>
                <w:rFonts w:ascii="Arial"/>
                <w:sz w:val="24"/>
              </w:rPr>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应交城市维护建设税</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39" w:right="0"/>
              <w:jc w:val="left"/>
              <w:rPr>
                <w:rFonts w:ascii="Arial" w:hAnsi="Arial" w:cs="Arial" w:eastAsia="Arial" w:hint="default"/>
                <w:sz w:val="24"/>
                <w:szCs w:val="24"/>
              </w:rPr>
            </w:pPr>
            <w:r>
              <w:rPr>
                <w:rFonts w:ascii="Arial"/>
                <w:sz w:val="24"/>
              </w:rPr>
              <w:t>8,969</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Arial" w:hAnsi="Arial" w:cs="Arial" w:eastAsia="Arial" w:hint="default"/>
                <w:sz w:val="24"/>
                <w:szCs w:val="24"/>
              </w:rPr>
            </w:pPr>
            <w:r>
              <w:rPr>
                <w:rFonts w:ascii="Arial"/>
                <w:spacing w:val="-1"/>
                <w:w w:val="95"/>
                <w:sz w:val="24"/>
              </w:rPr>
              <w:t>3,052</w:t>
            </w:r>
            <w:r>
              <w:rPr>
                <w:rFonts w:ascii="Arial"/>
                <w:w w:val="95"/>
                <w:sz w:val="24"/>
              </w:rPr>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应交教育费附加</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39" w:right="0"/>
              <w:jc w:val="left"/>
              <w:rPr>
                <w:rFonts w:ascii="Arial" w:hAnsi="Arial" w:cs="Arial" w:eastAsia="Arial" w:hint="default"/>
                <w:sz w:val="24"/>
                <w:szCs w:val="24"/>
              </w:rPr>
            </w:pPr>
            <w:r>
              <w:rPr>
                <w:rFonts w:ascii="Arial"/>
                <w:sz w:val="24"/>
              </w:rPr>
              <w:t>4,914</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Arial" w:hAnsi="Arial" w:cs="Arial" w:eastAsia="Arial" w:hint="default"/>
                <w:sz w:val="24"/>
                <w:szCs w:val="24"/>
              </w:rPr>
            </w:pPr>
            <w:r>
              <w:rPr>
                <w:rFonts w:ascii="Arial"/>
                <w:spacing w:val="-1"/>
                <w:w w:val="95"/>
                <w:sz w:val="24"/>
              </w:rPr>
              <w:t>1,765</w:t>
            </w:r>
            <w:r>
              <w:rPr>
                <w:rFonts w:ascii="Arial"/>
                <w:w w:val="95"/>
                <w:sz w:val="24"/>
              </w:rPr>
            </w:r>
          </w:p>
        </w:tc>
      </w:tr>
      <w:tr>
        <w:trPr>
          <w:trHeight w:val="314"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700" w:type="dxa"/>
            <w:tcBorders>
              <w:top w:val="nil" w:sz="6" w:space="0" w:color="auto"/>
              <w:left w:val="nil" w:sz="6" w:space="0" w:color="auto"/>
              <w:bottom w:val="nil" w:sz="6" w:space="0" w:color="auto"/>
              <w:right w:val="nil" w:sz="6" w:space="0" w:color="auto"/>
            </w:tcBorders>
          </w:tcPr>
          <w:p>
            <w:pPr>
              <w:pStyle w:val="TableParagraph"/>
              <w:tabs>
                <w:tab w:pos="1645" w:val="left" w:leader="none"/>
                <w:tab w:pos="2345" w:val="left" w:leader="none"/>
              </w:tabs>
              <w:spacing w:line="240" w:lineRule="auto" w:before="20"/>
              <w:ind w:right="257"/>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5,868</w:t>
              <w:tab/>
            </w:r>
            <w:r>
              <w:rPr>
                <w:rFonts w:ascii="Arial"/>
                <w:spacing w:val="-1"/>
                <w:sz w:val="24"/>
              </w:rPr>
            </w:r>
          </w:p>
        </w:tc>
        <w:tc>
          <w:tcPr>
            <w:tcW w:w="2752" w:type="dxa"/>
            <w:tcBorders>
              <w:top w:val="nil" w:sz="6" w:space="0" w:color="auto"/>
              <w:left w:val="nil" w:sz="6" w:space="0" w:color="auto"/>
              <w:bottom w:val="nil" w:sz="6" w:space="0" w:color="auto"/>
              <w:right w:val="nil" w:sz="6" w:space="0" w:color="auto"/>
            </w:tcBorders>
          </w:tcPr>
          <w:p>
            <w:pPr>
              <w:pStyle w:val="TableParagraph"/>
              <w:tabs>
                <w:tab w:pos="1756" w:val="left" w:leader="none"/>
                <w:tab w:pos="2457" w:val="left" w:leader="none"/>
              </w:tabs>
              <w:spacing w:line="240" w:lineRule="auto" w:before="20"/>
              <w:ind w:right="33"/>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3,438</w:t>
              <w:tab/>
            </w:r>
            <w:r>
              <w:rPr>
                <w:rFonts w:ascii="Arial"/>
                <w:spacing w:val="-1"/>
                <w:sz w:val="24"/>
              </w:rPr>
            </w:r>
          </w:p>
        </w:tc>
      </w:tr>
      <w:tr>
        <w:trPr>
          <w:trHeight w:val="434"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tabs>
                <w:tab w:pos="1378" w:val="left" w:leader="none"/>
                <w:tab w:pos="2345" w:val="left" w:leader="none"/>
              </w:tabs>
              <w:spacing w:line="268" w:lineRule="exact"/>
              <w:ind w:right="257"/>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293,978</w:t>
              <w:tab/>
            </w:r>
            <w:r>
              <w:rPr>
                <w:rFonts w:ascii="Arial"/>
                <w:spacing w:val="-1"/>
                <w:sz w:val="24"/>
              </w:rPr>
            </w:r>
          </w:p>
        </w:tc>
        <w:tc>
          <w:tcPr>
            <w:tcW w:w="2752" w:type="dxa"/>
            <w:tcBorders>
              <w:top w:val="nil" w:sz="6" w:space="0" w:color="auto"/>
              <w:left w:val="nil" w:sz="6" w:space="0" w:color="auto"/>
              <w:bottom w:val="nil" w:sz="6" w:space="0" w:color="auto"/>
              <w:right w:val="nil" w:sz="6" w:space="0" w:color="auto"/>
            </w:tcBorders>
          </w:tcPr>
          <w:p>
            <w:pPr>
              <w:pStyle w:val="TableParagraph"/>
              <w:tabs>
                <w:tab w:pos="1545" w:val="left" w:leader="none"/>
              </w:tabs>
              <w:spacing w:line="268" w:lineRule="exact"/>
              <w:ind w:right="51"/>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(85,534)</w:t>
            </w:r>
            <w:r>
              <w:rPr>
                <w:rFonts w:ascii="Arial"/>
                <w:spacing w:val="-1"/>
                <w:sz w:val="24"/>
              </w:rPr>
            </w:r>
            <w:r>
              <w:rPr>
                <w:rFonts w:ascii="Arial"/>
                <w:sz w:val="24"/>
              </w:rPr>
            </w:r>
          </w:p>
        </w:tc>
      </w:tr>
      <w:tr>
        <w:trPr>
          <w:trHeight w:val="592" w:hRule="exact"/>
        </w:trPr>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99" w:right="0"/>
              <w:jc w:val="left"/>
              <w:rPr>
                <w:rFonts w:ascii="Arial" w:hAnsi="Arial" w:cs="Arial" w:eastAsia="Arial" w:hint="default"/>
                <w:sz w:val="24"/>
                <w:szCs w:val="24"/>
              </w:rPr>
            </w:pPr>
            <w:r>
              <w:rPr>
                <w:rFonts w:ascii="Arial"/>
                <w:sz w:val="24"/>
              </w:rPr>
              <w:t>(18)</w:t>
            </w:r>
          </w:p>
        </w:tc>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75" w:right="0"/>
              <w:jc w:val="left"/>
              <w:rPr>
                <w:rFonts w:ascii="宋体" w:hAnsi="宋体" w:cs="宋体" w:eastAsia="宋体" w:hint="default"/>
                <w:sz w:val="24"/>
                <w:szCs w:val="24"/>
              </w:rPr>
            </w:pPr>
            <w:r>
              <w:rPr>
                <w:rFonts w:ascii="宋体" w:hAnsi="宋体" w:cs="宋体" w:eastAsia="宋体" w:hint="default"/>
                <w:b/>
                <w:bCs/>
                <w:sz w:val="24"/>
                <w:szCs w:val="24"/>
              </w:rPr>
              <w:t>其他应付款</w:t>
            </w:r>
            <w:r>
              <w:rPr>
                <w:rFonts w:ascii="宋体" w:hAnsi="宋体" w:cs="宋体" w:eastAsia="宋体" w:hint="default"/>
                <w:sz w:val="24"/>
                <w:szCs w:val="24"/>
              </w:rPr>
            </w:r>
          </w:p>
        </w:tc>
        <w:tc>
          <w:tcPr>
            <w:tcW w:w="2700" w:type="dxa"/>
            <w:tcBorders>
              <w:top w:val="nil" w:sz="6" w:space="0" w:color="auto"/>
              <w:left w:val="nil" w:sz="6" w:space="0" w:color="auto"/>
              <w:bottom w:val="nil" w:sz="6" w:space="0" w:color="auto"/>
              <w:right w:val="nil" w:sz="6" w:space="0" w:color="auto"/>
            </w:tcBorders>
          </w:tcPr>
          <w:p>
            <w:pPr/>
          </w:p>
        </w:tc>
        <w:tc>
          <w:tcPr>
            <w:tcW w:w="2752" w:type="dxa"/>
            <w:tcBorders>
              <w:top w:val="nil" w:sz="6" w:space="0" w:color="auto"/>
              <w:left w:val="nil" w:sz="6" w:space="0" w:color="auto"/>
              <w:bottom w:val="nil" w:sz="6" w:space="0" w:color="auto"/>
              <w:right w:val="nil" w:sz="6" w:space="0" w:color="auto"/>
            </w:tcBorders>
          </w:tcPr>
          <w:p>
            <w:pPr/>
          </w:p>
        </w:tc>
      </w:tr>
      <w:tr>
        <w:trPr>
          <w:trHeight w:val="456"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52"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3"/>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0"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87" w:lineRule="exact"/>
              <w:ind w:left="978"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752" w:type="dxa"/>
            <w:tcBorders>
              <w:top w:val="nil" w:sz="6" w:space="0" w:color="auto"/>
              <w:left w:val="nil" w:sz="6" w:space="0" w:color="auto"/>
              <w:bottom w:val="nil" w:sz="6" w:space="0" w:color="auto"/>
              <w:right w:val="nil" w:sz="6" w:space="0" w:color="auto"/>
            </w:tcBorders>
          </w:tcPr>
          <w:p>
            <w:pPr>
              <w:pStyle w:val="TableParagraph"/>
              <w:spacing w:line="287" w:lineRule="exact"/>
              <w:ind w:right="134"/>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4"/>
                <w:szCs w:val="24"/>
              </w:rPr>
            </w:pPr>
            <w:r>
              <w:rPr>
                <w:rFonts w:ascii="宋体" w:hAnsi="宋体" w:cs="宋体" w:eastAsia="宋体" w:hint="default"/>
                <w:sz w:val="24"/>
                <w:szCs w:val="24"/>
              </w:rPr>
              <w:t>应付工程款项</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498" w:right="0"/>
              <w:jc w:val="left"/>
              <w:rPr>
                <w:rFonts w:ascii="Arial" w:hAnsi="Arial" w:cs="Arial" w:eastAsia="Arial" w:hint="default"/>
                <w:sz w:val="24"/>
                <w:szCs w:val="24"/>
              </w:rPr>
            </w:pPr>
            <w:r>
              <w:rPr>
                <w:rFonts w:ascii="Arial"/>
                <w:sz w:val="24"/>
              </w:rPr>
              <w:t>196,089</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09"/>
              <w:jc w:val="right"/>
              <w:rPr>
                <w:rFonts w:ascii="Arial" w:hAnsi="Arial" w:cs="Arial" w:eastAsia="Arial" w:hint="default"/>
                <w:sz w:val="24"/>
                <w:szCs w:val="24"/>
              </w:rPr>
            </w:pPr>
            <w:r>
              <w:rPr>
                <w:rFonts w:ascii="Arial"/>
                <w:spacing w:val="-1"/>
                <w:sz w:val="24"/>
              </w:rPr>
              <w:t>49,933</w:t>
            </w:r>
            <w:r>
              <w:rPr>
                <w:rFonts w:ascii="Arial"/>
                <w:sz w:val="24"/>
              </w:rPr>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收取的保证金及押金</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98" w:right="0"/>
              <w:jc w:val="left"/>
              <w:rPr>
                <w:rFonts w:ascii="Arial" w:hAnsi="Arial" w:cs="Arial" w:eastAsia="Arial" w:hint="default"/>
                <w:sz w:val="24"/>
                <w:szCs w:val="24"/>
              </w:rPr>
            </w:pPr>
            <w:r>
              <w:rPr>
                <w:rFonts w:ascii="Arial"/>
                <w:sz w:val="24"/>
              </w:rPr>
              <w:t>137,417</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4"/>
                <w:szCs w:val="24"/>
              </w:rPr>
            </w:pPr>
            <w:r>
              <w:rPr>
                <w:rFonts w:ascii="Arial"/>
                <w:spacing w:val="-4"/>
                <w:sz w:val="24"/>
              </w:rPr>
              <w:t>80,110</w:t>
            </w:r>
            <w:r>
              <w:rPr>
                <w:rFonts w:ascii="Arial"/>
                <w:sz w:val="24"/>
              </w:rPr>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78" w:lineRule="exact"/>
              <w:ind w:left="175" w:right="0"/>
              <w:jc w:val="left"/>
              <w:rPr>
                <w:rFonts w:ascii="Arial" w:hAnsi="Arial" w:cs="Arial" w:eastAsia="Arial" w:hint="default"/>
                <w:sz w:val="24"/>
                <w:szCs w:val="24"/>
              </w:rPr>
            </w:pPr>
            <w:r>
              <w:rPr>
                <w:rFonts w:ascii="宋体" w:hAnsi="宋体" w:cs="宋体" w:eastAsia="宋体" w:hint="default"/>
                <w:sz w:val="24"/>
                <w:szCs w:val="24"/>
              </w:rPr>
              <w:t>应付终止特许加盟的款项</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98" w:right="0"/>
              <w:jc w:val="left"/>
              <w:rPr>
                <w:rFonts w:ascii="Arial" w:hAnsi="Arial" w:cs="Arial" w:eastAsia="Arial" w:hint="default"/>
                <w:sz w:val="24"/>
                <w:szCs w:val="24"/>
              </w:rPr>
            </w:pPr>
            <w:r>
              <w:rPr>
                <w:rFonts w:ascii="Arial"/>
                <w:sz w:val="24"/>
              </w:rPr>
              <w:t>266,789</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9"/>
              <w:jc w:val="right"/>
              <w:rPr>
                <w:rFonts w:ascii="Arial" w:hAnsi="Arial" w:cs="Arial" w:eastAsia="Arial" w:hint="default"/>
                <w:sz w:val="24"/>
                <w:szCs w:val="24"/>
              </w:rPr>
            </w:pPr>
            <w:r>
              <w:rPr>
                <w:rFonts w:ascii="Arial"/>
                <w:sz w:val="24"/>
              </w:rPr>
              <w:t>-</w:t>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应付广告费</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631" w:right="0"/>
              <w:jc w:val="left"/>
              <w:rPr>
                <w:rFonts w:ascii="Arial" w:hAnsi="Arial" w:cs="Arial" w:eastAsia="Arial" w:hint="default"/>
                <w:sz w:val="24"/>
                <w:szCs w:val="24"/>
              </w:rPr>
            </w:pPr>
            <w:r>
              <w:rPr>
                <w:rFonts w:ascii="Arial"/>
                <w:sz w:val="24"/>
              </w:rPr>
              <w:t>59,274</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9"/>
              <w:jc w:val="right"/>
              <w:rPr>
                <w:rFonts w:ascii="Arial" w:hAnsi="Arial" w:cs="Arial" w:eastAsia="Arial" w:hint="default"/>
                <w:sz w:val="24"/>
                <w:szCs w:val="24"/>
              </w:rPr>
            </w:pPr>
            <w:r>
              <w:rPr>
                <w:rFonts w:ascii="Arial"/>
                <w:spacing w:val="-1"/>
                <w:sz w:val="24"/>
              </w:rPr>
              <w:t>27,768</w:t>
            </w:r>
            <w:r>
              <w:rPr>
                <w:rFonts w:ascii="Arial"/>
                <w:sz w:val="24"/>
              </w:rPr>
            </w:r>
          </w:p>
        </w:tc>
      </w:tr>
      <w:tr>
        <w:trPr>
          <w:trHeight w:val="314"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700" w:type="dxa"/>
            <w:tcBorders>
              <w:top w:val="nil" w:sz="6" w:space="0" w:color="auto"/>
              <w:left w:val="nil" w:sz="6" w:space="0" w:color="auto"/>
              <w:bottom w:val="nil" w:sz="6" w:space="0" w:color="auto"/>
              <w:right w:val="nil" w:sz="6" w:space="0" w:color="auto"/>
            </w:tcBorders>
          </w:tcPr>
          <w:p>
            <w:pPr>
              <w:pStyle w:val="TableParagraph"/>
              <w:tabs>
                <w:tab w:pos="1537" w:val="left" w:leader="none"/>
                <w:tab w:pos="2345" w:val="left" w:leader="none"/>
              </w:tabs>
              <w:spacing w:line="240" w:lineRule="auto" w:before="20"/>
              <w:ind w:right="257"/>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43,377</w:t>
              <w:tab/>
            </w:r>
            <w:r>
              <w:rPr>
                <w:rFonts w:ascii="Arial"/>
                <w:spacing w:val="-1"/>
                <w:sz w:val="24"/>
              </w:rPr>
            </w:r>
          </w:p>
        </w:tc>
        <w:tc>
          <w:tcPr>
            <w:tcW w:w="2752" w:type="dxa"/>
            <w:tcBorders>
              <w:top w:val="nil" w:sz="6" w:space="0" w:color="auto"/>
              <w:left w:val="nil" w:sz="6" w:space="0" w:color="auto"/>
              <w:bottom w:val="nil" w:sz="6" w:space="0" w:color="auto"/>
              <w:right w:val="nil" w:sz="6" w:space="0" w:color="auto"/>
            </w:tcBorders>
          </w:tcPr>
          <w:p>
            <w:pPr>
              <w:pStyle w:val="TableParagraph"/>
              <w:tabs>
                <w:tab w:pos="1740" w:val="left" w:leader="none"/>
                <w:tab w:pos="2416" w:val="left" w:leader="none"/>
              </w:tabs>
              <w:spacing w:line="240" w:lineRule="auto" w:before="20"/>
              <w:ind w:right="33"/>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6,752</w:t>
              <w:tab/>
            </w:r>
            <w:r>
              <w:rPr>
                <w:rFonts w:ascii="Arial"/>
                <w:spacing w:val="-1"/>
                <w:sz w:val="24"/>
              </w:rPr>
            </w:r>
          </w:p>
        </w:tc>
      </w:tr>
      <w:tr>
        <w:trPr>
          <w:trHeight w:val="363" w:hRule="exact"/>
        </w:trPr>
        <w:tc>
          <w:tcPr>
            <w:tcW w:w="637"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tabs>
                <w:tab w:pos="1403" w:val="left" w:leader="none"/>
                <w:tab w:pos="2345" w:val="left" w:leader="none"/>
              </w:tabs>
              <w:spacing w:line="268" w:lineRule="exact"/>
              <w:ind w:right="257"/>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702,946</w:t>
              <w:tab/>
            </w:r>
            <w:r>
              <w:rPr>
                <w:rFonts w:ascii="Arial"/>
                <w:spacing w:val="-1"/>
                <w:sz w:val="24"/>
              </w:rPr>
            </w:r>
          </w:p>
        </w:tc>
        <w:tc>
          <w:tcPr>
            <w:tcW w:w="2752" w:type="dxa"/>
            <w:tcBorders>
              <w:top w:val="nil" w:sz="6" w:space="0" w:color="auto"/>
              <w:left w:val="nil" w:sz="6" w:space="0" w:color="auto"/>
              <w:bottom w:val="nil" w:sz="6" w:space="0" w:color="auto"/>
              <w:right w:val="nil" w:sz="6" w:space="0" w:color="auto"/>
            </w:tcBorders>
          </w:tcPr>
          <w:p>
            <w:pPr>
              <w:pStyle w:val="TableParagraph"/>
              <w:tabs>
                <w:tab w:pos="1474" w:val="left" w:leader="none"/>
                <w:tab w:pos="2416" w:val="left" w:leader="none"/>
              </w:tabs>
              <w:spacing w:line="268" w:lineRule="exact"/>
              <w:ind w:right="33"/>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164,563</w:t>
              <w:tab/>
            </w:r>
            <w:r>
              <w:rPr>
                <w:rFonts w:ascii="Arial"/>
                <w:spacing w:val="-1"/>
                <w:sz w:val="24"/>
              </w:rPr>
            </w:r>
          </w:p>
        </w:tc>
      </w:tr>
    </w:tbl>
    <w:p>
      <w:pPr>
        <w:spacing w:line="240" w:lineRule="auto" w:before="10"/>
        <w:rPr>
          <w:rFonts w:ascii="Arial" w:hAnsi="Arial" w:cs="Arial" w:eastAsia="Arial" w:hint="default"/>
          <w:sz w:val="12"/>
          <w:szCs w:val="12"/>
        </w:rPr>
      </w:pPr>
    </w:p>
    <w:p>
      <w:pPr>
        <w:pStyle w:val="BodyText"/>
        <w:spacing w:line="312" w:lineRule="exact" w:before="56"/>
        <w:ind w:left="920" w:right="0"/>
        <w:jc w:val="left"/>
      </w:pPr>
      <w:r>
        <w:rPr/>
        <w:t>于</w:t>
      </w:r>
      <w:r>
        <w:rPr>
          <w:spacing w:val="-62"/>
        </w:rPr>
        <w:t> </w:t>
      </w:r>
      <w:r>
        <w:rPr>
          <w:rFonts w:ascii="Arial" w:hAnsi="Arial" w:cs="Arial" w:eastAsia="Arial" w:hint="default"/>
          <w:spacing w:val="-1"/>
        </w:rPr>
        <w:t>2007</w:t>
      </w:r>
      <w:r>
        <w:rPr>
          <w:rFonts w:ascii="Arial" w:hAnsi="Arial" w:cs="Arial" w:eastAsia="Arial" w:hint="default"/>
          <w:spacing w:val="-7"/>
        </w:rPr>
        <w:t> </w:t>
      </w:r>
      <w:r>
        <w:rPr/>
        <w:t>年</w:t>
      </w:r>
      <w:r>
        <w:rPr>
          <w:spacing w:val="-61"/>
        </w:rPr>
        <w:t> </w:t>
      </w:r>
      <w:r>
        <w:rPr>
          <w:rFonts w:ascii="Arial" w:hAnsi="Arial" w:cs="Arial" w:eastAsia="Arial" w:hint="default"/>
          <w:spacing w:val="-1"/>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日及</w:t>
      </w:r>
      <w:r>
        <w:rPr>
          <w:spacing w:val="-62"/>
        </w:rPr>
        <w:t> </w:t>
      </w:r>
      <w:r>
        <w:rPr>
          <w:rFonts w:ascii="Arial" w:hAnsi="Arial" w:cs="Arial" w:eastAsia="Arial" w:hint="default"/>
          <w:spacing w:val="-1"/>
        </w:rPr>
        <w:t>2006</w:t>
      </w:r>
      <w:r>
        <w:rPr>
          <w:rFonts w:ascii="Arial" w:hAnsi="Arial" w:cs="Arial" w:eastAsia="Arial" w:hint="default"/>
          <w:spacing w:val="-7"/>
        </w:rPr>
        <w:t> </w:t>
      </w:r>
      <w:r>
        <w:rPr/>
        <w:t>年</w:t>
      </w:r>
      <w:r>
        <w:rPr>
          <w:spacing w:val="-61"/>
        </w:rPr>
        <w:t> </w:t>
      </w:r>
      <w:r>
        <w:rPr>
          <w:rFonts w:ascii="Arial" w:hAnsi="Arial" w:cs="Arial" w:eastAsia="Arial" w:hint="default"/>
          <w:spacing w:val="-1"/>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spacing w:val="-8"/>
        </w:rPr>
        <w:t>日，其他应付款中无应付持有本公司</w:t>
      </w:r>
      <w:r>
        <w:rPr>
          <w:spacing w:val="-62"/>
        </w:rPr>
        <w:t> </w:t>
      </w:r>
      <w:r>
        <w:rPr>
          <w:rFonts w:ascii="Arial" w:hAnsi="Arial" w:cs="Arial" w:eastAsia="Arial" w:hint="default"/>
          <w:spacing w:val="-1"/>
        </w:rPr>
        <w:t>5%(</w:t>
      </w:r>
      <w:r>
        <w:rPr>
          <w:spacing w:val="-1"/>
        </w:rPr>
        <w:t>含</w:t>
      </w:r>
      <w:r>
        <w:rPr/>
        <w:t> </w:t>
      </w:r>
      <w:r>
        <w:rPr>
          <w:rFonts w:ascii="Arial" w:hAnsi="Arial" w:cs="Arial" w:eastAsia="Arial" w:hint="default"/>
        </w:rPr>
        <w:t>5%)</w:t>
      </w:r>
      <w:r>
        <w:rPr/>
        <w:t>以上表决权股份的股东的款项。</w:t>
      </w:r>
    </w:p>
    <w:p>
      <w:pPr>
        <w:spacing w:line="240" w:lineRule="auto" w:before="10"/>
        <w:rPr>
          <w:rFonts w:ascii="宋体" w:hAnsi="宋体" w:cs="宋体" w:eastAsia="宋体" w:hint="default"/>
          <w:sz w:val="18"/>
          <w:szCs w:val="18"/>
        </w:rPr>
      </w:pPr>
    </w:p>
    <w:p>
      <w:pPr>
        <w:pStyle w:val="BodyText"/>
        <w:spacing w:line="322" w:lineRule="exact"/>
        <w:ind w:left="920" w:right="0"/>
        <w:jc w:val="left"/>
      </w:pPr>
      <w:r>
        <w:rPr/>
        <w:t>于</w:t>
      </w:r>
      <w:r>
        <w:rPr>
          <w:spacing w:val="-47"/>
        </w:rPr>
        <w:t> </w:t>
      </w:r>
      <w:r>
        <w:rPr>
          <w:rFonts w:ascii="Arial" w:hAnsi="Arial" w:cs="Arial" w:eastAsia="Arial" w:hint="default"/>
        </w:rPr>
        <w:t>2007</w:t>
      </w:r>
      <w:r>
        <w:rPr>
          <w:rFonts w:ascii="Arial" w:hAnsi="Arial" w:cs="Arial" w:eastAsia="Arial" w:hint="default"/>
          <w:spacing w:val="7"/>
        </w:rPr>
        <w:t> </w:t>
      </w:r>
      <w:r>
        <w:rPr/>
        <w:t>年</w:t>
      </w:r>
      <w:r>
        <w:rPr>
          <w:spacing w:val="-47"/>
        </w:rPr>
        <w:t> </w:t>
      </w:r>
      <w:r>
        <w:rPr>
          <w:rFonts w:ascii="Arial" w:hAnsi="Arial" w:cs="Arial" w:eastAsia="Arial" w:hint="default"/>
        </w:rPr>
        <w:t>12</w:t>
      </w:r>
      <w:r>
        <w:rPr>
          <w:rFonts w:ascii="Arial" w:hAnsi="Arial" w:cs="Arial" w:eastAsia="Arial" w:hint="default"/>
          <w:spacing w:val="7"/>
        </w:rPr>
        <w:t> </w:t>
      </w:r>
      <w:r>
        <w:rPr/>
        <w:t>月</w:t>
      </w:r>
      <w:r>
        <w:rPr>
          <w:spacing w:val="-47"/>
        </w:rPr>
        <w:t> </w:t>
      </w:r>
      <w:r>
        <w:rPr>
          <w:rFonts w:ascii="Arial" w:hAnsi="Arial" w:cs="Arial" w:eastAsia="Arial" w:hint="default"/>
        </w:rPr>
        <w:t>31</w:t>
      </w:r>
      <w:r>
        <w:rPr>
          <w:rFonts w:ascii="Arial" w:hAnsi="Arial" w:cs="Arial" w:eastAsia="Arial" w:hint="default"/>
          <w:spacing w:val="6"/>
        </w:rPr>
        <w:t> </w:t>
      </w:r>
      <w:r>
        <w:rPr/>
        <w:t>日，账龄超过一年的其他应付款约为人民币</w:t>
      </w:r>
      <w:r>
        <w:rPr>
          <w:spacing w:val="-47"/>
        </w:rPr>
        <w:t> </w:t>
      </w:r>
      <w:r>
        <w:rPr>
          <w:rFonts w:ascii="Arial" w:hAnsi="Arial" w:cs="Arial" w:eastAsia="Arial" w:hint="default"/>
        </w:rPr>
        <w:t>3,846</w:t>
      </w:r>
      <w:r>
        <w:rPr>
          <w:rFonts w:ascii="Arial" w:hAnsi="Arial" w:cs="Arial" w:eastAsia="Arial" w:hint="default"/>
          <w:spacing w:val="7"/>
        </w:rPr>
        <w:t> </w:t>
      </w:r>
      <w:r>
        <w:rPr/>
        <w:t>万元</w:t>
      </w:r>
      <w:r>
        <w:rPr>
          <w:rFonts w:ascii="Arial" w:hAnsi="Arial" w:cs="Arial" w:eastAsia="Arial" w:hint="default"/>
        </w:rPr>
        <w:t>(2006</w:t>
      </w:r>
      <w:r>
        <w:rPr>
          <w:rFonts w:ascii="Arial" w:hAnsi="Arial" w:cs="Arial" w:eastAsia="Arial" w:hint="default"/>
          <w:spacing w:val="7"/>
        </w:rPr>
        <w:t> </w:t>
      </w:r>
      <w:r>
        <w:rPr/>
        <w:t>年</w:t>
      </w:r>
    </w:p>
    <w:p>
      <w:pPr>
        <w:pStyle w:val="BodyText"/>
        <w:spacing w:line="427" w:lineRule="auto"/>
        <w:ind w:left="920" w:right="1660"/>
        <w:jc w:val="left"/>
      </w:pP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日：约人民币</w:t>
      </w:r>
      <w:r>
        <w:rPr>
          <w:spacing w:val="-62"/>
        </w:rPr>
        <w:t> </w:t>
      </w:r>
      <w:r>
        <w:rPr>
          <w:rFonts w:ascii="Arial" w:hAnsi="Arial" w:cs="Arial" w:eastAsia="Arial" w:hint="default"/>
        </w:rPr>
        <w:t>2,654</w:t>
      </w:r>
      <w:r>
        <w:rPr>
          <w:rFonts w:ascii="Arial" w:hAnsi="Arial" w:cs="Arial" w:eastAsia="Arial" w:hint="default"/>
          <w:spacing w:val="-9"/>
        </w:rPr>
        <w:t> </w:t>
      </w:r>
      <w:r>
        <w:rPr/>
        <w:t>万元</w:t>
      </w:r>
      <w:r>
        <w:rPr>
          <w:rFonts w:ascii="Arial" w:hAnsi="Arial" w:cs="Arial" w:eastAsia="Arial" w:hint="default"/>
        </w:rPr>
        <w:t>)</w:t>
      </w:r>
      <w:r>
        <w:rPr/>
        <w:t>，主要为收取的各类保证金和押金。 本集团的其他应付款均为人民币余额。</w:t>
      </w:r>
    </w:p>
    <w:p>
      <w:pPr>
        <w:spacing w:after="0" w:line="427" w:lineRule="auto"/>
        <w:jc w:val="left"/>
        <w:sectPr>
          <w:pgSz w:w="11910" w:h="16840"/>
          <w:pgMar w:header="748" w:footer="708" w:top="980" w:bottom="900" w:left="92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05"/>
        <w:gridCol w:w="4186"/>
        <w:gridCol w:w="2359"/>
        <w:gridCol w:w="545"/>
        <w:gridCol w:w="2326"/>
      </w:tblGrid>
      <w:tr>
        <w:trPr>
          <w:trHeight w:val="964"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(19)</w:t>
            </w:r>
          </w:p>
        </w:tc>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7" w:right="0" w:hanging="15"/>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7" w:right="0"/>
              <w:jc w:val="left"/>
              <w:rPr>
                <w:rFonts w:ascii="宋体" w:hAnsi="宋体" w:cs="宋体" w:eastAsia="宋体" w:hint="default"/>
                <w:sz w:val="24"/>
                <w:szCs w:val="24"/>
              </w:rPr>
            </w:pPr>
            <w:r>
              <w:rPr>
                <w:rFonts w:ascii="宋体" w:hAnsi="宋体" w:cs="宋体" w:eastAsia="宋体" w:hint="default"/>
                <w:b/>
                <w:bCs/>
                <w:sz w:val="24"/>
                <w:szCs w:val="24"/>
              </w:rPr>
              <w:t>一年内到期的非流动负债</w:t>
            </w:r>
            <w:r>
              <w:rPr>
                <w:rFonts w:ascii="宋体" w:hAnsi="宋体" w:cs="宋体" w:eastAsia="宋体" w:hint="default"/>
                <w:sz w:val="24"/>
                <w:szCs w:val="24"/>
              </w:rPr>
            </w:r>
          </w:p>
        </w:tc>
        <w:tc>
          <w:tcPr>
            <w:tcW w:w="5230" w:type="dxa"/>
            <w:gridSpan w:val="3"/>
            <w:tcBorders>
              <w:top w:val="nil" w:sz="6" w:space="0" w:color="auto"/>
              <w:left w:val="nil" w:sz="6" w:space="0" w:color="auto"/>
              <w:bottom w:val="nil" w:sz="6" w:space="0" w:color="auto"/>
              <w:right w:val="nil" w:sz="6" w:space="0" w:color="auto"/>
            </w:tcBorders>
          </w:tcPr>
          <w:p>
            <w:pPr/>
          </w:p>
        </w:tc>
      </w:tr>
      <w:tr>
        <w:trPr>
          <w:trHeight w:val="318" w:hRule="exact"/>
        </w:trPr>
        <w:tc>
          <w:tcPr>
            <w:tcW w:w="605"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93" w:lineRule="exact"/>
              <w:ind w:left="171"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93" w:lineRule="exact"/>
              <w:ind w:left="115"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z w:val="24"/>
                <w:szCs w:val="24"/>
              </w:rPr>
              <w:t>日</w:t>
            </w:r>
          </w:p>
        </w:tc>
      </w:tr>
      <w:tr>
        <w:trPr>
          <w:trHeight w:val="447" w:hRule="exact"/>
        </w:trPr>
        <w:tc>
          <w:tcPr>
            <w:tcW w:w="605"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87" w:lineRule="exact"/>
              <w:ind w:left="897"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87" w:lineRule="exact"/>
              <w:ind w:left="828"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63" w:hRule="exact"/>
        </w:trPr>
        <w:tc>
          <w:tcPr>
            <w:tcW w:w="605"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7" w:right="0"/>
              <w:jc w:val="left"/>
              <w:rPr>
                <w:rFonts w:ascii="Arial" w:hAnsi="Arial" w:cs="Arial" w:eastAsia="Arial" w:hint="default"/>
                <w:sz w:val="24"/>
                <w:szCs w:val="24"/>
              </w:rPr>
            </w:pPr>
            <w:r>
              <w:rPr>
                <w:rFonts w:ascii="宋体" w:hAnsi="宋体" w:cs="宋体" w:eastAsia="宋体" w:hint="default"/>
                <w:sz w:val="24"/>
                <w:szCs w:val="24"/>
              </w:rPr>
              <w:t>递延广告位使用费收入</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(b))</w:t>
            </w:r>
          </w:p>
        </w:tc>
        <w:tc>
          <w:tcPr>
            <w:tcW w:w="2359"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left="1391" w:right="0"/>
              <w:jc w:val="left"/>
              <w:rPr>
                <w:rFonts w:ascii="Arial" w:hAnsi="Arial" w:cs="Arial" w:eastAsia="Arial" w:hint="default"/>
                <w:sz w:val="24"/>
                <w:szCs w:val="24"/>
              </w:rPr>
            </w:pPr>
            <w:r>
              <w:rPr>
                <w:rFonts w:ascii="Arial"/>
                <w:sz w:val="24"/>
              </w:rPr>
              <w:t>106,506</w:t>
            </w: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left="1322" w:right="0"/>
              <w:jc w:val="left"/>
              <w:rPr>
                <w:rFonts w:ascii="Arial" w:hAnsi="Arial" w:cs="Arial" w:eastAsia="Arial" w:hint="default"/>
                <w:sz w:val="24"/>
                <w:szCs w:val="24"/>
              </w:rPr>
            </w:pPr>
            <w:r>
              <w:rPr>
                <w:rFonts w:ascii="Arial"/>
                <w:sz w:val="24"/>
              </w:rPr>
              <w:t>107,182</w:t>
            </w:r>
          </w:p>
        </w:tc>
      </w:tr>
      <w:tr>
        <w:trPr>
          <w:trHeight w:val="1016"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 w:right="0"/>
              <w:jc w:val="left"/>
              <w:rPr>
                <w:rFonts w:ascii="Arial" w:hAnsi="Arial" w:cs="Arial" w:eastAsia="Arial" w:hint="default"/>
                <w:sz w:val="24"/>
                <w:szCs w:val="24"/>
              </w:rPr>
            </w:pPr>
            <w:r>
              <w:rPr>
                <w:rFonts w:ascii="Arial"/>
                <w:sz w:val="24"/>
              </w:rPr>
              <w:t>(20)</w:t>
            </w:r>
          </w:p>
        </w:tc>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4"/>
              <w:ind w:left="157" w:right="0"/>
              <w:jc w:val="left"/>
              <w:rPr>
                <w:rFonts w:ascii="宋体" w:hAnsi="宋体" w:cs="宋体" w:eastAsia="宋体" w:hint="default"/>
                <w:sz w:val="24"/>
                <w:szCs w:val="24"/>
              </w:rPr>
            </w:pPr>
            <w:r>
              <w:rPr>
                <w:rFonts w:ascii="宋体" w:hAnsi="宋体" w:cs="宋体" w:eastAsia="宋体" w:hint="default"/>
                <w:b/>
                <w:bCs/>
                <w:sz w:val="24"/>
                <w:szCs w:val="24"/>
              </w:rPr>
              <w:t>其他流动负债</w:t>
            </w:r>
            <w:r>
              <w:rPr>
                <w:rFonts w:ascii="宋体" w:hAnsi="宋体" w:cs="宋体" w:eastAsia="宋体" w:hint="default"/>
                <w:sz w:val="24"/>
                <w:szCs w:val="24"/>
              </w:rPr>
            </w:r>
          </w:p>
        </w:tc>
        <w:tc>
          <w:tcPr>
            <w:tcW w:w="2359" w:type="dxa"/>
            <w:tcBorders>
              <w:top w:val="single" w:sz="12" w:space="0" w:color="000000"/>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single" w:sz="12" w:space="0" w:color="000000"/>
              <w:left w:val="nil" w:sz="6" w:space="0" w:color="auto"/>
              <w:bottom w:val="nil" w:sz="6" w:space="0" w:color="auto"/>
              <w:right w:val="nil" w:sz="6" w:space="0" w:color="auto"/>
            </w:tcBorders>
          </w:tcPr>
          <w:p>
            <w:pPr/>
          </w:p>
        </w:tc>
      </w:tr>
      <w:tr>
        <w:trPr>
          <w:trHeight w:val="456" w:hRule="exact"/>
        </w:trPr>
        <w:tc>
          <w:tcPr>
            <w:tcW w:w="605"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71"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5"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z w:val="24"/>
                <w:szCs w:val="24"/>
              </w:rPr>
              <w:t>日</w:t>
            </w:r>
          </w:p>
        </w:tc>
      </w:tr>
      <w:tr>
        <w:trPr>
          <w:trHeight w:val="450" w:hRule="exact"/>
        </w:trPr>
        <w:tc>
          <w:tcPr>
            <w:tcW w:w="605"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87" w:lineRule="exact"/>
              <w:ind w:left="897"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87" w:lineRule="exact"/>
              <w:ind w:left="828"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605"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7" w:right="0"/>
              <w:jc w:val="left"/>
              <w:rPr>
                <w:rFonts w:ascii="宋体" w:hAnsi="宋体" w:cs="宋体" w:eastAsia="宋体" w:hint="default"/>
                <w:sz w:val="24"/>
                <w:szCs w:val="24"/>
              </w:rPr>
            </w:pPr>
            <w:r>
              <w:rPr>
                <w:rFonts w:ascii="宋体" w:hAnsi="宋体" w:cs="宋体" w:eastAsia="宋体" w:hint="default"/>
                <w:sz w:val="24"/>
                <w:szCs w:val="24"/>
              </w:rPr>
              <w:t>预提房屋租金</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525" w:right="0"/>
              <w:jc w:val="left"/>
              <w:rPr>
                <w:rFonts w:ascii="Arial" w:hAnsi="Arial" w:cs="Arial" w:eastAsia="Arial" w:hint="default"/>
                <w:sz w:val="24"/>
                <w:szCs w:val="24"/>
              </w:rPr>
            </w:pPr>
            <w:r>
              <w:rPr>
                <w:rFonts w:ascii="Arial"/>
                <w:sz w:val="24"/>
              </w:rPr>
              <w:t>16,279</w:t>
            </w: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5"/>
              <w:jc w:val="right"/>
              <w:rPr>
                <w:rFonts w:ascii="Arial" w:hAnsi="Arial" w:cs="Arial" w:eastAsia="Arial" w:hint="default"/>
                <w:sz w:val="24"/>
                <w:szCs w:val="24"/>
              </w:rPr>
            </w:pPr>
            <w:r>
              <w:rPr>
                <w:rFonts w:ascii="Arial"/>
                <w:spacing w:val="-1"/>
                <w:w w:val="95"/>
                <w:sz w:val="24"/>
              </w:rPr>
              <w:t>9,847</w:t>
            </w:r>
            <w:r>
              <w:rPr>
                <w:rFonts w:ascii="Arial"/>
                <w:w w:val="95"/>
                <w:sz w:val="24"/>
              </w:rPr>
            </w:r>
          </w:p>
        </w:tc>
      </w:tr>
      <w:tr>
        <w:trPr>
          <w:trHeight w:val="312" w:hRule="exact"/>
        </w:trPr>
        <w:tc>
          <w:tcPr>
            <w:tcW w:w="605"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4"/>
                <w:szCs w:val="24"/>
              </w:rPr>
            </w:pPr>
            <w:r>
              <w:rPr>
                <w:rFonts w:ascii="宋体" w:hAnsi="宋体" w:cs="宋体" w:eastAsia="宋体" w:hint="default"/>
                <w:sz w:val="24"/>
                <w:szCs w:val="24"/>
              </w:rPr>
              <w:t>预提水电费</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25" w:right="0"/>
              <w:jc w:val="left"/>
              <w:rPr>
                <w:rFonts w:ascii="Arial" w:hAnsi="Arial" w:cs="Arial" w:eastAsia="Arial" w:hint="default"/>
                <w:sz w:val="24"/>
                <w:szCs w:val="24"/>
              </w:rPr>
            </w:pPr>
            <w:r>
              <w:rPr>
                <w:rFonts w:ascii="Arial"/>
                <w:sz w:val="24"/>
              </w:rPr>
              <w:t>18,378</w:t>
            </w: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5"/>
              <w:jc w:val="right"/>
              <w:rPr>
                <w:rFonts w:ascii="Arial" w:hAnsi="Arial" w:cs="Arial" w:eastAsia="Arial" w:hint="default"/>
                <w:sz w:val="24"/>
                <w:szCs w:val="24"/>
              </w:rPr>
            </w:pPr>
            <w:r>
              <w:rPr>
                <w:rFonts w:ascii="Arial"/>
                <w:spacing w:val="-1"/>
                <w:w w:val="95"/>
                <w:sz w:val="24"/>
              </w:rPr>
              <w:t>9,143</w:t>
            </w:r>
            <w:r>
              <w:rPr>
                <w:rFonts w:ascii="Arial"/>
                <w:w w:val="95"/>
                <w:sz w:val="24"/>
              </w:rPr>
            </w:r>
          </w:p>
        </w:tc>
      </w:tr>
      <w:tr>
        <w:trPr>
          <w:trHeight w:val="314" w:hRule="exact"/>
        </w:trPr>
        <w:tc>
          <w:tcPr>
            <w:tcW w:w="605"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59" w:type="dxa"/>
            <w:tcBorders>
              <w:top w:val="nil" w:sz="6" w:space="0" w:color="auto"/>
              <w:left w:val="nil" w:sz="6" w:space="0" w:color="auto"/>
              <w:bottom w:val="nil" w:sz="6" w:space="0" w:color="auto"/>
              <w:right w:val="nil" w:sz="6" w:space="0" w:color="auto"/>
            </w:tcBorders>
          </w:tcPr>
          <w:p>
            <w:pPr>
              <w:pStyle w:val="TableParagraph"/>
              <w:tabs>
                <w:tab w:pos="2177" w:val="left" w:leader="none"/>
                <w:tab w:pos="2359" w:val="left" w:leader="none"/>
              </w:tabs>
              <w:spacing w:line="240" w:lineRule="auto" w:before="20"/>
              <w:ind w:right="0"/>
              <w:jc w:val="left"/>
              <w:rPr>
                <w:rFonts w:ascii="Arial" w:hAnsi="Arial" w:cs="Arial" w:eastAsia="Arial" w:hint="default"/>
                <w:sz w:val="24"/>
                <w:szCs w:val="24"/>
              </w:rPr>
            </w:pPr>
            <w:r>
              <w:rPr>
                <w:rFonts w:ascii="Arial"/>
                <w:sz w:val="24"/>
              </w:rPr>
            </w:r>
            <w:r>
              <w:rPr>
                <w:rFonts w:ascii="Arial"/>
                <w:sz w:val="24"/>
                <w:u w:val="single" w:color="000000"/>
              </w:rPr>
              <w:t> </w:t>
              <w:tab/>
              <w:t>-</w:t>
              <w:tab/>
            </w:r>
            <w:r>
              <w:rPr>
                <w:rFonts w:ascii="Arial"/>
                <w:sz w:val="24"/>
              </w:rPr>
            </w: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tabs>
                <w:tab w:pos="1922" w:val="left" w:leader="none"/>
                <w:tab w:pos="2290" w:val="left" w:leader="none"/>
              </w:tabs>
              <w:spacing w:line="240" w:lineRule="auto" w:before="20"/>
              <w:ind w:right="0"/>
              <w:jc w:val="left"/>
              <w:rPr>
                <w:rFonts w:ascii="Arial" w:hAnsi="Arial" w:cs="Arial" w:eastAsia="Arial" w:hint="default"/>
                <w:sz w:val="24"/>
                <w:szCs w:val="24"/>
              </w:rPr>
            </w:pPr>
            <w:r>
              <w:rPr>
                <w:rFonts w:ascii="Arial"/>
                <w:sz w:val="24"/>
              </w:rPr>
            </w:r>
            <w:r>
              <w:rPr>
                <w:rFonts w:ascii="Arial"/>
                <w:sz w:val="24"/>
                <w:u w:val="single" w:color="000000"/>
              </w:rPr>
              <w:t> </w:t>
              <w:tab/>
              <w:t>22</w:t>
              <w:tab/>
            </w:r>
            <w:r>
              <w:rPr>
                <w:rFonts w:ascii="Arial"/>
                <w:sz w:val="24"/>
              </w:rPr>
            </w:r>
          </w:p>
        </w:tc>
      </w:tr>
      <w:tr>
        <w:trPr>
          <w:trHeight w:val="434" w:hRule="exact"/>
        </w:trPr>
        <w:tc>
          <w:tcPr>
            <w:tcW w:w="605" w:type="dxa"/>
            <w:tcBorders>
              <w:top w:val="nil" w:sz="6" w:space="0" w:color="auto"/>
              <w:left w:val="nil" w:sz="6" w:space="0" w:color="auto"/>
              <w:bottom w:val="nil" w:sz="6" w:space="0" w:color="auto"/>
              <w:right w:val="nil" w:sz="6" w:space="0" w:color="auto"/>
            </w:tcBorders>
          </w:tcPr>
          <w:p>
            <w:pPr/>
          </w:p>
        </w:tc>
        <w:tc>
          <w:tcPr>
            <w:tcW w:w="41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tabs>
                <w:tab w:pos="1525" w:val="left" w:leader="none"/>
                <w:tab w:pos="2359" w:val="left" w:leader="none"/>
              </w:tabs>
              <w:spacing w:line="268" w:lineRule="exact"/>
              <w:ind w:right="0"/>
              <w:jc w:val="left"/>
              <w:rPr>
                <w:rFonts w:ascii="Arial" w:hAnsi="Arial" w:cs="Arial" w:eastAsia="Arial" w:hint="default"/>
                <w:sz w:val="24"/>
                <w:szCs w:val="24"/>
              </w:rPr>
            </w:pPr>
            <w:r>
              <w:rPr>
                <w:rFonts w:ascii="Arial"/>
                <w:sz w:val="24"/>
              </w:rPr>
            </w:r>
            <w:r>
              <w:rPr>
                <w:rFonts w:ascii="Arial"/>
                <w:sz w:val="24"/>
                <w:u w:val="thick" w:color="000000"/>
              </w:rPr>
              <w:t> </w:t>
              <w:tab/>
              <w:t>34,657</w:t>
              <w:tab/>
            </w:r>
            <w:r>
              <w:rPr>
                <w:rFonts w:ascii="Arial"/>
                <w:sz w:val="24"/>
              </w:rPr>
            </w: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tabs>
                <w:tab w:pos="1455" w:val="left" w:leader="none"/>
                <w:tab w:pos="2290" w:val="left" w:leader="none"/>
              </w:tabs>
              <w:spacing w:line="268" w:lineRule="exact"/>
              <w:ind w:right="0"/>
              <w:jc w:val="left"/>
              <w:rPr>
                <w:rFonts w:ascii="Arial" w:hAnsi="Arial" w:cs="Arial" w:eastAsia="Arial" w:hint="default"/>
                <w:sz w:val="24"/>
                <w:szCs w:val="24"/>
              </w:rPr>
            </w:pPr>
            <w:r>
              <w:rPr>
                <w:rFonts w:ascii="Arial"/>
                <w:sz w:val="24"/>
              </w:rPr>
            </w:r>
            <w:r>
              <w:rPr>
                <w:rFonts w:ascii="Arial"/>
                <w:sz w:val="24"/>
                <w:u w:val="thick" w:color="000000"/>
              </w:rPr>
              <w:t> </w:t>
              <w:tab/>
              <w:t>19,012</w:t>
              <w:tab/>
            </w:r>
            <w:r>
              <w:rPr>
                <w:rFonts w:ascii="Arial"/>
                <w:sz w:val="24"/>
              </w:rPr>
            </w:r>
          </w:p>
        </w:tc>
      </w:tr>
      <w:tr>
        <w:trPr>
          <w:trHeight w:val="589"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4"/>
                <w:szCs w:val="24"/>
              </w:rPr>
            </w:pPr>
            <w:r>
              <w:rPr>
                <w:rFonts w:ascii="Arial"/>
                <w:sz w:val="24"/>
              </w:rPr>
              <w:t>(21)</w:t>
            </w:r>
          </w:p>
        </w:tc>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2" w:right="0"/>
              <w:jc w:val="left"/>
              <w:rPr>
                <w:rFonts w:ascii="宋体" w:hAnsi="宋体" w:cs="宋体" w:eastAsia="宋体" w:hint="default"/>
                <w:sz w:val="24"/>
                <w:szCs w:val="24"/>
              </w:rPr>
            </w:pPr>
            <w:r>
              <w:rPr>
                <w:rFonts w:ascii="宋体" w:hAnsi="宋体" w:cs="宋体" w:eastAsia="宋体" w:hint="default"/>
                <w:b/>
                <w:bCs/>
                <w:sz w:val="24"/>
                <w:szCs w:val="24"/>
              </w:rPr>
              <w:t>递延所得税资产和负债</w:t>
            </w:r>
            <w:r>
              <w:rPr>
                <w:rFonts w:ascii="宋体" w:hAnsi="宋体" w:cs="宋体" w:eastAsia="宋体" w:hint="default"/>
                <w:sz w:val="24"/>
                <w:szCs w:val="24"/>
              </w:rPr>
            </w:r>
          </w:p>
        </w:tc>
        <w:tc>
          <w:tcPr>
            <w:tcW w:w="2359"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
        </w:tc>
      </w:tr>
      <w:tr>
        <w:trPr>
          <w:trHeight w:val="417"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2359"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
        </w:tc>
      </w:tr>
      <w:tr>
        <w:trPr>
          <w:trHeight w:val="340" w:hRule="exact"/>
        </w:trPr>
        <w:tc>
          <w:tcPr>
            <w:tcW w:w="10020" w:type="dxa"/>
            <w:gridSpan w:val="5"/>
            <w:tcBorders>
              <w:top w:val="nil" w:sz="6" w:space="0" w:color="auto"/>
              <w:left w:val="nil" w:sz="6" w:space="0" w:color="auto"/>
              <w:bottom w:val="nil" w:sz="6" w:space="0" w:color="auto"/>
              <w:right w:val="nil" w:sz="6" w:space="0" w:color="auto"/>
            </w:tcBorders>
          </w:tcPr>
          <w:p>
            <w:pPr>
              <w:pStyle w:val="TableParagraph"/>
              <w:tabs>
                <w:tab w:pos="7234" w:val="left" w:leader="none"/>
              </w:tabs>
              <w:spacing w:line="329" w:lineRule="exact"/>
              <w:ind w:left="3322"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tab/>
            </w:r>
            <w:r>
              <w:rPr>
                <w:rFonts w:ascii="Arial" w:hAnsi="Arial" w:cs="Arial" w:eastAsia="Arial" w:hint="default"/>
                <w:sz w:val="24"/>
                <w:szCs w:val="24"/>
              </w:rPr>
              <w:t>2006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bl>
    <w:p>
      <w:pPr>
        <w:spacing w:after="0" w:line="329" w:lineRule="exact"/>
        <w:jc w:val="left"/>
        <w:rPr>
          <w:rFonts w:ascii="宋体" w:hAnsi="宋体" w:cs="宋体" w:eastAsia="宋体" w:hint="default"/>
          <w:sz w:val="24"/>
          <w:szCs w:val="24"/>
        </w:rPr>
        <w:sectPr>
          <w:pgSz w:w="11910" w:h="16840"/>
          <w:pgMar w:header="748" w:footer="708" w:top="980" w:bottom="900" w:left="980" w:right="680"/>
        </w:sectPr>
      </w:pPr>
    </w:p>
    <w:p>
      <w:pPr>
        <w:spacing w:line="272" w:lineRule="exact" w:before="3"/>
        <w:ind w:left="3208" w:right="-20" w:hanging="316"/>
        <w:jc w:val="left"/>
        <w:rPr>
          <w:rFonts w:ascii="宋体" w:hAnsi="宋体" w:cs="宋体" w:eastAsia="宋体" w:hint="default"/>
          <w:sz w:val="21"/>
          <w:szCs w:val="21"/>
        </w:rPr>
      </w:pPr>
      <w:r>
        <w:rPr>
          <w:rFonts w:ascii="宋体" w:hAnsi="宋体" w:cs="宋体" w:eastAsia="宋体" w:hint="default"/>
          <w:sz w:val="21"/>
          <w:szCs w:val="21"/>
        </w:rPr>
        <w:t>递延所得税 资产</w:t>
      </w:r>
    </w:p>
    <w:p>
      <w:pPr>
        <w:spacing w:line="272" w:lineRule="exact" w:before="3"/>
        <w:ind w:left="965" w:right="-20" w:firstLine="210"/>
        <w:jc w:val="left"/>
        <w:rPr>
          <w:rFonts w:ascii="宋体" w:hAnsi="宋体" w:cs="宋体" w:eastAsia="宋体" w:hint="default"/>
          <w:sz w:val="21"/>
          <w:szCs w:val="21"/>
        </w:rPr>
      </w:pPr>
      <w:r>
        <w:rPr/>
        <w:br w:type="column"/>
      </w:r>
      <w:r>
        <w:rPr>
          <w:rFonts w:ascii="宋体" w:hAnsi="宋体" w:cs="宋体" w:eastAsia="宋体" w:hint="default"/>
          <w:sz w:val="21"/>
          <w:szCs w:val="21"/>
        </w:rPr>
        <w:t>可抵扣 暂时性差异</w:t>
      </w:r>
    </w:p>
    <w:p>
      <w:pPr>
        <w:spacing w:line="272" w:lineRule="exact" w:before="3"/>
        <w:ind w:left="1113" w:right="-20" w:hanging="316"/>
        <w:jc w:val="left"/>
        <w:rPr>
          <w:rFonts w:ascii="宋体" w:hAnsi="宋体" w:cs="宋体" w:eastAsia="宋体" w:hint="default"/>
          <w:sz w:val="21"/>
          <w:szCs w:val="21"/>
        </w:rPr>
      </w:pPr>
      <w:r>
        <w:rPr/>
        <w:br w:type="column"/>
      </w:r>
      <w:r>
        <w:rPr>
          <w:rFonts w:ascii="宋体" w:hAnsi="宋体" w:cs="宋体" w:eastAsia="宋体" w:hint="default"/>
          <w:sz w:val="21"/>
          <w:szCs w:val="21"/>
        </w:rPr>
        <w:t>递延所得税 资产</w:t>
      </w:r>
    </w:p>
    <w:p>
      <w:pPr>
        <w:spacing w:line="272" w:lineRule="exact" w:before="3"/>
        <w:ind w:left="760" w:right="488" w:firstLine="210"/>
        <w:jc w:val="left"/>
        <w:rPr>
          <w:rFonts w:ascii="宋体" w:hAnsi="宋体" w:cs="宋体" w:eastAsia="宋体" w:hint="default"/>
          <w:sz w:val="21"/>
          <w:szCs w:val="21"/>
        </w:rPr>
      </w:pPr>
      <w:r>
        <w:rPr/>
        <w:br w:type="column"/>
      </w:r>
      <w:r>
        <w:rPr>
          <w:rFonts w:ascii="宋体" w:hAnsi="宋体" w:cs="宋体" w:eastAsia="宋体" w:hint="default"/>
          <w:sz w:val="21"/>
          <w:szCs w:val="21"/>
        </w:rPr>
        <w:t>可抵扣 暂时性差异</w:t>
      </w:r>
    </w:p>
    <w:p>
      <w:pPr>
        <w:spacing w:after="0" w:line="272" w:lineRule="exact"/>
        <w:jc w:val="left"/>
        <w:rPr>
          <w:rFonts w:ascii="宋体" w:hAnsi="宋体" w:cs="宋体" w:eastAsia="宋体" w:hint="default"/>
          <w:sz w:val="21"/>
          <w:szCs w:val="21"/>
        </w:rPr>
        <w:sectPr>
          <w:type w:val="continuous"/>
          <w:pgSz w:w="11910" w:h="16840"/>
          <w:pgMar w:top="1600" w:bottom="280" w:left="980" w:right="680"/>
          <w:cols w:num="4" w:equalWidth="0">
            <w:col w:w="3943" w:space="40"/>
            <w:col w:w="2016" w:space="40"/>
            <w:col w:w="1848" w:space="40"/>
            <w:col w:w="2323"/>
          </w:cols>
        </w:sectPr>
      </w:pPr>
    </w:p>
    <w:p>
      <w:pPr>
        <w:spacing w:line="264" w:lineRule="exact" w:before="0"/>
        <w:ind w:left="5740" w:right="0" w:firstLine="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p>
      <w:pPr>
        <w:spacing w:line="240" w:lineRule="auto" w:before="9"/>
        <w:rPr>
          <w:rFonts w:ascii="Arial" w:hAnsi="Arial" w:cs="Arial" w:eastAsia="Arial"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542"/>
        <w:gridCol w:w="1898"/>
        <w:gridCol w:w="1852"/>
        <w:gridCol w:w="2123"/>
        <w:gridCol w:w="1646"/>
        <w:gridCol w:w="1959"/>
      </w:tblGrid>
      <w:tr>
        <w:trPr>
          <w:trHeight w:val="355" w:hRule="exact"/>
        </w:trPr>
        <w:tc>
          <w:tcPr>
            <w:tcW w:w="542" w:type="dxa"/>
            <w:vMerge w:val="restart"/>
            <w:tcBorders>
              <w:top w:val="nil" w:sz="6" w:space="0" w:color="auto"/>
              <w:left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969" w:right="0"/>
              <w:jc w:val="left"/>
              <w:rPr>
                <w:rFonts w:ascii="Arial" w:hAnsi="Arial" w:cs="Arial" w:eastAsia="Arial" w:hint="default"/>
                <w:sz w:val="21"/>
                <w:szCs w:val="21"/>
              </w:rPr>
            </w:pPr>
            <w:r>
              <w:rPr>
                <w:rFonts w:ascii="Arial"/>
                <w:sz w:val="21"/>
              </w:rPr>
              <w:t>46,129</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1"/>
              <w:jc w:val="right"/>
              <w:rPr>
                <w:rFonts w:ascii="Arial" w:hAnsi="Arial" w:cs="Arial" w:eastAsia="Arial" w:hint="default"/>
                <w:sz w:val="21"/>
                <w:szCs w:val="21"/>
              </w:rPr>
            </w:pPr>
            <w:r>
              <w:rPr>
                <w:rFonts w:ascii="Arial"/>
                <w:spacing w:val="-1"/>
                <w:sz w:val="21"/>
              </w:rPr>
              <w:t>189,729</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67" w:right="0"/>
              <w:jc w:val="left"/>
              <w:rPr>
                <w:rFonts w:ascii="Arial" w:hAnsi="Arial" w:cs="Arial" w:eastAsia="Arial" w:hint="default"/>
                <w:sz w:val="21"/>
                <w:szCs w:val="21"/>
              </w:rPr>
            </w:pPr>
            <w:r>
              <w:rPr>
                <w:rFonts w:ascii="Arial"/>
                <w:sz w:val="21"/>
              </w:rPr>
              <w:t>48,291</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4"/>
              <w:jc w:val="right"/>
              <w:rPr>
                <w:rFonts w:ascii="Arial" w:hAnsi="Arial" w:cs="Arial" w:eastAsia="Arial" w:hint="default"/>
                <w:sz w:val="21"/>
                <w:szCs w:val="21"/>
              </w:rPr>
            </w:pPr>
            <w:r>
              <w:rPr>
                <w:rFonts w:ascii="Arial"/>
                <w:spacing w:val="-1"/>
                <w:sz w:val="21"/>
              </w:rPr>
              <w:t>156,485</w:t>
            </w:r>
            <w:r>
              <w:rPr>
                <w:rFonts w:ascii="Arial"/>
                <w:sz w:val="21"/>
              </w:rPr>
            </w:r>
          </w:p>
        </w:tc>
      </w:tr>
      <w:tr>
        <w:trPr>
          <w:trHeight w:val="273" w:hRule="exact"/>
        </w:trPr>
        <w:tc>
          <w:tcPr>
            <w:tcW w:w="542" w:type="dxa"/>
            <w:vMerge/>
            <w:tcBorders>
              <w:left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28" w:lineRule="exact"/>
              <w:ind w:left="21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6" w:right="0"/>
              <w:jc w:val="left"/>
              <w:rPr>
                <w:rFonts w:ascii="Arial" w:hAnsi="Arial" w:cs="Arial" w:eastAsia="Arial" w:hint="default"/>
                <w:sz w:val="21"/>
                <w:szCs w:val="21"/>
              </w:rPr>
            </w:pPr>
            <w:r>
              <w:rPr>
                <w:rFonts w:ascii="Arial"/>
                <w:sz w:val="21"/>
              </w:rPr>
              <w:t>5,663</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21"/>
                <w:szCs w:val="21"/>
              </w:rPr>
            </w:pPr>
            <w:r>
              <w:rPr>
                <w:rFonts w:ascii="Arial"/>
                <w:spacing w:val="-1"/>
                <w:sz w:val="21"/>
              </w:rPr>
              <w:t>24,129</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84" w:right="0"/>
              <w:jc w:val="left"/>
              <w:rPr>
                <w:rFonts w:ascii="Arial" w:hAnsi="Arial" w:cs="Arial" w:eastAsia="Arial" w:hint="default"/>
                <w:sz w:val="21"/>
                <w:szCs w:val="21"/>
              </w:rPr>
            </w:pPr>
            <w:r>
              <w:rPr>
                <w:rFonts w:ascii="Arial"/>
                <w:sz w:val="21"/>
              </w:rPr>
              <w:t>8,063</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21"/>
                <w:szCs w:val="21"/>
              </w:rPr>
            </w:pPr>
            <w:r>
              <w:rPr>
                <w:rFonts w:ascii="Arial"/>
                <w:spacing w:val="-1"/>
                <w:sz w:val="21"/>
              </w:rPr>
              <w:t>28,641</w:t>
            </w:r>
            <w:r>
              <w:rPr>
                <w:rFonts w:ascii="Arial"/>
                <w:sz w:val="21"/>
              </w:rPr>
            </w:r>
          </w:p>
        </w:tc>
      </w:tr>
      <w:tr>
        <w:trPr>
          <w:trHeight w:val="273" w:hRule="exact"/>
        </w:trPr>
        <w:tc>
          <w:tcPr>
            <w:tcW w:w="542" w:type="dxa"/>
            <w:vMerge/>
            <w:tcBorders>
              <w:left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28" w:lineRule="exact"/>
              <w:ind w:left="212" w:right="0"/>
              <w:jc w:val="left"/>
              <w:rPr>
                <w:rFonts w:ascii="宋体" w:hAnsi="宋体" w:cs="宋体" w:eastAsia="宋体" w:hint="default"/>
                <w:sz w:val="21"/>
                <w:szCs w:val="21"/>
              </w:rPr>
            </w:pPr>
            <w:r>
              <w:rPr>
                <w:rFonts w:ascii="宋体" w:hAnsi="宋体" w:cs="宋体" w:eastAsia="宋体" w:hint="default"/>
                <w:sz w:val="21"/>
                <w:szCs w:val="21"/>
              </w:rPr>
              <w:t>尚未支付的广告费</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69" w:right="0"/>
              <w:jc w:val="left"/>
              <w:rPr>
                <w:rFonts w:ascii="Arial" w:hAnsi="Arial" w:cs="Arial" w:eastAsia="Arial" w:hint="default"/>
                <w:sz w:val="21"/>
                <w:szCs w:val="21"/>
              </w:rPr>
            </w:pPr>
            <w:r>
              <w:rPr>
                <w:rFonts w:ascii="Arial"/>
                <w:sz w:val="21"/>
              </w:rPr>
              <w:t>14,471</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21"/>
                <w:szCs w:val="21"/>
              </w:rPr>
            </w:pPr>
            <w:r>
              <w:rPr>
                <w:rFonts w:ascii="Arial"/>
                <w:spacing w:val="-1"/>
                <w:sz w:val="21"/>
              </w:rPr>
              <w:t>59,274</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84" w:right="0"/>
              <w:jc w:val="left"/>
              <w:rPr>
                <w:rFonts w:ascii="Arial" w:hAnsi="Arial" w:cs="Arial" w:eastAsia="Arial" w:hint="default"/>
                <w:sz w:val="21"/>
                <w:szCs w:val="21"/>
              </w:rPr>
            </w:pPr>
            <w:r>
              <w:rPr>
                <w:rFonts w:ascii="Arial"/>
                <w:sz w:val="21"/>
              </w:rPr>
              <w:t>8,670</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21"/>
                <w:szCs w:val="21"/>
              </w:rPr>
            </w:pPr>
            <w:r>
              <w:rPr>
                <w:rFonts w:ascii="Arial"/>
                <w:spacing w:val="-1"/>
                <w:sz w:val="21"/>
              </w:rPr>
              <w:t>27,768</w:t>
            </w:r>
            <w:r>
              <w:rPr>
                <w:rFonts w:ascii="Arial"/>
                <w:sz w:val="21"/>
              </w:rPr>
            </w:r>
          </w:p>
        </w:tc>
      </w:tr>
      <w:tr>
        <w:trPr>
          <w:trHeight w:val="293" w:hRule="exact"/>
        </w:trPr>
        <w:tc>
          <w:tcPr>
            <w:tcW w:w="542" w:type="dxa"/>
            <w:vMerge/>
            <w:tcBorders>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28" w:lineRule="exact"/>
              <w:ind w:left="21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52" w:type="dxa"/>
            <w:tcBorders>
              <w:top w:val="nil" w:sz="6" w:space="0" w:color="auto"/>
              <w:left w:val="nil" w:sz="6" w:space="0" w:color="auto"/>
              <w:bottom w:val="nil" w:sz="6" w:space="0" w:color="auto"/>
              <w:right w:val="nil" w:sz="6" w:space="0" w:color="auto"/>
            </w:tcBorders>
          </w:tcPr>
          <w:p>
            <w:pPr>
              <w:pStyle w:val="TableParagraph"/>
              <w:tabs>
                <w:tab w:pos="1085" w:val="left" w:leader="none"/>
                <w:tab w:pos="1709" w:val="left" w:leader="none"/>
              </w:tabs>
              <w:spacing w:line="240" w:lineRule="auto" w:before="18"/>
              <w:ind w:left="4" w:right="0"/>
              <w:jc w:val="left"/>
              <w:rPr>
                <w:rFonts w:ascii="Arial" w:hAnsi="Arial" w:cs="Arial" w:eastAsia="Arial" w:hint="default"/>
                <w:sz w:val="21"/>
                <w:szCs w:val="21"/>
              </w:rPr>
            </w:pPr>
            <w:r>
              <w:rPr>
                <w:rFonts w:ascii="Arial"/>
                <w:sz w:val="21"/>
              </w:rPr>
            </w:r>
            <w:r>
              <w:rPr>
                <w:rFonts w:ascii="Arial"/>
                <w:sz w:val="21"/>
                <w:u w:val="single" w:color="000000"/>
              </w:rPr>
              <w:t> </w:t>
              <w:tab/>
              <w:t>6,315</w:t>
              <w:tab/>
            </w:r>
            <w:r>
              <w:rPr>
                <w:rFonts w:ascii="Arial"/>
                <w:sz w:val="21"/>
              </w:rPr>
            </w:r>
          </w:p>
        </w:tc>
        <w:tc>
          <w:tcPr>
            <w:tcW w:w="2123" w:type="dxa"/>
            <w:tcBorders>
              <w:top w:val="nil" w:sz="6" w:space="0" w:color="auto"/>
              <w:left w:val="nil" w:sz="6" w:space="0" w:color="auto"/>
              <w:bottom w:val="nil" w:sz="6" w:space="0" w:color="auto"/>
              <w:right w:val="nil" w:sz="6" w:space="0" w:color="auto"/>
            </w:tcBorders>
          </w:tcPr>
          <w:p>
            <w:pPr>
              <w:pStyle w:val="TableParagraph"/>
              <w:tabs>
                <w:tab w:pos="1097" w:val="left" w:leader="none"/>
                <w:tab w:pos="1839" w:val="left" w:leader="none"/>
              </w:tabs>
              <w:spacing w:line="240" w:lineRule="auto" w:before="18"/>
              <w:ind w:right="140"/>
              <w:jc w:val="right"/>
              <w:rPr>
                <w:rFonts w:ascii="Arial" w:hAnsi="Arial" w:cs="Arial" w:eastAsia="Arial" w:hint="default"/>
                <w:sz w:val="21"/>
                <w:szCs w:val="21"/>
              </w:rPr>
            </w:pPr>
            <w:r>
              <w:rPr>
                <w:rFonts w:ascii="Arial"/>
                <w:sz w:val="21"/>
              </w:rPr>
            </w:r>
            <w:r>
              <w:rPr>
                <w:rFonts w:ascii="Arial"/>
                <w:sz w:val="21"/>
                <w:u w:val="single" w:color="000000"/>
              </w:rPr>
              <w:t> </w:t>
              <w:tab/>
            </w:r>
            <w:r>
              <w:rPr>
                <w:rFonts w:ascii="Arial"/>
                <w:spacing w:val="-1"/>
                <w:sz w:val="21"/>
                <w:u w:val="single" w:color="000000"/>
              </w:rPr>
              <w:t>25,579</w:t>
              <w:tab/>
            </w:r>
            <w:r>
              <w:rPr>
                <w:rFonts w:ascii="Arial"/>
                <w:spacing w:val="-1"/>
                <w:sz w:val="21"/>
              </w:rPr>
            </w:r>
          </w:p>
        </w:tc>
        <w:tc>
          <w:tcPr>
            <w:tcW w:w="1646" w:type="dxa"/>
            <w:tcBorders>
              <w:top w:val="nil" w:sz="6" w:space="0" w:color="auto"/>
              <w:left w:val="nil" w:sz="6" w:space="0" w:color="auto"/>
              <w:bottom w:val="nil" w:sz="6" w:space="0" w:color="auto"/>
              <w:right w:val="nil" w:sz="6" w:space="0" w:color="auto"/>
            </w:tcBorders>
          </w:tcPr>
          <w:p>
            <w:pPr>
              <w:pStyle w:val="TableParagraph"/>
              <w:tabs>
                <w:tab w:pos="742" w:val="left" w:leader="none"/>
                <w:tab w:pos="1367" w:val="left" w:leader="none"/>
              </w:tabs>
              <w:spacing w:line="240" w:lineRule="auto" w:before="18"/>
              <w:ind w:right="134"/>
              <w:jc w:val="right"/>
              <w:rPr>
                <w:rFonts w:ascii="Arial" w:hAnsi="Arial" w:cs="Arial" w:eastAsia="Arial" w:hint="default"/>
                <w:sz w:val="21"/>
                <w:szCs w:val="21"/>
              </w:rPr>
            </w:pPr>
            <w:r>
              <w:rPr>
                <w:rFonts w:ascii="Arial"/>
                <w:sz w:val="21"/>
              </w:rPr>
            </w:r>
            <w:r>
              <w:rPr>
                <w:rFonts w:ascii="Arial"/>
                <w:sz w:val="21"/>
                <w:u w:val="single" w:color="000000"/>
              </w:rPr>
              <w:t> </w:t>
              <w:tab/>
            </w:r>
            <w:r>
              <w:rPr>
                <w:rFonts w:ascii="Arial"/>
                <w:spacing w:val="-1"/>
                <w:sz w:val="21"/>
                <w:u w:val="single" w:color="000000"/>
              </w:rPr>
              <w:t>2,488</w:t>
              <w:tab/>
            </w:r>
            <w:r>
              <w:rPr>
                <w:rFonts w:ascii="Arial"/>
                <w:spacing w:val="-1"/>
                <w:sz w:val="21"/>
              </w:rPr>
            </w:r>
          </w:p>
        </w:tc>
        <w:tc>
          <w:tcPr>
            <w:tcW w:w="1959" w:type="dxa"/>
            <w:tcBorders>
              <w:top w:val="nil" w:sz="6" w:space="0" w:color="auto"/>
              <w:left w:val="nil" w:sz="6" w:space="0" w:color="auto"/>
              <w:bottom w:val="nil" w:sz="6" w:space="0" w:color="auto"/>
              <w:right w:val="nil" w:sz="6" w:space="0" w:color="auto"/>
            </w:tcBorders>
          </w:tcPr>
          <w:p>
            <w:pPr>
              <w:pStyle w:val="TableParagraph"/>
              <w:tabs>
                <w:tab w:pos="1161" w:val="left" w:leader="none"/>
                <w:tab w:pos="1787" w:val="left" w:leader="none"/>
              </w:tabs>
              <w:spacing w:line="240" w:lineRule="auto" w:before="18"/>
              <w:ind w:right="33"/>
              <w:jc w:val="right"/>
              <w:rPr>
                <w:rFonts w:ascii="Arial" w:hAnsi="Arial" w:cs="Arial" w:eastAsia="Arial" w:hint="default"/>
                <w:sz w:val="21"/>
                <w:szCs w:val="21"/>
              </w:rPr>
            </w:pPr>
            <w:r>
              <w:rPr>
                <w:rFonts w:ascii="Arial"/>
                <w:sz w:val="21"/>
              </w:rPr>
            </w:r>
            <w:r>
              <w:rPr>
                <w:rFonts w:ascii="Arial"/>
                <w:sz w:val="21"/>
                <w:u w:val="single" w:color="000000"/>
              </w:rPr>
              <w:t> </w:t>
              <w:tab/>
            </w:r>
            <w:r>
              <w:rPr>
                <w:rFonts w:ascii="Arial"/>
                <w:spacing w:val="-1"/>
                <w:sz w:val="21"/>
                <w:u w:val="single" w:color="000000"/>
              </w:rPr>
              <w:t>7,540</w:t>
              <w:tab/>
            </w:r>
            <w:r>
              <w:rPr>
                <w:rFonts w:ascii="Arial"/>
                <w:spacing w:val="-1"/>
                <w:sz w:val="21"/>
              </w:rPr>
            </w:r>
          </w:p>
        </w:tc>
      </w:tr>
      <w:tr>
        <w:trPr>
          <w:trHeight w:val="418" w:hRule="exact"/>
        </w:trPr>
        <w:tc>
          <w:tcPr>
            <w:tcW w:w="542"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tabs>
                <w:tab w:pos="969" w:val="left" w:leader="none"/>
                <w:tab w:pos="1709" w:val="left" w:leader="none"/>
              </w:tabs>
              <w:spacing w:line="240" w:lineRule="auto" w:before="11"/>
              <w:ind w:left="4" w:right="0"/>
              <w:jc w:val="left"/>
              <w:rPr>
                <w:rFonts w:ascii="Arial" w:hAnsi="Arial" w:cs="Arial" w:eastAsia="Arial" w:hint="default"/>
                <w:sz w:val="21"/>
                <w:szCs w:val="21"/>
              </w:rPr>
            </w:pPr>
            <w:r>
              <w:rPr>
                <w:rFonts w:ascii="Arial"/>
                <w:sz w:val="21"/>
              </w:rPr>
            </w:r>
            <w:r>
              <w:rPr>
                <w:rFonts w:ascii="Arial"/>
                <w:sz w:val="21"/>
                <w:u w:val="thick" w:color="000000"/>
              </w:rPr>
              <w:t> </w:t>
              <w:tab/>
              <w:t>72,578</w:t>
              <w:tab/>
            </w:r>
            <w:r>
              <w:rPr>
                <w:rFonts w:ascii="Arial"/>
                <w:sz w:val="21"/>
              </w:rPr>
            </w:r>
          </w:p>
        </w:tc>
        <w:tc>
          <w:tcPr>
            <w:tcW w:w="2123" w:type="dxa"/>
            <w:tcBorders>
              <w:top w:val="nil" w:sz="6" w:space="0" w:color="auto"/>
              <w:left w:val="nil" w:sz="6" w:space="0" w:color="auto"/>
              <w:bottom w:val="nil" w:sz="6" w:space="0" w:color="auto"/>
              <w:right w:val="nil" w:sz="6" w:space="0" w:color="auto"/>
            </w:tcBorders>
          </w:tcPr>
          <w:p>
            <w:pPr>
              <w:pStyle w:val="TableParagraph"/>
              <w:tabs>
                <w:tab w:pos="996" w:val="left" w:leader="none"/>
                <w:tab w:pos="1839" w:val="left" w:leader="none"/>
              </w:tabs>
              <w:spacing w:line="240" w:lineRule="auto" w:before="11"/>
              <w:ind w:right="140"/>
              <w:jc w:val="right"/>
              <w:rPr>
                <w:rFonts w:ascii="Arial" w:hAnsi="Arial" w:cs="Arial" w:eastAsia="Arial" w:hint="default"/>
                <w:sz w:val="21"/>
                <w:szCs w:val="21"/>
              </w:rPr>
            </w:pPr>
            <w:r>
              <w:rPr>
                <w:rFonts w:ascii="Arial"/>
                <w:sz w:val="21"/>
              </w:rPr>
            </w:r>
            <w:r>
              <w:rPr>
                <w:rFonts w:ascii="Arial"/>
                <w:sz w:val="21"/>
                <w:u w:val="thick" w:color="000000"/>
              </w:rPr>
              <w:t> </w:t>
              <w:tab/>
            </w:r>
            <w:r>
              <w:rPr>
                <w:rFonts w:ascii="Arial"/>
                <w:spacing w:val="-3"/>
                <w:sz w:val="21"/>
                <w:u w:val="thick" w:color="000000"/>
              </w:rPr>
              <w:t>298,711</w:t>
              <w:tab/>
            </w:r>
            <w:r>
              <w:rPr>
                <w:rFonts w:ascii="Arial"/>
                <w:spacing w:val="-3"/>
                <w:sz w:val="21"/>
              </w:rPr>
            </w:r>
          </w:p>
        </w:tc>
        <w:tc>
          <w:tcPr>
            <w:tcW w:w="1646" w:type="dxa"/>
            <w:tcBorders>
              <w:top w:val="nil" w:sz="6" w:space="0" w:color="auto"/>
              <w:left w:val="nil" w:sz="6" w:space="0" w:color="auto"/>
              <w:bottom w:val="nil" w:sz="6" w:space="0" w:color="auto"/>
              <w:right w:val="nil" w:sz="6" w:space="0" w:color="auto"/>
            </w:tcBorders>
          </w:tcPr>
          <w:p>
            <w:pPr>
              <w:pStyle w:val="TableParagraph"/>
              <w:tabs>
                <w:tab w:pos="625" w:val="left" w:leader="none"/>
                <w:tab w:pos="1367" w:val="left" w:leader="none"/>
              </w:tabs>
              <w:spacing w:line="240" w:lineRule="auto" w:before="11"/>
              <w:ind w:right="134"/>
              <w:jc w:val="right"/>
              <w:rPr>
                <w:rFonts w:ascii="Arial" w:hAnsi="Arial" w:cs="Arial" w:eastAsia="Arial" w:hint="default"/>
                <w:sz w:val="21"/>
                <w:szCs w:val="21"/>
              </w:rPr>
            </w:pPr>
            <w:r>
              <w:rPr>
                <w:rFonts w:ascii="Arial"/>
                <w:sz w:val="21"/>
              </w:rPr>
            </w:r>
            <w:r>
              <w:rPr>
                <w:rFonts w:ascii="Arial"/>
                <w:sz w:val="21"/>
                <w:u w:val="thick" w:color="000000"/>
              </w:rPr>
              <w:t> </w:t>
              <w:tab/>
            </w:r>
            <w:r>
              <w:rPr>
                <w:rFonts w:ascii="Arial"/>
                <w:spacing w:val="-1"/>
                <w:sz w:val="21"/>
                <w:u w:val="thick" w:color="000000"/>
              </w:rPr>
              <w:t>67,512</w:t>
              <w:tab/>
            </w:r>
            <w:r>
              <w:rPr>
                <w:rFonts w:ascii="Arial"/>
                <w:spacing w:val="-1"/>
                <w:sz w:val="21"/>
              </w:rPr>
            </w:r>
          </w:p>
        </w:tc>
        <w:tc>
          <w:tcPr>
            <w:tcW w:w="1959" w:type="dxa"/>
            <w:tcBorders>
              <w:top w:val="nil" w:sz="6" w:space="0" w:color="auto"/>
              <w:left w:val="nil" w:sz="6" w:space="0" w:color="auto"/>
              <w:bottom w:val="nil" w:sz="6" w:space="0" w:color="auto"/>
              <w:right w:val="nil" w:sz="6" w:space="0" w:color="auto"/>
            </w:tcBorders>
          </w:tcPr>
          <w:p>
            <w:pPr>
              <w:pStyle w:val="TableParagraph"/>
              <w:tabs>
                <w:tab w:pos="928" w:val="left" w:leader="none"/>
                <w:tab w:pos="1787" w:val="left" w:leader="none"/>
              </w:tabs>
              <w:spacing w:line="240" w:lineRule="auto" w:before="11"/>
              <w:ind w:right="33"/>
              <w:jc w:val="right"/>
              <w:rPr>
                <w:rFonts w:ascii="Arial" w:hAnsi="Arial" w:cs="Arial" w:eastAsia="Arial" w:hint="default"/>
                <w:sz w:val="21"/>
                <w:szCs w:val="21"/>
              </w:rPr>
            </w:pPr>
            <w:r>
              <w:rPr>
                <w:rFonts w:ascii="Arial"/>
                <w:sz w:val="21"/>
              </w:rPr>
            </w:r>
            <w:r>
              <w:rPr>
                <w:rFonts w:ascii="Arial"/>
                <w:sz w:val="21"/>
                <w:u w:val="thick" w:color="000000"/>
              </w:rPr>
              <w:t> </w:t>
              <w:tab/>
            </w:r>
            <w:r>
              <w:rPr>
                <w:rFonts w:ascii="Arial"/>
                <w:spacing w:val="-1"/>
                <w:sz w:val="21"/>
                <w:u w:val="thick" w:color="000000"/>
              </w:rPr>
              <w:t>220,434</w:t>
              <w:tab/>
            </w:r>
            <w:r>
              <w:rPr>
                <w:rFonts w:ascii="Arial"/>
                <w:spacing w:val="-1"/>
                <w:sz w:val="21"/>
              </w:rPr>
            </w:r>
          </w:p>
        </w:tc>
      </w:tr>
      <w:tr>
        <w:trPr>
          <w:trHeight w:val="448" w:hRule="exact"/>
        </w:trPr>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Arial" w:hAnsi="Arial" w:cs="Arial" w:eastAsia="Arial" w:hint="default"/>
                <w:sz w:val="24"/>
                <w:szCs w:val="24"/>
              </w:rPr>
            </w:pPr>
            <w:r>
              <w:rPr>
                <w:rFonts w:ascii="Arial"/>
                <w:sz w:val="24"/>
              </w:rPr>
              <w:t>(b)</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2"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852"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bl>
    <w:p>
      <w:pPr>
        <w:pStyle w:val="BodyText"/>
        <w:tabs>
          <w:tab w:pos="7347" w:val="left" w:leader="none"/>
        </w:tabs>
        <w:spacing w:line="297" w:lineRule="exact"/>
        <w:ind w:left="3436" w:right="0"/>
        <w:jc w:val="left"/>
      </w:pP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297" w:lineRule="exact"/>
        <w:jc w:val="left"/>
        <w:sectPr>
          <w:type w:val="continuous"/>
          <w:pgSz w:w="11910" w:h="16840"/>
          <w:pgMar w:top="1600" w:bottom="280" w:left="980" w:right="680"/>
        </w:sectPr>
      </w:pPr>
    </w:p>
    <w:p>
      <w:pPr>
        <w:spacing w:line="272" w:lineRule="exact" w:before="13"/>
        <w:ind w:left="3208" w:right="-20" w:hanging="316"/>
        <w:jc w:val="left"/>
        <w:rPr>
          <w:rFonts w:ascii="宋体" w:hAnsi="宋体" w:cs="宋体" w:eastAsia="宋体" w:hint="default"/>
          <w:sz w:val="21"/>
          <w:szCs w:val="21"/>
        </w:rPr>
      </w:pPr>
      <w:r>
        <w:rPr>
          <w:rFonts w:ascii="宋体" w:hAnsi="宋体" w:cs="宋体" w:eastAsia="宋体" w:hint="default"/>
          <w:sz w:val="21"/>
          <w:szCs w:val="21"/>
        </w:rPr>
        <w:t>递延所得税 负债</w:t>
      </w:r>
    </w:p>
    <w:p>
      <w:pPr>
        <w:spacing w:line="272" w:lineRule="exact" w:before="13"/>
        <w:ind w:left="965" w:right="-20" w:firstLine="210"/>
        <w:jc w:val="left"/>
        <w:rPr>
          <w:rFonts w:ascii="宋体" w:hAnsi="宋体" w:cs="宋体" w:eastAsia="宋体" w:hint="default"/>
          <w:sz w:val="21"/>
          <w:szCs w:val="21"/>
        </w:rPr>
      </w:pPr>
      <w:r>
        <w:rPr/>
        <w:br w:type="column"/>
      </w:r>
      <w:r>
        <w:rPr>
          <w:rFonts w:ascii="宋体" w:hAnsi="宋体" w:cs="宋体" w:eastAsia="宋体" w:hint="default"/>
          <w:sz w:val="21"/>
          <w:szCs w:val="21"/>
        </w:rPr>
        <w:t>应纳税 暂时性差异</w:t>
      </w:r>
    </w:p>
    <w:p>
      <w:pPr>
        <w:spacing w:line="272" w:lineRule="exact" w:before="13"/>
        <w:ind w:left="1113" w:right="-20" w:hanging="316"/>
        <w:jc w:val="left"/>
        <w:rPr>
          <w:rFonts w:ascii="宋体" w:hAnsi="宋体" w:cs="宋体" w:eastAsia="宋体" w:hint="default"/>
          <w:sz w:val="21"/>
          <w:szCs w:val="21"/>
        </w:rPr>
      </w:pPr>
      <w:r>
        <w:rPr/>
        <w:br w:type="column"/>
      </w:r>
      <w:r>
        <w:rPr>
          <w:rFonts w:ascii="宋体" w:hAnsi="宋体" w:cs="宋体" w:eastAsia="宋体" w:hint="default"/>
          <w:sz w:val="21"/>
          <w:szCs w:val="21"/>
        </w:rPr>
        <w:t>递延所得税 负债</w:t>
      </w:r>
    </w:p>
    <w:p>
      <w:pPr>
        <w:spacing w:line="272" w:lineRule="exact" w:before="13"/>
        <w:ind w:left="760" w:right="488" w:firstLine="210"/>
        <w:jc w:val="left"/>
        <w:rPr>
          <w:rFonts w:ascii="宋体" w:hAnsi="宋体" w:cs="宋体" w:eastAsia="宋体" w:hint="default"/>
          <w:sz w:val="21"/>
          <w:szCs w:val="21"/>
        </w:rPr>
      </w:pPr>
      <w:r>
        <w:rPr/>
        <w:br w:type="column"/>
      </w:r>
      <w:r>
        <w:rPr>
          <w:rFonts w:ascii="宋体" w:hAnsi="宋体" w:cs="宋体" w:eastAsia="宋体" w:hint="default"/>
          <w:sz w:val="21"/>
          <w:szCs w:val="21"/>
        </w:rPr>
        <w:t>应纳税 暂时性差异</w:t>
      </w:r>
    </w:p>
    <w:p>
      <w:pPr>
        <w:spacing w:after="0" w:line="272" w:lineRule="exact"/>
        <w:jc w:val="left"/>
        <w:rPr>
          <w:rFonts w:ascii="宋体" w:hAnsi="宋体" w:cs="宋体" w:eastAsia="宋体" w:hint="default"/>
          <w:sz w:val="21"/>
          <w:szCs w:val="21"/>
        </w:rPr>
        <w:sectPr>
          <w:type w:val="continuous"/>
          <w:pgSz w:w="11910" w:h="16840"/>
          <w:pgMar w:top="1600" w:bottom="280" w:left="980" w:right="680"/>
          <w:cols w:num="4" w:equalWidth="0">
            <w:col w:w="3943" w:space="40"/>
            <w:col w:w="2016" w:space="40"/>
            <w:col w:w="1848" w:space="40"/>
            <w:col w:w="2323"/>
          </w:cols>
        </w:sectPr>
      </w:pPr>
    </w:p>
    <w:p>
      <w:pPr>
        <w:spacing w:line="264" w:lineRule="exact" w:before="0"/>
        <w:ind w:left="5740" w:right="0" w:firstLine="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p>
      <w:pPr>
        <w:spacing w:line="240" w:lineRule="auto" w:before="9"/>
        <w:rPr>
          <w:rFonts w:ascii="Arial" w:hAnsi="Arial" w:cs="Arial" w:eastAsia="Arial" w:hint="default"/>
          <w:sz w:val="22"/>
          <w:szCs w:val="22"/>
        </w:rPr>
      </w:pPr>
    </w:p>
    <w:p>
      <w:pPr>
        <w:tabs>
          <w:tab w:pos="3566" w:val="left" w:leader="none"/>
          <w:tab w:pos="5687" w:val="left" w:leader="none"/>
          <w:tab w:pos="7866" w:val="left" w:leader="none"/>
          <w:tab w:pos="9927" w:val="left" w:leader="none"/>
        </w:tabs>
        <w:spacing w:before="0"/>
        <w:ind w:left="868" w:right="0" w:firstLine="0"/>
        <w:jc w:val="left"/>
        <w:rPr>
          <w:rFonts w:ascii="Arial" w:hAnsi="Arial" w:cs="Arial" w:eastAsia="Arial" w:hint="default"/>
          <w:sz w:val="21"/>
          <w:szCs w:val="21"/>
        </w:rPr>
      </w:pPr>
      <w:r>
        <w:rPr>
          <w:rFonts w:ascii="宋体" w:hAnsi="宋体" w:cs="宋体" w:eastAsia="宋体" w:hint="default"/>
          <w:sz w:val="21"/>
          <w:szCs w:val="21"/>
        </w:rPr>
        <w:t>开发支出</w:t>
        <w:tab/>
      </w:r>
      <w:r>
        <w:rPr>
          <w:rFonts w:ascii="Arial" w:hAnsi="Arial" w:cs="Arial" w:eastAsia="Arial" w:hint="default"/>
          <w:spacing w:val="-1"/>
          <w:position w:val="1"/>
          <w:sz w:val="21"/>
          <w:szCs w:val="21"/>
        </w:rPr>
        <w:t>2,330</w:t>
        <w:tab/>
        <w:t>9,319</w:t>
        <w:tab/>
      </w:r>
      <w:r>
        <w:rPr>
          <w:rFonts w:ascii="Arial" w:hAnsi="Arial" w:cs="Arial" w:eastAsia="Arial" w:hint="default"/>
          <w:position w:val="1"/>
          <w:sz w:val="21"/>
          <w:szCs w:val="21"/>
        </w:rPr>
        <w:t>-</w:t>
        <w:tab/>
        <w:t>-</w:t>
      </w:r>
      <w:r>
        <w:rPr>
          <w:rFonts w:ascii="Arial" w:hAnsi="Arial" w:cs="Arial" w:eastAsia="Arial" w:hint="default"/>
          <w:sz w:val="21"/>
          <w:szCs w:val="21"/>
        </w:rPr>
      </w:r>
    </w:p>
    <w:p>
      <w:pPr>
        <w:tabs>
          <w:tab w:pos="7867" w:val="left" w:leader="none"/>
          <w:tab w:pos="9927" w:val="left" w:leader="none"/>
        </w:tabs>
        <w:spacing w:line="274" w:lineRule="exact" w:before="0"/>
        <w:ind w:left="868" w:right="0" w:firstLine="0"/>
        <w:jc w:val="left"/>
        <w:rPr>
          <w:rFonts w:ascii="Arial" w:hAnsi="Arial" w:cs="Arial" w:eastAsia="Arial" w:hint="default"/>
          <w:sz w:val="21"/>
          <w:szCs w:val="21"/>
        </w:rPr>
      </w:pPr>
      <w:r>
        <w:rPr>
          <w:rFonts w:ascii="宋体" w:hAnsi="宋体" w:cs="宋体" w:eastAsia="宋体" w:hint="default"/>
          <w:spacing w:val="10"/>
          <w:sz w:val="21"/>
          <w:szCs w:val="21"/>
        </w:rPr>
        <w:t>业务合并</w:t>
      </w:r>
      <w:r>
        <w:rPr>
          <w:rFonts w:ascii="Arial" w:hAnsi="Arial" w:cs="Arial" w:eastAsia="Arial" w:hint="default"/>
          <w:spacing w:val="10"/>
          <w:sz w:val="21"/>
          <w:szCs w:val="21"/>
        </w:rPr>
        <w:t>(</w:t>
      </w:r>
      <w:r>
        <w:rPr>
          <w:rFonts w:ascii="宋体" w:hAnsi="宋体" w:cs="宋体" w:eastAsia="宋体" w:hint="default"/>
          <w:spacing w:val="10"/>
          <w:sz w:val="21"/>
          <w:szCs w:val="21"/>
        </w:rPr>
        <w:t>附注九</w:t>
      </w:r>
      <w:r>
        <w:rPr>
          <w:rFonts w:ascii="Arial" w:hAnsi="Arial" w:cs="Arial" w:eastAsia="Arial" w:hint="default"/>
          <w:spacing w:val="10"/>
          <w:sz w:val="21"/>
          <w:szCs w:val="21"/>
        </w:rPr>
        <w:t>)</w:t>
        <w:tab/>
      </w:r>
      <w:r>
        <w:rPr>
          <w:rFonts w:ascii="Arial" w:hAnsi="Arial" w:cs="Arial" w:eastAsia="Arial" w:hint="default"/>
          <w:position w:val="1"/>
          <w:sz w:val="21"/>
          <w:szCs w:val="21"/>
        </w:rPr>
        <w:t>-</w:t>
        <w:tab/>
        <w:t>-</w:t>
      </w:r>
      <w:r>
        <w:rPr>
          <w:rFonts w:ascii="Arial" w:hAnsi="Arial" w:cs="Arial" w:eastAsia="Arial" w:hint="default"/>
          <w:sz w:val="21"/>
          <w:szCs w:val="21"/>
        </w:rPr>
      </w:r>
    </w:p>
    <w:p>
      <w:pPr>
        <w:spacing w:line="267" w:lineRule="exact" w:before="0"/>
        <w:ind w:left="1033" w:right="0" w:firstLine="0"/>
        <w:jc w:val="left"/>
        <w:rPr>
          <w:rFonts w:ascii="宋体" w:hAnsi="宋体" w:cs="宋体" w:eastAsia="宋体" w:hint="default"/>
          <w:sz w:val="21"/>
          <w:szCs w:val="21"/>
        </w:rPr>
      </w:pPr>
      <w:r>
        <w:rPr>
          <w:rFonts w:ascii="宋体" w:hAnsi="宋体" w:cs="宋体" w:eastAsia="宋体" w:hint="default"/>
          <w:spacing w:val="12"/>
          <w:sz w:val="21"/>
          <w:szCs w:val="21"/>
        </w:rPr>
        <w:t>交易中产生的资</w:t>
      </w:r>
      <w:r>
        <w:rPr>
          <w:rFonts w:ascii="宋体" w:hAnsi="宋体" w:cs="宋体" w:eastAsia="宋体" w:hint="default"/>
          <w:sz w:val="21"/>
          <w:szCs w:val="21"/>
        </w:rPr>
      </w:r>
    </w:p>
    <w:p>
      <w:pPr>
        <w:spacing w:line="240" w:lineRule="auto" w:before="1"/>
        <w:rPr>
          <w:rFonts w:ascii="宋体" w:hAnsi="宋体" w:cs="宋体" w:eastAsia="宋体" w:hint="default"/>
          <w:sz w:val="3"/>
          <w:szCs w:val="3"/>
        </w:rPr>
      </w:pPr>
    </w:p>
    <w:tbl>
      <w:tblPr>
        <w:tblW w:w="0" w:type="auto"/>
        <w:jc w:val="left"/>
        <w:tblInd w:w="998" w:type="dxa"/>
        <w:tblLayout w:type="fixed"/>
        <w:tblCellMar>
          <w:top w:w="0" w:type="dxa"/>
          <w:left w:w="0" w:type="dxa"/>
          <w:bottom w:w="0" w:type="dxa"/>
          <w:right w:w="0" w:type="dxa"/>
        </w:tblCellMar>
        <w:tblLook w:val="01E0"/>
      </w:tblPr>
      <w:tblGrid>
        <w:gridCol w:w="3406"/>
        <w:gridCol w:w="2123"/>
        <w:gridCol w:w="1646"/>
        <w:gridCol w:w="1959"/>
      </w:tblGrid>
      <w:tr>
        <w:trPr>
          <w:trHeight w:val="280" w:hRule="exact"/>
        </w:trPr>
        <w:tc>
          <w:tcPr>
            <w:tcW w:w="3406" w:type="dxa"/>
            <w:tcBorders>
              <w:top w:val="nil" w:sz="6" w:space="0" w:color="auto"/>
              <w:left w:val="nil" w:sz="6" w:space="0" w:color="auto"/>
              <w:bottom w:val="nil" w:sz="6" w:space="0" w:color="auto"/>
              <w:right w:val="nil" w:sz="6" w:space="0" w:color="auto"/>
            </w:tcBorders>
          </w:tcPr>
          <w:p>
            <w:pPr>
              <w:pStyle w:val="TableParagraph"/>
              <w:tabs>
                <w:tab w:pos="2533" w:val="left" w:leader="none"/>
                <w:tab w:pos="3229" w:val="left" w:leader="none"/>
              </w:tabs>
              <w:spacing w:line="264" w:lineRule="exact"/>
              <w:ind w:right="139"/>
              <w:jc w:val="right"/>
              <w:rPr>
                <w:rFonts w:ascii="Arial" w:hAnsi="Arial" w:cs="Arial" w:eastAsia="Arial" w:hint="default"/>
                <w:sz w:val="21"/>
                <w:szCs w:val="21"/>
              </w:rPr>
            </w:pPr>
            <w:r>
              <w:rPr>
                <w:rFonts w:ascii="宋体" w:hAnsi="宋体" w:cs="宋体" w:eastAsia="宋体" w:hint="default"/>
                <w:position w:val="2"/>
                <w:sz w:val="21"/>
                <w:szCs w:val="21"/>
              </w:rPr>
              <w:t>产的暂时性差异</w:t>
            </w:r>
            <w:r>
              <w:rPr>
                <w:rFonts w:ascii="Arial" w:hAnsi="Arial" w:cs="Arial" w:eastAsia="Arial" w:hint="default"/>
                <w:sz w:val="21"/>
                <w:szCs w:val="21"/>
              </w:rPr>
            </w:r>
            <w:r>
              <w:rPr>
                <w:rFonts w:ascii="Arial" w:hAnsi="Arial" w:cs="Arial" w:eastAsia="Arial" w:hint="default"/>
                <w:sz w:val="21"/>
                <w:szCs w:val="21"/>
                <w:u w:val="single" w:color="000000"/>
              </w:rPr>
              <w:t> </w:t>
              <w:tab/>
            </w:r>
            <w:r>
              <w:rPr>
                <w:rFonts w:ascii="Arial" w:hAnsi="Arial" w:cs="Arial" w:eastAsia="Arial" w:hint="default"/>
                <w:spacing w:val="-1"/>
                <w:sz w:val="21"/>
                <w:szCs w:val="21"/>
                <w:u w:val="single" w:color="000000"/>
              </w:rPr>
              <w:t>5,283</w:t>
              <w:tab/>
            </w:r>
            <w:r>
              <w:rPr>
                <w:rFonts w:ascii="Arial" w:hAnsi="Arial" w:cs="Arial" w:eastAsia="Arial" w:hint="default"/>
                <w:spacing w:val="-1"/>
                <w:sz w:val="21"/>
                <w:szCs w:val="21"/>
              </w:rPr>
            </w:r>
          </w:p>
        </w:tc>
        <w:tc>
          <w:tcPr>
            <w:tcW w:w="2123" w:type="dxa"/>
            <w:tcBorders>
              <w:top w:val="nil" w:sz="6" w:space="0" w:color="auto"/>
              <w:left w:val="nil" w:sz="6" w:space="0" w:color="auto"/>
              <w:bottom w:val="nil" w:sz="6" w:space="0" w:color="auto"/>
              <w:right w:val="nil" w:sz="6" w:space="0" w:color="auto"/>
            </w:tcBorders>
          </w:tcPr>
          <w:p>
            <w:pPr>
              <w:pStyle w:val="TableParagraph"/>
              <w:tabs>
                <w:tab w:pos="1025" w:val="left" w:leader="none"/>
                <w:tab w:pos="1839" w:val="left" w:leader="none"/>
              </w:tabs>
              <w:spacing w:line="240" w:lineRule="auto" w:before="22"/>
              <w:ind w:right="0"/>
              <w:jc w:val="center"/>
              <w:rPr>
                <w:rFonts w:ascii="Arial" w:hAnsi="Arial" w:cs="Arial" w:eastAsia="Arial" w:hint="default"/>
                <w:sz w:val="21"/>
                <w:szCs w:val="21"/>
              </w:rPr>
            </w:pPr>
            <w:r>
              <w:rPr>
                <w:rFonts w:ascii="Arial"/>
                <w:sz w:val="21"/>
              </w:rPr>
            </w:r>
            <w:r>
              <w:rPr>
                <w:rFonts w:ascii="Arial"/>
                <w:sz w:val="21"/>
                <w:u w:val="single" w:color="000000"/>
              </w:rPr>
              <w:t> </w:t>
              <w:tab/>
              <w:t>21,133</w:t>
              <w:tab/>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tabs>
                <w:tab w:pos="1367" w:val="left" w:leader="none"/>
              </w:tabs>
              <w:spacing w:line="240" w:lineRule="auto" w:before="22"/>
              <w:ind w:right="134"/>
              <w:jc w:val="right"/>
              <w:rPr>
                <w:rFonts w:ascii="Arial" w:hAnsi="Arial" w:cs="Arial" w:eastAsia="Arial" w:hint="default"/>
                <w:sz w:val="21"/>
                <w:szCs w:val="21"/>
              </w:rPr>
            </w:pPr>
            <w:r>
              <w:rPr>
                <w:rFonts w:ascii="Arial"/>
                <w:sz w:val="21"/>
              </w:rPr>
            </w:r>
            <w:r>
              <w:rPr>
                <w:rFonts w:ascii="Arial"/>
                <w:sz w:val="21"/>
                <w:u w:val="single" w:color="000000"/>
              </w:rPr>
              <w:t> </w:t>
              <w:tab/>
            </w:r>
            <w:r>
              <w:rPr>
                <w:rFonts w:ascii="Arial"/>
                <w:sz w:val="21"/>
              </w:rPr>
            </w:r>
          </w:p>
        </w:tc>
        <w:tc>
          <w:tcPr>
            <w:tcW w:w="1959" w:type="dxa"/>
            <w:tcBorders>
              <w:top w:val="nil" w:sz="6" w:space="0" w:color="auto"/>
              <w:left w:val="nil" w:sz="6" w:space="0" w:color="auto"/>
              <w:bottom w:val="nil" w:sz="6" w:space="0" w:color="auto"/>
              <w:right w:val="nil" w:sz="6" w:space="0" w:color="auto"/>
            </w:tcBorders>
          </w:tcPr>
          <w:p>
            <w:pPr>
              <w:pStyle w:val="TableParagraph"/>
              <w:tabs>
                <w:tab w:pos="1787" w:val="left" w:leader="none"/>
              </w:tabs>
              <w:spacing w:line="240" w:lineRule="auto" w:before="22"/>
              <w:ind w:right="33"/>
              <w:jc w:val="right"/>
              <w:rPr>
                <w:rFonts w:ascii="Arial" w:hAnsi="Arial" w:cs="Arial" w:eastAsia="Arial" w:hint="default"/>
                <w:sz w:val="21"/>
                <w:szCs w:val="21"/>
              </w:rPr>
            </w:pPr>
            <w:r>
              <w:rPr>
                <w:rFonts w:ascii="Arial"/>
                <w:sz w:val="21"/>
              </w:rPr>
            </w:r>
            <w:r>
              <w:rPr>
                <w:rFonts w:ascii="Arial"/>
                <w:sz w:val="21"/>
                <w:u w:val="single" w:color="000000"/>
              </w:rPr>
              <w:t> </w:t>
              <w:tab/>
            </w:r>
            <w:r>
              <w:rPr>
                <w:rFonts w:ascii="Arial"/>
                <w:sz w:val="21"/>
              </w:rPr>
            </w:r>
          </w:p>
        </w:tc>
      </w:tr>
      <w:tr>
        <w:trPr>
          <w:trHeight w:val="331" w:hRule="exact"/>
        </w:trPr>
        <w:tc>
          <w:tcPr>
            <w:tcW w:w="3406" w:type="dxa"/>
            <w:tcBorders>
              <w:top w:val="nil" w:sz="6" w:space="0" w:color="auto"/>
              <w:left w:val="nil" w:sz="6" w:space="0" w:color="auto"/>
              <w:bottom w:val="nil" w:sz="6" w:space="0" w:color="auto"/>
              <w:right w:val="nil" w:sz="6" w:space="0" w:color="auto"/>
            </w:tcBorders>
          </w:tcPr>
          <w:p>
            <w:pPr>
              <w:pStyle w:val="TableParagraph"/>
              <w:tabs>
                <w:tab w:pos="1009" w:val="left" w:leader="none"/>
                <w:tab w:pos="1705" w:val="left" w:leader="none"/>
              </w:tabs>
              <w:spacing w:line="236" w:lineRule="exact"/>
              <w:ind w:right="139"/>
              <w:jc w:val="right"/>
              <w:rPr>
                <w:rFonts w:ascii="Arial" w:hAnsi="Arial" w:cs="Arial" w:eastAsia="Arial" w:hint="default"/>
                <w:sz w:val="21"/>
                <w:szCs w:val="21"/>
              </w:rPr>
            </w:pPr>
            <w:r>
              <w:rPr>
                <w:rFonts w:ascii="Arial"/>
                <w:sz w:val="21"/>
              </w:rPr>
            </w:r>
            <w:r>
              <w:rPr>
                <w:rFonts w:ascii="Arial"/>
                <w:sz w:val="21"/>
                <w:u w:val="thick" w:color="000000"/>
              </w:rPr>
              <w:t> </w:t>
              <w:tab/>
            </w:r>
            <w:r>
              <w:rPr>
                <w:rFonts w:ascii="Arial"/>
                <w:spacing w:val="-1"/>
                <w:sz w:val="21"/>
                <w:u w:val="thick" w:color="000000"/>
              </w:rPr>
              <w:t>7,613</w:t>
              <w:tab/>
            </w:r>
            <w:r>
              <w:rPr>
                <w:rFonts w:ascii="Arial"/>
                <w:spacing w:val="-1"/>
                <w:sz w:val="21"/>
              </w:rPr>
            </w:r>
          </w:p>
        </w:tc>
        <w:tc>
          <w:tcPr>
            <w:tcW w:w="2123" w:type="dxa"/>
            <w:tcBorders>
              <w:top w:val="nil" w:sz="6" w:space="0" w:color="auto"/>
              <w:left w:val="nil" w:sz="6" w:space="0" w:color="auto"/>
              <w:bottom w:val="nil" w:sz="6" w:space="0" w:color="auto"/>
              <w:right w:val="nil" w:sz="6" w:space="0" w:color="auto"/>
            </w:tcBorders>
          </w:tcPr>
          <w:p>
            <w:pPr>
              <w:pStyle w:val="TableParagraph"/>
              <w:tabs>
                <w:tab w:pos="1025" w:val="left" w:leader="none"/>
                <w:tab w:pos="1839" w:val="left" w:leader="none"/>
              </w:tabs>
              <w:spacing w:line="236" w:lineRule="exact"/>
              <w:ind w:right="0"/>
              <w:jc w:val="center"/>
              <w:rPr>
                <w:rFonts w:ascii="Arial" w:hAnsi="Arial" w:cs="Arial" w:eastAsia="Arial" w:hint="default"/>
                <w:sz w:val="21"/>
                <w:szCs w:val="21"/>
              </w:rPr>
            </w:pPr>
            <w:r>
              <w:rPr>
                <w:rFonts w:ascii="Arial"/>
                <w:sz w:val="21"/>
              </w:rPr>
            </w:r>
            <w:r>
              <w:rPr>
                <w:rFonts w:ascii="Arial"/>
                <w:sz w:val="21"/>
                <w:u w:val="thick" w:color="000000"/>
              </w:rPr>
              <w:t> </w:t>
              <w:tab/>
              <w:t>30,452</w:t>
              <w:tab/>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tabs>
                <w:tab w:pos="1196" w:val="left" w:leader="none"/>
                <w:tab w:pos="1367" w:val="left" w:leader="none"/>
              </w:tabs>
              <w:spacing w:line="236" w:lineRule="exact"/>
              <w:ind w:right="134"/>
              <w:jc w:val="right"/>
              <w:rPr>
                <w:rFonts w:ascii="Arial" w:hAnsi="Arial" w:cs="Arial" w:eastAsia="Arial" w:hint="default"/>
                <w:sz w:val="21"/>
                <w:szCs w:val="21"/>
              </w:rPr>
            </w:pPr>
            <w:r>
              <w:rPr>
                <w:rFonts w:ascii="Arial"/>
                <w:sz w:val="21"/>
              </w:rPr>
            </w:r>
            <w:r>
              <w:rPr>
                <w:rFonts w:ascii="Arial"/>
                <w:sz w:val="21"/>
                <w:u w:val="thick" w:color="000000"/>
              </w:rPr>
              <w:t> </w:t>
              <w:tab/>
              <w:t>-</w:t>
              <w:tab/>
            </w:r>
            <w:r>
              <w:rPr>
                <w:rFonts w:ascii="Arial"/>
                <w:sz w:val="21"/>
              </w:rPr>
            </w:r>
          </w:p>
        </w:tc>
        <w:tc>
          <w:tcPr>
            <w:tcW w:w="1959" w:type="dxa"/>
            <w:tcBorders>
              <w:top w:val="nil" w:sz="6" w:space="0" w:color="auto"/>
              <w:left w:val="nil" w:sz="6" w:space="0" w:color="auto"/>
              <w:bottom w:val="nil" w:sz="6" w:space="0" w:color="auto"/>
              <w:right w:val="nil" w:sz="6" w:space="0" w:color="auto"/>
            </w:tcBorders>
          </w:tcPr>
          <w:p>
            <w:pPr>
              <w:pStyle w:val="TableParagraph"/>
              <w:tabs>
                <w:tab w:pos="1617" w:val="left" w:leader="none"/>
              </w:tabs>
              <w:spacing w:line="236" w:lineRule="exact"/>
              <w:ind w:right="33"/>
              <w:jc w:val="right"/>
              <w:rPr>
                <w:rFonts w:ascii="Arial" w:hAnsi="Arial" w:cs="Arial" w:eastAsia="Arial" w:hint="default"/>
                <w:sz w:val="21"/>
                <w:szCs w:val="21"/>
              </w:rPr>
            </w:pPr>
            <w:r>
              <w:rPr>
                <w:rFonts w:ascii="Arial"/>
                <w:sz w:val="21"/>
              </w:rPr>
            </w:r>
            <w:r>
              <w:rPr>
                <w:rFonts w:ascii="Arial"/>
                <w:sz w:val="21"/>
                <w:u w:val="thick" w:color="000000"/>
              </w:rPr>
              <w:t> </w:t>
              <w:tab/>
              <w:t>-</w:t>
              <w:tab/>
            </w:r>
            <w:r>
              <w:rPr>
                <w:rFonts w:ascii="Arial"/>
                <w:sz w:val="21"/>
              </w:rPr>
            </w:r>
          </w:p>
        </w:tc>
      </w:tr>
    </w:tbl>
    <w:p>
      <w:pPr>
        <w:spacing w:after="0" w:line="236" w:lineRule="exact"/>
        <w:jc w:val="right"/>
        <w:rPr>
          <w:rFonts w:ascii="Arial" w:hAnsi="Arial" w:cs="Arial" w:eastAsia="Arial" w:hint="default"/>
          <w:sz w:val="21"/>
          <w:szCs w:val="21"/>
        </w:rPr>
        <w:sectPr>
          <w:type w:val="continuous"/>
          <w:pgSz w:w="11910" w:h="16840"/>
          <w:pgMar w:top="1600" w:bottom="280" w:left="98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Heading2"/>
        <w:tabs>
          <w:tab w:pos="821" w:val="left" w:leader="none"/>
        </w:tabs>
        <w:spacing w:line="240" w:lineRule="auto"/>
        <w:ind w:right="94"/>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21" w:val="left" w:leader="none"/>
        </w:tabs>
        <w:spacing w:before="0"/>
        <w:ind w:left="108" w:right="94" w:firstLine="0"/>
        <w:jc w:val="left"/>
        <w:rPr>
          <w:rFonts w:ascii="Arial" w:hAnsi="Arial" w:cs="Arial" w:eastAsia="Arial" w:hint="default"/>
          <w:sz w:val="24"/>
          <w:szCs w:val="24"/>
        </w:rPr>
      </w:pPr>
      <w:r>
        <w:rPr>
          <w:rFonts w:ascii="Arial" w:hAnsi="Arial" w:cs="Arial" w:eastAsia="Arial" w:hint="default"/>
          <w:position w:val="2"/>
          <w:sz w:val="24"/>
          <w:szCs w:val="24"/>
        </w:rPr>
        <w:t>(21)</w:t>
        <w:tab/>
      </w:r>
      <w:r>
        <w:rPr>
          <w:rFonts w:ascii="宋体" w:hAnsi="宋体" w:cs="宋体" w:eastAsia="宋体" w:hint="default"/>
          <w:b/>
          <w:bCs/>
          <w:sz w:val="24"/>
          <w:szCs w:val="24"/>
        </w:rPr>
        <w:t>递延所得税资产和负债</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0"/>
        <w:rPr>
          <w:rFonts w:ascii="Arial" w:hAnsi="Arial" w:cs="Arial" w:eastAsia="Arial" w:hint="default"/>
          <w:b/>
          <w:bCs/>
          <w:sz w:val="25"/>
          <w:szCs w:val="25"/>
        </w:rPr>
      </w:pPr>
    </w:p>
    <w:p>
      <w:pPr>
        <w:pStyle w:val="BodyText"/>
        <w:spacing w:line="312" w:lineRule="exact"/>
        <w:ind w:left="830" w:right="222"/>
        <w:jc w:val="both"/>
      </w:pPr>
      <w:r>
        <w:rPr/>
        <w:t>如本财务报表附注六所述，本公司及部分子公司适用的企业所得税率自 </w:t>
      </w:r>
      <w:r>
        <w:rPr>
          <w:rFonts w:ascii="Arial" w:hAnsi="Arial" w:cs="Arial" w:eastAsia="Arial" w:hint="default"/>
        </w:rPr>
        <w:t>2008 </w:t>
      </w:r>
      <w:r>
        <w:rPr/>
        <w:t>年 </w:t>
      </w:r>
      <w:r>
        <w:rPr>
          <w:rFonts w:ascii="Arial" w:hAnsi="Arial" w:cs="Arial" w:eastAsia="Arial" w:hint="default"/>
        </w:rPr>
        <w:t>1 </w:t>
      </w:r>
      <w:r>
        <w:rPr/>
        <w:t>月</w:t>
      </w:r>
      <w:r>
        <w:rPr>
          <w:spacing w:val="-92"/>
        </w:rPr>
        <w:t> </w:t>
      </w:r>
      <w:r>
        <w:rPr>
          <w:rFonts w:ascii="Arial" w:hAnsi="Arial" w:cs="Arial" w:eastAsia="Arial" w:hint="default"/>
        </w:rPr>
        <w:t>1 </w:t>
      </w:r>
      <w:r>
        <w:rPr/>
        <w:t>日从原适用税率调整为</w:t>
      </w:r>
      <w:r>
        <w:rPr>
          <w:spacing w:val="-58"/>
        </w:rPr>
        <w:t> </w:t>
      </w:r>
      <w:r>
        <w:rPr>
          <w:rFonts w:ascii="Arial" w:hAnsi="Arial" w:cs="Arial" w:eastAsia="Arial" w:hint="default"/>
          <w:spacing w:val="-2"/>
        </w:rPr>
        <w:t>25%</w:t>
      </w:r>
      <w:r>
        <w:rPr>
          <w:spacing w:val="-2"/>
        </w:rPr>
        <w:t>。由于计算递延所得税资产和递延所得税负债所使用的税率</w:t>
      </w:r>
      <w:r>
        <w:rPr/>
        <w:t> 为预期收回该资产或清偿该负债期间按照税法规定适用的税率，因此，对于新所得税法 颁布之日已确认并预计在</w:t>
      </w:r>
      <w:r>
        <w:rPr>
          <w:spacing w:val="-53"/>
        </w:rPr>
        <w:t> </w:t>
      </w:r>
      <w:r>
        <w:rPr>
          <w:rFonts w:ascii="Arial" w:hAnsi="Arial" w:cs="Arial" w:eastAsia="Arial" w:hint="default"/>
        </w:rPr>
        <w:t>2008 </w:t>
      </w:r>
      <w:r>
        <w:rPr/>
        <w:t>年</w:t>
      </w:r>
      <w:r>
        <w:rPr>
          <w:spacing w:val="-52"/>
        </w:rPr>
        <w:t> </w:t>
      </w:r>
      <w:r>
        <w:rPr>
          <w:rFonts w:ascii="Arial" w:hAnsi="Arial" w:cs="Arial" w:eastAsia="Arial" w:hint="default"/>
        </w:rPr>
        <w:t>1 </w:t>
      </w:r>
      <w:r>
        <w:rPr/>
        <w:t>月</w:t>
      </w:r>
      <w:r>
        <w:rPr>
          <w:spacing w:val="-52"/>
        </w:rPr>
        <w:t> </w:t>
      </w:r>
      <w:r>
        <w:rPr>
          <w:rFonts w:ascii="Arial" w:hAnsi="Arial" w:cs="Arial" w:eastAsia="Arial" w:hint="default"/>
        </w:rPr>
        <w:t>1 </w:t>
      </w:r>
      <w:r>
        <w:rPr/>
        <w:t>日之后转回的递延所得税资产或递延所得税负 </w:t>
      </w:r>
      <w:r>
        <w:rPr>
          <w:spacing w:val="-4"/>
        </w:rPr>
        <w:t>债，本公司按照</w:t>
      </w:r>
      <w:r>
        <w:rPr>
          <w:spacing w:val="-70"/>
        </w:rPr>
        <w:t> </w:t>
      </w:r>
      <w:r>
        <w:rPr>
          <w:rFonts w:ascii="Arial" w:hAnsi="Arial" w:cs="Arial" w:eastAsia="Arial" w:hint="default"/>
        </w:rPr>
        <w:t>25%</w:t>
      </w:r>
      <w:r>
        <w:rPr/>
        <w:t>的适用税率对其账面余额进行了调整，约人民币</w:t>
      </w:r>
      <w:r>
        <w:rPr>
          <w:spacing w:val="-70"/>
        </w:rPr>
        <w:t> </w:t>
      </w:r>
      <w:r>
        <w:rPr>
          <w:rFonts w:ascii="Arial" w:hAnsi="Arial" w:cs="Arial" w:eastAsia="Arial" w:hint="default"/>
        </w:rPr>
        <w:t>2,079</w:t>
      </w:r>
      <w:r>
        <w:rPr>
          <w:rFonts w:ascii="Arial" w:hAnsi="Arial" w:cs="Arial" w:eastAsia="Arial" w:hint="default"/>
          <w:spacing w:val="-17"/>
        </w:rPr>
        <w:t> </w:t>
      </w:r>
      <w:r>
        <w:rPr/>
        <w:t>万元计入本 期的所得税费用</w:t>
      </w:r>
      <w:r>
        <w:rPr>
          <w:rFonts w:ascii="Arial" w:hAnsi="Arial" w:cs="Arial" w:eastAsia="Arial" w:hint="default"/>
        </w:rPr>
        <w:t>(</w:t>
      </w:r>
      <w:r>
        <w:rPr/>
        <w:t>附注八</w:t>
      </w:r>
      <w:r>
        <w:rPr>
          <w:rFonts w:ascii="Arial" w:hAnsi="Arial" w:cs="Arial" w:eastAsia="Arial" w:hint="default"/>
        </w:rPr>
        <w:t>(32))</w:t>
      </w:r>
      <w:r>
        <w:rPr/>
        <w:t>。</w:t>
      </w:r>
    </w:p>
    <w:p>
      <w:pPr>
        <w:spacing w:line="240" w:lineRule="auto" w:before="11"/>
        <w:rPr>
          <w:rFonts w:ascii="宋体" w:hAnsi="宋体" w:cs="宋体" w:eastAsia="宋体" w:hint="default"/>
          <w:sz w:val="23"/>
          <w:szCs w:val="23"/>
        </w:rPr>
      </w:pPr>
    </w:p>
    <w:p>
      <w:pPr>
        <w:pStyle w:val="BodyText"/>
        <w:spacing w:line="312" w:lineRule="exact"/>
        <w:ind w:left="830" w:right="222"/>
        <w:jc w:val="both"/>
      </w:pPr>
      <w:r>
        <w:rPr/>
        <w:t>于</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2006</w:t>
      </w:r>
      <w:r>
        <w:rPr/>
        <w:t>年</w:t>
      </w:r>
      <w:r>
        <w:rPr>
          <w:rFonts w:ascii="Arial" w:hAnsi="Arial" w:cs="Arial" w:eastAsia="Arial" w:hint="default"/>
        </w:rPr>
        <w:t>12</w:t>
      </w:r>
      <w:r>
        <w:rPr/>
        <w:t>月</w:t>
      </w:r>
      <w:r>
        <w:rPr>
          <w:rFonts w:ascii="Arial" w:hAnsi="Arial" w:cs="Arial" w:eastAsia="Arial" w:hint="default"/>
        </w:rPr>
        <w:t>31</w:t>
      </w:r>
      <w:r>
        <w:rPr/>
        <w:t>日，本集团没有重大的未确认之递延所得税资产或</w:t>
      </w:r>
      <w:r>
        <w:rPr>
          <w:spacing w:val="-99"/>
        </w:rPr>
        <w:t> </w:t>
      </w:r>
      <w:r>
        <w:rPr/>
        <w:t>负债。</w:t>
      </w:r>
    </w:p>
    <w:p>
      <w:pPr>
        <w:spacing w:line="240" w:lineRule="auto" w:before="10"/>
        <w:rPr>
          <w:rFonts w:ascii="宋体" w:hAnsi="宋体" w:cs="宋体" w:eastAsia="宋体" w:hint="default"/>
          <w:sz w:val="18"/>
          <w:szCs w:val="18"/>
        </w:rPr>
      </w:pPr>
    </w:p>
    <w:p>
      <w:pPr>
        <w:tabs>
          <w:tab w:pos="826" w:val="left" w:leader="none"/>
        </w:tabs>
        <w:spacing w:before="0"/>
        <w:ind w:left="108" w:right="94" w:firstLine="0"/>
        <w:jc w:val="left"/>
        <w:rPr>
          <w:rFonts w:ascii="宋体" w:hAnsi="宋体" w:cs="宋体" w:eastAsia="宋体" w:hint="default"/>
          <w:sz w:val="24"/>
          <w:szCs w:val="24"/>
        </w:rPr>
      </w:pPr>
      <w:r>
        <w:rPr>
          <w:rFonts w:ascii="Arial" w:hAnsi="Arial" w:cs="Arial" w:eastAsia="Arial" w:hint="default"/>
          <w:position w:val="2"/>
          <w:sz w:val="24"/>
          <w:szCs w:val="24"/>
        </w:rPr>
        <w:t>(22)</w:t>
        <w:tab/>
      </w:r>
      <w:r>
        <w:rPr>
          <w:rFonts w:ascii="宋体" w:hAnsi="宋体" w:cs="宋体" w:eastAsia="宋体" w:hint="default"/>
          <w:b/>
          <w:bCs/>
          <w:sz w:val="24"/>
          <w:szCs w:val="24"/>
        </w:rPr>
        <w:t>股本</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8" w:footer="708" w:top="980" w:bottom="900" w:left="1020" w:right="700"/>
        </w:sectPr>
      </w:pPr>
    </w:p>
    <w:p>
      <w:pPr>
        <w:pStyle w:val="BodyText"/>
        <w:spacing w:line="322" w:lineRule="exact" w:before="26"/>
        <w:ind w:left="0" w:right="0"/>
        <w:jc w:val="right"/>
      </w:pPr>
      <w:r>
        <w:rPr>
          <w:rFonts w:ascii="Arial" w:hAnsi="Arial" w:cs="Arial" w:eastAsia="Arial" w:hint="default"/>
        </w:rPr>
        <w:t>2006</w:t>
      </w:r>
      <w:r>
        <w:rPr>
          <w:rFonts w:ascii="Arial" w:hAnsi="Arial" w:cs="Arial" w:eastAsia="Arial" w:hint="default"/>
          <w:spacing w:val="-10"/>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13" w:lineRule="exact" w:before="26"/>
        <w:ind w:left="673" w:right="-20"/>
        <w:jc w:val="left"/>
      </w:pPr>
      <w:r>
        <w:rPr/>
        <w:br w:type="column"/>
      </w:r>
      <w:r>
        <w:rPr/>
        <w:t>资本公积</w:t>
      </w:r>
    </w:p>
    <w:p>
      <w:pPr>
        <w:pStyle w:val="BodyText"/>
        <w:tabs>
          <w:tab w:pos="2106" w:val="left" w:leader="none"/>
        </w:tabs>
        <w:spacing w:line="313" w:lineRule="exact"/>
        <w:ind w:left="673" w:right="-20"/>
        <w:jc w:val="left"/>
      </w:pPr>
      <w:r>
        <w:rPr/>
        <w:t>转增股本</w:t>
        <w:tab/>
        <w:t>限售股解禁</w:t>
      </w:r>
    </w:p>
    <w:p>
      <w:pPr>
        <w:pStyle w:val="BodyText"/>
        <w:spacing w:line="322" w:lineRule="exact" w:before="26"/>
        <w:ind w:left="573" w:right="0"/>
        <w:jc w:val="left"/>
      </w:pPr>
      <w:r>
        <w:rPr/>
        <w:br w:type="column"/>
      </w:r>
      <w:r>
        <w:rPr>
          <w:rFonts w:ascii="Arial" w:hAnsi="Arial" w:cs="Arial" w:eastAsia="Arial" w:hint="default"/>
        </w:rPr>
        <w:t>2007</w:t>
      </w:r>
      <w:r>
        <w:rPr>
          <w:rFonts w:ascii="Arial" w:hAnsi="Arial" w:cs="Arial" w:eastAsia="Arial" w:hint="default"/>
          <w:spacing w:val="-10"/>
        </w:rPr>
        <w:t> </w:t>
      </w:r>
      <w:r>
        <w:rPr/>
        <w:t>年</w:t>
      </w:r>
    </w:p>
    <w:p>
      <w:pPr>
        <w:pStyle w:val="BodyText"/>
        <w:spacing w:line="322" w:lineRule="exact"/>
        <w:ind w:left="211"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1020" w:right="700"/>
          <w:cols w:num="3" w:equalWidth="0">
            <w:col w:w="5230" w:space="40"/>
            <w:col w:w="3307" w:space="40"/>
            <w:col w:w="1573"/>
          </w:cols>
        </w:sectPr>
      </w:pPr>
    </w:p>
    <w:p>
      <w:pPr>
        <w:spacing w:line="240" w:lineRule="auto" w:before="8"/>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2812"/>
        <w:gridCol w:w="3983"/>
        <w:gridCol w:w="2537"/>
      </w:tblGrid>
      <w:tr>
        <w:trPr>
          <w:trHeight w:val="608"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有限售条件股份－</w:t>
            </w:r>
          </w:p>
        </w:tc>
        <w:tc>
          <w:tcPr>
            <w:tcW w:w="3983" w:type="dxa"/>
            <w:tcBorders>
              <w:top w:val="nil" w:sz="6" w:space="0" w:color="auto"/>
              <w:left w:val="nil" w:sz="6" w:space="0" w:color="auto"/>
              <w:bottom w:val="nil" w:sz="6" w:space="0" w:color="auto"/>
              <w:right w:val="nil" w:sz="6" w:space="0" w:color="auto"/>
            </w:tcBorders>
          </w:tcPr>
          <w:p>
            <w:pPr>
              <w:pStyle w:val="TableParagraph"/>
              <w:spacing w:line="277" w:lineRule="exact"/>
              <w:ind w:left="2586"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537" w:type="dxa"/>
            <w:tcBorders>
              <w:top w:val="nil" w:sz="6" w:space="0" w:color="auto"/>
              <w:left w:val="nil" w:sz="6" w:space="0" w:color="auto"/>
              <w:bottom w:val="nil" w:sz="6" w:space="0" w:color="auto"/>
              <w:right w:val="nil" w:sz="6" w:space="0" w:color="auto"/>
            </w:tcBorders>
          </w:tcPr>
          <w:p>
            <w:pPr/>
          </w:p>
        </w:tc>
      </w:tr>
      <w:tr>
        <w:trPr>
          <w:trHeight w:val="327"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76" w:lineRule="exact"/>
              <w:ind w:left="275" w:right="0"/>
              <w:jc w:val="left"/>
              <w:rPr>
                <w:rFonts w:ascii="宋体" w:hAnsi="宋体" w:cs="宋体" w:eastAsia="宋体" w:hint="default"/>
                <w:sz w:val="24"/>
                <w:szCs w:val="24"/>
              </w:rPr>
            </w:pPr>
            <w:r>
              <w:rPr>
                <w:rFonts w:ascii="宋体" w:hAnsi="宋体" w:cs="宋体" w:eastAsia="宋体" w:hint="default"/>
                <w:sz w:val="24"/>
                <w:szCs w:val="24"/>
              </w:rPr>
              <w:t>国有法人持股</w:t>
            </w:r>
          </w:p>
        </w:tc>
        <w:tc>
          <w:tcPr>
            <w:tcW w:w="3983" w:type="dxa"/>
            <w:tcBorders>
              <w:top w:val="nil" w:sz="6" w:space="0" w:color="auto"/>
              <w:left w:val="nil" w:sz="6" w:space="0" w:color="auto"/>
              <w:bottom w:val="nil" w:sz="6" w:space="0" w:color="auto"/>
              <w:right w:val="nil" w:sz="6" w:space="0" w:color="auto"/>
            </w:tcBorders>
          </w:tcPr>
          <w:p>
            <w:pPr>
              <w:pStyle w:val="TableParagraph"/>
              <w:tabs>
                <w:tab w:pos="3165" w:val="left" w:leader="none"/>
              </w:tabs>
              <w:spacing w:line="240" w:lineRule="auto" w:before="35"/>
              <w:ind w:left="1611" w:right="0"/>
              <w:jc w:val="left"/>
              <w:rPr>
                <w:rFonts w:ascii="Arial" w:hAnsi="Arial" w:cs="Arial" w:eastAsia="Arial" w:hint="default"/>
                <w:sz w:val="24"/>
                <w:szCs w:val="24"/>
              </w:rPr>
            </w:pPr>
            <w:r>
              <w:rPr>
                <w:rFonts w:ascii="Arial"/>
                <w:sz w:val="24"/>
              </w:rPr>
              <w:t>-</w:t>
              <w:tab/>
              <w:t>-</w:t>
            </w:r>
          </w:p>
        </w:tc>
        <w:tc>
          <w:tcPr>
            <w:tcW w:w="2537" w:type="dxa"/>
            <w:tcBorders>
              <w:top w:val="nil" w:sz="6" w:space="0" w:color="auto"/>
              <w:left w:val="nil" w:sz="6" w:space="0" w:color="auto"/>
              <w:bottom w:val="nil" w:sz="6" w:space="0" w:color="auto"/>
              <w:right w:val="nil" w:sz="6" w:space="0" w:color="auto"/>
            </w:tcBorders>
          </w:tcPr>
          <w:p>
            <w:pPr>
              <w:pStyle w:val="TableParagraph"/>
              <w:tabs>
                <w:tab w:pos="1418" w:val="left" w:leader="none"/>
              </w:tabs>
              <w:spacing w:line="240" w:lineRule="auto" w:before="35"/>
              <w:ind w:right="132"/>
              <w:jc w:val="right"/>
              <w:rPr>
                <w:rFonts w:ascii="Arial" w:hAnsi="Arial" w:cs="Arial" w:eastAsia="Arial" w:hint="default"/>
                <w:sz w:val="24"/>
                <w:szCs w:val="24"/>
              </w:rPr>
            </w:pPr>
            <w:r>
              <w:rPr>
                <w:rFonts w:ascii="Arial"/>
                <w:sz w:val="24"/>
              </w:rPr>
              <w:t>-</w:t>
              <w:tab/>
              <w:t>-</w:t>
            </w:r>
          </w:p>
        </w:tc>
      </w:tr>
      <w:tr>
        <w:trPr>
          <w:trHeight w:val="312"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61" w:lineRule="exact"/>
              <w:ind w:left="275" w:right="0"/>
              <w:jc w:val="left"/>
              <w:rPr>
                <w:rFonts w:ascii="宋体" w:hAnsi="宋体" w:cs="宋体" w:eastAsia="宋体" w:hint="default"/>
                <w:sz w:val="24"/>
                <w:szCs w:val="24"/>
              </w:rPr>
            </w:pPr>
            <w:r>
              <w:rPr>
                <w:rFonts w:ascii="宋体" w:hAnsi="宋体" w:cs="宋体" w:eastAsia="宋体" w:hint="default"/>
                <w:sz w:val="24"/>
                <w:szCs w:val="24"/>
              </w:rPr>
              <w:t>其他法人持股</w:t>
            </w:r>
          </w:p>
        </w:tc>
        <w:tc>
          <w:tcPr>
            <w:tcW w:w="3983" w:type="dxa"/>
            <w:tcBorders>
              <w:top w:val="nil" w:sz="6" w:space="0" w:color="auto"/>
              <w:left w:val="nil" w:sz="6" w:space="0" w:color="auto"/>
              <w:bottom w:val="nil" w:sz="6" w:space="0" w:color="auto"/>
              <w:right w:val="nil" w:sz="6" w:space="0" w:color="auto"/>
            </w:tcBorders>
          </w:tcPr>
          <w:p>
            <w:pPr>
              <w:pStyle w:val="TableParagraph"/>
              <w:tabs>
                <w:tab w:pos="2401" w:val="left" w:leader="none"/>
              </w:tabs>
              <w:spacing w:line="240" w:lineRule="auto" w:before="20"/>
              <w:ind w:left="825" w:right="0"/>
              <w:jc w:val="left"/>
              <w:rPr>
                <w:rFonts w:ascii="Arial" w:hAnsi="Arial" w:cs="Arial" w:eastAsia="Arial" w:hint="default"/>
                <w:sz w:val="24"/>
                <w:szCs w:val="24"/>
              </w:rPr>
            </w:pPr>
            <w:r>
              <w:rPr>
                <w:rFonts w:ascii="Arial"/>
                <w:spacing w:val="-1"/>
                <w:sz w:val="24"/>
              </w:rPr>
              <w:t>161,438</w:t>
              <w:tab/>
              <w:t>161,438</w:t>
            </w:r>
            <w:r>
              <w:rPr>
                <w:rFonts w:ascii="Arial"/>
                <w:sz w:val="24"/>
              </w:rPr>
            </w:r>
          </w:p>
        </w:tc>
        <w:tc>
          <w:tcPr>
            <w:tcW w:w="2537" w:type="dxa"/>
            <w:tcBorders>
              <w:top w:val="nil" w:sz="6" w:space="0" w:color="auto"/>
              <w:left w:val="nil" w:sz="6" w:space="0" w:color="auto"/>
              <w:bottom w:val="nil" w:sz="6" w:space="0" w:color="auto"/>
              <w:right w:val="nil" w:sz="6" w:space="0" w:color="auto"/>
            </w:tcBorders>
          </w:tcPr>
          <w:p>
            <w:pPr>
              <w:pStyle w:val="TableParagraph"/>
              <w:tabs>
                <w:tab w:pos="1631" w:val="left" w:leader="none"/>
              </w:tabs>
              <w:spacing w:line="240" w:lineRule="auto" w:before="20"/>
              <w:ind w:right="132"/>
              <w:jc w:val="right"/>
              <w:rPr>
                <w:rFonts w:ascii="Arial" w:hAnsi="Arial" w:cs="Arial" w:eastAsia="Arial" w:hint="default"/>
                <w:sz w:val="24"/>
                <w:szCs w:val="24"/>
              </w:rPr>
            </w:pPr>
            <w:r>
              <w:rPr>
                <w:rFonts w:ascii="Arial"/>
                <w:spacing w:val="-1"/>
                <w:sz w:val="24"/>
              </w:rPr>
              <w:t>(234,150)</w:t>
              <w:tab/>
              <w:t>88,726</w:t>
            </w:r>
            <w:r>
              <w:rPr>
                <w:rFonts w:ascii="Arial"/>
                <w:sz w:val="24"/>
              </w:rPr>
            </w:r>
          </w:p>
        </w:tc>
      </w:tr>
      <w:tr>
        <w:trPr>
          <w:trHeight w:val="303"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61" w:lineRule="exact"/>
              <w:ind w:left="275" w:right="0"/>
              <w:jc w:val="left"/>
              <w:rPr>
                <w:rFonts w:ascii="宋体" w:hAnsi="宋体" w:cs="宋体" w:eastAsia="宋体" w:hint="default"/>
                <w:sz w:val="24"/>
                <w:szCs w:val="24"/>
              </w:rPr>
            </w:pPr>
            <w:r>
              <w:rPr>
                <w:rFonts w:ascii="宋体" w:hAnsi="宋体" w:cs="宋体" w:eastAsia="宋体" w:hint="default"/>
                <w:sz w:val="24"/>
                <w:szCs w:val="24"/>
              </w:rPr>
              <w:t>自然人持股</w:t>
            </w:r>
          </w:p>
        </w:tc>
        <w:tc>
          <w:tcPr>
            <w:tcW w:w="3983" w:type="dxa"/>
            <w:tcBorders>
              <w:top w:val="nil" w:sz="6" w:space="0" w:color="auto"/>
              <w:left w:val="nil" w:sz="6" w:space="0" w:color="auto"/>
              <w:bottom w:val="single" w:sz="4" w:space="0" w:color="000000"/>
              <w:right w:val="nil" w:sz="6" w:space="0" w:color="auto"/>
            </w:tcBorders>
          </w:tcPr>
          <w:p>
            <w:pPr>
              <w:pStyle w:val="TableParagraph"/>
              <w:tabs>
                <w:tab w:pos="2418" w:val="left" w:leader="none"/>
              </w:tabs>
              <w:spacing w:line="240" w:lineRule="auto" w:before="20"/>
              <w:ind w:left="843" w:right="0"/>
              <w:jc w:val="left"/>
              <w:rPr>
                <w:rFonts w:ascii="Arial" w:hAnsi="Arial" w:cs="Arial" w:eastAsia="Arial" w:hint="default"/>
                <w:sz w:val="24"/>
                <w:szCs w:val="24"/>
              </w:rPr>
            </w:pPr>
            <w:r>
              <w:rPr>
                <w:rFonts w:ascii="Arial"/>
                <w:spacing w:val="-4"/>
                <w:sz w:val="24"/>
              </w:rPr>
              <w:t>265,116</w:t>
              <w:tab/>
              <w:t>265,116</w:t>
            </w:r>
          </w:p>
        </w:tc>
        <w:tc>
          <w:tcPr>
            <w:tcW w:w="2537" w:type="dxa"/>
            <w:tcBorders>
              <w:top w:val="nil" w:sz="6" w:space="0" w:color="auto"/>
              <w:left w:val="nil" w:sz="6" w:space="0" w:color="auto"/>
              <w:bottom w:val="single" w:sz="4" w:space="0" w:color="000000"/>
              <w:right w:val="nil" w:sz="6" w:space="0" w:color="auto"/>
            </w:tcBorders>
          </w:tcPr>
          <w:p>
            <w:pPr>
              <w:pStyle w:val="TableParagraph"/>
              <w:tabs>
                <w:tab w:pos="1498" w:val="left" w:leader="none"/>
              </w:tabs>
              <w:spacing w:line="240" w:lineRule="auto" w:before="20"/>
              <w:ind w:right="133"/>
              <w:jc w:val="right"/>
              <w:rPr>
                <w:rFonts w:ascii="Arial" w:hAnsi="Arial" w:cs="Arial" w:eastAsia="Arial" w:hint="default"/>
                <w:sz w:val="24"/>
                <w:szCs w:val="24"/>
              </w:rPr>
            </w:pPr>
            <w:r>
              <w:rPr>
                <w:rFonts w:ascii="Arial"/>
                <w:spacing w:val="-1"/>
                <w:sz w:val="24"/>
              </w:rPr>
              <w:t>(153,572)</w:t>
              <w:tab/>
              <w:t>376,660</w:t>
            </w:r>
            <w:r>
              <w:rPr>
                <w:rFonts w:ascii="Arial"/>
                <w:sz w:val="24"/>
              </w:rPr>
            </w:r>
          </w:p>
        </w:tc>
      </w:tr>
      <w:tr>
        <w:trPr>
          <w:trHeight w:val="323"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宋体" w:hAnsi="宋体" w:cs="宋体" w:eastAsia="宋体" w:hint="default"/>
                <w:sz w:val="24"/>
                <w:szCs w:val="24"/>
              </w:rPr>
            </w:pPr>
            <w:r>
              <w:rPr>
                <w:rFonts w:ascii="宋体" w:hAnsi="宋体" w:cs="宋体" w:eastAsia="宋体" w:hint="default"/>
                <w:sz w:val="24"/>
                <w:szCs w:val="24"/>
              </w:rPr>
              <w:t>有限售条件股份合计</w:t>
            </w:r>
          </w:p>
        </w:tc>
        <w:tc>
          <w:tcPr>
            <w:tcW w:w="3983" w:type="dxa"/>
            <w:tcBorders>
              <w:top w:val="single" w:sz="4" w:space="0" w:color="000000"/>
              <w:left w:val="nil" w:sz="6" w:space="0" w:color="auto"/>
              <w:bottom w:val="single" w:sz="4" w:space="0" w:color="000000"/>
              <w:right w:val="nil" w:sz="6" w:space="0" w:color="auto"/>
            </w:tcBorders>
          </w:tcPr>
          <w:p>
            <w:pPr>
              <w:pStyle w:val="TableParagraph"/>
              <w:tabs>
                <w:tab w:pos="2401" w:val="left" w:leader="none"/>
              </w:tabs>
              <w:spacing w:line="240" w:lineRule="auto" w:before="34"/>
              <w:ind w:left="825" w:right="0"/>
              <w:jc w:val="left"/>
              <w:rPr>
                <w:rFonts w:ascii="Arial" w:hAnsi="Arial" w:cs="Arial" w:eastAsia="Arial" w:hint="default"/>
                <w:sz w:val="24"/>
                <w:szCs w:val="24"/>
              </w:rPr>
            </w:pPr>
            <w:r>
              <w:rPr>
                <w:rFonts w:ascii="Arial"/>
                <w:spacing w:val="-1"/>
                <w:sz w:val="24"/>
              </w:rPr>
              <w:t>426,554</w:t>
              <w:tab/>
              <w:t>426,554</w:t>
            </w:r>
            <w:r>
              <w:rPr>
                <w:rFonts w:ascii="Arial"/>
                <w:sz w:val="24"/>
              </w:rPr>
            </w:r>
          </w:p>
        </w:tc>
        <w:tc>
          <w:tcPr>
            <w:tcW w:w="2537" w:type="dxa"/>
            <w:tcBorders>
              <w:top w:val="single" w:sz="4" w:space="0" w:color="000000"/>
              <w:left w:val="nil" w:sz="6" w:space="0" w:color="auto"/>
              <w:bottom w:val="single" w:sz="4" w:space="0" w:color="000000"/>
              <w:right w:val="nil" w:sz="6" w:space="0" w:color="auto"/>
            </w:tcBorders>
          </w:tcPr>
          <w:p>
            <w:pPr>
              <w:pStyle w:val="TableParagraph"/>
              <w:tabs>
                <w:tab w:pos="1497" w:val="left" w:leader="none"/>
              </w:tabs>
              <w:spacing w:line="240" w:lineRule="auto" w:before="34"/>
              <w:ind w:right="132"/>
              <w:jc w:val="right"/>
              <w:rPr>
                <w:rFonts w:ascii="Arial" w:hAnsi="Arial" w:cs="Arial" w:eastAsia="Arial" w:hint="default"/>
                <w:sz w:val="24"/>
                <w:szCs w:val="24"/>
              </w:rPr>
            </w:pPr>
            <w:r>
              <w:rPr>
                <w:rFonts w:ascii="Arial"/>
                <w:spacing w:val="-1"/>
                <w:sz w:val="24"/>
              </w:rPr>
              <w:t>(387,722)</w:t>
              <w:tab/>
              <w:t>465,386</w:t>
            </w:r>
            <w:r>
              <w:rPr>
                <w:rFonts w:ascii="Arial"/>
                <w:sz w:val="24"/>
              </w:rPr>
            </w:r>
          </w:p>
        </w:tc>
      </w:tr>
      <w:tr>
        <w:trPr>
          <w:trHeight w:val="592"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无限售条件股份－</w:t>
            </w:r>
          </w:p>
        </w:tc>
        <w:tc>
          <w:tcPr>
            <w:tcW w:w="3983" w:type="dxa"/>
            <w:tcBorders>
              <w:top w:val="single" w:sz="4" w:space="0" w:color="000000"/>
              <w:left w:val="nil" w:sz="6" w:space="0" w:color="auto"/>
              <w:bottom w:val="nil" w:sz="6" w:space="0" w:color="auto"/>
              <w:right w:val="nil" w:sz="6" w:space="0" w:color="auto"/>
            </w:tcBorders>
          </w:tcPr>
          <w:p>
            <w:pPr/>
          </w:p>
        </w:tc>
        <w:tc>
          <w:tcPr>
            <w:tcW w:w="2537" w:type="dxa"/>
            <w:tcBorders>
              <w:top w:val="single" w:sz="4" w:space="0" w:color="000000"/>
              <w:left w:val="nil" w:sz="6" w:space="0" w:color="auto"/>
              <w:bottom w:val="nil" w:sz="6" w:space="0" w:color="auto"/>
              <w:right w:val="nil" w:sz="6" w:space="0" w:color="auto"/>
            </w:tcBorders>
          </w:tcPr>
          <w:p>
            <w:pPr/>
          </w:p>
        </w:tc>
      </w:tr>
      <w:tr>
        <w:trPr>
          <w:trHeight w:val="318"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76" w:lineRule="exact"/>
              <w:ind w:left="277"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3983" w:type="dxa"/>
            <w:tcBorders>
              <w:top w:val="nil" w:sz="6" w:space="0" w:color="auto"/>
              <w:left w:val="nil" w:sz="6" w:space="0" w:color="auto"/>
              <w:bottom w:val="single" w:sz="4" w:space="0" w:color="000000"/>
              <w:right w:val="nil" w:sz="6" w:space="0" w:color="auto"/>
            </w:tcBorders>
          </w:tcPr>
          <w:p>
            <w:pPr>
              <w:pStyle w:val="TableParagraph"/>
              <w:tabs>
                <w:tab w:pos="2400" w:val="left" w:leader="none"/>
              </w:tabs>
              <w:spacing w:line="240" w:lineRule="auto" w:before="35"/>
              <w:ind w:left="825" w:right="0"/>
              <w:jc w:val="left"/>
              <w:rPr>
                <w:rFonts w:ascii="Arial" w:hAnsi="Arial" w:cs="Arial" w:eastAsia="Arial" w:hint="default"/>
                <w:sz w:val="24"/>
                <w:szCs w:val="24"/>
              </w:rPr>
            </w:pPr>
            <w:r>
              <w:rPr>
                <w:rFonts w:ascii="Arial"/>
                <w:spacing w:val="-1"/>
                <w:sz w:val="24"/>
              </w:rPr>
              <w:t>294,198</w:t>
              <w:tab/>
              <w:t>294,198</w:t>
            </w:r>
            <w:r>
              <w:rPr>
                <w:rFonts w:ascii="Arial"/>
                <w:sz w:val="24"/>
              </w:rPr>
            </w:r>
          </w:p>
        </w:tc>
        <w:tc>
          <w:tcPr>
            <w:tcW w:w="2537" w:type="dxa"/>
            <w:tcBorders>
              <w:top w:val="nil" w:sz="6" w:space="0" w:color="auto"/>
              <w:left w:val="nil" w:sz="6" w:space="0" w:color="auto"/>
              <w:bottom w:val="single" w:sz="4" w:space="0" w:color="000000"/>
              <w:right w:val="nil" w:sz="6" w:space="0" w:color="auto"/>
            </w:tcBorders>
          </w:tcPr>
          <w:p>
            <w:pPr>
              <w:pStyle w:val="TableParagraph"/>
              <w:tabs>
                <w:tab w:pos="1436" w:val="left" w:leader="none"/>
              </w:tabs>
              <w:spacing w:line="240" w:lineRule="auto" w:before="35"/>
              <w:ind w:right="133"/>
              <w:jc w:val="right"/>
              <w:rPr>
                <w:rFonts w:ascii="Arial" w:hAnsi="Arial" w:cs="Arial" w:eastAsia="Arial" w:hint="default"/>
                <w:sz w:val="24"/>
                <w:szCs w:val="24"/>
              </w:rPr>
            </w:pPr>
            <w:r>
              <w:rPr>
                <w:rFonts w:ascii="Arial"/>
                <w:spacing w:val="-1"/>
                <w:sz w:val="24"/>
              </w:rPr>
              <w:t>387,722</w:t>
              <w:tab/>
            </w:r>
            <w:r>
              <w:rPr>
                <w:rFonts w:ascii="Arial"/>
                <w:spacing w:val="-4"/>
                <w:sz w:val="24"/>
              </w:rPr>
              <w:t>976,118</w:t>
            </w:r>
          </w:p>
        </w:tc>
      </w:tr>
      <w:tr>
        <w:trPr>
          <w:trHeight w:val="322"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宋体" w:hAnsi="宋体" w:cs="宋体" w:eastAsia="宋体" w:hint="default"/>
                <w:sz w:val="24"/>
                <w:szCs w:val="24"/>
              </w:rPr>
            </w:pPr>
            <w:r>
              <w:rPr>
                <w:rFonts w:ascii="宋体" w:hAnsi="宋体" w:cs="宋体" w:eastAsia="宋体" w:hint="default"/>
                <w:sz w:val="24"/>
                <w:szCs w:val="24"/>
              </w:rPr>
              <w:t>无限售条件股份合计</w:t>
            </w:r>
          </w:p>
        </w:tc>
        <w:tc>
          <w:tcPr>
            <w:tcW w:w="3983" w:type="dxa"/>
            <w:tcBorders>
              <w:top w:val="single" w:sz="4" w:space="0" w:color="000000"/>
              <w:left w:val="nil" w:sz="6" w:space="0" w:color="auto"/>
              <w:bottom w:val="single" w:sz="4" w:space="0" w:color="000000"/>
              <w:right w:val="nil" w:sz="6" w:space="0" w:color="auto"/>
            </w:tcBorders>
          </w:tcPr>
          <w:p>
            <w:pPr>
              <w:pStyle w:val="TableParagraph"/>
              <w:tabs>
                <w:tab w:pos="2400" w:val="left" w:leader="none"/>
              </w:tabs>
              <w:spacing w:line="240" w:lineRule="auto" w:before="34"/>
              <w:ind w:left="825" w:right="0"/>
              <w:jc w:val="left"/>
              <w:rPr>
                <w:rFonts w:ascii="Arial" w:hAnsi="Arial" w:cs="Arial" w:eastAsia="Arial" w:hint="default"/>
                <w:sz w:val="24"/>
                <w:szCs w:val="24"/>
              </w:rPr>
            </w:pPr>
            <w:r>
              <w:rPr>
                <w:rFonts w:ascii="Arial"/>
                <w:spacing w:val="-1"/>
                <w:sz w:val="24"/>
              </w:rPr>
              <w:t>294,198</w:t>
              <w:tab/>
              <w:t>294,198</w:t>
            </w:r>
            <w:r>
              <w:rPr>
                <w:rFonts w:ascii="Arial"/>
                <w:sz w:val="24"/>
              </w:rPr>
            </w:r>
          </w:p>
        </w:tc>
        <w:tc>
          <w:tcPr>
            <w:tcW w:w="2537" w:type="dxa"/>
            <w:tcBorders>
              <w:top w:val="single" w:sz="4" w:space="0" w:color="000000"/>
              <w:left w:val="nil" w:sz="6" w:space="0" w:color="auto"/>
              <w:bottom w:val="single" w:sz="4" w:space="0" w:color="000000"/>
              <w:right w:val="nil" w:sz="6" w:space="0" w:color="auto"/>
            </w:tcBorders>
          </w:tcPr>
          <w:p>
            <w:pPr>
              <w:pStyle w:val="TableParagraph"/>
              <w:tabs>
                <w:tab w:pos="1436" w:val="left" w:leader="none"/>
              </w:tabs>
              <w:spacing w:line="240" w:lineRule="auto" w:before="34"/>
              <w:ind w:right="133"/>
              <w:jc w:val="right"/>
              <w:rPr>
                <w:rFonts w:ascii="Arial" w:hAnsi="Arial" w:cs="Arial" w:eastAsia="Arial" w:hint="default"/>
                <w:sz w:val="24"/>
                <w:szCs w:val="24"/>
              </w:rPr>
            </w:pPr>
            <w:r>
              <w:rPr>
                <w:rFonts w:ascii="Arial"/>
                <w:spacing w:val="-1"/>
                <w:sz w:val="24"/>
              </w:rPr>
              <w:t>387,722</w:t>
              <w:tab/>
            </w:r>
            <w:r>
              <w:rPr>
                <w:rFonts w:ascii="Arial"/>
                <w:spacing w:val="-4"/>
                <w:sz w:val="24"/>
              </w:rPr>
              <w:t>976,118</w:t>
            </w:r>
          </w:p>
        </w:tc>
      </w:tr>
      <w:tr>
        <w:trPr>
          <w:trHeight w:val="609"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股份总额</w:t>
            </w:r>
          </w:p>
        </w:tc>
        <w:tc>
          <w:tcPr>
            <w:tcW w:w="3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2401" w:val="left" w:leader="none"/>
              </w:tabs>
              <w:spacing w:line="240" w:lineRule="auto"/>
              <w:ind w:left="825" w:right="0"/>
              <w:jc w:val="left"/>
              <w:rPr>
                <w:rFonts w:ascii="Arial" w:hAnsi="Arial" w:cs="Arial" w:eastAsia="Arial" w:hint="default"/>
                <w:sz w:val="24"/>
                <w:szCs w:val="24"/>
              </w:rPr>
            </w:pPr>
            <w:r>
              <w:rPr>
                <w:rFonts w:ascii="Arial"/>
                <w:spacing w:val="-1"/>
                <w:sz w:val="24"/>
              </w:rPr>
              <w:t>720,752</w:t>
              <w:tab/>
              <w:t>720,752</w:t>
            </w:r>
            <w:r>
              <w:rPr>
                <w:rFonts w:ascii="Arial"/>
                <w:sz w:val="24"/>
              </w:rPr>
            </w:r>
          </w:p>
        </w:tc>
        <w:tc>
          <w:tcPr>
            <w:tcW w:w="25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430" w:val="left" w:leader="none"/>
              </w:tabs>
              <w:spacing w:line="240" w:lineRule="auto"/>
              <w:ind w:right="134"/>
              <w:jc w:val="right"/>
              <w:rPr>
                <w:rFonts w:ascii="Arial" w:hAnsi="Arial" w:cs="Arial" w:eastAsia="Arial" w:hint="default"/>
                <w:sz w:val="24"/>
                <w:szCs w:val="24"/>
              </w:rPr>
            </w:pPr>
            <w:r>
              <w:rPr>
                <w:rFonts w:ascii="Arial"/>
                <w:sz w:val="24"/>
              </w:rPr>
              <w:t>-</w:t>
              <w:tab/>
            </w:r>
            <w:r>
              <w:rPr>
                <w:rFonts w:ascii="Arial"/>
                <w:spacing w:val="-1"/>
                <w:sz w:val="24"/>
              </w:rPr>
              <w:t>1,441,504</w:t>
            </w:r>
            <w:r>
              <w:rPr>
                <w:rFonts w:ascii="Arial"/>
                <w:sz w:val="24"/>
              </w:rPr>
            </w:r>
          </w:p>
        </w:tc>
      </w:tr>
    </w:tbl>
    <w:p>
      <w:pPr>
        <w:spacing w:line="240" w:lineRule="auto" w:before="13"/>
        <w:rPr>
          <w:rFonts w:ascii="宋体" w:hAnsi="宋体" w:cs="宋体" w:eastAsia="宋体" w:hint="default"/>
          <w:sz w:val="14"/>
          <w:szCs w:val="14"/>
        </w:rPr>
      </w:pPr>
    </w:p>
    <w:p>
      <w:pPr>
        <w:pStyle w:val="BodyText"/>
        <w:spacing w:line="312" w:lineRule="exact" w:before="56"/>
        <w:ind w:left="826" w:right="94"/>
        <w:jc w:val="left"/>
      </w:pPr>
      <w:r>
        <w:rPr/>
        <w:t>于</w:t>
      </w:r>
      <w:r>
        <w:rPr>
          <w:spacing w:val="-48"/>
        </w:rPr>
        <w:t> </w:t>
      </w:r>
      <w:r>
        <w:rPr>
          <w:rFonts w:ascii="Arial" w:hAnsi="Arial" w:cs="Arial" w:eastAsia="Arial" w:hint="default"/>
        </w:rPr>
        <w:t>2007</w:t>
      </w:r>
      <w:r>
        <w:rPr>
          <w:rFonts w:ascii="Arial" w:hAnsi="Arial" w:cs="Arial" w:eastAsia="Arial" w:hint="default"/>
          <w:spacing w:val="5"/>
        </w:rPr>
        <w:t> </w:t>
      </w:r>
      <w:r>
        <w:rPr/>
        <w:t>年度，本公司以资本公积转增股本人民币</w:t>
      </w:r>
      <w:r>
        <w:rPr>
          <w:spacing w:val="-48"/>
        </w:rPr>
        <w:t> </w:t>
      </w:r>
      <w:r>
        <w:rPr>
          <w:rFonts w:ascii="Arial" w:hAnsi="Arial" w:cs="Arial" w:eastAsia="Arial" w:hint="default"/>
        </w:rPr>
        <w:t>720,752,000</w:t>
      </w:r>
      <w:r>
        <w:rPr>
          <w:rFonts w:ascii="Arial" w:hAnsi="Arial" w:cs="Arial" w:eastAsia="Arial" w:hint="default"/>
          <w:spacing w:val="6"/>
        </w:rPr>
        <w:t> </w:t>
      </w:r>
      <w:r>
        <w:rPr/>
        <w:t>元，且由江苏天衡会计 </w:t>
      </w:r>
      <w:r>
        <w:rPr>
          <w:spacing w:val="-2"/>
        </w:rPr>
        <w:t>师事务所有限公司验证，并出具了文号为天衡验字</w:t>
      </w:r>
      <w:r>
        <w:rPr>
          <w:rFonts w:ascii="Arial" w:hAnsi="Arial" w:cs="Arial" w:eastAsia="Arial" w:hint="default"/>
          <w:spacing w:val="-2"/>
        </w:rPr>
        <w:t>(2007)23</w:t>
      </w:r>
      <w:r>
        <w:rPr>
          <w:rFonts w:ascii="Arial" w:hAnsi="Arial" w:cs="Arial" w:eastAsia="Arial" w:hint="default"/>
          <w:spacing w:val="10"/>
        </w:rPr>
        <w:t> </w:t>
      </w:r>
      <w:r>
        <w:rPr/>
        <w:t>号的验资报告</w:t>
      </w:r>
      <w:r>
        <w:rPr>
          <w:rFonts w:ascii="Arial" w:hAnsi="Arial" w:cs="Arial" w:eastAsia="Arial" w:hint="default"/>
        </w:rPr>
        <w:t>(</w:t>
      </w:r>
      <w:r>
        <w:rPr/>
        <w:t>附注八</w:t>
      </w:r>
      <w:r>
        <w:rPr>
          <w:rFonts w:ascii="Arial" w:hAnsi="Arial" w:cs="Arial" w:eastAsia="Arial" w:hint="default"/>
        </w:rPr>
        <w:t>(23))</w:t>
      </w:r>
      <w:r>
        <w:rPr/>
        <w:t>。</w:t>
      </w:r>
    </w:p>
    <w:p>
      <w:pPr>
        <w:spacing w:after="0" w:line="312" w:lineRule="exact"/>
        <w:jc w:val="left"/>
        <w:sectPr>
          <w:type w:val="continuous"/>
          <w:pgSz w:w="11910" w:h="16840"/>
          <w:pgMar w:top="1600" w:bottom="280" w:left="102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14" w:val="left" w:leader="none"/>
        </w:tabs>
        <w:spacing w:line="240" w:lineRule="auto"/>
        <w:ind w:left="103" w:right="0"/>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86" w:val="left" w:leader="none"/>
        </w:tabs>
        <w:spacing w:before="0"/>
        <w:ind w:left="168" w:right="0" w:firstLine="0"/>
        <w:jc w:val="left"/>
        <w:rPr>
          <w:rFonts w:ascii="宋体" w:hAnsi="宋体" w:cs="宋体" w:eastAsia="宋体" w:hint="default"/>
          <w:sz w:val="24"/>
          <w:szCs w:val="24"/>
        </w:rPr>
      </w:pPr>
      <w:r>
        <w:rPr>
          <w:rFonts w:ascii="Arial" w:hAnsi="Arial" w:cs="Arial" w:eastAsia="Arial" w:hint="default"/>
          <w:position w:val="2"/>
          <w:sz w:val="24"/>
          <w:szCs w:val="24"/>
        </w:rPr>
        <w:t>(23)</w:t>
        <w:tab/>
      </w:r>
      <w:r>
        <w:rPr>
          <w:rFonts w:ascii="宋体" w:hAnsi="宋体" w:cs="宋体" w:eastAsia="宋体" w:hint="default"/>
          <w:b/>
          <w:bCs/>
          <w:sz w:val="24"/>
          <w:szCs w:val="24"/>
        </w:rPr>
        <w:t>资本公积</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8" w:footer="708" w:top="980" w:bottom="900" w:left="960" w:right="700"/>
        </w:sectPr>
      </w:pPr>
    </w:p>
    <w:p>
      <w:pPr>
        <w:pStyle w:val="BodyText"/>
        <w:spacing w:line="322" w:lineRule="exact" w:before="26"/>
        <w:ind w:left="3930" w:right="3327"/>
        <w:jc w:val="center"/>
      </w:pPr>
      <w:r>
        <w:rPr>
          <w:rFonts w:ascii="Arial" w:hAnsi="Arial" w:cs="Arial" w:eastAsia="Arial" w:hint="default"/>
        </w:rPr>
        <w:t>2006</w:t>
      </w:r>
      <w:r>
        <w:rPr>
          <w:rFonts w:ascii="Arial" w:hAnsi="Arial" w:cs="Arial" w:eastAsia="Arial" w:hint="default"/>
          <w:spacing w:val="-10"/>
        </w:rPr>
        <w:t> </w:t>
      </w:r>
      <w:r>
        <w:rPr/>
        <w:t>年</w:t>
      </w:r>
    </w:p>
    <w:p>
      <w:pPr>
        <w:pStyle w:val="BodyText"/>
        <w:tabs>
          <w:tab w:pos="5513" w:val="left" w:leader="none"/>
          <w:tab w:pos="7167" w:val="left" w:leader="none"/>
        </w:tabs>
        <w:spacing w:line="312" w:lineRule="exact"/>
        <w:ind w:left="3588"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本年增加</w:t>
        <w:tab/>
        <w:t>本年减少</w:t>
      </w:r>
    </w:p>
    <w:p>
      <w:pPr>
        <w:pStyle w:val="BodyText"/>
        <w:spacing w:line="322" w:lineRule="exact"/>
        <w:ind w:left="0" w:right="785"/>
        <w:jc w:val="righ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pStyle w:val="BodyText"/>
        <w:spacing w:line="322" w:lineRule="exact" w:before="26"/>
        <w:ind w:left="1015" w:right="0"/>
        <w:jc w:val="left"/>
      </w:pPr>
      <w:r>
        <w:rPr/>
        <w:br w:type="column"/>
      </w:r>
      <w:r>
        <w:rPr>
          <w:rFonts w:ascii="Arial" w:hAnsi="Arial" w:cs="Arial" w:eastAsia="Arial" w:hint="default"/>
        </w:rPr>
        <w:t>2007</w:t>
      </w:r>
      <w:r>
        <w:rPr>
          <w:rFonts w:ascii="Arial" w:hAnsi="Arial" w:cs="Arial" w:eastAsia="Arial" w:hint="default"/>
          <w:spacing w:val="-10"/>
        </w:rPr>
        <w:t> </w:t>
      </w:r>
      <w:r>
        <w:rPr/>
        <w:t>年</w:t>
      </w:r>
    </w:p>
    <w:p>
      <w:pPr>
        <w:pStyle w:val="BodyText"/>
        <w:spacing w:line="322" w:lineRule="exact"/>
        <w:ind w:left="654"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960" w:right="700"/>
          <w:cols w:num="2" w:equalWidth="0">
            <w:col w:w="8128" w:space="40"/>
            <w:col w:w="2082"/>
          </w:cols>
        </w:sectPr>
      </w:pPr>
    </w:p>
    <w:p>
      <w:pPr>
        <w:spacing w:line="240" w:lineRule="auto" w:before="2"/>
        <w:rPr>
          <w:rFonts w:ascii="宋体" w:hAnsi="宋体" w:cs="宋体" w:eastAsia="宋体" w:hint="default"/>
          <w:sz w:val="24"/>
          <w:szCs w:val="24"/>
        </w:rPr>
      </w:pPr>
    </w:p>
    <w:p>
      <w:pPr>
        <w:spacing w:line="20" w:lineRule="exact"/>
        <w:ind w:left="130" w:right="0" w:firstLine="0"/>
        <w:rPr>
          <w:rFonts w:ascii="宋体" w:hAnsi="宋体" w:cs="宋体" w:eastAsia="宋体" w:hint="default"/>
          <w:sz w:val="2"/>
          <w:szCs w:val="2"/>
        </w:rPr>
      </w:pPr>
      <w:r>
        <w:rPr>
          <w:rFonts w:ascii="宋体"/>
          <w:sz w:val="2"/>
        </w:rPr>
        <w:pict>
          <v:group style="width:28.8pt;height:.75pt;mso-position-horizontal-relative:char;mso-position-vertical-relative:line" coordorigin="0,0" coordsize="576,15">
            <v:group style="position:absolute;left:7;top:7;width:562;height:2" coordorigin="7,7" coordsize="562,2">
              <v:shape style="position:absolute;left:7;top:7;width:562;height:2" coordorigin="7,7" coordsize="562,0" path="m7,7l569,7e" filled="false" stroked="true" strokeweight=".72003pt" strokecolor="#000000">
                <v:path arrowok="t"/>
              </v:shape>
            </v:group>
          </v:group>
        </w:pict>
      </w:r>
      <w:r>
        <w:rPr>
          <w:rFonts w:ascii="宋体"/>
          <w:sz w:val="2"/>
        </w:rPr>
      </w:r>
      <w:r>
        <w:rPr>
          <w:rFonts w:ascii="Times New Roman"/>
          <w:spacing w:val="135"/>
          <w:sz w:val="2"/>
        </w:rPr>
        <w:t> </w:t>
      </w:r>
      <w:r>
        <w:rPr>
          <w:rFonts w:ascii="宋体"/>
          <w:spacing w:val="135"/>
          <w:sz w:val="2"/>
        </w:rPr>
        <w:pict>
          <v:group style="width:113.8pt;height:.75pt;mso-position-horizontal-relative:char;mso-position-vertical-relative:line" coordorigin="0,0" coordsize="2276,15">
            <v:group style="position:absolute;left:7;top:7;width:2261;height:2" coordorigin="7,7" coordsize="2261,2">
              <v:shape style="position:absolute;left:7;top:7;width:2261;height:2" coordorigin="7,7" coordsize="2261,0" path="m7,7l2268,7e" filled="false" stroked="true" strokeweight=".72003pt" strokecolor="#000000">
                <v:path arrowok="t"/>
              </v:shape>
            </v:group>
          </v:group>
        </w:pict>
      </w:r>
      <w:r>
        <w:rPr>
          <w:rFonts w:ascii="宋体"/>
          <w:spacing w:val="135"/>
          <w:sz w:val="2"/>
        </w:rPr>
      </w:r>
    </w:p>
    <w:p>
      <w:pPr>
        <w:pStyle w:val="BodyText"/>
        <w:tabs>
          <w:tab w:pos="699" w:val="left" w:leader="none"/>
          <w:tab w:pos="3117" w:val="left" w:leader="none"/>
          <w:tab w:pos="3915" w:val="left" w:leader="none"/>
          <w:tab w:pos="6393" w:val="left" w:leader="none"/>
          <w:tab w:pos="7100" w:val="left" w:leader="none"/>
          <w:tab w:pos="9149" w:val="left" w:leader="none"/>
        </w:tabs>
        <w:spacing w:line="322" w:lineRule="exact"/>
        <w:ind w:left="137" w:right="0"/>
        <w:jc w:val="left"/>
        <w:rPr>
          <w:rFonts w:ascii="Arial" w:hAnsi="Arial" w:cs="Arial" w:eastAsia="Arial" w:hint="default"/>
        </w:rPr>
      </w:pPr>
      <w:r>
        <w:rPr>
          <w:rFonts w:ascii="Times New Roman" w:hAnsi="Times New Roman" w:cs="Times New Roman" w:eastAsia="Times New Roman" w:hint="default"/>
          <w:position w:val="-1"/>
        </w:rPr>
      </w:r>
      <w:r>
        <w:rPr>
          <w:rFonts w:ascii="Times New Roman" w:hAnsi="Times New Roman" w:cs="Times New Roman" w:eastAsia="Times New Roman" w:hint="default"/>
          <w:position w:val="-1"/>
          <w:u w:val="single" w:color="000000"/>
        </w:rPr>
        <w:t> </w:t>
        <w:tab/>
      </w:r>
      <w:r>
        <w:rPr>
          <w:rFonts w:ascii="Times New Roman" w:hAnsi="Times New Roman" w:cs="Times New Roman" w:eastAsia="Times New Roman" w:hint="default"/>
          <w:position w:val="-1"/>
        </w:rPr>
        <w:t>  </w:t>
      </w:r>
      <w:r>
        <w:rPr>
          <w:rFonts w:ascii="Times New Roman" w:hAnsi="Times New Roman" w:cs="Times New Roman" w:eastAsia="Times New Roman" w:hint="default"/>
          <w:spacing w:val="7"/>
          <w:position w:val="-1"/>
        </w:rPr>
        <w:t> </w:t>
      </w:r>
      <w:r>
        <w:rPr>
          <w:spacing w:val="7"/>
          <w:position w:val="-1"/>
        </w:rPr>
      </w:r>
      <w:r>
        <w:rPr>
          <w:position w:val="-1"/>
          <w:u w:val="single" w:color="000000"/>
        </w:rPr>
        <w:t>股本溢价 </w:t>
      </w:r>
      <w:r>
        <w:rPr>
          <w:rFonts w:ascii="Arial" w:hAnsi="Arial" w:cs="Arial" w:eastAsia="Arial" w:hint="default"/>
          <w:position w:val="-1"/>
          <w:u w:val="single" w:color="000000"/>
        </w:rPr>
        <w:t>(a)</w:t>
        <w:tab/>
      </w:r>
      <w:r>
        <w:rPr>
          <w:rFonts w:ascii="Arial" w:hAnsi="Arial" w:cs="Arial" w:eastAsia="Arial" w:hint="default"/>
          <w:position w:val="-1"/>
        </w:rPr>
        <w:tab/>
      </w:r>
      <w:r>
        <w:rPr>
          <w:rFonts w:ascii="Arial" w:hAnsi="Arial" w:cs="Arial" w:eastAsia="Arial" w:hint="default"/>
          <w:spacing w:val="-1"/>
        </w:rPr>
        <w:t>933,786</w:t>
        <w:tab/>
      </w:r>
      <w:r>
        <w:rPr>
          <w:rFonts w:ascii="Arial" w:hAnsi="Arial" w:cs="Arial" w:eastAsia="Arial" w:hint="default"/>
          <w:position w:val="-6"/>
        </w:rPr>
        <w:t>-</w:t>
        <w:tab/>
      </w:r>
      <w:r>
        <w:rPr>
          <w:rFonts w:ascii="Arial" w:hAnsi="Arial" w:cs="Arial" w:eastAsia="Arial" w:hint="default"/>
          <w:spacing w:val="-1"/>
          <w:position w:val="-6"/>
        </w:rPr>
        <w:t>(720,752)</w:t>
        <w:tab/>
      </w:r>
      <w:r>
        <w:rPr>
          <w:rFonts w:ascii="Arial" w:hAnsi="Arial" w:cs="Arial" w:eastAsia="Arial" w:hint="default"/>
          <w:spacing w:val="-1"/>
        </w:rPr>
        <w:t>213,034</w:t>
      </w:r>
      <w:r>
        <w:rPr>
          <w:rFonts w:ascii="Arial" w:hAnsi="Arial" w:cs="Arial" w:eastAsia="Arial" w:hint="default"/>
        </w:rPr>
      </w:r>
    </w:p>
    <w:p>
      <w:pPr>
        <w:pStyle w:val="BodyText"/>
        <w:tabs>
          <w:tab w:pos="699" w:val="left" w:leader="none"/>
          <w:tab w:pos="3117" w:val="left" w:leader="none"/>
          <w:tab w:pos="4181" w:val="left" w:leader="none"/>
          <w:tab w:pos="6393" w:val="left" w:leader="none"/>
          <w:tab w:pos="7975" w:val="left" w:leader="none"/>
          <w:tab w:pos="9416" w:val="left" w:leader="none"/>
        </w:tabs>
        <w:spacing w:line="365" w:lineRule="exact"/>
        <w:ind w:left="137" w:right="0"/>
        <w:jc w:val="left"/>
        <w:rPr>
          <w:rFonts w:ascii="Arial" w:hAnsi="Arial" w:cs="Arial" w:eastAsia="Arial" w:hint="default"/>
        </w:rPr>
      </w:pPr>
      <w:r>
        <w:rPr>
          <w:rFonts w:ascii="Times New Roman" w:hAnsi="Times New Roman" w:cs="Times New Roman" w:eastAsia="Times New Roman" w:hint="default"/>
          <w:position w:val="-1"/>
        </w:rPr>
      </w:r>
      <w:r>
        <w:rPr>
          <w:rFonts w:ascii="Times New Roman" w:hAnsi="Times New Roman" w:cs="Times New Roman" w:eastAsia="Times New Roman" w:hint="default"/>
          <w:position w:val="-1"/>
          <w:u w:val="single" w:color="000000"/>
        </w:rPr>
        <w:t> </w:t>
        <w:tab/>
      </w:r>
      <w:r>
        <w:rPr>
          <w:rFonts w:ascii="Times New Roman" w:hAnsi="Times New Roman" w:cs="Times New Roman" w:eastAsia="Times New Roman" w:hint="default"/>
          <w:position w:val="-1"/>
        </w:rPr>
        <w:t>  </w:t>
      </w:r>
      <w:r>
        <w:rPr>
          <w:rFonts w:ascii="Times New Roman" w:hAnsi="Times New Roman" w:cs="Times New Roman" w:eastAsia="Times New Roman" w:hint="default"/>
          <w:spacing w:val="10"/>
          <w:position w:val="-1"/>
        </w:rPr>
        <w:t> </w:t>
      </w:r>
      <w:r>
        <w:rPr>
          <w:spacing w:val="10"/>
          <w:position w:val="-1"/>
        </w:rPr>
      </w:r>
      <w:r>
        <w:rPr>
          <w:position w:val="-1"/>
          <w:u w:val="single" w:color="000000"/>
        </w:rPr>
        <w:t>其他资本公积</w:t>
        <w:tab/>
      </w:r>
      <w:r>
        <w:rPr>
          <w:position w:val="-1"/>
        </w:rPr>
        <w:tab/>
      </w:r>
      <w:r>
        <w:rPr>
          <w:rFonts w:ascii="Arial" w:hAnsi="Arial" w:cs="Arial" w:eastAsia="Arial" w:hint="default"/>
          <w:spacing w:val="-1"/>
        </w:rPr>
        <w:t>2,605</w:t>
        <w:tab/>
      </w:r>
      <w:r>
        <w:rPr>
          <w:rFonts w:ascii="Arial" w:hAnsi="Arial" w:cs="Arial" w:eastAsia="Arial" w:hint="default"/>
          <w:position w:val="-6"/>
        </w:rPr>
        <w:t>-</w:t>
        <w:tab/>
        <w:t>-</w:t>
        <w:tab/>
      </w:r>
      <w:r>
        <w:rPr>
          <w:rFonts w:ascii="Arial" w:hAnsi="Arial" w:cs="Arial" w:eastAsia="Arial" w:hint="default"/>
          <w:spacing w:val="-1"/>
        </w:rPr>
        <w:t>2,605</w:t>
      </w:r>
      <w:r>
        <w:rPr>
          <w:rFonts w:ascii="Arial" w:hAnsi="Arial" w:cs="Arial" w:eastAsia="Arial" w:hint="default"/>
        </w:rPr>
      </w:r>
    </w:p>
    <w:p>
      <w:pPr>
        <w:tabs>
          <w:tab w:pos="5242" w:val="left" w:leader="none"/>
          <w:tab w:pos="6862" w:val="left" w:leader="none"/>
          <w:tab w:pos="8506" w:val="left" w:leader="none"/>
        </w:tabs>
        <w:spacing w:line="20" w:lineRule="exact"/>
        <w:ind w:left="3183" w:right="0" w:firstLine="0"/>
        <w:rPr>
          <w:rFonts w:ascii="Arial" w:hAnsi="Arial" w:cs="Arial" w:eastAsia="Arial" w:hint="default"/>
          <w:sz w:val="2"/>
          <w:szCs w:val="2"/>
        </w:rPr>
      </w:pPr>
      <w:r>
        <w:rPr>
          <w:rFonts w:ascii="Arial"/>
          <w:sz w:val="2"/>
        </w:rPr>
        <w:pict>
          <v:group style="width:85.2pt;height:.5pt;mso-position-horizontal-relative:char;mso-position-vertical-relative:line" coordorigin="0,0" coordsize="1704,10">
            <v:group style="position:absolute;left:5;top:5;width:1695;height:2" coordorigin="5,5" coordsize="1695,2">
              <v:shape style="position:absolute;left:5;top:5;width:1695;height:2" coordorigin="5,5" coordsize="1695,0" path="m5,5l1699,5e" filled="false" stroked="true" strokeweight=".47998pt" strokecolor="#000000">
                <v:path arrowok="t"/>
              </v:shape>
            </v:group>
          </v:group>
        </w:pict>
      </w:r>
      <w:r>
        <w:rPr>
          <w:rFonts w:ascii="Arial"/>
          <w:sz w:val="2"/>
        </w:rPr>
      </w:r>
      <w:r>
        <w:rPr>
          <w:rFonts w:ascii="Arial"/>
          <w:sz w:val="2"/>
        </w:rPr>
        <w:tab/>
      </w:r>
      <w:r>
        <w:rPr>
          <w:rFonts w:ascii="Arial"/>
          <w:sz w:val="2"/>
        </w:rPr>
        <w:pict>
          <v:group style="width:66.8pt;height:.5pt;mso-position-horizontal-relative:char;mso-position-vertical-relative:line" coordorigin="0,0" coordsize="1336,10">
            <v:group style="position:absolute;left:5;top:5;width:1326;height:2" coordorigin="5,5" coordsize="1326,2">
              <v:shape style="position:absolute;left:5;top:5;width:1326;height:2" coordorigin="5,5" coordsize="1326,0" path="m5,5l1331,5e" filled="false" stroked="true" strokeweight=".47998pt" strokecolor="#000000">
                <v:path arrowok="t"/>
              </v:shape>
            </v:group>
          </v:group>
        </w:pict>
      </w:r>
      <w:r>
        <w:rPr>
          <w:rFonts w:ascii="Arial"/>
          <w:sz w:val="2"/>
        </w:rPr>
      </w:r>
      <w:r>
        <w:rPr>
          <w:rFonts w:ascii="Arial"/>
          <w:sz w:val="2"/>
        </w:rPr>
        <w:tab/>
      </w:r>
      <w:r>
        <w:rPr>
          <w:rFonts w:ascii="Arial"/>
          <w:sz w:val="2"/>
        </w:rPr>
        <w:pict>
          <v:group style="width:68.55pt;height:.5pt;mso-position-horizontal-relative:char;mso-position-vertical-relative:line" coordorigin="0,0" coordsize="1371,10">
            <v:group style="position:absolute;left:5;top:5;width:1361;height:2" coordorigin="5,5" coordsize="1361,2">
              <v:shape style="position:absolute;left:5;top:5;width:1361;height:2" coordorigin="5,5" coordsize="1361,0" path="m5,5l1366,5e" filled="false" stroked="true" strokeweight=".48pt" strokecolor="#000000">
                <v:path arrowok="t"/>
              </v:shape>
            </v:group>
          </v:group>
        </w:pict>
      </w:r>
      <w:r>
        <w:rPr>
          <w:rFonts w:ascii="Arial"/>
          <w:sz w:val="2"/>
        </w:rPr>
      </w:r>
      <w:r>
        <w:rPr>
          <w:rFonts w:ascii="Arial"/>
          <w:sz w:val="2"/>
        </w:rPr>
        <w:tab/>
      </w:r>
      <w:r>
        <w:rPr>
          <w:rFonts w:ascii="Arial"/>
          <w:sz w:val="2"/>
        </w:rPr>
        <w:pict>
          <v:group style="width:80.850pt;height:.5pt;mso-position-horizontal-relative:char;mso-position-vertical-relative:line" coordorigin="0,0" coordsize="1617,10">
            <v:group style="position:absolute;left:5;top:5;width:1607;height:2" coordorigin="5,5" coordsize="1607,2">
              <v:shape style="position:absolute;left:5;top:5;width:1607;height:2" coordorigin="5,5" coordsize="1607,0" path="m5,5l1612,5e" filled="false" stroked="true" strokeweight=".47998pt" strokecolor="#000000">
                <v:path arrowok="t"/>
              </v:shape>
            </v:group>
          </v:group>
        </w:pict>
      </w:r>
      <w:r>
        <w:rPr>
          <w:rFonts w:ascii="Arial"/>
          <w:sz w:val="2"/>
        </w:rPr>
      </w:r>
    </w:p>
    <w:p>
      <w:pPr>
        <w:pStyle w:val="BodyText"/>
        <w:tabs>
          <w:tab w:pos="3915" w:val="left" w:leader="none"/>
          <w:tab w:pos="5247" w:val="left" w:leader="none"/>
          <w:tab w:pos="6393" w:val="left" w:leader="none"/>
          <w:tab w:pos="6867" w:val="left" w:leader="none"/>
          <w:tab w:pos="8511" w:val="left" w:leader="none"/>
          <w:tab w:pos="9149" w:val="left" w:leader="none"/>
          <w:tab w:pos="10118" w:val="left" w:leader="none"/>
        </w:tabs>
        <w:spacing w:line="240" w:lineRule="auto"/>
        <w:ind w:left="3188" w:right="0"/>
        <w:jc w:val="left"/>
        <w:rPr>
          <w:rFonts w:ascii="Arial" w:hAnsi="Arial" w:cs="Arial" w:eastAsia="Arial" w:hint="default"/>
        </w:rPr>
      </w:pPr>
      <w:r>
        <w:rPr/>
        <w:pict>
          <v:group style="position:absolute;margin-left:90.839996pt;margin-top:11.796132pt;width:113.05pt;height:.1pt;mso-position-horizontal-relative:page;mso-position-vertical-relative:paragraph;z-index:3328" coordorigin="1817,236" coordsize="2261,2">
            <v:shape style="position:absolute;left:1817;top:236;width:2261;height:2" coordorigin="1817,236" coordsize="2261,0" path="m1817,236l4078,236e" filled="false" stroked="true" strokeweight=".72003pt" strokecolor="#000000">
              <v:path arrowok="t"/>
            </v:shape>
            <w10:wrap type="none"/>
          </v:group>
        </w:pict>
      </w:r>
      <w:r>
        <w:rPr>
          <w:rFonts w:ascii="Arial"/>
        </w:rPr>
      </w:r>
      <w:r>
        <w:rPr>
          <w:rFonts w:ascii="Arial"/>
          <w:u w:val="thick" w:color="000000"/>
        </w:rPr>
        <w:t> </w:t>
        <w:tab/>
      </w:r>
      <w:r>
        <w:rPr>
          <w:rFonts w:ascii="Arial"/>
          <w:spacing w:val="-1"/>
          <w:u w:val="thick" w:color="000000"/>
        </w:rPr>
        <w:t>936,391</w:t>
      </w:r>
      <w:r>
        <w:rPr>
          <w:rFonts w:ascii="Arial"/>
          <w:spacing w:val="-1"/>
        </w:rPr>
        <w:tab/>
      </w:r>
      <w:r>
        <w:rPr>
          <w:rFonts w:ascii="Arial"/>
          <w:spacing w:val="-1"/>
          <w:u w:val="thick" w:color="000000"/>
        </w:rPr>
        <w:t> </w:t>
        <w:tab/>
      </w:r>
      <w:r>
        <w:rPr>
          <w:rFonts w:ascii="Arial"/>
          <w:u w:val="thick" w:color="000000"/>
        </w:rPr>
        <w:t>-</w:t>
      </w:r>
      <w:r>
        <w:rPr>
          <w:rFonts w:ascii="Arial"/>
        </w:rPr>
        <w:tab/>
      </w:r>
      <w:r>
        <w:rPr>
          <w:rFonts w:ascii="Arial"/>
          <w:u w:val="thick" w:color="000000"/>
        </w:rPr>
        <w:t> </w:t>
      </w:r>
      <w:r>
        <w:rPr>
          <w:rFonts w:ascii="Arial"/>
          <w:spacing w:val="-1"/>
          <w:u w:val="thick" w:color="000000"/>
        </w:rPr>
        <w:t>(720,752)</w:t>
      </w:r>
      <w:r>
        <w:rPr>
          <w:rFonts w:ascii="Arial"/>
          <w:spacing w:val="-1"/>
        </w:rPr>
        <w:tab/>
      </w:r>
      <w:r>
        <w:rPr>
          <w:rFonts w:ascii="Arial"/>
          <w:spacing w:val="-1"/>
          <w:u w:val="thick" w:color="000000"/>
        </w:rPr>
        <w:t> </w:t>
        <w:tab/>
        <w:t>215,639</w:t>
        <w:tab/>
      </w:r>
      <w:r>
        <w:rPr>
          <w:rFonts w:ascii="Arial"/>
          <w:spacing w:val="-1"/>
        </w:rPr>
      </w:r>
    </w:p>
    <w:p>
      <w:pPr>
        <w:spacing w:line="240" w:lineRule="auto" w:before="7"/>
        <w:rPr>
          <w:rFonts w:ascii="Arial" w:hAnsi="Arial" w:cs="Arial" w:eastAsia="Arial" w:hint="default"/>
          <w:sz w:val="22"/>
          <w:szCs w:val="22"/>
        </w:rPr>
      </w:pPr>
    </w:p>
    <w:p>
      <w:pPr>
        <w:spacing w:line="20" w:lineRule="exact"/>
        <w:ind w:left="849" w:right="0" w:firstLine="0"/>
        <w:rPr>
          <w:rFonts w:ascii="Arial" w:hAnsi="Arial" w:cs="Arial" w:eastAsia="Arial" w:hint="default"/>
          <w:sz w:val="2"/>
          <w:szCs w:val="2"/>
        </w:rPr>
      </w:pPr>
      <w:r>
        <w:rPr>
          <w:rFonts w:ascii="Arial" w:hAnsi="Arial" w:cs="Arial" w:eastAsia="Arial" w:hint="default"/>
          <w:sz w:val="2"/>
          <w:szCs w:val="2"/>
        </w:rPr>
        <w:pict>
          <v:group style="width:460.3pt;height:.75pt;mso-position-horizontal-relative:char;mso-position-vertical-relative:line" coordorigin="0,0" coordsize="9206,15">
            <v:group style="position:absolute;left:7;top:7;width:9191;height:2" coordorigin="7,7" coordsize="9191,2">
              <v:shape style="position:absolute;left:7;top:7;width:9191;height:2" coordorigin="7,7" coordsize="9191,0" path="m7,7l9198,7e" filled="false" stroked="true" strokeweight=".71997pt" strokecolor="#000000">
                <v:path arrowok="t"/>
              </v:shape>
            </v:group>
          </v:group>
        </w:pict>
      </w:r>
      <w:r>
        <w:rPr>
          <w:rFonts w:ascii="Arial" w:hAnsi="Arial" w:cs="Arial" w:eastAsia="Arial" w:hint="default"/>
          <w:sz w:val="2"/>
          <w:szCs w:val="2"/>
        </w:rPr>
      </w:r>
    </w:p>
    <w:p>
      <w:pPr>
        <w:pStyle w:val="BodyText"/>
        <w:tabs>
          <w:tab w:pos="886" w:val="left" w:leader="none"/>
        </w:tabs>
        <w:spacing w:line="312" w:lineRule="exact"/>
        <w:ind w:left="167" w:right="0"/>
        <w:jc w:val="left"/>
      </w:pPr>
      <w:r>
        <w:rPr>
          <w:rFonts w:ascii="Arial" w:hAnsi="Arial" w:cs="Arial" w:eastAsia="Arial" w:hint="default"/>
          <w:position w:val="2"/>
        </w:rPr>
        <w:t>(a)</w:t>
        <w:tab/>
      </w:r>
      <w:r>
        <w:rPr/>
        <w:t>经于</w:t>
      </w:r>
      <w:r>
        <w:rPr>
          <w:spacing w:val="-63"/>
        </w:rPr>
        <w:t> </w:t>
      </w:r>
      <w:r>
        <w:rPr>
          <w:rFonts w:ascii="Arial" w:hAnsi="Arial" w:cs="Arial" w:eastAsia="Arial" w:hint="default"/>
        </w:rPr>
        <w:t>2007</w:t>
      </w:r>
      <w:r>
        <w:rPr>
          <w:rFonts w:ascii="Arial" w:hAnsi="Arial" w:cs="Arial" w:eastAsia="Arial" w:hint="default"/>
          <w:spacing w:val="-10"/>
        </w:rPr>
        <w:t> </w:t>
      </w:r>
      <w:r>
        <w:rPr/>
        <w:t>年</w:t>
      </w:r>
      <w:r>
        <w:rPr>
          <w:spacing w:val="-63"/>
        </w:rPr>
        <w:t> </w:t>
      </w:r>
      <w:r>
        <w:rPr>
          <w:rFonts w:ascii="Arial" w:hAnsi="Arial" w:cs="Arial" w:eastAsia="Arial" w:hint="default"/>
        </w:rPr>
        <w:t>3</w:t>
      </w:r>
      <w:r>
        <w:rPr>
          <w:rFonts w:ascii="Arial" w:hAnsi="Arial" w:cs="Arial" w:eastAsia="Arial" w:hint="default"/>
          <w:spacing w:val="-10"/>
        </w:rPr>
        <w:t> </w:t>
      </w:r>
      <w:r>
        <w:rPr/>
        <w:t>月</w:t>
      </w:r>
      <w:r>
        <w:rPr>
          <w:spacing w:val="-63"/>
        </w:rPr>
        <w:t> </w:t>
      </w:r>
      <w:r>
        <w:rPr>
          <w:rFonts w:ascii="Arial" w:hAnsi="Arial" w:cs="Arial" w:eastAsia="Arial" w:hint="default"/>
        </w:rPr>
        <w:t>30</w:t>
      </w:r>
      <w:r>
        <w:rPr>
          <w:rFonts w:ascii="Arial" w:hAnsi="Arial" w:cs="Arial" w:eastAsia="Arial" w:hint="default"/>
          <w:spacing w:val="-10"/>
        </w:rPr>
        <w:t> </w:t>
      </w:r>
      <w:r>
        <w:rPr/>
        <w:t>日召开的</w:t>
      </w:r>
      <w:r>
        <w:rPr>
          <w:spacing w:val="-63"/>
        </w:rPr>
        <w:t> </w:t>
      </w:r>
      <w:r>
        <w:rPr>
          <w:rFonts w:ascii="Arial" w:hAnsi="Arial" w:cs="Arial" w:eastAsia="Arial" w:hint="default"/>
        </w:rPr>
        <w:t>2006</w:t>
      </w:r>
      <w:r>
        <w:rPr>
          <w:rFonts w:ascii="Arial" w:hAnsi="Arial" w:cs="Arial" w:eastAsia="Arial" w:hint="default"/>
          <w:spacing w:val="-10"/>
        </w:rPr>
        <w:t> </w:t>
      </w:r>
      <w:r>
        <w:rPr/>
        <w:t>年年度股东大会决议通过，本公司以资本公积转增</w:t>
      </w:r>
    </w:p>
    <w:p>
      <w:pPr>
        <w:pStyle w:val="BodyText"/>
        <w:spacing w:line="323" w:lineRule="exact"/>
        <w:ind w:left="890" w:right="0"/>
        <w:jc w:val="left"/>
      </w:pPr>
      <w:r>
        <w:rPr/>
        <w:t>股本人民币</w:t>
      </w:r>
      <w:r>
        <w:rPr>
          <w:spacing w:val="-65"/>
        </w:rPr>
        <w:t> </w:t>
      </w:r>
      <w:r>
        <w:rPr>
          <w:rFonts w:ascii="Arial" w:hAnsi="Arial" w:cs="Arial" w:eastAsia="Arial" w:hint="default"/>
        </w:rPr>
        <w:t>720,752,000</w:t>
      </w:r>
      <w:r>
        <w:rPr>
          <w:rFonts w:ascii="Arial" w:hAnsi="Arial" w:cs="Arial" w:eastAsia="Arial" w:hint="default"/>
          <w:spacing w:val="-12"/>
        </w:rPr>
        <w:t> </w:t>
      </w:r>
      <w:r>
        <w:rPr/>
        <w:t>元。</w:t>
      </w:r>
    </w:p>
    <w:p>
      <w:pPr>
        <w:spacing w:line="240" w:lineRule="auto" w:before="12"/>
        <w:rPr>
          <w:rFonts w:ascii="宋体" w:hAnsi="宋体" w:cs="宋体" w:eastAsia="宋体" w:hint="default"/>
          <w:sz w:val="2"/>
          <w:szCs w:val="2"/>
        </w:rPr>
      </w:pPr>
    </w:p>
    <w:p>
      <w:pPr>
        <w:spacing w:line="20" w:lineRule="exact"/>
        <w:ind w:left="849" w:right="0" w:firstLine="0"/>
        <w:rPr>
          <w:rFonts w:ascii="宋体" w:hAnsi="宋体" w:cs="宋体" w:eastAsia="宋体" w:hint="default"/>
          <w:sz w:val="2"/>
          <w:szCs w:val="2"/>
        </w:rPr>
      </w:pPr>
      <w:r>
        <w:rPr>
          <w:rFonts w:ascii="宋体" w:hAnsi="宋体" w:cs="宋体" w:eastAsia="宋体" w:hint="default"/>
          <w:sz w:val="2"/>
          <w:szCs w:val="2"/>
        </w:rPr>
        <w:pict>
          <v:group style="width:460.3pt;height:.75pt;mso-position-horizontal-relative:char;mso-position-vertical-relative:line" coordorigin="0,0" coordsize="9206,15">
            <v:group style="position:absolute;left:7;top:7;width:9191;height:2" coordorigin="7,7" coordsize="9191,2">
              <v:shape style="position:absolute;left:7;top:7;width:9191;height:2" coordorigin="7,7" coordsize="9191,0" path="m7,7l9198,7e" filled="false" stroked="true" strokeweight=".71997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5"/>
          <w:szCs w:val="15"/>
        </w:rPr>
      </w:pPr>
    </w:p>
    <w:p>
      <w:pPr>
        <w:tabs>
          <w:tab w:pos="941" w:val="left" w:leader="none"/>
        </w:tabs>
        <w:spacing w:before="32"/>
        <w:ind w:left="167" w:right="0" w:firstLine="0"/>
        <w:jc w:val="left"/>
        <w:rPr>
          <w:rFonts w:ascii="宋体" w:hAnsi="宋体" w:cs="宋体" w:eastAsia="宋体" w:hint="default"/>
          <w:sz w:val="24"/>
          <w:szCs w:val="24"/>
        </w:rPr>
      </w:pPr>
      <w:r>
        <w:rPr>
          <w:rFonts w:ascii="Arial" w:hAnsi="Arial" w:cs="Arial" w:eastAsia="Arial" w:hint="default"/>
          <w:position w:val="2"/>
          <w:sz w:val="24"/>
          <w:szCs w:val="24"/>
        </w:rPr>
        <w:t>(24)</w:t>
        <w:tab/>
      </w:r>
      <w:r>
        <w:rPr>
          <w:rFonts w:ascii="宋体" w:hAnsi="宋体" w:cs="宋体" w:eastAsia="宋体" w:hint="default"/>
          <w:b/>
          <w:bCs/>
          <w:sz w:val="24"/>
          <w:szCs w:val="24"/>
        </w:rPr>
        <w:t>盈余公积</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1600" w:bottom="280" w:left="960" w:right="700"/>
        </w:sectPr>
      </w:pPr>
    </w:p>
    <w:p>
      <w:pPr>
        <w:pStyle w:val="BodyText"/>
        <w:spacing w:line="322" w:lineRule="exact" w:before="26"/>
        <w:ind w:left="3865" w:right="3474"/>
        <w:jc w:val="center"/>
      </w:pPr>
      <w:r>
        <w:rPr>
          <w:rFonts w:ascii="Arial" w:hAnsi="Arial" w:cs="Arial" w:eastAsia="Arial" w:hint="default"/>
        </w:rPr>
        <w:t>2006</w:t>
      </w:r>
      <w:r>
        <w:rPr>
          <w:rFonts w:ascii="Arial" w:hAnsi="Arial" w:cs="Arial" w:eastAsia="Arial" w:hint="default"/>
          <w:spacing w:val="-10"/>
        </w:rPr>
        <w:t> </w:t>
      </w:r>
      <w:r>
        <w:rPr/>
        <w:t>年</w:t>
      </w:r>
    </w:p>
    <w:p>
      <w:pPr>
        <w:pStyle w:val="BodyText"/>
        <w:tabs>
          <w:tab w:pos="5548" w:val="left" w:leader="none"/>
          <w:tab w:pos="7250" w:val="left" w:leader="none"/>
        </w:tabs>
        <w:spacing w:line="312" w:lineRule="exact"/>
        <w:ind w:left="3523"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本年提取</w:t>
        <w:tab/>
        <w:t>本年减少</w:t>
      </w:r>
    </w:p>
    <w:p>
      <w:pPr>
        <w:pStyle w:val="BodyText"/>
        <w:spacing w:line="322" w:lineRule="exact"/>
        <w:ind w:left="0" w:right="918"/>
        <w:jc w:val="righ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pStyle w:val="BodyText"/>
        <w:spacing w:line="322" w:lineRule="exact" w:before="26"/>
        <w:ind w:left="969" w:right="0"/>
        <w:jc w:val="left"/>
      </w:pPr>
      <w:r>
        <w:rPr/>
        <w:br w:type="column"/>
      </w:r>
      <w:r>
        <w:rPr>
          <w:rFonts w:ascii="Arial" w:hAnsi="Arial" w:cs="Arial" w:eastAsia="Arial" w:hint="default"/>
        </w:rPr>
        <w:t>2007</w:t>
      </w:r>
      <w:r>
        <w:rPr>
          <w:rFonts w:ascii="Arial" w:hAnsi="Arial" w:cs="Arial" w:eastAsia="Arial" w:hint="default"/>
          <w:spacing w:val="-10"/>
        </w:rPr>
        <w:t> </w:t>
      </w:r>
      <w:r>
        <w:rPr/>
        <w:t>年</w:t>
      </w:r>
    </w:p>
    <w:p>
      <w:pPr>
        <w:pStyle w:val="BodyText"/>
        <w:spacing w:line="322" w:lineRule="exact"/>
        <w:ind w:left="607"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960" w:right="700"/>
          <w:cols w:num="2" w:equalWidth="0">
            <w:col w:w="8211" w:space="40"/>
            <w:col w:w="1999"/>
          </w:cols>
        </w:sectPr>
      </w:pPr>
    </w:p>
    <w:p>
      <w:pPr>
        <w:spacing w:line="240" w:lineRule="auto" w:before="2"/>
        <w:rPr>
          <w:rFonts w:ascii="宋体" w:hAnsi="宋体" w:cs="宋体" w:eastAsia="宋体" w:hint="default"/>
          <w:sz w:val="17"/>
          <w:szCs w:val="17"/>
        </w:rPr>
      </w:pPr>
    </w:p>
    <w:p>
      <w:pPr>
        <w:pStyle w:val="BodyText"/>
        <w:tabs>
          <w:tab w:pos="3850" w:val="left" w:leader="none"/>
          <w:tab w:pos="5775" w:val="left" w:leader="none"/>
          <w:tab w:pos="8129" w:val="left" w:leader="none"/>
          <w:tab w:pos="9185" w:val="left" w:leader="none"/>
        </w:tabs>
        <w:spacing w:line="240" w:lineRule="auto" w:before="35"/>
        <w:ind w:left="906" w:right="0"/>
        <w:jc w:val="left"/>
        <w:rPr>
          <w:rFonts w:ascii="Arial" w:hAnsi="Arial" w:cs="Arial" w:eastAsia="Arial" w:hint="default"/>
        </w:rPr>
      </w:pPr>
      <w:r>
        <w:rPr>
          <w:position w:val="5"/>
        </w:rPr>
        <w:t>法定盈余公积金</w:t>
        <w:tab/>
      </w:r>
      <w:r>
        <w:rPr>
          <w:rFonts w:ascii="Arial" w:hAnsi="Arial" w:cs="Arial" w:eastAsia="Arial" w:hint="default"/>
          <w:spacing w:val="-1"/>
          <w:position w:val="7"/>
        </w:rPr>
        <w:t>131,018</w:t>
        <w:tab/>
      </w:r>
      <w:r>
        <w:rPr>
          <w:rFonts w:ascii="Arial" w:hAnsi="Arial" w:cs="Arial" w:eastAsia="Arial" w:hint="default"/>
          <w:spacing w:val="-1"/>
        </w:rPr>
        <w:t>92,852</w:t>
        <w:tab/>
      </w:r>
      <w:r>
        <w:rPr>
          <w:rFonts w:ascii="Arial" w:hAnsi="Arial" w:cs="Arial" w:eastAsia="Arial" w:hint="default"/>
        </w:rPr>
        <w:t>-</w:t>
        <w:tab/>
      </w:r>
      <w:r>
        <w:rPr>
          <w:rFonts w:ascii="Arial" w:hAnsi="Arial" w:cs="Arial" w:eastAsia="Arial" w:hint="default"/>
          <w:spacing w:val="-1"/>
        </w:rPr>
        <w:t>223,870</w:t>
      </w:r>
      <w:r>
        <w:rPr>
          <w:rFonts w:ascii="Arial" w:hAnsi="Arial" w:cs="Arial" w:eastAsia="Arial" w:hint="default"/>
        </w:rPr>
      </w:r>
    </w:p>
    <w:p>
      <w:pPr>
        <w:tabs>
          <w:tab w:pos="5152" w:val="left" w:leader="none"/>
          <w:tab w:pos="6852" w:val="left" w:leader="none"/>
          <w:tab w:pos="8539" w:val="left" w:leader="none"/>
        </w:tabs>
        <w:spacing w:line="44" w:lineRule="exact"/>
        <w:ind w:left="868" w:right="0" w:firstLine="0"/>
        <w:rPr>
          <w:rFonts w:ascii="Arial" w:hAnsi="Arial" w:cs="Arial" w:eastAsia="Arial" w:hint="default"/>
          <w:sz w:val="3"/>
          <w:szCs w:val="3"/>
        </w:rPr>
      </w:pPr>
      <w:r>
        <w:rPr>
          <w:rFonts w:ascii="Arial"/>
          <w:position w:val="0"/>
          <w:sz w:val="4"/>
        </w:rPr>
        <w:pict>
          <v:group style="width:196.35pt;height:2.25pt;mso-position-horizontal-relative:char;mso-position-vertical-relative:line" coordorigin="0,0" coordsize="3927,45">
            <v:group style="position:absolute;left:7;top:7;width:2176;height:2" coordorigin="7,7" coordsize="2176,2">
              <v:shape style="position:absolute;left:7;top:7;width:2176;height:2" coordorigin="7,7" coordsize="2176,0" path="m7,7l2183,7e" filled="false" stroked="true" strokeweight=".72pt" strokecolor="#000000">
                <v:path arrowok="t"/>
              </v:shape>
            </v:group>
            <v:group style="position:absolute;left:2218;top:29;width:1695;height:2" coordorigin="2218,29" coordsize="1695,2">
              <v:shape style="position:absolute;left:2218;top:29;width:1695;height:2" coordorigin="2218,29" coordsize="1695,0" path="m2218,29l3912,29e" filled="false" stroked="true" strokeweight="1.5pt" strokecolor="#000000">
                <v:path arrowok="t"/>
              </v:shape>
            </v:group>
          </v:group>
        </w:pict>
      </w:r>
      <w:r>
        <w:rPr>
          <w:rFonts w:ascii="Arial"/>
          <w:position w:val="0"/>
          <w:sz w:val="4"/>
        </w:rPr>
      </w:r>
      <w:r>
        <w:rPr>
          <w:rFonts w:ascii="Arial"/>
          <w:position w:val="0"/>
          <w:sz w:val="4"/>
        </w:rPr>
        <w:tab/>
      </w:r>
      <w:r>
        <w:rPr>
          <w:rFonts w:ascii="Arial"/>
          <w:position w:val="0"/>
          <w:sz w:val="3"/>
        </w:rPr>
        <w:pict>
          <v:group style="width:71.850pt;height:1.5pt;mso-position-horizontal-relative:char;mso-position-vertical-relative:line" coordorigin="0,0" coordsize="1437,30">
            <v:group style="position:absolute;left:15;top:15;width:1407;height:2" coordorigin="15,15" coordsize="1407,2">
              <v:shape style="position:absolute;left:15;top:15;width:1407;height:2" coordorigin="15,15" coordsize="1407,0" path="m15,15l1421,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71.9pt;height:1.5pt;mso-position-horizontal-relative:char;mso-position-vertical-relative:line" coordorigin="0,0" coordsize="1438,30">
            <v:group style="position:absolute;left:15;top:15;width:1408;height:2" coordorigin="15,15" coordsize="1408,2">
              <v:shape style="position:absolute;left:15;top:15;width:1408;height:2" coordorigin="15,15" coordsize="1408,0" path="m15,15l1423,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79.7pt;height:1.5pt;mso-position-horizontal-relative:char;mso-position-vertical-relative:line" coordorigin="0,0" coordsize="1594,30">
            <v:group style="position:absolute;left:15;top:15;width:1564;height:2" coordorigin="15,15" coordsize="1564,2">
              <v:shape style="position:absolute;left:15;top:15;width:1564;height:2" coordorigin="15,15" coordsize="1564,0" path="m15,15l1579,15e" filled="false" stroked="true" strokeweight="1.5pt" strokecolor="#000000">
                <v:path arrowok="t"/>
              </v:shape>
            </v:group>
          </v:group>
        </w:pict>
      </w:r>
      <w:r>
        <w:rPr>
          <w:rFonts w:ascii="Arial"/>
          <w:position w:val="0"/>
          <w:sz w:val="3"/>
        </w:rPr>
      </w:r>
    </w:p>
    <w:p>
      <w:pPr>
        <w:spacing w:line="240" w:lineRule="auto" w:before="11"/>
        <w:rPr>
          <w:rFonts w:ascii="Arial" w:hAnsi="Arial" w:cs="Arial" w:eastAsia="Arial" w:hint="default"/>
          <w:sz w:val="25"/>
          <w:szCs w:val="25"/>
        </w:rPr>
      </w:pPr>
    </w:p>
    <w:p>
      <w:pPr>
        <w:spacing w:line="20" w:lineRule="exact"/>
        <w:ind w:left="868" w:right="0" w:firstLine="0"/>
        <w:rPr>
          <w:rFonts w:ascii="Arial" w:hAnsi="Arial" w:cs="Arial" w:eastAsia="Arial" w:hint="default"/>
          <w:sz w:val="2"/>
          <w:szCs w:val="2"/>
        </w:rPr>
      </w:pPr>
      <w:r>
        <w:rPr>
          <w:rFonts w:ascii="Arial" w:hAnsi="Arial" w:cs="Arial" w:eastAsia="Arial" w:hint="default"/>
          <w:sz w:val="2"/>
          <w:szCs w:val="2"/>
        </w:rPr>
        <w:pict>
          <v:group style="width:109.5pt;height:.75pt;mso-position-horizontal-relative:char;mso-position-vertical-relative:line" coordorigin="0,0" coordsize="2190,15">
            <v:group style="position:absolute;left:7;top:7;width:2176;height:2" coordorigin="7,7" coordsize="2176,2">
              <v:shape style="position:absolute;left:7;top:7;width:2176;height:2" coordorigin="7,7" coordsize="2176,0" path="m7,7l2183,7e" filled="false" stroked="true" strokeweight=".72pt" strokecolor="#000000">
                <v:path arrowok="t"/>
              </v:shape>
            </v:group>
          </v:group>
        </w:pict>
      </w:r>
      <w:r>
        <w:rPr>
          <w:rFonts w:ascii="Arial" w:hAnsi="Arial" w:cs="Arial" w:eastAsia="Arial" w:hint="default"/>
          <w:sz w:val="2"/>
          <w:szCs w:val="2"/>
        </w:rPr>
      </w:r>
    </w:p>
    <w:p>
      <w:pPr>
        <w:pStyle w:val="BodyText"/>
        <w:spacing w:line="268" w:lineRule="exact"/>
        <w:ind w:left="906" w:right="0"/>
        <w:jc w:val="both"/>
      </w:pPr>
      <w:r>
        <w:rPr>
          <w:spacing w:val="3"/>
        </w:rPr>
        <w:t>根据《中华人民共和国公司法</w:t>
      </w:r>
      <w:r>
        <w:rPr>
          <w:spacing w:val="-115"/>
        </w:rPr>
        <w:t>》</w:t>
      </w:r>
      <w:r>
        <w:rPr>
          <w:spacing w:val="3"/>
        </w:rPr>
        <w:t>、本公司章程及董事会的决议，本公司按年度净利润的</w:t>
      </w:r>
      <w:r>
        <w:rPr/>
      </w:r>
    </w:p>
    <w:p>
      <w:pPr>
        <w:pStyle w:val="BodyText"/>
        <w:spacing w:line="312" w:lineRule="exact" w:before="29"/>
        <w:ind w:left="906" w:right="191"/>
        <w:jc w:val="both"/>
      </w:pPr>
      <w:r>
        <w:rPr>
          <w:rFonts w:ascii="Arial" w:hAnsi="Arial" w:cs="Arial" w:eastAsia="Arial" w:hint="default"/>
        </w:rPr>
        <w:t>10%</w:t>
      </w:r>
      <w:r>
        <w:rPr/>
        <w:t>提取法定盈余公积金，当法定盈余公积金累计额达到股本的</w:t>
      </w:r>
      <w:r>
        <w:rPr>
          <w:spacing w:val="-93"/>
        </w:rPr>
        <w:t> </w:t>
      </w:r>
      <w:r>
        <w:rPr>
          <w:rFonts w:ascii="Arial" w:hAnsi="Arial" w:cs="Arial" w:eastAsia="Arial" w:hint="default"/>
        </w:rPr>
        <w:t>50%</w:t>
      </w:r>
      <w:r>
        <w:rPr/>
        <w:t>以上时，可不再提 取。法定盈余公积金经批准后可用于弥补亏损，或者增加股本。本公司 </w:t>
      </w:r>
      <w:r>
        <w:rPr>
          <w:rFonts w:ascii="Arial" w:hAnsi="Arial" w:cs="Arial" w:eastAsia="Arial" w:hint="default"/>
        </w:rPr>
        <w:t>2007</w:t>
      </w:r>
      <w:r>
        <w:rPr>
          <w:rFonts w:ascii="Arial" w:hAnsi="Arial" w:cs="Arial" w:eastAsia="Arial" w:hint="default"/>
          <w:spacing w:val="22"/>
        </w:rPr>
        <w:t> </w:t>
      </w:r>
      <w:r>
        <w:rPr/>
        <w:t>年按净利 润的</w:t>
      </w:r>
      <w:r>
        <w:rPr>
          <w:spacing w:val="-48"/>
        </w:rPr>
        <w:t> </w:t>
      </w:r>
      <w:r>
        <w:rPr>
          <w:rFonts w:ascii="Arial" w:hAnsi="Arial" w:cs="Arial" w:eastAsia="Arial" w:hint="default"/>
        </w:rPr>
        <w:t>10%</w:t>
      </w:r>
      <w:r>
        <w:rPr/>
        <w:t>提取法定盈余公积金约人民币</w:t>
      </w:r>
      <w:r>
        <w:rPr>
          <w:spacing w:val="-48"/>
        </w:rPr>
        <w:t> </w:t>
      </w:r>
      <w:r>
        <w:rPr>
          <w:rFonts w:ascii="Arial" w:hAnsi="Arial" w:cs="Arial" w:eastAsia="Arial" w:hint="default"/>
        </w:rPr>
        <w:t>9,285</w:t>
      </w:r>
      <w:r>
        <w:rPr>
          <w:rFonts w:ascii="Arial" w:hAnsi="Arial" w:cs="Arial" w:eastAsia="Arial" w:hint="default"/>
          <w:spacing w:val="5"/>
        </w:rPr>
        <w:t> </w:t>
      </w:r>
      <w:r>
        <w:rPr/>
        <w:t>万元</w:t>
      </w:r>
      <w:r>
        <w:rPr>
          <w:spacing w:val="-3"/>
        </w:rPr>
        <w:t> </w:t>
      </w:r>
      <w:r>
        <w:rPr>
          <w:rFonts w:ascii="Arial" w:hAnsi="Arial" w:cs="Arial" w:eastAsia="Arial" w:hint="default"/>
        </w:rPr>
        <w:t>(2006</w:t>
      </w:r>
      <w:r>
        <w:rPr>
          <w:rFonts w:ascii="Arial" w:hAnsi="Arial" w:cs="Arial" w:eastAsia="Arial" w:hint="default"/>
          <w:spacing w:val="5"/>
        </w:rPr>
        <w:t> </w:t>
      </w:r>
      <w:r>
        <w:rPr/>
        <w:t>年：计提比例</w:t>
      </w:r>
      <w:r>
        <w:rPr>
          <w:spacing w:val="-48"/>
        </w:rPr>
        <w:t> </w:t>
      </w:r>
      <w:r>
        <w:rPr>
          <w:rFonts w:ascii="Arial" w:hAnsi="Arial" w:cs="Arial" w:eastAsia="Arial" w:hint="default"/>
        </w:rPr>
        <w:t>10%</w:t>
      </w:r>
      <w:r>
        <w:rPr/>
        <w:t>，重列后 约人民币</w:t>
      </w:r>
      <w:r>
        <w:rPr>
          <w:spacing w:val="-62"/>
        </w:rPr>
        <w:t> </w:t>
      </w:r>
      <w:r>
        <w:rPr>
          <w:rFonts w:ascii="Arial" w:hAnsi="Arial" w:cs="Arial" w:eastAsia="Arial" w:hint="default"/>
        </w:rPr>
        <w:t>3,947</w:t>
      </w:r>
      <w:r>
        <w:rPr>
          <w:rFonts w:ascii="Arial" w:hAnsi="Arial" w:cs="Arial" w:eastAsia="Arial" w:hint="default"/>
          <w:spacing w:val="-9"/>
        </w:rPr>
        <w:t> </w:t>
      </w:r>
      <w:r>
        <w:rPr/>
        <w:t>万元</w:t>
      </w:r>
      <w:r>
        <w:rPr>
          <w:rFonts w:ascii="Arial" w:hAnsi="Arial" w:cs="Arial" w:eastAsia="Arial" w:hint="default"/>
        </w:rPr>
        <w:t>)</w:t>
      </w:r>
      <w:r>
        <w:rPr/>
        <w:t>。</w:t>
      </w:r>
    </w:p>
    <w:p>
      <w:pPr>
        <w:spacing w:line="240" w:lineRule="auto" w:before="10"/>
        <w:rPr>
          <w:rFonts w:ascii="宋体" w:hAnsi="宋体" w:cs="宋体" w:eastAsia="宋体" w:hint="default"/>
          <w:sz w:val="18"/>
          <w:szCs w:val="18"/>
        </w:rPr>
      </w:pPr>
    </w:p>
    <w:p>
      <w:pPr>
        <w:tabs>
          <w:tab w:pos="891" w:val="left" w:leader="none"/>
        </w:tabs>
        <w:spacing w:before="0"/>
        <w:ind w:left="167" w:right="0" w:firstLine="0"/>
        <w:jc w:val="left"/>
        <w:rPr>
          <w:rFonts w:ascii="宋体" w:hAnsi="宋体" w:cs="宋体" w:eastAsia="宋体" w:hint="default"/>
          <w:sz w:val="24"/>
          <w:szCs w:val="24"/>
        </w:rPr>
      </w:pPr>
      <w:r>
        <w:rPr>
          <w:rFonts w:ascii="Arial" w:hAnsi="Arial" w:cs="Arial" w:eastAsia="Arial" w:hint="default"/>
          <w:position w:val="2"/>
          <w:sz w:val="24"/>
          <w:szCs w:val="24"/>
        </w:rPr>
        <w:t>(25)</w:t>
        <w:tab/>
      </w:r>
      <w:r>
        <w:rPr>
          <w:rFonts w:ascii="宋体" w:hAnsi="宋体" w:cs="宋体" w:eastAsia="宋体" w:hint="default"/>
          <w:b/>
          <w:bCs/>
          <w:sz w:val="24"/>
          <w:szCs w:val="24"/>
        </w:rPr>
        <w:t>利润分配</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322" w:lineRule="exact"/>
        <w:ind w:left="905" w:right="0"/>
        <w:jc w:val="both"/>
      </w:pPr>
      <w:r>
        <w:rPr/>
        <w:t>根据</w:t>
      </w:r>
      <w:r>
        <w:rPr>
          <w:spacing w:val="-59"/>
        </w:rPr>
        <w:t> </w:t>
      </w:r>
      <w:r>
        <w:rPr>
          <w:rFonts w:ascii="Arial" w:hAnsi="Arial" w:cs="Arial" w:eastAsia="Arial" w:hint="default"/>
        </w:rPr>
        <w:t>2008</w:t>
      </w:r>
      <w:r>
        <w:rPr>
          <w:rFonts w:ascii="Arial" w:hAnsi="Arial" w:cs="Arial" w:eastAsia="Arial" w:hint="default"/>
          <w:spacing w:val="-5"/>
        </w:rPr>
        <w:t> </w:t>
      </w:r>
      <w:r>
        <w:rPr/>
        <w:t>年</w:t>
      </w:r>
      <w:r>
        <w:rPr>
          <w:spacing w:val="-59"/>
        </w:rPr>
        <w:t> </w:t>
      </w:r>
      <w:r>
        <w:rPr>
          <w:rFonts w:ascii="Arial" w:hAnsi="Arial" w:cs="Arial" w:eastAsia="Arial" w:hint="default"/>
        </w:rPr>
        <w:t>2</w:t>
      </w:r>
      <w:r>
        <w:rPr>
          <w:rFonts w:ascii="Arial" w:hAnsi="Arial" w:cs="Arial" w:eastAsia="Arial" w:hint="default"/>
          <w:spacing w:val="-6"/>
        </w:rPr>
        <w:t> </w:t>
      </w:r>
      <w:r>
        <w:rPr/>
        <w:t>月</w:t>
      </w:r>
      <w:r>
        <w:rPr>
          <w:spacing w:val="-59"/>
        </w:rPr>
        <w:t> </w:t>
      </w:r>
      <w:r>
        <w:rPr>
          <w:rFonts w:ascii="Arial" w:hAnsi="Arial" w:cs="Arial" w:eastAsia="Arial" w:hint="default"/>
        </w:rPr>
        <w:t>28</w:t>
      </w:r>
      <w:r>
        <w:rPr>
          <w:rFonts w:ascii="Arial" w:hAnsi="Arial" w:cs="Arial" w:eastAsia="Arial" w:hint="default"/>
          <w:spacing w:val="-5"/>
        </w:rPr>
        <w:t> </w:t>
      </w:r>
      <w:r>
        <w:rPr>
          <w:spacing w:val="-4"/>
        </w:rPr>
        <w:t>日董事会决议，董事会提议本公司向全体股东派发现金股利，每股</w:t>
      </w:r>
    </w:p>
    <w:p>
      <w:pPr>
        <w:pStyle w:val="BodyText"/>
        <w:spacing w:line="312" w:lineRule="exact"/>
        <w:ind w:left="906" w:right="0"/>
        <w:jc w:val="both"/>
      </w:pPr>
      <w:r>
        <w:rPr/>
        <w:t>人民币</w:t>
      </w:r>
      <w:r>
        <w:rPr>
          <w:spacing w:val="-62"/>
        </w:rPr>
        <w:t> </w:t>
      </w:r>
      <w:r>
        <w:rPr>
          <w:rFonts w:ascii="Arial" w:hAnsi="Arial" w:cs="Arial" w:eastAsia="Arial" w:hint="default"/>
        </w:rPr>
        <w:t>0.2</w:t>
      </w:r>
      <w:r>
        <w:rPr>
          <w:rFonts w:ascii="Arial" w:hAnsi="Arial" w:cs="Arial" w:eastAsia="Arial" w:hint="default"/>
          <w:spacing w:val="-9"/>
        </w:rPr>
        <w:t> </w:t>
      </w:r>
      <w:r>
        <w:rPr>
          <w:spacing w:val="-5"/>
        </w:rPr>
        <w:t>元</w:t>
      </w:r>
      <w:r>
        <w:rPr>
          <w:rFonts w:ascii="Arial" w:hAnsi="Arial" w:cs="Arial" w:eastAsia="Arial" w:hint="default"/>
          <w:spacing w:val="-5"/>
        </w:rPr>
        <w:t>(</w:t>
      </w:r>
      <w:r>
        <w:rPr>
          <w:spacing w:val="-5"/>
        </w:rPr>
        <w:t>含税</w:t>
      </w:r>
      <w:r>
        <w:rPr>
          <w:rFonts w:ascii="Arial" w:hAnsi="Arial" w:cs="Arial" w:eastAsia="Arial" w:hint="default"/>
          <w:spacing w:val="-5"/>
        </w:rPr>
        <w:t>)</w:t>
      </w:r>
      <w:r>
        <w:rPr>
          <w:spacing w:val="-5"/>
        </w:rPr>
        <w:t>，按已发行股份</w:t>
      </w:r>
      <w:r>
        <w:rPr>
          <w:spacing w:val="-62"/>
        </w:rPr>
        <w:t> </w:t>
      </w:r>
      <w:r>
        <w:rPr>
          <w:rFonts w:ascii="Arial" w:hAnsi="Arial" w:cs="Arial" w:eastAsia="Arial" w:hint="default"/>
        </w:rPr>
        <w:t>1,441,504,000</w:t>
      </w:r>
      <w:r>
        <w:rPr>
          <w:rFonts w:ascii="Arial" w:hAnsi="Arial" w:cs="Arial" w:eastAsia="Arial" w:hint="default"/>
          <w:spacing w:val="-9"/>
        </w:rPr>
        <w:t> </w:t>
      </w:r>
      <w:r>
        <w:rPr>
          <w:spacing w:val="-4"/>
        </w:rPr>
        <w:t>股为基数，拟派发现金股利共约人民</w:t>
      </w:r>
    </w:p>
    <w:p>
      <w:pPr>
        <w:pStyle w:val="BodyText"/>
        <w:spacing w:line="322" w:lineRule="exact"/>
        <w:ind w:left="906" w:right="0"/>
        <w:jc w:val="both"/>
      </w:pPr>
      <w:r>
        <w:rPr/>
        <w:t>币</w:t>
      </w:r>
      <w:r>
        <w:rPr>
          <w:spacing w:val="-62"/>
        </w:rPr>
        <w:t> </w:t>
      </w:r>
      <w:r>
        <w:rPr>
          <w:rFonts w:ascii="Arial" w:hAnsi="Arial" w:cs="Arial" w:eastAsia="Arial" w:hint="default"/>
        </w:rPr>
        <w:t>28,830</w:t>
      </w:r>
      <w:r>
        <w:rPr>
          <w:rFonts w:ascii="Arial" w:hAnsi="Arial" w:cs="Arial" w:eastAsia="Arial" w:hint="default"/>
          <w:spacing w:val="-8"/>
        </w:rPr>
        <w:t> </w:t>
      </w:r>
      <w:r>
        <w:rPr/>
        <w:t>万元，上述提议尚待股东大会批准，不确认为</w:t>
      </w:r>
      <w:r>
        <w:rPr>
          <w:spacing w:val="-62"/>
        </w:rPr>
        <w:t> </w:t>
      </w:r>
      <w:r>
        <w:rPr>
          <w:rFonts w:ascii="Arial" w:hAnsi="Arial" w:cs="Arial" w:eastAsia="Arial" w:hint="default"/>
        </w:rPr>
        <w:t>2007</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日的负债。</w:t>
      </w:r>
    </w:p>
    <w:p>
      <w:pPr>
        <w:spacing w:after="0" w:line="322" w:lineRule="exact"/>
        <w:jc w:val="both"/>
        <w:sectPr>
          <w:type w:val="continuous"/>
          <w:pgSz w:w="11910" w:h="16840"/>
          <w:pgMar w:top="1600" w:bottom="280" w:left="96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628"/>
        <w:gridCol w:w="6788"/>
        <w:gridCol w:w="2679"/>
      </w:tblGrid>
      <w:tr>
        <w:trPr>
          <w:trHeight w:val="1102" w:hRule="exact"/>
        </w:trPr>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99" w:right="0"/>
              <w:jc w:val="left"/>
              <w:rPr>
                <w:rFonts w:ascii="Arial" w:hAnsi="Arial" w:cs="Arial" w:eastAsia="Arial" w:hint="default"/>
                <w:sz w:val="24"/>
                <w:szCs w:val="24"/>
              </w:rPr>
            </w:pPr>
            <w:r>
              <w:rPr>
                <w:rFonts w:ascii="Arial"/>
                <w:sz w:val="24"/>
              </w:rPr>
              <w:t>(26)</w:t>
            </w:r>
          </w:p>
        </w:tc>
        <w:tc>
          <w:tcPr>
            <w:tcW w:w="6788"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66" w:right="3881" w:hanging="65"/>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少数股东权益</w:t>
            </w:r>
            <w:r>
              <w:rPr>
                <w:rFonts w:ascii="宋体" w:hAnsi="宋体" w:cs="宋体" w:eastAsia="宋体" w:hint="default"/>
                <w:sz w:val="24"/>
                <w:szCs w:val="24"/>
              </w:rPr>
            </w:r>
          </w:p>
        </w:tc>
        <w:tc>
          <w:tcPr>
            <w:tcW w:w="2679" w:type="dxa"/>
            <w:vMerge w:val="restart"/>
            <w:tcBorders>
              <w:top w:val="nil" w:sz="6" w:space="0" w:color="auto"/>
              <w:left w:val="nil" w:sz="6" w:space="0" w:color="auto"/>
              <w:right w:val="nil" w:sz="6" w:space="0" w:color="auto"/>
            </w:tcBorders>
          </w:tcPr>
          <w:p>
            <w:pPr/>
          </w:p>
        </w:tc>
      </w:tr>
      <w:tr>
        <w:trPr>
          <w:trHeight w:val="588"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66" w:right="0"/>
              <w:jc w:val="left"/>
              <w:rPr>
                <w:rFonts w:ascii="宋体" w:hAnsi="宋体" w:cs="宋体" w:eastAsia="宋体" w:hint="default"/>
                <w:sz w:val="24"/>
                <w:szCs w:val="24"/>
              </w:rPr>
            </w:pPr>
            <w:r>
              <w:rPr>
                <w:rFonts w:ascii="宋体" w:hAnsi="宋体" w:cs="宋体" w:eastAsia="宋体" w:hint="default"/>
                <w:sz w:val="24"/>
                <w:szCs w:val="24"/>
              </w:rPr>
              <w:t>归属于各子公司少数股东的少数股东权益</w:t>
            </w:r>
          </w:p>
        </w:tc>
        <w:tc>
          <w:tcPr>
            <w:tcW w:w="2679" w:type="dxa"/>
            <w:vMerge/>
            <w:tcBorders>
              <w:left w:val="nil" w:sz="6" w:space="0" w:color="auto"/>
              <w:bottom w:val="nil" w:sz="6" w:space="0" w:color="auto"/>
              <w:right w:val="nil" w:sz="6" w:space="0" w:color="auto"/>
            </w:tcBorders>
          </w:tcPr>
          <w:p>
            <w:pPr/>
          </w:p>
        </w:tc>
      </w:tr>
      <w:tr>
        <w:trPr>
          <w:trHeight w:val="456"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4115" w:val="left" w:leader="none"/>
              </w:tabs>
              <w:spacing w:line="240" w:lineRule="auto" w:before="100"/>
              <w:ind w:left="166" w:right="0"/>
              <w:jc w:val="left"/>
              <w:rPr>
                <w:rFonts w:ascii="宋体" w:hAnsi="宋体" w:cs="宋体" w:eastAsia="宋体" w:hint="default"/>
                <w:sz w:val="24"/>
                <w:szCs w:val="24"/>
              </w:rPr>
            </w:pPr>
            <w:r>
              <w:rPr>
                <w:rFonts w:ascii="宋体" w:hAnsi="宋体" w:cs="宋体" w:eastAsia="宋体" w:hint="default"/>
                <w:sz w:val="24"/>
                <w:szCs w:val="24"/>
              </w:rPr>
              <w:t>子公司名称</w:t>
              <w:tab/>
            </w: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46"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0"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spacing w:line="287" w:lineRule="exact"/>
              <w:ind w:right="584"/>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679" w:type="dxa"/>
            <w:tcBorders>
              <w:top w:val="nil" w:sz="6" w:space="0" w:color="auto"/>
              <w:left w:val="nil" w:sz="6" w:space="0" w:color="auto"/>
              <w:bottom w:val="nil" w:sz="6" w:space="0" w:color="auto"/>
              <w:right w:val="nil" w:sz="6" w:space="0" w:color="auto"/>
            </w:tcBorders>
          </w:tcPr>
          <w:p>
            <w:pPr>
              <w:pStyle w:val="TableParagraph"/>
              <w:spacing w:line="287" w:lineRule="exact"/>
              <w:ind w:right="143"/>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40" w:lineRule="auto" w:before="92"/>
              <w:ind w:left="166" w:right="0"/>
              <w:jc w:val="left"/>
              <w:rPr>
                <w:rFonts w:ascii="Arial" w:hAnsi="Arial" w:cs="Arial" w:eastAsia="Arial" w:hint="default"/>
                <w:sz w:val="24"/>
                <w:szCs w:val="24"/>
              </w:rPr>
            </w:pPr>
            <w:r>
              <w:rPr>
                <w:rFonts w:ascii="宋体" w:hAnsi="宋体" w:cs="宋体" w:eastAsia="宋体" w:hint="default"/>
                <w:position w:val="2"/>
                <w:sz w:val="24"/>
                <w:szCs w:val="24"/>
              </w:rPr>
              <w:t>北京苏宁电器有限公司</w:t>
              <w:tab/>
            </w:r>
            <w:r>
              <w:rPr>
                <w:rFonts w:ascii="Arial" w:hAnsi="Arial" w:cs="Arial" w:eastAsia="Arial" w:hint="default"/>
                <w:sz w:val="24"/>
                <w:szCs w:val="24"/>
              </w:rPr>
              <w:t>36,328</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43"/>
              <w:jc w:val="right"/>
              <w:rPr>
                <w:rFonts w:ascii="Arial" w:hAnsi="Arial" w:cs="Arial" w:eastAsia="Arial" w:hint="default"/>
                <w:sz w:val="24"/>
                <w:szCs w:val="24"/>
              </w:rPr>
            </w:pPr>
            <w:r>
              <w:rPr>
                <w:rFonts w:ascii="Arial"/>
                <w:spacing w:val="-1"/>
                <w:sz w:val="24"/>
              </w:rPr>
              <w:t>26,070</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上海苏宁电器有限公司</w:t>
              <w:tab/>
            </w:r>
            <w:r>
              <w:rPr>
                <w:rFonts w:ascii="Arial" w:hAnsi="Arial" w:cs="Arial" w:eastAsia="Arial" w:hint="default"/>
                <w:sz w:val="24"/>
                <w:szCs w:val="24"/>
              </w:rPr>
              <w:t>32,752</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4"/>
                <w:szCs w:val="24"/>
              </w:rPr>
            </w:pPr>
            <w:r>
              <w:rPr>
                <w:rFonts w:ascii="Arial"/>
                <w:spacing w:val="-1"/>
                <w:sz w:val="24"/>
              </w:rPr>
              <w:t>22,968</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浙江苏宁电器有限公司</w:t>
              <w:tab/>
            </w:r>
            <w:r>
              <w:rPr>
                <w:rFonts w:ascii="Arial" w:hAnsi="Arial" w:cs="Arial" w:eastAsia="Arial" w:hint="default"/>
                <w:sz w:val="24"/>
                <w:szCs w:val="24"/>
              </w:rPr>
              <w:t>26,188</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4"/>
                <w:szCs w:val="24"/>
              </w:rPr>
            </w:pPr>
            <w:r>
              <w:rPr>
                <w:rFonts w:ascii="Arial"/>
                <w:spacing w:val="-1"/>
                <w:sz w:val="24"/>
              </w:rPr>
              <w:t>20,617</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安徽苏宁电器有限公司</w:t>
              <w:tab/>
            </w:r>
            <w:r>
              <w:rPr>
                <w:rFonts w:ascii="Arial" w:hAnsi="Arial" w:cs="Arial" w:eastAsia="Arial" w:hint="default"/>
                <w:sz w:val="24"/>
                <w:szCs w:val="24"/>
              </w:rPr>
              <w:t>23,704</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4"/>
                <w:szCs w:val="24"/>
              </w:rPr>
            </w:pPr>
            <w:r>
              <w:rPr>
                <w:rFonts w:ascii="Arial"/>
                <w:spacing w:val="-1"/>
                <w:sz w:val="24"/>
              </w:rPr>
              <w:t>13,707</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深圳苏宁电器有限公司</w:t>
              <w:tab/>
            </w:r>
            <w:r>
              <w:rPr>
                <w:rFonts w:ascii="Arial" w:hAnsi="Arial" w:cs="Arial" w:eastAsia="Arial" w:hint="default"/>
                <w:sz w:val="24"/>
                <w:szCs w:val="24"/>
              </w:rPr>
              <w:t>17,244</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4"/>
                <w:szCs w:val="24"/>
              </w:rPr>
            </w:pPr>
            <w:r>
              <w:rPr>
                <w:rFonts w:ascii="Arial"/>
                <w:spacing w:val="-1"/>
                <w:w w:val="95"/>
                <w:sz w:val="24"/>
              </w:rPr>
              <w:t>8,021</w:t>
            </w:r>
            <w:r>
              <w:rPr>
                <w:rFonts w:ascii="Arial"/>
                <w:w w:val="95"/>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陕西苏宁电器有限公司</w:t>
              <w:tab/>
            </w:r>
            <w:r>
              <w:rPr>
                <w:rFonts w:ascii="Arial" w:hAnsi="Arial" w:cs="Arial" w:eastAsia="Arial" w:hint="default"/>
                <w:sz w:val="24"/>
                <w:szCs w:val="24"/>
              </w:rPr>
              <w:t>14,417</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4"/>
                <w:szCs w:val="24"/>
              </w:rPr>
            </w:pPr>
            <w:r>
              <w:rPr>
                <w:rFonts w:ascii="Arial"/>
                <w:spacing w:val="-1"/>
                <w:sz w:val="24"/>
              </w:rPr>
              <w:t>10,251</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福州苏宁电器有限公司</w:t>
              <w:tab/>
            </w:r>
            <w:r>
              <w:rPr>
                <w:rFonts w:ascii="Arial" w:hAnsi="Arial" w:cs="Arial" w:eastAsia="Arial" w:hint="default"/>
                <w:sz w:val="24"/>
                <w:szCs w:val="24"/>
              </w:rPr>
              <w:t>13,453</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4"/>
                <w:szCs w:val="24"/>
              </w:rPr>
            </w:pPr>
            <w:r>
              <w:rPr>
                <w:rFonts w:ascii="Arial"/>
                <w:spacing w:val="-5"/>
                <w:sz w:val="24"/>
              </w:rPr>
              <w:t>8,118</w:t>
            </w:r>
          </w:p>
        </w:tc>
      </w:tr>
      <w:tr>
        <w:trPr>
          <w:trHeight w:val="615"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602" w:val="left" w:leader="none"/>
              </w:tabs>
              <w:spacing w:line="278"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厦门福厦苏宁电器有限公司</w:t>
              <w:tab/>
            </w:r>
            <w:r>
              <w:rPr>
                <w:rFonts w:ascii="Arial" w:hAnsi="Arial" w:cs="Arial" w:eastAsia="Arial" w:hint="default"/>
                <w:sz w:val="24"/>
                <w:szCs w:val="24"/>
              </w:rPr>
              <w:t>7,286</w:t>
            </w:r>
          </w:p>
          <w:p>
            <w:pPr>
              <w:pStyle w:val="TableParagraph"/>
              <w:spacing w:line="313" w:lineRule="exact"/>
              <w:ind w:left="166" w:right="0"/>
              <w:jc w:val="left"/>
              <w:rPr>
                <w:rFonts w:ascii="宋体" w:hAnsi="宋体" w:cs="宋体" w:eastAsia="宋体" w:hint="default"/>
                <w:sz w:val="24"/>
                <w:szCs w:val="24"/>
              </w:rPr>
            </w:pPr>
            <w:r>
              <w:rPr>
                <w:rFonts w:ascii="宋体" w:hAnsi="宋体" w:cs="宋体" w:eastAsia="宋体" w:hint="default"/>
                <w:sz w:val="24"/>
                <w:szCs w:val="24"/>
              </w:rPr>
              <w:t>其他 </w:t>
            </w:r>
            <w:r>
              <w:rPr>
                <w:rFonts w:ascii="Arial" w:hAnsi="Arial" w:cs="Arial" w:eastAsia="Arial" w:hint="default"/>
                <w:sz w:val="24"/>
                <w:szCs w:val="24"/>
              </w:rPr>
              <w:t>40</w:t>
            </w:r>
            <w:r>
              <w:rPr>
                <w:rFonts w:ascii="Arial" w:hAnsi="Arial" w:cs="Arial" w:eastAsia="Arial" w:hint="default"/>
                <w:spacing w:val="43"/>
                <w:sz w:val="24"/>
                <w:szCs w:val="24"/>
              </w:rPr>
              <w:t> </w:t>
            </w:r>
            <w:r>
              <w:rPr>
                <w:rFonts w:ascii="宋体" w:hAnsi="宋体" w:cs="宋体" w:eastAsia="宋体" w:hint="default"/>
                <w:sz w:val="24"/>
                <w:szCs w:val="24"/>
              </w:rPr>
              <w:t>家子公司</w:t>
            </w:r>
            <w:r>
              <w:rPr>
                <w:rFonts w:ascii="Arial" w:hAnsi="Arial" w:cs="Arial" w:eastAsia="Arial" w:hint="default"/>
                <w:sz w:val="24"/>
                <w:szCs w:val="24"/>
              </w:rPr>
              <w:t>(</w:t>
            </w:r>
            <w:r>
              <w:rPr>
                <w:rFonts w:ascii="宋体" w:hAnsi="宋体" w:cs="宋体" w:eastAsia="宋体" w:hint="default"/>
                <w:sz w:val="24"/>
                <w:szCs w:val="24"/>
              </w:rPr>
              <w:t>单个子公司的少</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4"/>
                <w:szCs w:val="24"/>
              </w:rPr>
            </w:pPr>
            <w:r>
              <w:rPr>
                <w:rFonts w:ascii="Arial"/>
                <w:spacing w:val="-1"/>
                <w:w w:val="95"/>
                <w:sz w:val="24"/>
              </w:rPr>
              <w:t>2,558</w:t>
            </w:r>
            <w:r>
              <w:rPr>
                <w:rFonts w:ascii="Arial"/>
                <w:w w:val="95"/>
                <w:sz w:val="24"/>
              </w:rPr>
            </w:r>
          </w:p>
        </w:tc>
      </w:tr>
      <w:tr>
        <w:trPr>
          <w:trHeight w:val="306"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spacing w:line="270" w:lineRule="exact"/>
              <w:ind w:left="166" w:right="0"/>
              <w:jc w:val="left"/>
              <w:rPr>
                <w:rFonts w:ascii="宋体" w:hAnsi="宋体" w:cs="宋体" w:eastAsia="宋体" w:hint="default"/>
                <w:sz w:val="24"/>
                <w:szCs w:val="24"/>
              </w:rPr>
            </w:pPr>
            <w:r>
              <w:rPr>
                <w:rFonts w:ascii="宋体" w:hAnsi="宋体" w:cs="宋体" w:eastAsia="宋体" w:hint="default"/>
                <w:sz w:val="24"/>
                <w:szCs w:val="24"/>
              </w:rPr>
              <w:t>数股东权益金额均小于人民币</w:t>
            </w:r>
          </w:p>
        </w:tc>
        <w:tc>
          <w:tcPr>
            <w:tcW w:w="2679" w:type="dxa"/>
            <w:tcBorders>
              <w:top w:val="nil" w:sz="6" w:space="0" w:color="auto"/>
              <w:left w:val="nil" w:sz="6" w:space="0" w:color="auto"/>
              <w:bottom w:val="nil" w:sz="6" w:space="0" w:color="auto"/>
              <w:right w:val="nil" w:sz="6" w:space="0" w:color="auto"/>
            </w:tcBorders>
          </w:tcPr>
          <w:p>
            <w:pPr/>
          </w:p>
        </w:tc>
      </w:tr>
      <w:tr>
        <w:trPr>
          <w:trHeight w:val="329"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3967" w:val="left" w:leader="none"/>
                <w:tab w:pos="5468" w:val="left" w:leader="none"/>
                <w:tab w:pos="6302" w:val="left" w:leader="none"/>
              </w:tabs>
              <w:spacing w:line="311" w:lineRule="exact"/>
              <w:ind w:left="166" w:right="0"/>
              <w:jc w:val="left"/>
              <w:rPr>
                <w:rFonts w:ascii="Arial" w:hAnsi="Arial" w:cs="Arial" w:eastAsia="Arial" w:hint="default"/>
                <w:sz w:val="24"/>
                <w:szCs w:val="24"/>
              </w:rPr>
            </w:pPr>
            <w:r>
              <w:rPr>
                <w:rFonts w:ascii="Arial" w:hAnsi="Arial" w:cs="Arial" w:eastAsia="Arial" w:hint="default"/>
                <w:position w:val="2"/>
                <w:sz w:val="24"/>
                <w:szCs w:val="24"/>
              </w:rPr>
              <w:t>700</w:t>
            </w:r>
            <w:r>
              <w:rPr>
                <w:rFonts w:ascii="Arial" w:hAnsi="Arial" w:cs="Arial" w:eastAsia="Arial" w:hint="default"/>
                <w:spacing w:val="-9"/>
                <w:position w:val="2"/>
                <w:sz w:val="24"/>
                <w:szCs w:val="24"/>
              </w:rPr>
              <w:t> </w:t>
            </w:r>
            <w:r>
              <w:rPr>
                <w:rFonts w:ascii="宋体" w:hAnsi="宋体" w:cs="宋体" w:eastAsia="宋体" w:hint="default"/>
                <w:position w:val="2"/>
                <w:sz w:val="24"/>
                <w:szCs w:val="24"/>
              </w:rPr>
              <w:t>万元</w:t>
            </w:r>
            <w:r>
              <w:rPr>
                <w:rFonts w:ascii="Arial" w:hAnsi="Arial" w:cs="Arial" w:eastAsia="Arial" w:hint="default"/>
                <w:position w:val="2"/>
                <w:sz w:val="24"/>
                <w:szCs w:val="24"/>
              </w:rPr>
              <w:t>)</w:t>
              <w:tab/>
            </w:r>
            <w:r>
              <w:rPr>
                <w:rFonts w:ascii="Arial" w:hAnsi="Arial" w:cs="Arial" w:eastAsia="Arial" w:hint="default"/>
                <w:sz w:val="24"/>
                <w:szCs w:val="24"/>
              </w:rPr>
            </w:r>
            <w:r>
              <w:rPr>
                <w:rFonts w:ascii="Arial" w:hAnsi="Arial" w:cs="Arial" w:eastAsia="Arial" w:hint="default"/>
                <w:sz w:val="24"/>
                <w:szCs w:val="24"/>
                <w:u w:val="single" w:color="000000"/>
              </w:rPr>
              <w:t> </w:t>
              <w:tab/>
              <w:t>32,946</w:t>
              <w:tab/>
            </w:r>
            <w:r>
              <w:rPr>
                <w:rFonts w:ascii="Arial" w:hAnsi="Arial" w:cs="Arial" w:eastAsia="Arial" w:hint="default"/>
                <w:sz w:val="24"/>
                <w:szCs w:val="24"/>
              </w:rPr>
            </w:r>
          </w:p>
        </w:tc>
        <w:tc>
          <w:tcPr>
            <w:tcW w:w="2679" w:type="dxa"/>
            <w:tcBorders>
              <w:top w:val="nil" w:sz="6" w:space="0" w:color="auto"/>
              <w:left w:val="nil" w:sz="6" w:space="0" w:color="auto"/>
              <w:bottom w:val="nil" w:sz="6" w:space="0" w:color="auto"/>
              <w:right w:val="nil" w:sz="6" w:space="0" w:color="auto"/>
            </w:tcBorders>
          </w:tcPr>
          <w:p>
            <w:pPr>
              <w:pStyle w:val="TableParagraph"/>
              <w:tabs>
                <w:tab w:pos="1571" w:val="left" w:leader="none"/>
                <w:tab w:pos="2405" w:val="left" w:leader="none"/>
              </w:tabs>
              <w:spacing w:line="240" w:lineRule="auto" w:before="35"/>
              <w:ind w:right="42"/>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23,318</w:t>
              <w:tab/>
            </w:r>
            <w:r>
              <w:rPr>
                <w:rFonts w:ascii="Arial"/>
                <w:spacing w:val="-1"/>
                <w:sz w:val="24"/>
              </w:rPr>
            </w:r>
          </w:p>
        </w:tc>
      </w:tr>
      <w:tr>
        <w:trPr>
          <w:trHeight w:val="434"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335" w:val="left" w:leader="none"/>
                <w:tab w:pos="6309" w:val="left" w:leader="none"/>
              </w:tabs>
              <w:spacing w:line="268" w:lineRule="exact"/>
              <w:ind w:left="3960" w:right="0"/>
              <w:jc w:val="left"/>
              <w:rPr>
                <w:rFonts w:ascii="Arial" w:hAnsi="Arial" w:cs="Arial" w:eastAsia="Arial" w:hint="default"/>
                <w:sz w:val="24"/>
                <w:szCs w:val="24"/>
              </w:rPr>
            </w:pPr>
            <w:r>
              <w:rPr>
                <w:rFonts w:ascii="Arial"/>
                <w:sz w:val="24"/>
              </w:rPr>
            </w:r>
            <w:r>
              <w:rPr>
                <w:rFonts w:ascii="Arial"/>
                <w:sz w:val="24"/>
                <w:u w:val="thick" w:color="000000"/>
              </w:rPr>
              <w:t> </w:t>
              <w:tab/>
              <w:t>204,318</w:t>
              <w:tab/>
            </w:r>
            <w:r>
              <w:rPr>
                <w:rFonts w:ascii="Arial"/>
                <w:sz w:val="24"/>
              </w:rPr>
            </w:r>
          </w:p>
        </w:tc>
        <w:tc>
          <w:tcPr>
            <w:tcW w:w="2679" w:type="dxa"/>
            <w:tcBorders>
              <w:top w:val="nil" w:sz="6" w:space="0" w:color="auto"/>
              <w:left w:val="nil" w:sz="6" w:space="0" w:color="auto"/>
              <w:bottom w:val="nil" w:sz="6" w:space="0" w:color="auto"/>
              <w:right w:val="nil" w:sz="6" w:space="0" w:color="auto"/>
            </w:tcBorders>
          </w:tcPr>
          <w:p>
            <w:pPr>
              <w:pStyle w:val="TableParagraph"/>
              <w:tabs>
                <w:tab w:pos="1445" w:val="left" w:leader="none"/>
                <w:tab w:pos="2420" w:val="left" w:leader="none"/>
              </w:tabs>
              <w:spacing w:line="268" w:lineRule="exact"/>
              <w:ind w:right="35"/>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135,628</w:t>
              <w:tab/>
            </w:r>
            <w:r>
              <w:rPr>
                <w:rFonts w:ascii="Arial"/>
                <w:spacing w:val="-1"/>
                <w:sz w:val="24"/>
              </w:rPr>
            </w:r>
          </w:p>
        </w:tc>
      </w:tr>
      <w:tr>
        <w:trPr>
          <w:trHeight w:val="592" w:hRule="exact"/>
        </w:trPr>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99" w:right="0"/>
              <w:jc w:val="left"/>
              <w:rPr>
                <w:rFonts w:ascii="Arial" w:hAnsi="Arial" w:cs="Arial" w:eastAsia="Arial" w:hint="default"/>
                <w:sz w:val="24"/>
                <w:szCs w:val="24"/>
              </w:rPr>
            </w:pPr>
            <w:r>
              <w:rPr>
                <w:rFonts w:ascii="Arial"/>
                <w:sz w:val="24"/>
              </w:rPr>
              <w:t>(27)</w:t>
            </w:r>
          </w:p>
        </w:tc>
        <w:tc>
          <w:tcPr>
            <w:tcW w:w="678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3" w:right="0"/>
              <w:jc w:val="left"/>
              <w:rPr>
                <w:rFonts w:ascii="宋体" w:hAnsi="宋体" w:cs="宋体" w:eastAsia="宋体" w:hint="default"/>
                <w:sz w:val="24"/>
                <w:szCs w:val="24"/>
              </w:rPr>
            </w:pPr>
            <w:r>
              <w:rPr>
                <w:rFonts w:ascii="宋体" w:hAnsi="宋体" w:cs="宋体" w:eastAsia="宋体" w:hint="default"/>
                <w:b/>
                <w:bCs/>
                <w:sz w:val="24"/>
                <w:szCs w:val="24"/>
              </w:rPr>
              <w:t>营业收入和营业成本</w:t>
            </w:r>
            <w:r>
              <w:rPr>
                <w:rFonts w:ascii="宋体" w:hAnsi="宋体" w:cs="宋体" w:eastAsia="宋体" w:hint="default"/>
                <w:sz w:val="24"/>
                <w:szCs w:val="24"/>
              </w:rPr>
            </w:r>
          </w:p>
        </w:tc>
        <w:tc>
          <w:tcPr>
            <w:tcW w:w="2679" w:type="dxa"/>
            <w:tcBorders>
              <w:top w:val="nil" w:sz="6" w:space="0" w:color="auto"/>
              <w:left w:val="nil" w:sz="6" w:space="0" w:color="auto"/>
              <w:bottom w:val="nil" w:sz="6" w:space="0" w:color="auto"/>
              <w:right w:val="nil" w:sz="6" w:space="0" w:color="auto"/>
            </w:tcBorders>
          </w:tcPr>
          <w:p>
            <w:pPr/>
          </w:p>
        </w:tc>
      </w:tr>
      <w:tr>
        <w:trPr>
          <w:trHeight w:val="456"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9"/>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3"/>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50"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spacing w:line="287" w:lineRule="exact"/>
              <w:ind w:right="318"/>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679" w:type="dxa"/>
            <w:tcBorders>
              <w:top w:val="nil" w:sz="6" w:space="0" w:color="auto"/>
              <w:left w:val="nil" w:sz="6" w:space="0" w:color="auto"/>
              <w:bottom w:val="nil" w:sz="6" w:space="0" w:color="auto"/>
              <w:right w:val="nil" w:sz="6" w:space="0" w:color="auto"/>
            </w:tcBorders>
          </w:tcPr>
          <w:p>
            <w:pPr>
              <w:pStyle w:val="TableParagraph"/>
              <w:spacing w:line="287" w:lineRule="exact"/>
              <w:ind w:right="133"/>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266" w:val="left" w:leader="none"/>
              </w:tabs>
              <w:spacing w:line="240" w:lineRule="auto" w:before="92"/>
              <w:ind w:left="143" w:right="0"/>
              <w:jc w:val="left"/>
              <w:rPr>
                <w:rFonts w:ascii="Arial" w:hAnsi="Arial" w:cs="Arial" w:eastAsia="Arial" w:hint="default"/>
                <w:sz w:val="24"/>
                <w:szCs w:val="24"/>
              </w:rPr>
            </w:pPr>
            <w:r>
              <w:rPr>
                <w:rFonts w:ascii="宋体" w:hAnsi="宋体" w:cs="宋体" w:eastAsia="宋体" w:hint="default"/>
                <w:position w:val="2"/>
                <w:sz w:val="24"/>
                <w:szCs w:val="24"/>
              </w:rPr>
              <w:t>主营业务收入</w:t>
              <w:tab/>
            </w:r>
            <w:r>
              <w:rPr>
                <w:rFonts w:ascii="Arial" w:hAnsi="Arial" w:cs="Arial" w:eastAsia="Arial" w:hint="default"/>
                <w:sz w:val="24"/>
                <w:szCs w:val="24"/>
              </w:rPr>
              <w:t>38,676,524</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3"/>
              <w:jc w:val="right"/>
              <w:rPr>
                <w:rFonts w:ascii="Arial" w:hAnsi="Arial" w:cs="Arial" w:eastAsia="Arial" w:hint="default"/>
                <w:sz w:val="24"/>
                <w:szCs w:val="24"/>
              </w:rPr>
            </w:pPr>
            <w:r>
              <w:rPr>
                <w:rFonts w:ascii="Arial"/>
                <w:spacing w:val="-1"/>
                <w:sz w:val="24"/>
              </w:rPr>
              <w:t>24,926,008</w:t>
            </w:r>
            <w:r>
              <w:rPr>
                <w:rFonts w:ascii="Arial"/>
                <w:sz w:val="24"/>
              </w:rPr>
            </w:r>
          </w:p>
        </w:tc>
      </w:tr>
      <w:tr>
        <w:trPr>
          <w:trHeight w:val="314"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4176" w:val="left" w:leader="none"/>
                <w:tab w:pos="5400" w:val="left" w:leader="none"/>
                <w:tab w:pos="6566" w:val="left" w:leader="none"/>
              </w:tabs>
              <w:spacing w:line="296" w:lineRule="exact"/>
              <w:ind w:left="143" w:right="0"/>
              <w:jc w:val="left"/>
              <w:rPr>
                <w:rFonts w:ascii="Arial" w:hAnsi="Arial" w:cs="Arial" w:eastAsia="Arial" w:hint="default"/>
                <w:sz w:val="24"/>
                <w:szCs w:val="24"/>
              </w:rPr>
            </w:pPr>
            <w:r>
              <w:rPr>
                <w:rFonts w:ascii="宋体" w:hAnsi="宋体" w:cs="宋体" w:eastAsia="宋体" w:hint="default"/>
                <w:position w:val="2"/>
                <w:sz w:val="24"/>
                <w:szCs w:val="24"/>
              </w:rPr>
              <w:t>其他业务收入</w:t>
              <w:tab/>
            </w:r>
            <w:r>
              <w:rPr>
                <w:rFonts w:ascii="Arial" w:hAnsi="Arial" w:cs="Arial" w:eastAsia="Arial" w:hint="default"/>
                <w:sz w:val="24"/>
                <w:szCs w:val="24"/>
              </w:rPr>
            </w:r>
            <w:r>
              <w:rPr>
                <w:rFonts w:ascii="Arial" w:hAnsi="Arial" w:cs="Arial" w:eastAsia="Arial" w:hint="default"/>
                <w:sz w:val="24"/>
                <w:szCs w:val="24"/>
                <w:u w:val="single" w:color="000000"/>
              </w:rPr>
              <w:t> </w:t>
              <w:tab/>
              <w:t>1,475,847</w:t>
              <w:tab/>
            </w:r>
            <w:r>
              <w:rPr>
                <w:rFonts w:ascii="Arial" w:hAnsi="Arial" w:cs="Arial" w:eastAsia="Arial" w:hint="default"/>
                <w:sz w:val="24"/>
                <w:szCs w:val="24"/>
              </w:rPr>
            </w:r>
          </w:p>
        </w:tc>
        <w:tc>
          <w:tcPr>
            <w:tcW w:w="2679" w:type="dxa"/>
            <w:tcBorders>
              <w:top w:val="nil" w:sz="6" w:space="0" w:color="auto"/>
              <w:left w:val="nil" w:sz="6" w:space="0" w:color="auto"/>
              <w:bottom w:val="nil" w:sz="6" w:space="0" w:color="auto"/>
              <w:right w:val="nil" w:sz="6" w:space="0" w:color="auto"/>
            </w:tcBorders>
          </w:tcPr>
          <w:p>
            <w:pPr>
              <w:pStyle w:val="TableParagraph"/>
              <w:tabs>
                <w:tab w:pos="1133" w:val="left" w:leader="none"/>
                <w:tab w:pos="2300" w:val="left" w:leader="none"/>
              </w:tabs>
              <w:spacing w:line="240" w:lineRule="auto" w:before="20"/>
              <w:ind w:right="33"/>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1,235,244</w:t>
              <w:tab/>
            </w:r>
            <w:r>
              <w:rPr>
                <w:rFonts w:ascii="Arial"/>
                <w:spacing w:val="-1"/>
                <w:sz w:val="24"/>
              </w:rPr>
            </w:r>
          </w:p>
        </w:tc>
      </w:tr>
      <w:tr>
        <w:trPr>
          <w:trHeight w:val="437"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1089" w:val="left" w:leader="none"/>
                <w:tab w:pos="2390" w:val="left" w:leader="none"/>
              </w:tabs>
              <w:spacing w:line="268" w:lineRule="exact"/>
              <w:ind w:right="218"/>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40,152,371</w:t>
              <w:tab/>
            </w:r>
            <w:r>
              <w:rPr>
                <w:rFonts w:ascii="Arial"/>
                <w:spacing w:val="-1"/>
                <w:sz w:val="24"/>
              </w:rPr>
            </w:r>
          </w:p>
        </w:tc>
        <w:tc>
          <w:tcPr>
            <w:tcW w:w="2679" w:type="dxa"/>
            <w:tcBorders>
              <w:top w:val="nil" w:sz="6" w:space="0" w:color="auto"/>
              <w:left w:val="nil" w:sz="6" w:space="0" w:color="auto"/>
              <w:bottom w:val="nil" w:sz="6" w:space="0" w:color="auto"/>
              <w:right w:val="nil" w:sz="6" w:space="0" w:color="auto"/>
            </w:tcBorders>
          </w:tcPr>
          <w:p>
            <w:pPr>
              <w:pStyle w:val="TableParagraph"/>
              <w:tabs>
                <w:tab w:pos="999" w:val="left" w:leader="none"/>
                <w:tab w:pos="2300" w:val="left" w:leader="none"/>
              </w:tabs>
              <w:spacing w:line="268" w:lineRule="exact"/>
              <w:ind w:right="33"/>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26,161,252</w:t>
              <w:tab/>
            </w:r>
            <w:r>
              <w:rPr>
                <w:rFonts w:ascii="Arial"/>
                <w:spacing w:val="-1"/>
                <w:sz w:val="24"/>
              </w:rPr>
            </w:r>
          </w:p>
        </w:tc>
      </w:tr>
      <w:tr>
        <w:trPr>
          <w:trHeight w:val="465"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5266" w:val="left" w:leader="none"/>
              </w:tabs>
              <w:spacing w:line="240" w:lineRule="auto" w:before="98"/>
              <w:ind w:left="143" w:right="0"/>
              <w:jc w:val="left"/>
              <w:rPr>
                <w:rFonts w:ascii="Arial" w:hAnsi="Arial" w:cs="Arial" w:eastAsia="Arial" w:hint="default"/>
                <w:sz w:val="24"/>
                <w:szCs w:val="24"/>
              </w:rPr>
            </w:pPr>
            <w:r>
              <w:rPr>
                <w:rFonts w:ascii="宋体" w:hAnsi="宋体" w:cs="宋体" w:eastAsia="宋体" w:hint="default"/>
                <w:position w:val="2"/>
                <w:sz w:val="24"/>
                <w:szCs w:val="24"/>
              </w:rPr>
              <w:t>主营业务成本</w:t>
              <w:tab/>
            </w:r>
            <w:r>
              <w:rPr>
                <w:rFonts w:ascii="Arial" w:hAnsi="Arial" w:cs="Arial" w:eastAsia="Arial" w:hint="default"/>
                <w:sz w:val="24"/>
                <w:szCs w:val="24"/>
              </w:rPr>
              <w:t>34,324,741</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34"/>
              <w:jc w:val="right"/>
              <w:rPr>
                <w:rFonts w:ascii="Arial" w:hAnsi="Arial" w:cs="Arial" w:eastAsia="Arial" w:hint="default"/>
                <w:sz w:val="24"/>
                <w:szCs w:val="24"/>
              </w:rPr>
            </w:pPr>
            <w:r>
              <w:rPr>
                <w:rFonts w:ascii="Arial"/>
                <w:spacing w:val="-1"/>
                <w:sz w:val="24"/>
              </w:rPr>
              <w:t>22,264,357</w:t>
            </w:r>
            <w:r>
              <w:rPr>
                <w:rFonts w:ascii="Arial"/>
                <w:sz w:val="24"/>
              </w:rPr>
            </w:r>
          </w:p>
        </w:tc>
      </w:tr>
      <w:tr>
        <w:trPr>
          <w:trHeight w:val="314"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4176" w:val="left" w:leader="none"/>
                <w:tab w:pos="5734" w:val="left" w:leader="none"/>
                <w:tab w:pos="6566" w:val="left" w:leader="none"/>
              </w:tabs>
              <w:spacing w:line="296" w:lineRule="exact"/>
              <w:ind w:left="143" w:right="0"/>
              <w:jc w:val="left"/>
              <w:rPr>
                <w:rFonts w:ascii="Arial" w:hAnsi="Arial" w:cs="Arial" w:eastAsia="Arial" w:hint="default"/>
                <w:sz w:val="24"/>
                <w:szCs w:val="24"/>
              </w:rPr>
            </w:pPr>
            <w:r>
              <w:rPr>
                <w:rFonts w:ascii="宋体" w:hAnsi="宋体" w:cs="宋体" w:eastAsia="宋体" w:hint="default"/>
                <w:position w:val="2"/>
                <w:sz w:val="24"/>
                <w:szCs w:val="24"/>
              </w:rPr>
              <w:t>其他业务成本</w:t>
              <w:tab/>
            </w:r>
            <w:r>
              <w:rPr>
                <w:rFonts w:ascii="Arial" w:hAnsi="Arial" w:cs="Arial" w:eastAsia="Arial" w:hint="default"/>
                <w:sz w:val="24"/>
                <w:szCs w:val="24"/>
              </w:rPr>
            </w:r>
            <w:r>
              <w:rPr>
                <w:rFonts w:ascii="Arial" w:hAnsi="Arial" w:cs="Arial" w:eastAsia="Arial" w:hint="default"/>
                <w:sz w:val="24"/>
                <w:szCs w:val="24"/>
                <w:u w:val="single" w:color="000000"/>
              </w:rPr>
              <w:t> </w:t>
              <w:tab/>
              <w:t>21,999</w:t>
              <w:tab/>
            </w:r>
            <w:r>
              <w:rPr>
                <w:rFonts w:ascii="Arial" w:hAnsi="Arial" w:cs="Arial" w:eastAsia="Arial" w:hint="default"/>
                <w:sz w:val="24"/>
                <w:szCs w:val="24"/>
              </w:rPr>
            </w:r>
          </w:p>
        </w:tc>
        <w:tc>
          <w:tcPr>
            <w:tcW w:w="2679" w:type="dxa"/>
            <w:tcBorders>
              <w:top w:val="nil" w:sz="6" w:space="0" w:color="auto"/>
              <w:left w:val="nil" w:sz="6" w:space="0" w:color="auto"/>
              <w:bottom w:val="nil" w:sz="6" w:space="0" w:color="auto"/>
              <w:right w:val="nil" w:sz="6" w:space="0" w:color="auto"/>
            </w:tcBorders>
          </w:tcPr>
          <w:p>
            <w:pPr>
              <w:pStyle w:val="TableParagraph"/>
              <w:tabs>
                <w:tab w:pos="1600" w:val="left" w:leader="none"/>
                <w:tab w:pos="2300" w:val="left" w:leader="none"/>
              </w:tabs>
              <w:spacing w:line="240" w:lineRule="auto" w:before="20"/>
              <w:ind w:right="33"/>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4,449</w:t>
              <w:tab/>
            </w:r>
            <w:r>
              <w:rPr>
                <w:rFonts w:ascii="Arial"/>
                <w:spacing w:val="-1"/>
                <w:sz w:val="24"/>
              </w:rPr>
            </w:r>
          </w:p>
        </w:tc>
      </w:tr>
      <w:tr>
        <w:trPr>
          <w:trHeight w:val="363" w:hRule="exact"/>
        </w:trPr>
        <w:tc>
          <w:tcPr>
            <w:tcW w:w="628" w:type="dxa"/>
            <w:tcBorders>
              <w:top w:val="nil" w:sz="6" w:space="0" w:color="auto"/>
              <w:left w:val="nil" w:sz="6" w:space="0" w:color="auto"/>
              <w:bottom w:val="nil" w:sz="6" w:space="0" w:color="auto"/>
              <w:right w:val="nil" w:sz="6" w:space="0" w:color="auto"/>
            </w:tcBorders>
          </w:tcPr>
          <w:p>
            <w:pPr/>
          </w:p>
        </w:tc>
        <w:tc>
          <w:tcPr>
            <w:tcW w:w="6788" w:type="dxa"/>
            <w:tcBorders>
              <w:top w:val="nil" w:sz="6" w:space="0" w:color="auto"/>
              <w:left w:val="nil" w:sz="6" w:space="0" w:color="auto"/>
              <w:bottom w:val="nil" w:sz="6" w:space="0" w:color="auto"/>
              <w:right w:val="nil" w:sz="6" w:space="0" w:color="auto"/>
            </w:tcBorders>
          </w:tcPr>
          <w:p>
            <w:pPr>
              <w:pStyle w:val="TableParagraph"/>
              <w:tabs>
                <w:tab w:pos="1089" w:val="left" w:leader="none"/>
                <w:tab w:pos="2390" w:val="left" w:leader="none"/>
              </w:tabs>
              <w:spacing w:line="268" w:lineRule="exact"/>
              <w:ind w:right="218"/>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34,346,740</w:t>
              <w:tab/>
            </w:r>
            <w:r>
              <w:rPr>
                <w:rFonts w:ascii="Arial"/>
                <w:spacing w:val="-1"/>
                <w:sz w:val="24"/>
              </w:rPr>
            </w:r>
          </w:p>
        </w:tc>
        <w:tc>
          <w:tcPr>
            <w:tcW w:w="2679" w:type="dxa"/>
            <w:tcBorders>
              <w:top w:val="nil" w:sz="6" w:space="0" w:color="auto"/>
              <w:left w:val="nil" w:sz="6" w:space="0" w:color="auto"/>
              <w:bottom w:val="nil" w:sz="6" w:space="0" w:color="auto"/>
              <w:right w:val="nil" w:sz="6" w:space="0" w:color="auto"/>
            </w:tcBorders>
          </w:tcPr>
          <w:p>
            <w:pPr>
              <w:pStyle w:val="TableParagraph"/>
              <w:tabs>
                <w:tab w:pos="999" w:val="left" w:leader="none"/>
                <w:tab w:pos="2300" w:val="left" w:leader="none"/>
              </w:tabs>
              <w:spacing w:line="268" w:lineRule="exact"/>
              <w:ind w:right="33"/>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22,268,806</w:t>
              <w:tab/>
            </w:r>
            <w:r>
              <w:rPr>
                <w:rFonts w:ascii="Arial"/>
                <w:spacing w:val="-1"/>
                <w:sz w:val="24"/>
              </w:rPr>
            </w:r>
          </w:p>
        </w:tc>
      </w:tr>
    </w:tbl>
    <w:p>
      <w:pPr>
        <w:spacing w:after="0" w:line="268" w:lineRule="exact"/>
        <w:jc w:val="right"/>
        <w:rPr>
          <w:rFonts w:ascii="Arial" w:hAnsi="Arial" w:cs="Arial" w:eastAsia="Arial" w:hint="default"/>
          <w:sz w:val="24"/>
          <w:szCs w:val="24"/>
        </w:rPr>
        <w:sectPr>
          <w:pgSz w:w="11910" w:h="16840"/>
          <w:pgMar w:header="748" w:footer="708" w:top="980" w:bottom="900" w:left="92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tabs>
          <w:tab w:pos="775" w:val="left" w:leader="none"/>
        </w:tabs>
        <w:spacing w:line="240" w:lineRule="auto" w:before="193"/>
        <w:ind w:left="103" w:right="0"/>
        <w:jc w:val="left"/>
        <w:rPr>
          <w:rFonts w:ascii="Arial" w:hAnsi="Arial" w:cs="Arial" w:eastAsia="Arial" w:hint="default"/>
          <w:b w:val="0"/>
          <w:bCs w:val="0"/>
        </w:rPr>
      </w:pPr>
      <w:r>
        <w:rPr>
          <w:w w:val="95"/>
        </w:rPr>
        <w:t>八</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39" w:val="left" w:leader="none"/>
        </w:tabs>
        <w:spacing w:before="0"/>
        <w:ind w:left="167" w:right="0" w:firstLine="0"/>
        <w:jc w:val="left"/>
        <w:rPr>
          <w:rFonts w:ascii="Arial" w:hAnsi="Arial" w:cs="Arial" w:eastAsia="Arial" w:hint="default"/>
          <w:sz w:val="24"/>
          <w:szCs w:val="24"/>
        </w:rPr>
      </w:pPr>
      <w:r>
        <w:rPr>
          <w:rFonts w:ascii="Arial" w:hAnsi="Arial" w:cs="Arial" w:eastAsia="Arial" w:hint="default"/>
          <w:position w:val="2"/>
          <w:sz w:val="24"/>
          <w:szCs w:val="24"/>
        </w:rPr>
        <w:t>(27)</w:t>
        <w:tab/>
      </w:r>
      <w:r>
        <w:rPr>
          <w:rFonts w:ascii="宋体" w:hAnsi="宋体" w:cs="宋体" w:eastAsia="宋体" w:hint="default"/>
          <w:b/>
          <w:bCs/>
          <w:sz w:val="24"/>
          <w:szCs w:val="24"/>
        </w:rPr>
        <w:t>营业收入和营业成本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39" w:val="left" w:leader="none"/>
        </w:tabs>
        <w:spacing w:line="240" w:lineRule="auto"/>
        <w:ind w:left="168" w:right="0"/>
        <w:jc w:val="left"/>
      </w:pPr>
      <w:r>
        <w:rPr>
          <w:rFonts w:ascii="Arial" w:hAnsi="Arial" w:cs="Arial" w:eastAsia="Arial" w:hint="default"/>
          <w:position w:val="2"/>
        </w:rPr>
        <w:t>(a)</w:t>
        <w:tab/>
      </w:r>
      <w:r>
        <w:rPr/>
        <w:t>主营业务收入和主营业务成本</w:t>
      </w:r>
    </w:p>
    <w:p>
      <w:pPr>
        <w:spacing w:line="240" w:lineRule="auto" w:before="12"/>
        <w:rPr>
          <w:rFonts w:ascii="宋体" w:hAnsi="宋体" w:cs="宋体" w:eastAsia="宋体" w:hint="default"/>
          <w:sz w:val="18"/>
          <w:szCs w:val="18"/>
        </w:rPr>
      </w:pPr>
    </w:p>
    <w:p>
      <w:pPr>
        <w:pStyle w:val="BodyText"/>
        <w:tabs>
          <w:tab w:pos="7901" w:val="left" w:leader="none"/>
        </w:tabs>
        <w:spacing w:line="240" w:lineRule="auto" w:before="26"/>
        <w:ind w:left="4235" w:right="0"/>
        <w:jc w:val="left"/>
      </w:pPr>
      <w:r>
        <w:rPr>
          <w:rFonts w:ascii="Arial" w:hAnsi="Arial" w:cs="Arial" w:eastAsia="Arial" w:hint="default"/>
        </w:rPr>
        <w:t>2007</w:t>
      </w:r>
      <w:r>
        <w:rPr>
          <w:rFonts w:ascii="Arial" w:hAnsi="Arial" w:cs="Arial" w:eastAsia="Arial" w:hint="default"/>
          <w:spacing w:val="-10"/>
        </w:rPr>
        <w:t> </w:t>
      </w:r>
      <w:r>
        <w:rPr/>
        <w:t>年度</w:t>
        <w:tab/>
      </w:r>
      <w:r>
        <w:rPr>
          <w:rFonts w:ascii="Arial" w:hAnsi="Arial" w:cs="Arial" w:eastAsia="Arial" w:hint="default"/>
        </w:rPr>
        <w:t>2006</w:t>
      </w:r>
      <w:r>
        <w:rPr>
          <w:rFonts w:ascii="Arial" w:hAnsi="Arial" w:cs="Arial" w:eastAsia="Arial" w:hint="default"/>
          <w:spacing w:val="-10"/>
        </w:rPr>
        <w:t> </w:t>
      </w:r>
      <w:r>
        <w:rPr/>
        <w:t>年度</w:t>
      </w:r>
    </w:p>
    <w:p>
      <w:pPr>
        <w:spacing w:line="240" w:lineRule="auto" w:before="8"/>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2225"/>
        <w:gridCol w:w="1801"/>
        <w:gridCol w:w="1671"/>
        <w:gridCol w:w="235"/>
        <w:gridCol w:w="1720"/>
        <w:gridCol w:w="1671"/>
      </w:tblGrid>
      <w:tr>
        <w:trPr>
          <w:trHeight w:val="260" w:hRule="exact"/>
        </w:trPr>
        <w:tc>
          <w:tcPr>
            <w:tcW w:w="5697" w:type="dxa"/>
            <w:gridSpan w:val="3"/>
            <w:tcBorders>
              <w:top w:val="nil" w:sz="6" w:space="0" w:color="auto"/>
              <w:left w:val="nil" w:sz="6" w:space="0" w:color="auto"/>
              <w:bottom w:val="nil" w:sz="6" w:space="0" w:color="auto"/>
              <w:right w:val="nil" w:sz="6" w:space="0" w:color="auto"/>
            </w:tcBorders>
          </w:tcPr>
          <w:p>
            <w:pPr>
              <w:pStyle w:val="TableParagraph"/>
              <w:spacing w:line="260" w:lineRule="exact"/>
              <w:ind w:left="2455"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35" w:type="dxa"/>
            <w:tcBorders>
              <w:top w:val="nil" w:sz="6" w:space="0" w:color="auto"/>
              <w:left w:val="nil" w:sz="6" w:space="0" w:color="auto"/>
              <w:bottom w:val="nil" w:sz="6" w:space="0" w:color="auto"/>
              <w:right w:val="nil" w:sz="6" w:space="0" w:color="auto"/>
            </w:tcBorders>
          </w:tcPr>
          <w:p>
            <w:pPr>
              <w:pStyle w:val="TableParagraph"/>
              <w:spacing w:line="260" w:lineRule="exact"/>
              <w:ind w:right="-1336"/>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720" w:type="dxa"/>
            <w:tcBorders>
              <w:top w:val="nil" w:sz="6" w:space="0" w:color="auto"/>
              <w:left w:val="nil" w:sz="6" w:space="0" w:color="auto"/>
              <w:bottom w:val="nil" w:sz="6" w:space="0" w:color="auto"/>
              <w:right w:val="nil" w:sz="6" w:space="0" w:color="auto"/>
            </w:tcBorders>
          </w:tcPr>
          <w:p>
            <w:pPr>
              <w:pStyle w:val="TableParagraph"/>
              <w:spacing w:line="260" w:lineRule="exact"/>
              <w:ind w:right="129"/>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671" w:type="dxa"/>
            <w:tcBorders>
              <w:top w:val="nil" w:sz="6" w:space="0" w:color="auto"/>
              <w:left w:val="nil" w:sz="6" w:space="0" w:color="auto"/>
              <w:bottom w:val="nil" w:sz="6" w:space="0" w:color="auto"/>
              <w:right w:val="nil" w:sz="6" w:space="0" w:color="auto"/>
            </w:tcBorders>
          </w:tcPr>
          <w:p>
            <w:pPr>
              <w:pStyle w:val="TableParagraph"/>
              <w:spacing w:line="260" w:lineRule="exact"/>
              <w:ind w:right="97"/>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89" w:hRule="exact"/>
        </w:trPr>
        <w:tc>
          <w:tcPr>
            <w:tcW w:w="9323" w:type="dxa"/>
            <w:gridSpan w:val="6"/>
            <w:tcBorders>
              <w:top w:val="nil" w:sz="6" w:space="0" w:color="auto"/>
              <w:left w:val="nil" w:sz="6" w:space="0" w:color="auto"/>
              <w:bottom w:val="nil" w:sz="6" w:space="0" w:color="auto"/>
              <w:right w:val="nil" w:sz="6" w:space="0" w:color="auto"/>
            </w:tcBorders>
          </w:tcPr>
          <w:p>
            <w:pPr>
              <w:pStyle w:val="TableParagraph"/>
              <w:spacing w:line="329" w:lineRule="exact"/>
              <w:ind w:left="5100"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8"/>
              <w:jc w:val="right"/>
              <w:rPr>
                <w:rFonts w:ascii="Arial" w:hAnsi="Arial" w:cs="Arial" w:eastAsia="Arial" w:hint="default"/>
                <w:sz w:val="24"/>
                <w:szCs w:val="24"/>
              </w:rPr>
            </w:pPr>
            <w:r>
              <w:rPr>
                <w:rFonts w:ascii="Arial"/>
                <w:spacing w:val="-2"/>
                <w:w w:val="95"/>
                <w:sz w:val="24"/>
              </w:rPr>
              <w:t>11,379,107</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0"/>
              <w:jc w:val="right"/>
              <w:rPr>
                <w:rFonts w:ascii="Arial" w:hAnsi="Arial" w:cs="Arial" w:eastAsia="Arial" w:hint="default"/>
                <w:sz w:val="24"/>
                <w:szCs w:val="24"/>
              </w:rPr>
            </w:pPr>
            <w:r>
              <w:rPr>
                <w:rFonts w:ascii="Arial"/>
                <w:spacing w:val="-1"/>
                <w:sz w:val="24"/>
              </w:rPr>
              <w:t>9,944,594</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32"/>
              <w:jc w:val="right"/>
              <w:rPr>
                <w:rFonts w:ascii="Arial" w:hAnsi="Arial" w:cs="Arial" w:eastAsia="Arial" w:hint="default"/>
                <w:sz w:val="24"/>
                <w:szCs w:val="24"/>
              </w:rPr>
            </w:pPr>
            <w:r>
              <w:rPr>
                <w:rFonts w:ascii="Arial"/>
                <w:spacing w:val="-1"/>
                <w:sz w:val="24"/>
              </w:rPr>
              <w:t>6,920,449</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sz w:val="24"/>
              </w:rPr>
              <w:t>6,239,914</w:t>
            </w:r>
            <w:r>
              <w:rPr>
                <w:rFonts w:ascii="Arial"/>
                <w:sz w:val="24"/>
              </w:rPr>
            </w:r>
          </w:p>
        </w:tc>
      </w:tr>
      <w:tr>
        <w:trPr>
          <w:trHeight w:val="312"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Arial" w:hAnsi="Arial" w:cs="Arial" w:eastAsia="Arial" w:hint="default"/>
                <w:sz w:val="24"/>
                <w:szCs w:val="24"/>
              </w:rPr>
            </w:pPr>
            <w:r>
              <w:rPr>
                <w:rFonts w:ascii="Arial"/>
                <w:spacing w:val="-1"/>
                <w:sz w:val="24"/>
              </w:rPr>
              <w:t>6,484,352</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5,686,676</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0"/>
              <w:jc w:val="right"/>
              <w:rPr>
                <w:rFonts w:ascii="Arial" w:hAnsi="Arial" w:cs="Arial" w:eastAsia="Arial" w:hint="default"/>
                <w:sz w:val="24"/>
                <w:szCs w:val="24"/>
              </w:rPr>
            </w:pPr>
            <w:r>
              <w:rPr>
                <w:rFonts w:ascii="Arial"/>
                <w:spacing w:val="-1"/>
                <w:sz w:val="24"/>
              </w:rPr>
              <w:t>3,970,362</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3,547,695</w:t>
            </w:r>
            <w:r>
              <w:rPr>
                <w:rFonts w:ascii="Arial"/>
                <w:sz w:val="24"/>
              </w:rPr>
            </w:r>
          </w:p>
        </w:tc>
      </w:tr>
      <w:tr>
        <w:trPr>
          <w:trHeight w:val="312"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Arial" w:hAnsi="Arial" w:cs="Arial" w:eastAsia="Arial" w:hint="default"/>
                <w:sz w:val="24"/>
                <w:szCs w:val="24"/>
              </w:rPr>
            </w:pPr>
            <w:r>
              <w:rPr>
                <w:rFonts w:ascii="Arial"/>
                <w:spacing w:val="-1"/>
                <w:sz w:val="24"/>
              </w:rPr>
              <w:t>5,939,429</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5,256,593</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0"/>
              <w:jc w:val="right"/>
              <w:rPr>
                <w:rFonts w:ascii="Arial" w:hAnsi="Arial" w:cs="Arial" w:eastAsia="Arial" w:hint="default"/>
                <w:sz w:val="24"/>
                <w:szCs w:val="24"/>
              </w:rPr>
            </w:pPr>
            <w:r>
              <w:rPr>
                <w:rFonts w:ascii="Arial"/>
                <w:spacing w:val="-1"/>
                <w:sz w:val="24"/>
              </w:rPr>
              <w:t>4,164,620</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3,720,627</w:t>
            </w:r>
            <w:r>
              <w:rPr>
                <w:rFonts w:ascii="Arial"/>
                <w:sz w:val="24"/>
              </w:rPr>
            </w:r>
          </w:p>
        </w:tc>
      </w:tr>
      <w:tr>
        <w:trPr>
          <w:trHeight w:val="312"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Arial" w:hAnsi="Arial" w:cs="Arial" w:eastAsia="Arial" w:hint="default"/>
                <w:sz w:val="24"/>
                <w:szCs w:val="24"/>
              </w:rPr>
            </w:pPr>
            <w:r>
              <w:rPr>
                <w:rFonts w:ascii="Arial"/>
                <w:spacing w:val="-1"/>
                <w:sz w:val="24"/>
              </w:rPr>
              <w:t>5,371,142</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4,980,534</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0"/>
              <w:jc w:val="right"/>
              <w:rPr>
                <w:rFonts w:ascii="Arial" w:hAnsi="Arial" w:cs="Arial" w:eastAsia="Arial" w:hint="default"/>
                <w:sz w:val="24"/>
                <w:szCs w:val="24"/>
              </w:rPr>
            </w:pPr>
            <w:r>
              <w:rPr>
                <w:rFonts w:ascii="Arial"/>
                <w:spacing w:val="-1"/>
                <w:sz w:val="24"/>
              </w:rPr>
              <w:t>4,215,882</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3,823,622</w:t>
            </w:r>
            <w:r>
              <w:rPr>
                <w:rFonts w:ascii="Arial"/>
                <w:sz w:val="24"/>
              </w:rPr>
            </w:r>
          </w:p>
        </w:tc>
      </w:tr>
      <w:tr>
        <w:trPr>
          <w:trHeight w:val="318"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Arial" w:hAnsi="Arial" w:cs="Arial" w:eastAsia="Arial" w:hint="default"/>
                <w:sz w:val="24"/>
                <w:szCs w:val="24"/>
              </w:rPr>
            </w:pPr>
            <w:r>
              <w:rPr>
                <w:rFonts w:ascii="Arial"/>
                <w:spacing w:val="-1"/>
                <w:sz w:val="24"/>
              </w:rPr>
              <w:t>4,642,173</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4,466,975</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0"/>
              <w:jc w:val="right"/>
              <w:rPr>
                <w:rFonts w:ascii="Arial" w:hAnsi="Arial" w:cs="Arial" w:eastAsia="Arial" w:hint="default"/>
                <w:sz w:val="24"/>
                <w:szCs w:val="24"/>
              </w:rPr>
            </w:pPr>
            <w:r>
              <w:rPr>
                <w:rFonts w:ascii="Arial"/>
                <w:spacing w:val="-1"/>
                <w:sz w:val="24"/>
              </w:rPr>
              <w:t>2,445,272</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2,289,161</w:t>
            </w:r>
            <w:r>
              <w:rPr>
                <w:rFonts w:ascii="Arial"/>
                <w:sz w:val="24"/>
              </w:rPr>
            </w:r>
          </w:p>
        </w:tc>
      </w:tr>
      <w:tr>
        <w:trPr>
          <w:trHeight w:val="306"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小家电产品</w:t>
            </w:r>
          </w:p>
        </w:tc>
        <w:tc>
          <w:tcPr>
            <w:tcW w:w="1801" w:type="dxa"/>
            <w:tcBorders>
              <w:top w:val="nil" w:sz="6" w:space="0" w:color="auto"/>
              <w:left w:val="nil" w:sz="6" w:space="0" w:color="auto"/>
              <w:bottom w:val="nil" w:sz="6" w:space="0" w:color="auto"/>
              <w:right w:val="nil" w:sz="6" w:space="0" w:color="auto"/>
            </w:tcBorders>
          </w:tcPr>
          <w:p>
            <w:pPr>
              <w:pStyle w:val="TableParagraph"/>
              <w:spacing w:line="272" w:lineRule="exact"/>
              <w:ind w:right="129"/>
              <w:jc w:val="right"/>
              <w:rPr>
                <w:rFonts w:ascii="Arial" w:hAnsi="Arial" w:cs="Arial" w:eastAsia="Arial" w:hint="default"/>
                <w:sz w:val="24"/>
                <w:szCs w:val="24"/>
              </w:rPr>
            </w:pPr>
            <w:r>
              <w:rPr>
                <w:rFonts w:ascii="Arial"/>
                <w:spacing w:val="-1"/>
                <w:sz w:val="24"/>
              </w:rPr>
              <w:t>4,462,497</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72" w:lineRule="exact"/>
              <w:ind w:right="99"/>
              <w:jc w:val="right"/>
              <w:rPr>
                <w:rFonts w:ascii="Arial" w:hAnsi="Arial" w:cs="Arial" w:eastAsia="Arial" w:hint="default"/>
                <w:sz w:val="24"/>
                <w:szCs w:val="24"/>
              </w:rPr>
            </w:pPr>
            <w:r>
              <w:rPr>
                <w:rFonts w:ascii="Arial"/>
                <w:spacing w:val="-1"/>
                <w:sz w:val="24"/>
              </w:rPr>
              <w:t>3,772,687</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72" w:lineRule="exact"/>
              <w:ind w:right="130"/>
              <w:jc w:val="right"/>
              <w:rPr>
                <w:rFonts w:ascii="Arial" w:hAnsi="Arial" w:cs="Arial" w:eastAsia="Arial" w:hint="default"/>
                <w:sz w:val="24"/>
                <w:szCs w:val="24"/>
              </w:rPr>
            </w:pPr>
            <w:r>
              <w:rPr>
                <w:rFonts w:ascii="Arial"/>
                <w:spacing w:val="-1"/>
                <w:sz w:val="24"/>
              </w:rPr>
              <w:t>2,937,668</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72" w:lineRule="exact"/>
              <w:ind w:right="99"/>
              <w:jc w:val="right"/>
              <w:rPr>
                <w:rFonts w:ascii="Arial" w:hAnsi="Arial" w:cs="Arial" w:eastAsia="Arial" w:hint="default"/>
                <w:sz w:val="24"/>
                <w:szCs w:val="24"/>
              </w:rPr>
            </w:pPr>
            <w:r>
              <w:rPr>
                <w:rFonts w:ascii="Arial"/>
                <w:spacing w:val="-1"/>
                <w:sz w:val="24"/>
              </w:rPr>
              <w:t>2,497,945</w:t>
            </w:r>
            <w:r>
              <w:rPr>
                <w:rFonts w:ascii="Arial"/>
                <w:sz w:val="24"/>
              </w:rPr>
            </w:r>
          </w:p>
        </w:tc>
      </w:tr>
      <w:tr>
        <w:trPr>
          <w:trHeight w:val="312"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8"/>
              <w:jc w:val="right"/>
              <w:rPr>
                <w:rFonts w:ascii="Arial" w:hAnsi="Arial" w:cs="Arial" w:eastAsia="Arial" w:hint="default"/>
                <w:sz w:val="24"/>
                <w:szCs w:val="24"/>
              </w:rPr>
            </w:pPr>
            <w:r>
              <w:rPr>
                <w:rFonts w:ascii="Arial"/>
                <w:spacing w:val="-1"/>
                <w:sz w:val="24"/>
              </w:rPr>
              <w:t>314,723</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165,491</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0"/>
              <w:jc w:val="right"/>
              <w:rPr>
                <w:rFonts w:ascii="Arial" w:hAnsi="Arial" w:cs="Arial" w:eastAsia="Arial" w:hint="default"/>
                <w:sz w:val="24"/>
                <w:szCs w:val="24"/>
              </w:rPr>
            </w:pPr>
            <w:r>
              <w:rPr>
                <w:rFonts w:ascii="Arial"/>
                <w:spacing w:val="-1"/>
                <w:sz w:val="24"/>
              </w:rPr>
              <w:t>242,249</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sz w:val="24"/>
              </w:rPr>
              <w:t>135,041</w:t>
            </w:r>
            <w:r>
              <w:rPr>
                <w:rFonts w:ascii="Arial"/>
                <w:sz w:val="24"/>
              </w:rPr>
            </w:r>
          </w:p>
        </w:tc>
      </w:tr>
      <w:tr>
        <w:trPr>
          <w:trHeight w:val="319"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其他产品</w:t>
            </w:r>
          </w:p>
        </w:tc>
        <w:tc>
          <w:tcPr>
            <w:tcW w:w="1801"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28"/>
              <w:jc w:val="right"/>
              <w:rPr>
                <w:rFonts w:ascii="Arial" w:hAnsi="Arial" w:cs="Arial" w:eastAsia="Arial" w:hint="default"/>
                <w:sz w:val="24"/>
                <w:szCs w:val="24"/>
              </w:rPr>
            </w:pPr>
            <w:r>
              <w:rPr>
                <w:rFonts w:ascii="Arial"/>
                <w:spacing w:val="-1"/>
                <w:sz w:val="24"/>
              </w:rPr>
              <w:t>83,101</w:t>
            </w:r>
            <w:r>
              <w:rPr>
                <w:rFonts w:ascii="Arial"/>
                <w:sz w:val="24"/>
              </w:rPr>
            </w:r>
          </w:p>
        </w:tc>
        <w:tc>
          <w:tcPr>
            <w:tcW w:w="1671"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51,191</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30"/>
              <w:jc w:val="right"/>
              <w:rPr>
                <w:rFonts w:ascii="Arial" w:hAnsi="Arial" w:cs="Arial" w:eastAsia="Arial" w:hint="default"/>
                <w:sz w:val="24"/>
                <w:szCs w:val="24"/>
              </w:rPr>
            </w:pPr>
            <w:r>
              <w:rPr>
                <w:rFonts w:ascii="Arial"/>
                <w:spacing w:val="-1"/>
                <w:sz w:val="24"/>
              </w:rPr>
              <w:t>29,506</w:t>
            </w:r>
            <w:r>
              <w:rPr>
                <w:rFonts w:ascii="Arial"/>
                <w:sz w:val="24"/>
              </w:rPr>
            </w:r>
          </w:p>
        </w:tc>
        <w:tc>
          <w:tcPr>
            <w:tcW w:w="1671"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sz w:val="24"/>
              </w:rPr>
              <w:t>10,352</w:t>
            </w:r>
            <w:r>
              <w:rPr>
                <w:rFonts w:ascii="Arial"/>
                <w:sz w:val="24"/>
              </w:rPr>
            </w:r>
          </w:p>
        </w:tc>
      </w:tr>
      <w:tr>
        <w:trPr>
          <w:trHeight w:val="293" w:hRule="exact"/>
        </w:trPr>
        <w:tc>
          <w:tcPr>
            <w:tcW w:w="2225" w:type="dxa"/>
            <w:tcBorders>
              <w:top w:val="nil" w:sz="6" w:space="0" w:color="auto"/>
              <w:left w:val="nil" w:sz="6" w:space="0" w:color="auto"/>
              <w:bottom w:val="nil" w:sz="6" w:space="0" w:color="auto"/>
              <w:right w:val="nil" w:sz="6" w:space="0" w:color="auto"/>
            </w:tcBorders>
          </w:tcPr>
          <w:p>
            <w:pPr/>
          </w:p>
        </w:tc>
        <w:tc>
          <w:tcPr>
            <w:tcW w:w="1801"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29"/>
              <w:jc w:val="right"/>
              <w:rPr>
                <w:rFonts w:ascii="Arial" w:hAnsi="Arial" w:cs="Arial" w:eastAsia="Arial" w:hint="default"/>
                <w:sz w:val="24"/>
                <w:szCs w:val="24"/>
              </w:rPr>
            </w:pPr>
            <w:r>
              <w:rPr>
                <w:rFonts w:ascii="Arial"/>
                <w:spacing w:val="-1"/>
                <w:sz w:val="24"/>
              </w:rPr>
              <w:t>38,676,524</w:t>
            </w:r>
            <w:r>
              <w:rPr>
                <w:rFonts w:ascii="Arial"/>
                <w:sz w:val="24"/>
              </w:rPr>
            </w:r>
          </w:p>
        </w:tc>
        <w:tc>
          <w:tcPr>
            <w:tcW w:w="1671"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sz w:val="24"/>
              </w:rPr>
              <w:t>34,324,741</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30"/>
              <w:jc w:val="right"/>
              <w:rPr>
                <w:rFonts w:ascii="Arial" w:hAnsi="Arial" w:cs="Arial" w:eastAsia="Arial" w:hint="default"/>
                <w:sz w:val="24"/>
                <w:szCs w:val="24"/>
              </w:rPr>
            </w:pPr>
            <w:r>
              <w:rPr>
                <w:rFonts w:ascii="Arial"/>
                <w:spacing w:val="-1"/>
                <w:sz w:val="24"/>
              </w:rPr>
              <w:t>24,926,008</w:t>
            </w:r>
            <w:r>
              <w:rPr>
                <w:rFonts w:ascii="Arial"/>
                <w:sz w:val="24"/>
              </w:rPr>
            </w:r>
          </w:p>
        </w:tc>
        <w:tc>
          <w:tcPr>
            <w:tcW w:w="1671"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sz w:val="24"/>
              </w:rPr>
              <w:t>22,264,357</w:t>
            </w:r>
            <w:r>
              <w:rPr>
                <w:rFonts w:ascii="Arial"/>
                <w:sz w:val="24"/>
              </w:rPr>
            </w:r>
          </w:p>
        </w:tc>
      </w:tr>
    </w:tbl>
    <w:p>
      <w:pPr>
        <w:spacing w:line="240" w:lineRule="auto" w:before="13"/>
        <w:rPr>
          <w:rFonts w:ascii="宋体" w:hAnsi="宋体" w:cs="宋体" w:eastAsia="宋体" w:hint="default"/>
          <w:sz w:val="14"/>
          <w:szCs w:val="14"/>
        </w:rPr>
      </w:pPr>
    </w:p>
    <w:p>
      <w:pPr>
        <w:pStyle w:val="BodyText"/>
        <w:spacing w:line="322" w:lineRule="exact" w:before="26"/>
        <w:ind w:left="840" w:right="0"/>
        <w:jc w:val="left"/>
      </w:pPr>
      <w:r>
        <w:rPr/>
        <w:t>于</w:t>
      </w:r>
      <w:r>
        <w:rPr>
          <w:spacing w:val="-48"/>
        </w:rPr>
        <w:t> </w:t>
      </w:r>
      <w:r>
        <w:rPr>
          <w:rFonts w:ascii="Arial" w:hAnsi="Arial" w:cs="Arial" w:eastAsia="Arial" w:hint="default"/>
        </w:rPr>
        <w:t>2007</w:t>
      </w:r>
      <w:r>
        <w:rPr>
          <w:rFonts w:ascii="Arial" w:hAnsi="Arial" w:cs="Arial" w:eastAsia="Arial" w:hint="default"/>
          <w:spacing w:val="5"/>
        </w:rPr>
        <w:t> </w:t>
      </w:r>
      <w:r>
        <w:rPr/>
        <w:t>年度，本集团前五名客户销售的收入总额约为人民币</w:t>
      </w:r>
      <w:r>
        <w:rPr>
          <w:spacing w:val="-48"/>
        </w:rPr>
        <w:t> </w:t>
      </w:r>
      <w:r>
        <w:rPr>
          <w:rFonts w:ascii="Arial" w:hAnsi="Arial" w:cs="Arial" w:eastAsia="Arial" w:hint="default"/>
        </w:rPr>
        <w:t>34.1</w:t>
      </w:r>
      <w:r>
        <w:rPr>
          <w:rFonts w:ascii="Arial" w:hAnsi="Arial" w:cs="Arial" w:eastAsia="Arial" w:hint="default"/>
          <w:spacing w:val="5"/>
        </w:rPr>
        <w:t> </w:t>
      </w:r>
      <w:r>
        <w:rPr/>
        <w:t>亿元</w:t>
      </w:r>
      <w:r>
        <w:rPr>
          <w:rFonts w:ascii="Arial" w:hAnsi="Arial" w:cs="Arial" w:eastAsia="Arial" w:hint="default"/>
        </w:rPr>
        <w:t>(2006</w:t>
      </w:r>
      <w:r>
        <w:rPr>
          <w:rFonts w:ascii="Arial" w:hAnsi="Arial" w:cs="Arial" w:eastAsia="Arial" w:hint="default"/>
          <w:spacing w:val="5"/>
        </w:rPr>
        <w:t> </w:t>
      </w:r>
      <w:r>
        <w:rPr/>
        <w:t>年度：约</w:t>
      </w:r>
    </w:p>
    <w:p>
      <w:pPr>
        <w:pStyle w:val="BodyText"/>
        <w:spacing w:line="322" w:lineRule="exact"/>
        <w:ind w:left="840" w:right="0"/>
        <w:jc w:val="left"/>
      </w:pPr>
      <w:r>
        <w:rPr/>
        <w:t>人民币</w:t>
      </w:r>
      <w:r>
        <w:rPr>
          <w:spacing w:val="-63"/>
        </w:rPr>
        <w:t> </w:t>
      </w:r>
      <w:r>
        <w:rPr>
          <w:rFonts w:ascii="Arial" w:hAnsi="Arial" w:cs="Arial" w:eastAsia="Arial" w:hint="default"/>
        </w:rPr>
        <w:t>21.5</w:t>
      </w:r>
      <w:r>
        <w:rPr>
          <w:rFonts w:ascii="Arial" w:hAnsi="Arial" w:cs="Arial" w:eastAsia="Arial" w:hint="default"/>
          <w:spacing w:val="-10"/>
        </w:rPr>
        <w:t> </w:t>
      </w:r>
      <w:r>
        <w:rPr/>
        <w:t>亿元</w:t>
      </w:r>
      <w:r>
        <w:rPr>
          <w:rFonts w:ascii="Arial" w:hAnsi="Arial" w:cs="Arial" w:eastAsia="Arial" w:hint="default"/>
        </w:rPr>
        <w:t>)</w:t>
      </w:r>
      <w:r>
        <w:rPr/>
        <w:t>，占本集团全部销售收入的</w:t>
      </w:r>
      <w:r>
        <w:rPr>
          <w:spacing w:val="-63"/>
        </w:rPr>
        <w:t> </w:t>
      </w:r>
      <w:r>
        <w:rPr>
          <w:rFonts w:ascii="Arial" w:hAnsi="Arial" w:cs="Arial" w:eastAsia="Arial" w:hint="default"/>
        </w:rPr>
        <w:t>8.8%(2006</w:t>
      </w:r>
      <w:r>
        <w:rPr>
          <w:rFonts w:ascii="Arial" w:hAnsi="Arial" w:cs="Arial" w:eastAsia="Arial" w:hint="default"/>
          <w:spacing w:val="-10"/>
        </w:rPr>
        <w:t> </w:t>
      </w:r>
      <w:r>
        <w:rPr/>
        <w:t>年度：</w:t>
      </w:r>
      <w:r>
        <w:rPr>
          <w:rFonts w:ascii="Arial" w:hAnsi="Arial" w:cs="Arial" w:eastAsia="Arial" w:hint="default"/>
        </w:rPr>
        <w:t>8.6%)</w:t>
      </w:r>
      <w:r>
        <w:rPr/>
        <w:t>。</w:t>
      </w:r>
    </w:p>
    <w:p>
      <w:pPr>
        <w:spacing w:line="240" w:lineRule="auto" w:before="8"/>
        <w:rPr>
          <w:rFonts w:ascii="宋体" w:hAnsi="宋体" w:cs="宋体" w:eastAsia="宋体" w:hint="default"/>
          <w:sz w:val="19"/>
          <w:szCs w:val="19"/>
        </w:rPr>
      </w:pPr>
    </w:p>
    <w:p>
      <w:pPr>
        <w:pStyle w:val="BodyText"/>
        <w:tabs>
          <w:tab w:pos="821" w:val="left" w:leader="none"/>
        </w:tabs>
        <w:spacing w:line="240" w:lineRule="auto"/>
        <w:ind w:left="168" w:right="0"/>
        <w:jc w:val="left"/>
      </w:pPr>
      <w:r>
        <w:rPr>
          <w:rFonts w:ascii="Arial" w:hAnsi="Arial" w:cs="Arial" w:eastAsia="Arial" w:hint="default"/>
          <w:position w:val="2"/>
        </w:rPr>
        <w:t>(b)</w:t>
        <w:tab/>
      </w:r>
      <w:r>
        <w:rPr/>
        <w:t>其他业务收入和其他业务成本</w:t>
      </w:r>
    </w:p>
    <w:p>
      <w:pPr>
        <w:spacing w:line="240" w:lineRule="auto" w:before="12"/>
        <w:rPr>
          <w:rFonts w:ascii="宋体" w:hAnsi="宋体" w:cs="宋体" w:eastAsia="宋体" w:hint="default"/>
          <w:sz w:val="20"/>
          <w:szCs w:val="20"/>
        </w:rPr>
      </w:pPr>
    </w:p>
    <w:p>
      <w:pPr>
        <w:pStyle w:val="BodyText"/>
        <w:tabs>
          <w:tab w:pos="7901" w:val="left" w:leader="none"/>
        </w:tabs>
        <w:spacing w:line="240" w:lineRule="auto"/>
        <w:ind w:left="4236" w:right="0"/>
        <w:jc w:val="left"/>
      </w:pPr>
      <w:r>
        <w:rPr>
          <w:rFonts w:ascii="Arial" w:hAnsi="Arial" w:cs="Arial" w:eastAsia="Arial" w:hint="default"/>
        </w:rPr>
        <w:t>2007</w:t>
      </w:r>
      <w:r>
        <w:rPr>
          <w:rFonts w:ascii="Arial" w:hAnsi="Arial" w:cs="Arial" w:eastAsia="Arial" w:hint="default"/>
          <w:spacing w:val="-10"/>
        </w:rPr>
        <w:t> </w:t>
      </w:r>
      <w:r>
        <w:rPr/>
        <w:t>年度</w:t>
        <w:tab/>
      </w:r>
      <w:r>
        <w:rPr>
          <w:rFonts w:ascii="Arial" w:hAnsi="Arial" w:cs="Arial" w:eastAsia="Arial" w:hint="default"/>
        </w:rPr>
        <w:t>2006</w:t>
      </w:r>
      <w:r>
        <w:rPr>
          <w:rFonts w:ascii="Arial" w:hAnsi="Arial" w:cs="Arial" w:eastAsia="Arial" w:hint="default"/>
          <w:spacing w:val="-10"/>
        </w:rPr>
        <w:t> </w:t>
      </w:r>
      <w:r>
        <w:rPr/>
        <w:t>年度</w:t>
      </w:r>
    </w:p>
    <w:p>
      <w:pPr>
        <w:spacing w:line="240" w:lineRule="auto" w:before="8"/>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2225"/>
        <w:gridCol w:w="1804"/>
        <w:gridCol w:w="1667"/>
        <w:gridCol w:w="235"/>
        <w:gridCol w:w="1720"/>
        <w:gridCol w:w="1671"/>
      </w:tblGrid>
      <w:tr>
        <w:trPr>
          <w:trHeight w:val="260" w:hRule="exact"/>
        </w:trPr>
        <w:tc>
          <w:tcPr>
            <w:tcW w:w="5697" w:type="dxa"/>
            <w:gridSpan w:val="3"/>
            <w:tcBorders>
              <w:top w:val="nil" w:sz="6" w:space="0" w:color="auto"/>
              <w:left w:val="nil" w:sz="6" w:space="0" w:color="auto"/>
              <w:bottom w:val="nil" w:sz="6" w:space="0" w:color="auto"/>
              <w:right w:val="nil" w:sz="6" w:space="0" w:color="auto"/>
            </w:tcBorders>
          </w:tcPr>
          <w:p>
            <w:pPr>
              <w:pStyle w:val="TableParagraph"/>
              <w:spacing w:line="260" w:lineRule="exact"/>
              <w:ind w:left="2455"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235" w:type="dxa"/>
            <w:tcBorders>
              <w:top w:val="nil" w:sz="6" w:space="0" w:color="auto"/>
              <w:left w:val="nil" w:sz="6" w:space="0" w:color="auto"/>
              <w:bottom w:val="nil" w:sz="6" w:space="0" w:color="auto"/>
              <w:right w:val="nil" w:sz="6" w:space="0" w:color="auto"/>
            </w:tcBorders>
          </w:tcPr>
          <w:p>
            <w:pPr>
              <w:pStyle w:val="TableParagraph"/>
              <w:spacing w:line="260" w:lineRule="exact"/>
              <w:ind w:right="-1332"/>
              <w:jc w:val="right"/>
              <w:rPr>
                <w:rFonts w:ascii="宋体" w:hAnsi="宋体" w:cs="宋体" w:eastAsia="宋体" w:hint="default"/>
                <w:sz w:val="24"/>
                <w:szCs w:val="24"/>
              </w:rPr>
            </w:pPr>
            <w:r>
              <w:rPr>
                <w:rFonts w:ascii="宋体" w:hAnsi="宋体" w:cs="宋体" w:eastAsia="宋体" w:hint="default"/>
                <w:sz w:val="24"/>
                <w:szCs w:val="24"/>
              </w:rPr>
              <w:t>其他业务成本</w:t>
            </w:r>
          </w:p>
        </w:tc>
        <w:tc>
          <w:tcPr>
            <w:tcW w:w="1720" w:type="dxa"/>
            <w:tcBorders>
              <w:top w:val="nil" w:sz="6" w:space="0" w:color="auto"/>
              <w:left w:val="nil" w:sz="6" w:space="0" w:color="auto"/>
              <w:bottom w:val="nil" w:sz="6" w:space="0" w:color="auto"/>
              <w:right w:val="nil" w:sz="6" w:space="0" w:color="auto"/>
            </w:tcBorders>
          </w:tcPr>
          <w:p>
            <w:pPr>
              <w:pStyle w:val="TableParagraph"/>
              <w:spacing w:line="260" w:lineRule="exact"/>
              <w:ind w:right="129"/>
              <w:jc w:val="right"/>
              <w:rPr>
                <w:rFonts w:ascii="宋体" w:hAnsi="宋体" w:cs="宋体" w:eastAsia="宋体" w:hint="default"/>
                <w:sz w:val="24"/>
                <w:szCs w:val="24"/>
              </w:rPr>
            </w:pPr>
            <w:r>
              <w:rPr>
                <w:rFonts w:ascii="宋体" w:hAnsi="宋体" w:cs="宋体" w:eastAsia="宋体" w:hint="default"/>
                <w:sz w:val="24"/>
                <w:szCs w:val="24"/>
              </w:rPr>
              <w:t>其他业务收入</w:t>
            </w:r>
          </w:p>
        </w:tc>
        <w:tc>
          <w:tcPr>
            <w:tcW w:w="1671" w:type="dxa"/>
            <w:tcBorders>
              <w:top w:val="nil" w:sz="6" w:space="0" w:color="auto"/>
              <w:left w:val="nil" w:sz="6" w:space="0" w:color="auto"/>
              <w:bottom w:val="nil" w:sz="6" w:space="0" w:color="auto"/>
              <w:right w:val="nil" w:sz="6" w:space="0" w:color="auto"/>
            </w:tcBorders>
          </w:tcPr>
          <w:p>
            <w:pPr>
              <w:pStyle w:val="TableParagraph"/>
              <w:spacing w:line="260" w:lineRule="exact"/>
              <w:ind w:right="97"/>
              <w:jc w:val="right"/>
              <w:rPr>
                <w:rFonts w:ascii="宋体" w:hAnsi="宋体" w:cs="宋体" w:eastAsia="宋体" w:hint="default"/>
                <w:sz w:val="24"/>
                <w:szCs w:val="24"/>
              </w:rPr>
            </w:pPr>
            <w:r>
              <w:rPr>
                <w:rFonts w:ascii="宋体" w:hAnsi="宋体" w:cs="宋体" w:eastAsia="宋体" w:hint="default"/>
                <w:sz w:val="24"/>
                <w:szCs w:val="24"/>
              </w:rPr>
              <w:t>其他业务成本</w:t>
            </w:r>
          </w:p>
        </w:tc>
      </w:tr>
      <w:tr>
        <w:trPr>
          <w:trHeight w:val="492" w:hRule="exact"/>
        </w:trPr>
        <w:tc>
          <w:tcPr>
            <w:tcW w:w="9323" w:type="dxa"/>
            <w:gridSpan w:val="6"/>
            <w:tcBorders>
              <w:top w:val="nil" w:sz="6" w:space="0" w:color="auto"/>
              <w:left w:val="nil" w:sz="6" w:space="0" w:color="auto"/>
              <w:bottom w:val="nil" w:sz="6" w:space="0" w:color="auto"/>
              <w:right w:val="nil" w:sz="6" w:space="0" w:color="auto"/>
            </w:tcBorders>
          </w:tcPr>
          <w:p>
            <w:pPr>
              <w:pStyle w:val="TableParagraph"/>
              <w:spacing w:line="329" w:lineRule="exact"/>
              <w:ind w:left="5100"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Arial" w:hAnsi="Arial" w:cs="Arial" w:eastAsia="Arial" w:hint="default"/>
                <w:sz w:val="24"/>
                <w:szCs w:val="24"/>
              </w:rPr>
            </w:pPr>
            <w:r>
              <w:rPr>
                <w:rFonts w:ascii="宋体" w:hAnsi="宋体" w:cs="宋体" w:eastAsia="宋体" w:hint="default"/>
                <w:sz w:val="24"/>
                <w:szCs w:val="24"/>
              </w:rPr>
              <w:t>连锁店服务收入</w:t>
            </w:r>
            <w:r>
              <w:rPr>
                <w:rFonts w:ascii="Arial" w:hAnsi="Arial" w:cs="Arial" w:eastAsia="Arial" w:hint="default"/>
                <w:sz w:val="24"/>
                <w:szCs w:val="24"/>
              </w:rPr>
              <w:t>(</w:t>
            </w:r>
            <w:r>
              <w:rPr>
                <w:rFonts w:ascii="宋体" w:hAnsi="宋体" w:cs="宋体" w:eastAsia="宋体" w:hint="default"/>
                <w:sz w:val="24"/>
                <w:szCs w:val="24"/>
              </w:rPr>
              <w:t>注</w:t>
            </w:r>
            <w:r>
              <w:rPr>
                <w:rFonts w:ascii="Arial" w:hAnsi="Arial" w:cs="Arial" w:eastAsia="Arial" w:hint="default"/>
                <w:sz w:val="24"/>
                <w:szCs w:val="24"/>
              </w:rPr>
              <w:t>)</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2"/>
              <w:jc w:val="right"/>
              <w:rPr>
                <w:rFonts w:ascii="Arial" w:hAnsi="Arial" w:cs="Arial" w:eastAsia="Arial" w:hint="default"/>
                <w:sz w:val="24"/>
                <w:szCs w:val="24"/>
              </w:rPr>
            </w:pPr>
            <w:r>
              <w:rPr>
                <w:rFonts w:ascii="Arial"/>
                <w:spacing w:val="-1"/>
                <w:sz w:val="24"/>
              </w:rPr>
              <w:t>1,151,673</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99"/>
              <w:jc w:val="right"/>
              <w:rPr>
                <w:rFonts w:ascii="Arial" w:hAnsi="Arial" w:cs="Arial" w:eastAsia="Arial" w:hint="default"/>
                <w:sz w:val="24"/>
                <w:szCs w:val="24"/>
              </w:rPr>
            </w:pPr>
            <w:r>
              <w:rPr>
                <w:rFonts w:ascii="Arial"/>
                <w:sz w:val="24"/>
              </w:rPr>
              <w:t>-</w:t>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29"/>
              <w:jc w:val="right"/>
              <w:rPr>
                <w:rFonts w:ascii="Arial" w:hAnsi="Arial" w:cs="Arial" w:eastAsia="Arial" w:hint="default"/>
                <w:sz w:val="24"/>
                <w:szCs w:val="24"/>
              </w:rPr>
            </w:pPr>
            <w:r>
              <w:rPr>
                <w:rFonts w:ascii="Arial"/>
                <w:spacing w:val="-1"/>
                <w:sz w:val="24"/>
              </w:rPr>
              <w:t>1,052,664</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98"/>
              <w:jc w:val="right"/>
              <w:rPr>
                <w:rFonts w:ascii="Arial" w:hAnsi="Arial" w:cs="Arial" w:eastAsia="Arial" w:hint="default"/>
                <w:sz w:val="24"/>
                <w:szCs w:val="24"/>
              </w:rPr>
            </w:pPr>
            <w:r>
              <w:rPr>
                <w:rFonts w:ascii="Arial"/>
                <w:sz w:val="24"/>
              </w:rPr>
              <w:t>-</w:t>
            </w:r>
          </w:p>
        </w:tc>
      </w:tr>
      <w:tr>
        <w:trPr>
          <w:trHeight w:val="309"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广告位使用费收入</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sz w:val="24"/>
              </w:rPr>
              <w:t>201,948</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Arial" w:hAnsi="Arial" w:cs="Arial" w:eastAsia="Arial" w:hint="default"/>
                <w:sz w:val="24"/>
                <w:szCs w:val="24"/>
              </w:rPr>
            </w:pPr>
            <w:r>
              <w:rPr>
                <w:rFonts w:ascii="Arial"/>
                <w:sz w:val="24"/>
              </w:rPr>
              <w:t>-</w:t>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9"/>
              <w:jc w:val="right"/>
              <w:rPr>
                <w:rFonts w:ascii="Arial" w:hAnsi="Arial" w:cs="Arial" w:eastAsia="Arial" w:hint="default"/>
                <w:sz w:val="24"/>
                <w:szCs w:val="24"/>
              </w:rPr>
            </w:pPr>
            <w:r>
              <w:rPr>
                <w:rFonts w:ascii="Arial"/>
                <w:spacing w:val="-4"/>
                <w:sz w:val="24"/>
              </w:rPr>
              <w:t>125,311</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4"/>
                <w:szCs w:val="24"/>
              </w:rPr>
            </w:pPr>
            <w:r>
              <w:rPr>
                <w:rFonts w:ascii="Arial"/>
                <w:sz w:val="24"/>
              </w:rPr>
              <w:t>-</w:t>
            </w:r>
          </w:p>
        </w:tc>
      </w:tr>
      <w:tr>
        <w:trPr>
          <w:trHeight w:val="300"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代理费收入</w:t>
            </w:r>
          </w:p>
        </w:tc>
        <w:tc>
          <w:tcPr>
            <w:tcW w:w="1804" w:type="dxa"/>
            <w:tcBorders>
              <w:top w:val="nil" w:sz="6" w:space="0" w:color="auto"/>
              <w:left w:val="nil" w:sz="6" w:space="0" w:color="auto"/>
              <w:bottom w:val="nil" w:sz="6" w:space="0" w:color="auto"/>
              <w:right w:val="nil" w:sz="6" w:space="0" w:color="auto"/>
            </w:tcBorders>
          </w:tcPr>
          <w:p>
            <w:pPr>
              <w:pStyle w:val="TableParagraph"/>
              <w:spacing w:line="263" w:lineRule="exact"/>
              <w:ind w:right="133"/>
              <w:jc w:val="right"/>
              <w:rPr>
                <w:rFonts w:ascii="Arial" w:hAnsi="Arial" w:cs="Arial" w:eastAsia="Arial" w:hint="default"/>
                <w:sz w:val="24"/>
                <w:szCs w:val="24"/>
              </w:rPr>
            </w:pPr>
            <w:r>
              <w:rPr>
                <w:rFonts w:ascii="Arial"/>
                <w:spacing w:val="-1"/>
                <w:sz w:val="24"/>
              </w:rPr>
              <w:t>80,151</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63" w:lineRule="exact"/>
              <w:ind w:right="99"/>
              <w:jc w:val="right"/>
              <w:rPr>
                <w:rFonts w:ascii="Arial" w:hAnsi="Arial" w:cs="Arial" w:eastAsia="Arial" w:hint="default"/>
                <w:sz w:val="24"/>
                <w:szCs w:val="24"/>
              </w:rPr>
            </w:pPr>
            <w:r>
              <w:rPr>
                <w:rFonts w:ascii="Arial"/>
                <w:sz w:val="24"/>
              </w:rPr>
              <w:t>-</w:t>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63" w:lineRule="exact"/>
              <w:ind w:right="130"/>
              <w:jc w:val="right"/>
              <w:rPr>
                <w:rFonts w:ascii="Arial" w:hAnsi="Arial" w:cs="Arial" w:eastAsia="Arial" w:hint="default"/>
                <w:sz w:val="24"/>
                <w:szCs w:val="24"/>
              </w:rPr>
            </w:pPr>
            <w:r>
              <w:rPr>
                <w:rFonts w:ascii="Arial"/>
                <w:spacing w:val="-1"/>
                <w:sz w:val="24"/>
              </w:rPr>
              <w:t>32,778</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63" w:lineRule="exact"/>
              <w:ind w:right="98"/>
              <w:jc w:val="right"/>
              <w:rPr>
                <w:rFonts w:ascii="Arial" w:hAnsi="Arial" w:cs="Arial" w:eastAsia="Arial" w:hint="default"/>
                <w:sz w:val="24"/>
                <w:szCs w:val="24"/>
              </w:rPr>
            </w:pPr>
            <w:r>
              <w:rPr>
                <w:rFonts w:ascii="Arial"/>
                <w:sz w:val="24"/>
              </w:rPr>
              <w:t>-</w:t>
            </w:r>
          </w:p>
        </w:tc>
      </w:tr>
      <w:tr>
        <w:trPr>
          <w:trHeight w:val="324"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租赁收入</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3"/>
              <w:jc w:val="right"/>
              <w:rPr>
                <w:rFonts w:ascii="Arial" w:hAnsi="Arial" w:cs="Arial" w:eastAsia="Arial" w:hint="default"/>
                <w:sz w:val="24"/>
                <w:szCs w:val="24"/>
              </w:rPr>
            </w:pPr>
            <w:r>
              <w:rPr>
                <w:rFonts w:ascii="Arial"/>
                <w:spacing w:val="-1"/>
                <w:sz w:val="24"/>
              </w:rPr>
              <w:t>35,088</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24"/>
                <w:szCs w:val="24"/>
              </w:rPr>
            </w:pPr>
            <w:r>
              <w:rPr>
                <w:rFonts w:ascii="Arial"/>
                <w:spacing w:val="-1"/>
                <w:sz w:val="24"/>
              </w:rPr>
              <w:t>21,999</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0"/>
              <w:jc w:val="right"/>
              <w:rPr>
                <w:rFonts w:ascii="Arial" w:hAnsi="Arial" w:cs="Arial" w:eastAsia="Arial" w:hint="default"/>
                <w:sz w:val="24"/>
                <w:szCs w:val="24"/>
              </w:rPr>
            </w:pPr>
            <w:r>
              <w:rPr>
                <w:rFonts w:ascii="Arial"/>
                <w:spacing w:val="-1"/>
                <w:sz w:val="24"/>
              </w:rPr>
              <w:t>13,776</w:t>
            </w:r>
            <w:r>
              <w:rPr>
                <w:rFonts w:ascii="Arial"/>
                <w:sz w:val="24"/>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24"/>
                <w:szCs w:val="24"/>
              </w:rPr>
            </w:pPr>
            <w:r>
              <w:rPr>
                <w:rFonts w:ascii="Arial"/>
                <w:spacing w:val="-1"/>
                <w:w w:val="95"/>
                <w:sz w:val="24"/>
              </w:rPr>
              <w:t>4,449</w:t>
            </w:r>
            <w:r>
              <w:rPr>
                <w:rFonts w:ascii="Arial"/>
                <w:w w:val="95"/>
                <w:sz w:val="24"/>
              </w:rPr>
            </w:r>
          </w:p>
        </w:tc>
      </w:tr>
      <w:tr>
        <w:trPr>
          <w:trHeight w:val="297"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加盟费收入</w:t>
            </w:r>
          </w:p>
        </w:tc>
        <w:tc>
          <w:tcPr>
            <w:tcW w:w="1804" w:type="dxa"/>
            <w:tcBorders>
              <w:top w:val="nil" w:sz="6" w:space="0" w:color="auto"/>
              <w:left w:val="nil" w:sz="6" w:space="0" w:color="auto"/>
              <w:bottom w:val="nil" w:sz="6" w:space="0" w:color="auto"/>
              <w:right w:val="nil" w:sz="6" w:space="0" w:color="auto"/>
            </w:tcBorders>
          </w:tcPr>
          <w:p>
            <w:pPr>
              <w:pStyle w:val="TableParagraph"/>
              <w:spacing w:line="263" w:lineRule="exact"/>
              <w:ind w:right="124"/>
              <w:jc w:val="right"/>
              <w:rPr>
                <w:rFonts w:ascii="Arial" w:hAnsi="Arial" w:cs="Arial" w:eastAsia="Arial" w:hint="default"/>
                <w:sz w:val="24"/>
                <w:szCs w:val="24"/>
              </w:rPr>
            </w:pPr>
            <w:r>
              <w:rPr>
                <w:rFonts w:ascii="Arial"/>
                <w:spacing w:val="-1"/>
                <w:w w:val="95"/>
                <w:sz w:val="24"/>
              </w:rPr>
              <w:t>3,881</w:t>
            </w:r>
            <w:r>
              <w:rPr>
                <w:rFonts w:ascii="Arial"/>
                <w:w w:val="95"/>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63" w:lineRule="exact"/>
              <w:ind w:right="99"/>
              <w:jc w:val="right"/>
              <w:rPr>
                <w:rFonts w:ascii="Arial" w:hAnsi="Arial" w:cs="Arial" w:eastAsia="Arial" w:hint="default"/>
                <w:sz w:val="24"/>
                <w:szCs w:val="24"/>
              </w:rPr>
            </w:pPr>
            <w:r>
              <w:rPr>
                <w:rFonts w:ascii="Arial"/>
                <w:sz w:val="24"/>
              </w:rPr>
              <w:t>-</w:t>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63" w:lineRule="exact"/>
              <w:ind w:right="129"/>
              <w:jc w:val="right"/>
              <w:rPr>
                <w:rFonts w:ascii="Arial" w:hAnsi="Arial" w:cs="Arial" w:eastAsia="Arial" w:hint="default"/>
                <w:sz w:val="24"/>
                <w:szCs w:val="24"/>
              </w:rPr>
            </w:pPr>
            <w:r>
              <w:rPr>
                <w:rFonts w:ascii="Arial"/>
                <w:spacing w:val="-1"/>
                <w:sz w:val="24"/>
              </w:rPr>
              <w:t>7,305</w:t>
            </w:r>
          </w:p>
        </w:tc>
        <w:tc>
          <w:tcPr>
            <w:tcW w:w="1671" w:type="dxa"/>
            <w:tcBorders>
              <w:top w:val="nil" w:sz="6" w:space="0" w:color="auto"/>
              <w:left w:val="nil" w:sz="6" w:space="0" w:color="auto"/>
              <w:bottom w:val="nil" w:sz="6" w:space="0" w:color="auto"/>
              <w:right w:val="nil" w:sz="6" w:space="0" w:color="auto"/>
            </w:tcBorders>
          </w:tcPr>
          <w:p>
            <w:pPr>
              <w:pStyle w:val="TableParagraph"/>
              <w:spacing w:line="263" w:lineRule="exact"/>
              <w:ind w:right="98"/>
              <w:jc w:val="right"/>
              <w:rPr>
                <w:rFonts w:ascii="Arial" w:hAnsi="Arial" w:cs="Arial" w:eastAsia="Arial" w:hint="default"/>
                <w:sz w:val="24"/>
                <w:szCs w:val="24"/>
              </w:rPr>
            </w:pPr>
            <w:r>
              <w:rPr>
                <w:rFonts w:ascii="Arial"/>
                <w:sz w:val="24"/>
              </w:rPr>
              <w:t>-</w:t>
            </w:r>
          </w:p>
        </w:tc>
      </w:tr>
      <w:tr>
        <w:trPr>
          <w:trHeight w:val="319"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培训费收入</w:t>
            </w:r>
          </w:p>
        </w:tc>
        <w:tc>
          <w:tcPr>
            <w:tcW w:w="1804"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31"/>
              <w:jc w:val="right"/>
              <w:rPr>
                <w:rFonts w:ascii="Arial" w:hAnsi="Arial" w:cs="Arial" w:eastAsia="Arial" w:hint="default"/>
                <w:sz w:val="24"/>
                <w:szCs w:val="24"/>
              </w:rPr>
            </w:pPr>
            <w:r>
              <w:rPr>
                <w:rFonts w:ascii="Arial"/>
                <w:spacing w:val="-1"/>
                <w:w w:val="95"/>
                <w:sz w:val="24"/>
              </w:rPr>
              <w:t>3,106</w:t>
            </w:r>
            <w:r>
              <w:rPr>
                <w:rFonts w:ascii="Arial"/>
                <w:w w:val="95"/>
                <w:sz w:val="24"/>
              </w:rPr>
            </w:r>
          </w:p>
        </w:tc>
        <w:tc>
          <w:tcPr>
            <w:tcW w:w="1667"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z w:val="24"/>
              </w:rPr>
              <w:t>-</w:t>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29"/>
              <w:jc w:val="right"/>
              <w:rPr>
                <w:rFonts w:ascii="Arial" w:hAnsi="Arial" w:cs="Arial" w:eastAsia="Arial" w:hint="default"/>
                <w:sz w:val="24"/>
                <w:szCs w:val="24"/>
              </w:rPr>
            </w:pPr>
            <w:r>
              <w:rPr>
                <w:rFonts w:ascii="Arial"/>
                <w:spacing w:val="-1"/>
                <w:sz w:val="24"/>
              </w:rPr>
              <w:t>3,410</w:t>
            </w:r>
          </w:p>
        </w:tc>
        <w:tc>
          <w:tcPr>
            <w:tcW w:w="1671"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z w:val="24"/>
              </w:rPr>
              <w:t>-</w:t>
            </w:r>
          </w:p>
        </w:tc>
      </w:tr>
      <w:tr>
        <w:trPr>
          <w:trHeight w:val="295" w:hRule="exact"/>
        </w:trPr>
        <w:tc>
          <w:tcPr>
            <w:tcW w:w="2225" w:type="dxa"/>
            <w:tcBorders>
              <w:top w:val="nil" w:sz="6" w:space="0" w:color="auto"/>
              <w:left w:val="nil" w:sz="6" w:space="0" w:color="auto"/>
              <w:bottom w:val="nil" w:sz="6" w:space="0" w:color="auto"/>
              <w:right w:val="nil" w:sz="6" w:space="0" w:color="auto"/>
            </w:tcBorders>
          </w:tcPr>
          <w:p>
            <w:pPr/>
          </w:p>
        </w:tc>
        <w:tc>
          <w:tcPr>
            <w:tcW w:w="1804"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32"/>
              <w:jc w:val="right"/>
              <w:rPr>
                <w:rFonts w:ascii="Arial" w:hAnsi="Arial" w:cs="Arial" w:eastAsia="Arial" w:hint="default"/>
                <w:sz w:val="24"/>
                <w:szCs w:val="24"/>
              </w:rPr>
            </w:pPr>
            <w:r>
              <w:rPr>
                <w:rFonts w:ascii="Arial"/>
                <w:spacing w:val="-1"/>
                <w:sz w:val="24"/>
              </w:rPr>
              <w:t>1,475,847</w:t>
            </w:r>
            <w:r>
              <w:rPr>
                <w:rFonts w:ascii="Arial"/>
                <w:sz w:val="24"/>
              </w:rPr>
            </w:r>
          </w:p>
        </w:tc>
        <w:tc>
          <w:tcPr>
            <w:tcW w:w="1667"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7"/>
              <w:jc w:val="right"/>
              <w:rPr>
                <w:rFonts w:ascii="Arial" w:hAnsi="Arial" w:cs="Arial" w:eastAsia="Arial" w:hint="default"/>
                <w:sz w:val="24"/>
                <w:szCs w:val="24"/>
              </w:rPr>
            </w:pPr>
            <w:r>
              <w:rPr>
                <w:rFonts w:ascii="Arial"/>
                <w:spacing w:val="-1"/>
                <w:sz w:val="24"/>
              </w:rPr>
              <w:t>21,999</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0"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29"/>
              <w:jc w:val="right"/>
              <w:rPr>
                <w:rFonts w:ascii="Arial" w:hAnsi="Arial" w:cs="Arial" w:eastAsia="Arial" w:hint="default"/>
                <w:sz w:val="24"/>
                <w:szCs w:val="24"/>
              </w:rPr>
            </w:pPr>
            <w:r>
              <w:rPr>
                <w:rFonts w:ascii="Arial"/>
                <w:spacing w:val="-1"/>
                <w:sz w:val="24"/>
              </w:rPr>
              <w:t>1,235,244</w:t>
            </w:r>
            <w:r>
              <w:rPr>
                <w:rFonts w:ascii="Arial"/>
                <w:sz w:val="24"/>
              </w:rPr>
            </w:r>
          </w:p>
        </w:tc>
        <w:tc>
          <w:tcPr>
            <w:tcW w:w="1671"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7"/>
              <w:jc w:val="right"/>
              <w:rPr>
                <w:rFonts w:ascii="Arial" w:hAnsi="Arial" w:cs="Arial" w:eastAsia="Arial" w:hint="default"/>
                <w:sz w:val="24"/>
                <w:szCs w:val="24"/>
              </w:rPr>
            </w:pPr>
            <w:r>
              <w:rPr>
                <w:rFonts w:ascii="Arial"/>
                <w:spacing w:val="-1"/>
                <w:w w:val="95"/>
                <w:sz w:val="24"/>
              </w:rPr>
              <w:t>4,449</w:t>
            </w:r>
            <w:r>
              <w:rPr>
                <w:rFonts w:ascii="Arial"/>
                <w:w w:val="95"/>
                <w:sz w:val="24"/>
              </w:rPr>
            </w:r>
          </w:p>
        </w:tc>
      </w:tr>
    </w:tbl>
    <w:p>
      <w:pPr>
        <w:spacing w:line="240" w:lineRule="auto" w:before="13"/>
        <w:rPr>
          <w:rFonts w:ascii="宋体" w:hAnsi="宋体" w:cs="宋体" w:eastAsia="宋体" w:hint="default"/>
          <w:sz w:val="14"/>
          <w:szCs w:val="14"/>
        </w:rPr>
      </w:pPr>
    </w:p>
    <w:p>
      <w:pPr>
        <w:pStyle w:val="BodyText"/>
        <w:spacing w:line="240" w:lineRule="auto" w:before="26"/>
        <w:ind w:left="821" w:right="0"/>
        <w:jc w:val="left"/>
      </w:pPr>
      <w:r>
        <w:rPr/>
        <w:t>注：连锁店服务收入指供应商支付的广告促销收入、进场收入及广告费收入等。</w:t>
      </w:r>
    </w:p>
    <w:p>
      <w:pPr>
        <w:spacing w:after="0" w:line="240" w:lineRule="auto"/>
        <w:jc w:val="left"/>
        <w:sectPr>
          <w:pgSz w:w="11910" w:h="16840"/>
          <w:pgMar w:header="748" w:footer="708" w:top="980" w:bottom="900" w:left="96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617"/>
        <w:gridCol w:w="3313"/>
        <w:gridCol w:w="2725"/>
        <w:gridCol w:w="589"/>
        <w:gridCol w:w="2670"/>
      </w:tblGrid>
      <w:tr>
        <w:trPr>
          <w:trHeight w:val="1102"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99" w:right="0"/>
              <w:jc w:val="left"/>
              <w:rPr>
                <w:rFonts w:ascii="Arial" w:hAnsi="Arial" w:cs="Arial" w:eastAsia="Arial" w:hint="default"/>
                <w:sz w:val="24"/>
                <w:szCs w:val="24"/>
              </w:rPr>
            </w:pPr>
            <w:r>
              <w:rPr>
                <w:rFonts w:ascii="Arial"/>
                <w:sz w:val="24"/>
              </w:rPr>
              <w:t>(28)</w:t>
            </w:r>
          </w:p>
        </w:tc>
        <w:tc>
          <w:tcPr>
            <w:tcW w:w="3313"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36" w:right="418" w:hanging="47"/>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营业税金及附加</w:t>
            </w:r>
            <w:r>
              <w:rPr>
                <w:rFonts w:ascii="宋体" w:hAnsi="宋体" w:cs="宋体" w:eastAsia="宋体" w:hint="default"/>
                <w:sz w:val="24"/>
                <w:szCs w:val="24"/>
              </w:rPr>
            </w:r>
          </w:p>
        </w:tc>
        <w:tc>
          <w:tcPr>
            <w:tcW w:w="5984" w:type="dxa"/>
            <w:gridSpan w:val="3"/>
            <w:tcBorders>
              <w:top w:val="nil" w:sz="6" w:space="0" w:color="auto"/>
              <w:left w:val="nil" w:sz="6" w:space="0" w:color="auto"/>
              <w:bottom w:val="nil" w:sz="6" w:space="0" w:color="auto"/>
              <w:right w:val="nil" w:sz="6" w:space="0" w:color="auto"/>
            </w:tcBorders>
          </w:tcPr>
          <w:p>
            <w:pPr/>
          </w:p>
        </w:tc>
      </w:tr>
      <w:tr>
        <w:trPr>
          <w:trHeight w:val="456"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87"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50"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spacing w:line="287" w:lineRule="exact"/>
              <w:ind w:right="106"/>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87" w:lineRule="exact"/>
              <w:ind w:left="120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06"/>
              <w:jc w:val="right"/>
              <w:rPr>
                <w:rFonts w:ascii="Arial" w:hAnsi="Arial" w:cs="Arial" w:eastAsia="Arial" w:hint="default"/>
                <w:sz w:val="24"/>
                <w:szCs w:val="24"/>
              </w:rPr>
            </w:pPr>
            <w:r>
              <w:rPr>
                <w:rFonts w:ascii="Arial"/>
                <w:spacing w:val="-1"/>
                <w:sz w:val="24"/>
              </w:rPr>
              <w:t>83,550</w:t>
            </w:r>
            <w:r>
              <w:rPr>
                <w:rFonts w:ascii="Arial"/>
                <w:sz w:val="24"/>
              </w:rPr>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06"/>
              <w:jc w:val="right"/>
              <w:rPr>
                <w:rFonts w:ascii="Arial" w:hAnsi="Arial" w:cs="Arial" w:eastAsia="Arial" w:hint="default"/>
                <w:sz w:val="24"/>
                <w:szCs w:val="24"/>
              </w:rPr>
            </w:pPr>
            <w:r>
              <w:rPr>
                <w:rFonts w:ascii="Arial"/>
                <w:spacing w:val="-1"/>
                <w:sz w:val="24"/>
              </w:rPr>
              <w:t>81,041</w:t>
            </w:r>
            <w:r>
              <w:rPr>
                <w:rFonts w:ascii="Arial"/>
                <w:sz w:val="24"/>
              </w:rPr>
            </w:r>
          </w:p>
        </w:tc>
      </w:tr>
      <w:tr>
        <w:trPr>
          <w:trHeight w:val="312"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4"/>
                <w:szCs w:val="24"/>
              </w:rPr>
            </w:pPr>
            <w:r>
              <w:rPr>
                <w:rFonts w:ascii="Arial"/>
                <w:spacing w:val="-1"/>
                <w:sz w:val="24"/>
              </w:rPr>
              <w:t>45,773</w:t>
            </w:r>
            <w:r>
              <w:rPr>
                <w:rFonts w:ascii="Arial"/>
                <w:sz w:val="24"/>
              </w:rPr>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4"/>
                <w:szCs w:val="24"/>
              </w:rPr>
            </w:pPr>
            <w:r>
              <w:rPr>
                <w:rFonts w:ascii="Arial"/>
                <w:spacing w:val="-1"/>
                <w:sz w:val="24"/>
              </w:rPr>
              <w:t>24,407</w:t>
            </w:r>
            <w:r>
              <w:rPr>
                <w:rFonts w:ascii="Arial"/>
                <w:sz w:val="24"/>
              </w:rPr>
            </w:r>
          </w:p>
        </w:tc>
      </w:tr>
      <w:tr>
        <w:trPr>
          <w:trHeight w:val="314"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725" w:type="dxa"/>
            <w:tcBorders>
              <w:top w:val="nil" w:sz="6" w:space="0" w:color="auto"/>
              <w:left w:val="nil" w:sz="6" w:space="0" w:color="auto"/>
              <w:bottom w:val="nil" w:sz="6" w:space="0" w:color="auto"/>
              <w:right w:val="nil" w:sz="6" w:space="0" w:color="auto"/>
            </w:tcBorders>
          </w:tcPr>
          <w:p>
            <w:pPr>
              <w:pStyle w:val="TableParagraph"/>
              <w:tabs>
                <w:tab w:pos="1883" w:val="left" w:leader="none"/>
                <w:tab w:pos="2717" w:val="left" w:leader="none"/>
              </w:tabs>
              <w:spacing w:line="240" w:lineRule="auto" w:before="20"/>
              <w:ind w:right="5"/>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25,132</w:t>
              <w:tab/>
            </w:r>
            <w:r>
              <w:rPr>
                <w:rFonts w:ascii="Arial"/>
                <w:spacing w:val="-1"/>
                <w:sz w:val="24"/>
              </w:rPr>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tabs>
                <w:tab w:pos="1828" w:val="left" w:leader="none"/>
                <w:tab w:pos="2662" w:val="left" w:leader="none"/>
              </w:tabs>
              <w:spacing w:line="240" w:lineRule="auto" w:before="20"/>
              <w:ind w:left="-8" w:right="0"/>
              <w:jc w:val="left"/>
              <w:rPr>
                <w:rFonts w:ascii="Arial" w:hAnsi="Arial" w:cs="Arial" w:eastAsia="Arial" w:hint="default"/>
                <w:sz w:val="24"/>
                <w:szCs w:val="24"/>
              </w:rPr>
            </w:pPr>
            <w:r>
              <w:rPr>
                <w:rFonts w:ascii="Arial"/>
                <w:sz w:val="24"/>
              </w:rPr>
            </w:r>
            <w:r>
              <w:rPr>
                <w:rFonts w:ascii="Arial"/>
                <w:sz w:val="24"/>
                <w:u w:val="single" w:color="000000"/>
              </w:rPr>
              <w:t> </w:t>
              <w:tab/>
              <w:t>13,347</w:t>
              <w:tab/>
            </w:r>
            <w:r>
              <w:rPr>
                <w:rFonts w:ascii="Arial"/>
                <w:sz w:val="24"/>
              </w:rPr>
            </w:r>
          </w:p>
        </w:tc>
      </w:tr>
      <w:tr>
        <w:trPr>
          <w:trHeight w:val="434"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tabs>
                <w:tab w:pos="1750" w:val="left" w:leader="none"/>
                <w:tab w:pos="2717" w:val="left" w:leader="none"/>
              </w:tabs>
              <w:spacing w:line="268" w:lineRule="exact"/>
              <w:ind w:right="5"/>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154,455</w:t>
              <w:tab/>
            </w:r>
            <w:r>
              <w:rPr>
                <w:rFonts w:ascii="Arial"/>
                <w:spacing w:val="-1"/>
                <w:sz w:val="24"/>
              </w:rPr>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tabs>
                <w:tab w:pos="1713" w:val="left" w:leader="none"/>
                <w:tab w:pos="2662" w:val="left" w:leader="none"/>
              </w:tabs>
              <w:spacing w:line="268" w:lineRule="exact"/>
              <w:ind w:left="-8" w:right="0"/>
              <w:jc w:val="lef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4"/>
                <w:sz w:val="24"/>
                <w:u w:val="thick" w:color="000000"/>
              </w:rPr>
              <w:t>118,795</w:t>
              <w:tab/>
            </w:r>
            <w:r>
              <w:rPr>
                <w:rFonts w:ascii="Arial"/>
                <w:spacing w:val="-4"/>
                <w:sz w:val="24"/>
              </w:rPr>
            </w:r>
          </w:p>
        </w:tc>
      </w:tr>
      <w:tr>
        <w:trPr>
          <w:trHeight w:val="454"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99" w:right="0"/>
              <w:jc w:val="left"/>
              <w:rPr>
                <w:rFonts w:ascii="Arial" w:hAnsi="Arial" w:cs="Arial" w:eastAsia="Arial" w:hint="default"/>
                <w:sz w:val="24"/>
                <w:szCs w:val="24"/>
              </w:rPr>
            </w:pPr>
            <w:r>
              <w:rPr>
                <w:rFonts w:ascii="Arial"/>
                <w:sz w:val="24"/>
              </w:rPr>
              <w:t>(29)</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4" w:right="0"/>
              <w:jc w:val="left"/>
              <w:rPr>
                <w:rFonts w:ascii="宋体" w:hAnsi="宋体" w:cs="宋体" w:eastAsia="宋体" w:hint="default"/>
                <w:sz w:val="24"/>
                <w:szCs w:val="24"/>
              </w:rPr>
            </w:pPr>
            <w:r>
              <w:rPr>
                <w:rFonts w:ascii="宋体" w:hAnsi="宋体" w:cs="宋体" w:eastAsia="宋体" w:hint="default"/>
                <w:b/>
                <w:bCs/>
                <w:sz w:val="24"/>
                <w:szCs w:val="24"/>
              </w:rPr>
              <w:t>财务费用</w:t>
            </w:r>
            <w:r>
              <w:rPr>
                <w:rFonts w:ascii="宋体" w:hAnsi="宋体" w:cs="宋体" w:eastAsia="宋体" w:hint="default"/>
                <w:sz w:val="24"/>
                <w:szCs w:val="24"/>
              </w:rPr>
            </w:r>
          </w:p>
        </w:tc>
        <w:tc>
          <w:tcPr>
            <w:tcW w:w="2725"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
        </w:tc>
      </w:tr>
      <w:tr>
        <w:trPr>
          <w:trHeight w:val="318"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93" w:lineRule="exact"/>
              <w:ind w:left="1487"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50"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spacing w:line="287" w:lineRule="exact"/>
              <w:ind w:right="106"/>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87" w:lineRule="exact"/>
              <w:ind w:left="120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4"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2725"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
        </w:tc>
      </w:tr>
      <w:tr>
        <w:trPr>
          <w:trHeight w:val="327"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Style w:val="TableParagraph"/>
              <w:spacing w:line="276" w:lineRule="exact"/>
              <w:ind w:left="580" w:right="0"/>
              <w:jc w:val="left"/>
              <w:rPr>
                <w:rFonts w:ascii="宋体" w:hAnsi="宋体" w:cs="宋体" w:eastAsia="宋体" w:hint="default"/>
                <w:sz w:val="24"/>
                <w:szCs w:val="24"/>
              </w:rPr>
            </w:pPr>
            <w:r>
              <w:rPr>
                <w:rFonts w:ascii="宋体" w:hAnsi="宋体" w:cs="宋体" w:eastAsia="宋体" w:hint="default"/>
                <w:sz w:val="24"/>
                <w:szCs w:val="24"/>
              </w:rPr>
              <w:t>借款利息</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07" w:right="0"/>
              <w:jc w:val="left"/>
              <w:rPr>
                <w:rFonts w:ascii="Arial" w:hAnsi="Arial" w:cs="Arial" w:eastAsia="Arial" w:hint="default"/>
                <w:sz w:val="24"/>
                <w:szCs w:val="24"/>
              </w:rPr>
            </w:pPr>
            <w:r>
              <w:rPr>
                <w:rFonts w:ascii="Arial"/>
                <w:sz w:val="24"/>
              </w:rPr>
              <w:t>15,324</w:t>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53" w:right="0"/>
              <w:jc w:val="left"/>
              <w:rPr>
                <w:rFonts w:ascii="Arial" w:hAnsi="Arial" w:cs="Arial" w:eastAsia="Arial" w:hint="default"/>
                <w:sz w:val="24"/>
                <w:szCs w:val="24"/>
              </w:rPr>
            </w:pPr>
            <w:r>
              <w:rPr>
                <w:rFonts w:ascii="Arial"/>
                <w:sz w:val="24"/>
              </w:rPr>
              <w:t>13,163</w:t>
            </w:r>
          </w:p>
        </w:tc>
      </w:tr>
      <w:tr>
        <w:trPr>
          <w:trHeight w:val="303"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Style w:val="TableParagraph"/>
              <w:spacing w:line="261" w:lineRule="exact"/>
              <w:ind w:left="154"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272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494" w:right="0"/>
              <w:jc w:val="left"/>
              <w:rPr>
                <w:rFonts w:ascii="Arial" w:hAnsi="Arial" w:cs="Arial" w:eastAsia="Arial" w:hint="default"/>
                <w:sz w:val="24"/>
                <w:szCs w:val="24"/>
              </w:rPr>
            </w:pPr>
            <w:r>
              <w:rPr>
                <w:rFonts w:ascii="Arial"/>
                <w:sz w:val="24"/>
              </w:rPr>
              <w:t>(218,344)</w:t>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573" w:right="0"/>
              <w:jc w:val="left"/>
              <w:rPr>
                <w:rFonts w:ascii="Arial" w:hAnsi="Arial" w:cs="Arial" w:eastAsia="Arial" w:hint="default"/>
                <w:sz w:val="24"/>
                <w:szCs w:val="24"/>
              </w:rPr>
            </w:pPr>
            <w:r>
              <w:rPr>
                <w:rFonts w:ascii="Arial"/>
                <w:sz w:val="24"/>
              </w:rPr>
              <w:t>(51,634)</w:t>
            </w:r>
          </w:p>
        </w:tc>
      </w:tr>
      <w:tr>
        <w:trPr>
          <w:trHeight w:val="331"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single" w:sz="4" w:space="0" w:color="000000"/>
            </w:tcBorders>
          </w:tcPr>
          <w:p>
            <w:pPr>
              <w:pStyle w:val="TableParagraph"/>
              <w:spacing w:line="280" w:lineRule="exact"/>
              <w:ind w:left="580" w:right="0"/>
              <w:jc w:val="left"/>
              <w:rPr>
                <w:rFonts w:ascii="宋体" w:hAnsi="宋体" w:cs="宋体" w:eastAsia="宋体" w:hint="default"/>
                <w:sz w:val="24"/>
                <w:szCs w:val="24"/>
              </w:rPr>
            </w:pPr>
            <w:r>
              <w:rPr>
                <w:rFonts w:ascii="宋体" w:hAnsi="宋体" w:cs="宋体" w:eastAsia="宋体" w:hint="default"/>
                <w:sz w:val="24"/>
                <w:szCs w:val="24"/>
              </w:rPr>
              <w:t>银行存款利息</w:t>
            </w:r>
          </w:p>
        </w:tc>
        <w:tc>
          <w:tcPr>
            <w:tcW w:w="27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482" w:right="0"/>
              <w:jc w:val="left"/>
              <w:rPr>
                <w:rFonts w:ascii="Arial" w:hAnsi="Arial" w:cs="Arial" w:eastAsia="Arial" w:hint="default"/>
                <w:sz w:val="24"/>
                <w:szCs w:val="24"/>
              </w:rPr>
            </w:pPr>
            <w:r>
              <w:rPr>
                <w:rFonts w:ascii="Arial"/>
                <w:sz w:val="24"/>
              </w:rPr>
              <w:t>(127,731)</w:t>
            </w:r>
          </w:p>
        </w:tc>
        <w:tc>
          <w:tcPr>
            <w:tcW w:w="589" w:type="dxa"/>
            <w:tcBorders>
              <w:top w:val="nil" w:sz="6" w:space="0" w:color="auto"/>
              <w:left w:val="single" w:sz="4" w:space="0" w:color="000000"/>
              <w:bottom w:val="nil" w:sz="6" w:space="0" w:color="auto"/>
              <w:right w:val="single" w:sz="4" w:space="0" w:color="000000"/>
            </w:tcBorders>
          </w:tcPr>
          <w:p>
            <w:pPr/>
          </w:p>
        </w:tc>
        <w:tc>
          <w:tcPr>
            <w:tcW w:w="2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568" w:right="0"/>
              <w:jc w:val="left"/>
              <w:rPr>
                <w:rFonts w:ascii="Arial" w:hAnsi="Arial" w:cs="Arial" w:eastAsia="Arial" w:hint="default"/>
                <w:sz w:val="24"/>
                <w:szCs w:val="24"/>
              </w:rPr>
            </w:pPr>
            <w:r>
              <w:rPr>
                <w:rFonts w:ascii="Arial"/>
                <w:sz w:val="24"/>
              </w:rPr>
              <w:t>(24,467)</w:t>
            </w:r>
          </w:p>
        </w:tc>
      </w:tr>
      <w:tr>
        <w:trPr>
          <w:trHeight w:val="303"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single" w:sz="4" w:space="0" w:color="000000"/>
            </w:tcBorders>
          </w:tcPr>
          <w:p>
            <w:pPr>
              <w:pStyle w:val="TableParagraph"/>
              <w:spacing w:line="278" w:lineRule="exact"/>
              <w:ind w:left="580" w:right="0"/>
              <w:jc w:val="left"/>
              <w:rPr>
                <w:rFonts w:ascii="Arial" w:hAnsi="Arial" w:cs="Arial" w:eastAsia="Arial" w:hint="default"/>
                <w:sz w:val="24"/>
                <w:szCs w:val="24"/>
              </w:rPr>
            </w:pPr>
            <w:r>
              <w:rPr>
                <w:rFonts w:ascii="宋体" w:hAnsi="宋体" w:cs="宋体" w:eastAsia="宋体" w:hint="default"/>
                <w:sz w:val="24"/>
                <w:szCs w:val="24"/>
              </w:rPr>
              <w:t>现金折扣</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(c))</w:t>
            </w:r>
          </w:p>
        </w:tc>
        <w:tc>
          <w:tcPr>
            <w:tcW w:w="27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1615" w:right="0"/>
              <w:jc w:val="left"/>
              <w:rPr>
                <w:rFonts w:ascii="Arial" w:hAnsi="Arial" w:cs="Arial" w:eastAsia="Arial" w:hint="default"/>
                <w:sz w:val="24"/>
                <w:szCs w:val="24"/>
              </w:rPr>
            </w:pPr>
            <w:r>
              <w:rPr>
                <w:rFonts w:ascii="Arial"/>
                <w:sz w:val="24"/>
              </w:rPr>
              <w:t>(90,613)</w:t>
            </w:r>
          </w:p>
        </w:tc>
        <w:tc>
          <w:tcPr>
            <w:tcW w:w="589" w:type="dxa"/>
            <w:tcBorders>
              <w:top w:val="nil" w:sz="6" w:space="0" w:color="auto"/>
              <w:left w:val="single" w:sz="4" w:space="0" w:color="000000"/>
              <w:bottom w:val="nil" w:sz="6" w:space="0" w:color="auto"/>
              <w:right w:val="single" w:sz="4" w:space="0" w:color="000000"/>
            </w:tcBorders>
          </w:tcPr>
          <w:p>
            <w:pPr/>
          </w:p>
        </w:tc>
        <w:tc>
          <w:tcPr>
            <w:tcW w:w="2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1568" w:right="0"/>
              <w:jc w:val="left"/>
              <w:rPr>
                <w:rFonts w:ascii="Arial" w:hAnsi="Arial" w:cs="Arial" w:eastAsia="Arial" w:hint="default"/>
                <w:sz w:val="24"/>
                <w:szCs w:val="24"/>
              </w:rPr>
            </w:pPr>
            <w:r>
              <w:rPr>
                <w:rFonts w:ascii="Arial"/>
                <w:sz w:val="24"/>
              </w:rPr>
              <w:t>(27,167)</w:t>
            </w:r>
          </w:p>
        </w:tc>
      </w:tr>
      <w:tr>
        <w:trPr>
          <w:trHeight w:val="332"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Style w:val="TableParagraph"/>
              <w:spacing w:line="280" w:lineRule="exact"/>
              <w:ind w:left="154"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725" w:type="dxa"/>
            <w:tcBorders>
              <w:top w:val="single" w:sz="4" w:space="0" w:color="000000"/>
              <w:left w:val="nil" w:sz="6" w:space="0" w:color="auto"/>
              <w:bottom w:val="nil" w:sz="6" w:space="0" w:color="auto"/>
              <w:right w:val="nil" w:sz="6" w:space="0" w:color="auto"/>
            </w:tcBorders>
          </w:tcPr>
          <w:p>
            <w:pPr>
              <w:pStyle w:val="TableParagraph"/>
              <w:tabs>
                <w:tab w:pos="1592" w:val="left" w:leader="none"/>
                <w:tab w:pos="2717" w:val="left" w:leader="none"/>
              </w:tabs>
              <w:spacing w:line="240" w:lineRule="auto" w:before="34"/>
              <w:ind w:right="5"/>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4"/>
                <w:sz w:val="24"/>
                <w:u w:val="single" w:color="000000"/>
              </w:rPr>
              <w:t>114,858</w:t>
              <w:tab/>
            </w:r>
            <w:r>
              <w:rPr>
                <w:rFonts w:ascii="Arial"/>
                <w:spacing w:val="-4"/>
                <w:sz w:val="24"/>
              </w:rPr>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single" w:sz="4" w:space="0" w:color="000000"/>
              <w:left w:val="nil" w:sz="6" w:space="0" w:color="auto"/>
              <w:bottom w:val="nil" w:sz="6" w:space="0" w:color="auto"/>
              <w:right w:val="nil" w:sz="6" w:space="0" w:color="auto"/>
            </w:tcBorders>
          </w:tcPr>
          <w:p>
            <w:pPr>
              <w:pStyle w:val="TableParagraph"/>
              <w:tabs>
                <w:tab w:pos="1653" w:val="left" w:leader="none"/>
                <w:tab w:pos="2662" w:val="left" w:leader="none"/>
              </w:tabs>
              <w:spacing w:line="240" w:lineRule="auto" w:before="34"/>
              <w:ind w:left="-8" w:right="0"/>
              <w:jc w:val="left"/>
              <w:rPr>
                <w:rFonts w:ascii="Arial" w:hAnsi="Arial" w:cs="Arial" w:eastAsia="Arial" w:hint="default"/>
                <w:sz w:val="24"/>
                <w:szCs w:val="24"/>
              </w:rPr>
            </w:pPr>
            <w:r>
              <w:rPr>
                <w:rFonts w:ascii="Arial"/>
                <w:sz w:val="24"/>
              </w:rPr>
            </w:r>
            <w:r>
              <w:rPr>
                <w:rFonts w:ascii="Arial"/>
                <w:sz w:val="24"/>
                <w:u w:val="single" w:color="000000"/>
              </w:rPr>
              <w:t> </w:t>
              <w:tab/>
              <w:t>62,052</w:t>
              <w:tab/>
            </w:r>
            <w:r>
              <w:rPr>
                <w:rFonts w:ascii="Arial"/>
                <w:sz w:val="24"/>
              </w:rPr>
            </w:r>
          </w:p>
        </w:tc>
      </w:tr>
      <w:tr>
        <w:trPr>
          <w:trHeight w:val="434"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tabs>
                <w:tab w:pos="1627" w:val="left" w:leader="none"/>
                <w:tab w:pos="2717" w:val="left" w:leader="none"/>
              </w:tabs>
              <w:spacing w:line="268" w:lineRule="exact"/>
              <w:ind w:right="5"/>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(88,162)</w:t>
              <w:tab/>
            </w:r>
            <w:r>
              <w:rPr>
                <w:rFonts w:ascii="Arial"/>
                <w:spacing w:val="-1"/>
                <w:sz w:val="24"/>
              </w:rPr>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tabs>
                <w:tab w:pos="1652" w:val="left" w:leader="none"/>
                <w:tab w:pos="2662" w:val="left" w:leader="none"/>
              </w:tabs>
              <w:spacing w:line="268" w:lineRule="exact"/>
              <w:ind w:left="-8" w:right="0"/>
              <w:jc w:val="left"/>
              <w:rPr>
                <w:rFonts w:ascii="Arial" w:hAnsi="Arial" w:cs="Arial" w:eastAsia="Arial" w:hint="default"/>
                <w:sz w:val="24"/>
                <w:szCs w:val="24"/>
              </w:rPr>
            </w:pPr>
            <w:r>
              <w:rPr>
                <w:rFonts w:ascii="Arial"/>
                <w:sz w:val="24"/>
              </w:rPr>
            </w:r>
            <w:r>
              <w:rPr>
                <w:rFonts w:ascii="Arial"/>
                <w:sz w:val="24"/>
                <w:u w:val="thick" w:color="000000"/>
              </w:rPr>
              <w:t> </w:t>
              <w:tab/>
              <w:t>23,581</w:t>
              <w:tab/>
            </w:r>
            <w:r>
              <w:rPr>
                <w:rFonts w:ascii="Arial"/>
                <w:sz w:val="24"/>
              </w:rPr>
            </w:r>
          </w:p>
        </w:tc>
      </w:tr>
      <w:tr>
        <w:trPr>
          <w:trHeight w:val="454"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99" w:right="0"/>
              <w:jc w:val="left"/>
              <w:rPr>
                <w:rFonts w:ascii="Arial" w:hAnsi="Arial" w:cs="Arial" w:eastAsia="Arial" w:hint="default"/>
                <w:sz w:val="24"/>
                <w:szCs w:val="24"/>
              </w:rPr>
            </w:pPr>
            <w:r>
              <w:rPr>
                <w:rFonts w:ascii="Arial"/>
                <w:sz w:val="24"/>
              </w:rPr>
              <w:t>(30)</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4" w:right="0"/>
              <w:jc w:val="left"/>
              <w:rPr>
                <w:rFonts w:ascii="宋体" w:hAnsi="宋体" w:cs="宋体" w:eastAsia="宋体" w:hint="default"/>
                <w:sz w:val="24"/>
                <w:szCs w:val="24"/>
              </w:rPr>
            </w:pPr>
            <w:r>
              <w:rPr>
                <w:rFonts w:ascii="宋体" w:hAnsi="宋体" w:cs="宋体" w:eastAsia="宋体" w:hint="default"/>
                <w:b/>
                <w:bCs/>
                <w:sz w:val="24"/>
                <w:szCs w:val="24"/>
              </w:rPr>
              <w:t>资产减值损失</w:t>
            </w:r>
            <w:r>
              <w:rPr>
                <w:rFonts w:ascii="宋体" w:hAnsi="宋体" w:cs="宋体" w:eastAsia="宋体" w:hint="default"/>
                <w:sz w:val="24"/>
                <w:szCs w:val="24"/>
              </w:rPr>
            </w:r>
          </w:p>
        </w:tc>
        <w:tc>
          <w:tcPr>
            <w:tcW w:w="2725"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
        </w:tc>
      </w:tr>
      <w:tr>
        <w:trPr>
          <w:trHeight w:val="318"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93" w:lineRule="exact"/>
              <w:ind w:left="1487"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47"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spacing w:line="287" w:lineRule="exact"/>
              <w:ind w:right="106"/>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87" w:lineRule="exact"/>
              <w:ind w:left="120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4"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1"/>
              <w:jc w:val="right"/>
              <w:rPr>
                <w:rFonts w:ascii="Arial" w:hAnsi="Arial" w:cs="Arial" w:eastAsia="Arial" w:hint="default"/>
                <w:sz w:val="24"/>
                <w:szCs w:val="24"/>
              </w:rPr>
            </w:pPr>
            <w:r>
              <w:rPr>
                <w:rFonts w:ascii="Arial"/>
                <w:spacing w:val="-1"/>
                <w:w w:val="95"/>
                <w:sz w:val="24"/>
              </w:rPr>
              <w:t>160</w:t>
            </w:r>
            <w:r>
              <w:rPr>
                <w:rFonts w:ascii="Arial"/>
                <w:w w:val="95"/>
                <w:sz w:val="24"/>
              </w:rPr>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707" w:right="0"/>
              <w:jc w:val="left"/>
              <w:rPr>
                <w:rFonts w:ascii="Arial" w:hAnsi="Arial" w:cs="Arial" w:eastAsia="Arial" w:hint="default"/>
                <w:sz w:val="24"/>
                <w:szCs w:val="24"/>
              </w:rPr>
            </w:pPr>
            <w:r>
              <w:rPr>
                <w:rFonts w:ascii="Arial"/>
                <w:sz w:val="24"/>
              </w:rPr>
              <w:t>(3,089)</w:t>
            </w:r>
          </w:p>
        </w:tc>
      </w:tr>
      <w:tr>
        <w:trPr>
          <w:trHeight w:val="321"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Style w:val="TableParagraph"/>
              <w:spacing w:line="279" w:lineRule="exact"/>
              <w:ind w:left="154"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272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82"/>
              <w:jc w:val="right"/>
              <w:rPr>
                <w:rFonts w:ascii="Arial" w:hAnsi="Arial" w:cs="Arial" w:eastAsia="Arial" w:hint="default"/>
                <w:sz w:val="24"/>
                <w:szCs w:val="24"/>
              </w:rPr>
            </w:pPr>
            <w:r>
              <w:rPr>
                <w:rFonts w:ascii="Arial"/>
                <w:spacing w:val="-1"/>
                <w:w w:val="95"/>
                <w:sz w:val="24"/>
              </w:rPr>
              <w:t>9,999</w:t>
            </w:r>
            <w:r>
              <w:rPr>
                <w:rFonts w:ascii="Arial"/>
                <w:w w:val="95"/>
                <w:sz w:val="24"/>
              </w:rPr>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81"/>
              <w:jc w:val="right"/>
              <w:rPr>
                <w:rFonts w:ascii="Arial" w:hAnsi="Arial" w:cs="Arial" w:eastAsia="Arial" w:hint="default"/>
                <w:sz w:val="24"/>
                <w:szCs w:val="24"/>
              </w:rPr>
            </w:pPr>
            <w:r>
              <w:rPr>
                <w:rFonts w:ascii="Arial"/>
                <w:spacing w:val="-1"/>
                <w:w w:val="95"/>
                <w:sz w:val="24"/>
              </w:rPr>
              <w:t>5,158</w:t>
            </w:r>
            <w:r>
              <w:rPr>
                <w:rFonts w:ascii="Arial"/>
                <w:w w:val="95"/>
                <w:sz w:val="24"/>
              </w:rPr>
            </w:r>
          </w:p>
        </w:tc>
      </w:tr>
      <w:tr>
        <w:trPr>
          <w:trHeight w:val="296" w:hRule="exact"/>
        </w:trPr>
        <w:tc>
          <w:tcPr>
            <w:tcW w:w="617" w:type="dxa"/>
            <w:tcBorders>
              <w:top w:val="nil" w:sz="6" w:space="0" w:color="auto"/>
              <w:left w:val="nil" w:sz="6" w:space="0" w:color="auto"/>
              <w:bottom w:val="nil" w:sz="6" w:space="0" w:color="auto"/>
              <w:right w:val="nil" w:sz="6" w:space="0" w:color="auto"/>
            </w:tcBorders>
          </w:tcPr>
          <w:p>
            <w:pPr/>
          </w:p>
        </w:tc>
        <w:tc>
          <w:tcPr>
            <w:tcW w:w="3313" w:type="dxa"/>
            <w:tcBorders>
              <w:top w:val="nil" w:sz="6" w:space="0" w:color="auto"/>
              <w:left w:val="nil" w:sz="6" w:space="0" w:color="auto"/>
              <w:bottom w:val="nil" w:sz="6" w:space="0" w:color="auto"/>
              <w:right w:val="nil" w:sz="6" w:space="0" w:color="auto"/>
            </w:tcBorders>
          </w:tcPr>
          <w:p>
            <w:pPr/>
          </w:p>
        </w:tc>
        <w:tc>
          <w:tcPr>
            <w:tcW w:w="2725" w:type="dxa"/>
            <w:tcBorders>
              <w:top w:val="single" w:sz="4" w:space="0" w:color="000000"/>
              <w:left w:val="nil" w:sz="6" w:space="0" w:color="auto"/>
              <w:bottom w:val="single" w:sz="12" w:space="0" w:color="000000"/>
              <w:right w:val="nil" w:sz="6" w:space="0" w:color="auto"/>
            </w:tcBorders>
          </w:tcPr>
          <w:p>
            <w:pPr>
              <w:pStyle w:val="TableParagraph"/>
              <w:spacing w:line="274" w:lineRule="exact"/>
              <w:ind w:left="1707" w:right="0"/>
              <w:jc w:val="left"/>
              <w:rPr>
                <w:rFonts w:ascii="Arial" w:hAnsi="Arial" w:cs="Arial" w:eastAsia="Arial" w:hint="default"/>
                <w:sz w:val="24"/>
                <w:szCs w:val="24"/>
              </w:rPr>
            </w:pPr>
            <w:r>
              <w:rPr>
                <w:rFonts w:ascii="Arial"/>
                <w:sz w:val="24"/>
              </w:rPr>
              <w:t>10,159</w:t>
            </w:r>
          </w:p>
        </w:tc>
        <w:tc>
          <w:tcPr>
            <w:tcW w:w="589" w:type="dxa"/>
            <w:tcBorders>
              <w:top w:val="nil" w:sz="6" w:space="0" w:color="auto"/>
              <w:left w:val="nil" w:sz="6" w:space="0" w:color="auto"/>
              <w:bottom w:val="nil" w:sz="6" w:space="0" w:color="auto"/>
              <w:right w:val="nil" w:sz="6" w:space="0" w:color="auto"/>
            </w:tcBorders>
          </w:tcPr>
          <w:p>
            <w:pPr/>
          </w:p>
        </w:tc>
        <w:tc>
          <w:tcPr>
            <w:tcW w:w="267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281"/>
              <w:jc w:val="right"/>
              <w:rPr>
                <w:rFonts w:ascii="Arial" w:hAnsi="Arial" w:cs="Arial" w:eastAsia="Arial" w:hint="default"/>
                <w:sz w:val="24"/>
                <w:szCs w:val="24"/>
              </w:rPr>
            </w:pPr>
            <w:r>
              <w:rPr>
                <w:rFonts w:ascii="Arial"/>
                <w:spacing w:val="-1"/>
                <w:w w:val="95"/>
                <w:sz w:val="24"/>
              </w:rPr>
              <w:t>2,069</w:t>
            </w:r>
            <w:r>
              <w:rPr>
                <w:rFonts w:ascii="Arial"/>
                <w:w w:val="95"/>
                <w:sz w:val="24"/>
              </w:rPr>
            </w:r>
          </w:p>
        </w:tc>
      </w:tr>
    </w:tbl>
    <w:p>
      <w:pPr>
        <w:spacing w:after="0" w:line="274" w:lineRule="exact"/>
        <w:jc w:val="right"/>
        <w:rPr>
          <w:rFonts w:ascii="Arial" w:hAnsi="Arial" w:cs="Arial" w:eastAsia="Arial" w:hint="default"/>
          <w:sz w:val="24"/>
          <w:szCs w:val="24"/>
        </w:rPr>
        <w:sectPr>
          <w:pgSz w:w="11910" w:h="16840"/>
          <w:pgMar w:header="748" w:footer="708" w:top="980" w:bottom="900" w:left="92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617"/>
        <w:gridCol w:w="3938"/>
        <w:gridCol w:w="2234"/>
        <w:gridCol w:w="532"/>
        <w:gridCol w:w="2339"/>
      </w:tblGrid>
      <w:tr>
        <w:trPr>
          <w:trHeight w:val="1099"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99" w:right="0"/>
              <w:jc w:val="left"/>
              <w:rPr>
                <w:rFonts w:ascii="Arial" w:hAnsi="Arial" w:cs="Arial" w:eastAsia="Arial" w:hint="default"/>
                <w:sz w:val="24"/>
                <w:szCs w:val="24"/>
              </w:rPr>
            </w:pPr>
            <w:r>
              <w:rPr>
                <w:rFonts w:ascii="Arial"/>
                <w:sz w:val="24"/>
              </w:rPr>
              <w:t>(31)</w:t>
            </w:r>
          </w:p>
        </w:tc>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4" w:right="0" w:hanging="65"/>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54" w:right="0"/>
              <w:jc w:val="left"/>
              <w:rPr>
                <w:rFonts w:ascii="宋体" w:hAnsi="宋体" w:cs="宋体" w:eastAsia="宋体" w:hint="default"/>
                <w:sz w:val="24"/>
                <w:szCs w:val="24"/>
              </w:rPr>
            </w:pPr>
            <w:r>
              <w:rPr>
                <w:rFonts w:ascii="宋体" w:hAnsi="宋体" w:cs="宋体" w:eastAsia="宋体" w:hint="default"/>
                <w:b/>
                <w:bCs/>
                <w:sz w:val="24"/>
                <w:szCs w:val="24"/>
              </w:rPr>
              <w:t>营业外收入及营业外支出</w:t>
            </w:r>
            <w:r>
              <w:rPr>
                <w:rFonts w:ascii="宋体" w:hAnsi="宋体" w:cs="宋体" w:eastAsia="宋体" w:hint="default"/>
                <w:sz w:val="24"/>
                <w:szCs w:val="24"/>
              </w:rPr>
            </w:r>
          </w:p>
        </w:tc>
        <w:tc>
          <w:tcPr>
            <w:tcW w:w="5105" w:type="dxa"/>
            <w:gridSpan w:val="3"/>
            <w:vMerge w:val="restart"/>
            <w:tcBorders>
              <w:top w:val="nil" w:sz="6" w:space="0" w:color="auto"/>
              <w:left w:val="nil" w:sz="6" w:space="0" w:color="auto"/>
              <w:right w:val="nil" w:sz="6" w:space="0" w:color="auto"/>
            </w:tcBorders>
          </w:tcPr>
          <w:p>
            <w:pPr/>
          </w:p>
        </w:tc>
      </w:tr>
      <w:tr>
        <w:trPr>
          <w:trHeight w:val="453"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99" w:right="0"/>
              <w:jc w:val="left"/>
              <w:rPr>
                <w:rFonts w:ascii="Arial" w:hAnsi="Arial" w:cs="Arial" w:eastAsia="Arial" w:hint="default"/>
                <w:sz w:val="24"/>
                <w:szCs w:val="24"/>
              </w:rPr>
            </w:pPr>
            <w:r>
              <w:rPr>
                <w:rFonts w:ascii="Arial"/>
                <w:sz w:val="24"/>
              </w:rPr>
              <w:t>(a)</w:t>
            </w:r>
          </w:p>
        </w:tc>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4" w:right="0"/>
              <w:jc w:val="left"/>
              <w:rPr>
                <w:rFonts w:ascii="宋体" w:hAnsi="宋体" w:cs="宋体" w:eastAsia="宋体" w:hint="default"/>
                <w:sz w:val="24"/>
                <w:szCs w:val="24"/>
              </w:rPr>
            </w:pPr>
            <w:r>
              <w:rPr>
                <w:rFonts w:ascii="宋体" w:hAnsi="宋体" w:cs="宋体" w:eastAsia="宋体" w:hint="default"/>
                <w:sz w:val="24"/>
                <w:szCs w:val="24"/>
              </w:rPr>
              <w:t>营业外收入</w:t>
            </w:r>
          </w:p>
        </w:tc>
        <w:tc>
          <w:tcPr>
            <w:tcW w:w="5105" w:type="dxa"/>
            <w:gridSpan w:val="3"/>
            <w:vMerge/>
            <w:tcBorders>
              <w:left w:val="nil" w:sz="6" w:space="0" w:color="auto"/>
              <w:bottom w:val="nil" w:sz="6" w:space="0" w:color="auto"/>
              <w:right w:val="nil" w:sz="6" w:space="0" w:color="auto"/>
            </w:tcBorders>
          </w:tcPr>
          <w:p>
            <w:pPr/>
          </w:p>
        </w:tc>
      </w:tr>
      <w:tr>
        <w:trPr>
          <w:trHeight w:val="318"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93" w:lineRule="exact"/>
              <w:ind w:left="1059"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93" w:lineRule="exact"/>
              <w:ind w:right="136"/>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50"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87" w:lineRule="exact"/>
              <w:ind w:left="77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87" w:lineRule="exact"/>
              <w:ind w:right="135"/>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9" w:right="0"/>
              <w:jc w:val="left"/>
              <w:rPr>
                <w:rFonts w:ascii="宋体" w:hAnsi="宋体" w:cs="宋体" w:eastAsia="宋体" w:hint="default"/>
                <w:sz w:val="24"/>
                <w:szCs w:val="24"/>
              </w:rPr>
            </w:pPr>
            <w:r>
              <w:rPr>
                <w:rFonts w:ascii="宋体" w:hAnsi="宋体" w:cs="宋体" w:eastAsia="宋体" w:hint="default"/>
                <w:sz w:val="24"/>
                <w:szCs w:val="24"/>
              </w:rPr>
              <w:t>处置固定资产利得</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74"/>
              <w:jc w:val="right"/>
              <w:rPr>
                <w:rFonts w:ascii="Arial" w:hAnsi="Arial" w:cs="Arial" w:eastAsia="Arial" w:hint="default"/>
                <w:sz w:val="24"/>
                <w:szCs w:val="24"/>
              </w:rPr>
            </w:pPr>
            <w:r>
              <w:rPr>
                <w:rFonts w:ascii="Arial"/>
                <w:spacing w:val="-1"/>
                <w:w w:val="95"/>
                <w:sz w:val="24"/>
              </w:rPr>
              <w:t>384</w:t>
            </w:r>
            <w:r>
              <w:rPr>
                <w:rFonts w:ascii="Arial"/>
                <w:w w:val="95"/>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10"/>
              <w:jc w:val="right"/>
              <w:rPr>
                <w:rFonts w:ascii="Arial" w:hAnsi="Arial" w:cs="Arial" w:eastAsia="Arial" w:hint="default"/>
                <w:sz w:val="24"/>
                <w:szCs w:val="24"/>
              </w:rPr>
            </w:pPr>
            <w:r>
              <w:rPr>
                <w:rFonts w:ascii="Arial"/>
                <w:spacing w:val="-7"/>
                <w:sz w:val="24"/>
              </w:rPr>
              <w:t>119</w:t>
            </w:r>
          </w:p>
        </w:tc>
      </w:tr>
      <w:tr>
        <w:trPr>
          <w:trHeight w:val="312"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61" w:lineRule="exact"/>
              <w:ind w:left="189" w:right="0"/>
              <w:jc w:val="left"/>
              <w:rPr>
                <w:rFonts w:ascii="宋体" w:hAnsi="宋体" w:cs="宋体" w:eastAsia="宋体" w:hint="default"/>
                <w:sz w:val="24"/>
                <w:szCs w:val="24"/>
              </w:rPr>
            </w:pPr>
            <w:r>
              <w:rPr>
                <w:rFonts w:ascii="宋体" w:hAnsi="宋体" w:cs="宋体" w:eastAsia="宋体" w:hint="default"/>
                <w:sz w:val="24"/>
                <w:szCs w:val="24"/>
              </w:rPr>
              <w:t>政府补贴收入</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58" w:right="0"/>
              <w:jc w:val="left"/>
              <w:rPr>
                <w:rFonts w:ascii="Arial" w:hAnsi="Arial" w:cs="Arial" w:eastAsia="Arial" w:hint="default"/>
                <w:sz w:val="24"/>
                <w:szCs w:val="24"/>
              </w:rPr>
            </w:pPr>
            <w:r>
              <w:rPr>
                <w:rFonts w:ascii="Arial"/>
                <w:sz w:val="24"/>
              </w:rPr>
              <w:t>8,442</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26" w:right="0"/>
              <w:jc w:val="left"/>
              <w:rPr>
                <w:rFonts w:ascii="Arial" w:hAnsi="Arial" w:cs="Arial" w:eastAsia="Arial" w:hint="default"/>
                <w:sz w:val="24"/>
                <w:szCs w:val="24"/>
              </w:rPr>
            </w:pPr>
            <w:r>
              <w:rPr>
                <w:rFonts w:ascii="Arial"/>
                <w:sz w:val="24"/>
              </w:rPr>
              <w:t>5,909</w:t>
            </w:r>
          </w:p>
        </w:tc>
      </w:tr>
      <w:tr>
        <w:trPr>
          <w:trHeight w:val="312"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78" w:lineRule="exact"/>
              <w:ind w:left="189" w:right="0"/>
              <w:jc w:val="left"/>
              <w:rPr>
                <w:rFonts w:ascii="Arial" w:hAnsi="Arial" w:cs="Arial" w:eastAsia="Arial" w:hint="default"/>
                <w:sz w:val="24"/>
                <w:szCs w:val="24"/>
              </w:rPr>
            </w:pPr>
            <w:r>
              <w:rPr>
                <w:rFonts w:ascii="宋体" w:hAnsi="宋体" w:cs="宋体" w:eastAsia="宋体" w:hint="default"/>
                <w:sz w:val="24"/>
                <w:szCs w:val="24"/>
              </w:rPr>
              <w:t>业务合并收益</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5" w:right="0"/>
              <w:jc w:val="left"/>
              <w:rPr>
                <w:rFonts w:ascii="Arial" w:hAnsi="Arial" w:cs="Arial" w:eastAsia="Arial" w:hint="default"/>
                <w:sz w:val="24"/>
                <w:szCs w:val="24"/>
              </w:rPr>
            </w:pPr>
            <w:r>
              <w:rPr>
                <w:rFonts w:ascii="Arial"/>
                <w:sz w:val="24"/>
              </w:rPr>
              <w:t>15,850</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0"/>
              <w:jc w:val="right"/>
              <w:rPr>
                <w:rFonts w:ascii="Arial" w:hAnsi="Arial" w:cs="Arial" w:eastAsia="Arial" w:hint="default"/>
                <w:sz w:val="24"/>
                <w:szCs w:val="24"/>
              </w:rPr>
            </w:pPr>
            <w:r>
              <w:rPr>
                <w:rFonts w:ascii="Arial"/>
                <w:sz w:val="24"/>
              </w:rPr>
              <w:t>-</w:t>
            </w:r>
          </w:p>
        </w:tc>
      </w:tr>
      <w:tr>
        <w:trPr>
          <w:trHeight w:val="314"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61" w:lineRule="exact"/>
              <w:ind w:left="18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34" w:type="dxa"/>
            <w:tcBorders>
              <w:top w:val="nil" w:sz="6" w:space="0" w:color="auto"/>
              <w:left w:val="nil" w:sz="6" w:space="0" w:color="auto"/>
              <w:bottom w:val="nil" w:sz="6" w:space="0" w:color="auto"/>
              <w:right w:val="nil" w:sz="6" w:space="0" w:color="auto"/>
            </w:tcBorders>
          </w:tcPr>
          <w:p>
            <w:pPr>
              <w:pStyle w:val="TableParagraph"/>
              <w:tabs>
                <w:tab w:pos="1225" w:val="left" w:leader="none"/>
                <w:tab w:pos="2234" w:val="left" w:leader="none"/>
              </w:tabs>
              <w:spacing w:line="240" w:lineRule="auto" w:before="20"/>
              <w:ind w:right="0"/>
              <w:jc w:val="left"/>
              <w:rPr>
                <w:rFonts w:ascii="Arial" w:hAnsi="Arial" w:cs="Arial" w:eastAsia="Arial" w:hint="default"/>
                <w:sz w:val="24"/>
                <w:szCs w:val="24"/>
              </w:rPr>
            </w:pPr>
            <w:r>
              <w:rPr>
                <w:rFonts w:ascii="Arial"/>
                <w:sz w:val="24"/>
              </w:rPr>
            </w:r>
            <w:r>
              <w:rPr>
                <w:rFonts w:ascii="Arial"/>
                <w:sz w:val="24"/>
                <w:u w:val="single" w:color="000000"/>
              </w:rPr>
              <w:t> </w:t>
              <w:tab/>
              <w:t>10,819</w:t>
              <w:tab/>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tabs>
                <w:tab w:pos="1426" w:val="left" w:leader="none"/>
                <w:tab w:pos="2303" w:val="left" w:leader="none"/>
              </w:tabs>
              <w:spacing w:line="240" w:lineRule="auto" w:before="20"/>
              <w:ind w:right="33"/>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7,382</w:t>
              <w:tab/>
            </w:r>
            <w:r>
              <w:rPr>
                <w:rFonts w:ascii="Arial"/>
                <w:spacing w:val="-1"/>
                <w:sz w:val="24"/>
              </w:rPr>
            </w:r>
          </w:p>
        </w:tc>
      </w:tr>
      <w:tr>
        <w:trPr>
          <w:trHeight w:val="434"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tabs>
                <w:tab w:pos="1225" w:val="left" w:leader="none"/>
                <w:tab w:pos="2234" w:val="left" w:leader="none"/>
              </w:tabs>
              <w:spacing w:line="268" w:lineRule="exact"/>
              <w:ind w:right="0"/>
              <w:jc w:val="left"/>
              <w:rPr>
                <w:rFonts w:ascii="Arial" w:hAnsi="Arial" w:cs="Arial" w:eastAsia="Arial" w:hint="default"/>
                <w:sz w:val="24"/>
                <w:szCs w:val="24"/>
              </w:rPr>
            </w:pPr>
            <w:r>
              <w:rPr>
                <w:rFonts w:ascii="Arial"/>
                <w:sz w:val="24"/>
              </w:rPr>
            </w:r>
            <w:r>
              <w:rPr>
                <w:rFonts w:ascii="Arial"/>
                <w:sz w:val="24"/>
                <w:u w:val="thick" w:color="000000"/>
              </w:rPr>
              <w:t> </w:t>
              <w:tab/>
              <w:t>35,495</w:t>
              <w:tab/>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tabs>
                <w:tab w:pos="1293" w:val="left" w:leader="none"/>
                <w:tab w:pos="2303" w:val="left" w:leader="none"/>
              </w:tabs>
              <w:spacing w:line="268" w:lineRule="exact"/>
              <w:ind w:right="33"/>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13,410</w:t>
              <w:tab/>
            </w:r>
            <w:r>
              <w:rPr>
                <w:rFonts w:ascii="Arial"/>
                <w:spacing w:val="-1"/>
                <w:sz w:val="24"/>
              </w:rPr>
            </w:r>
          </w:p>
        </w:tc>
      </w:tr>
      <w:tr>
        <w:trPr>
          <w:trHeight w:val="454"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99" w:right="0"/>
              <w:jc w:val="left"/>
              <w:rPr>
                <w:rFonts w:ascii="Arial" w:hAnsi="Arial" w:cs="Arial" w:eastAsia="Arial" w:hint="default"/>
                <w:sz w:val="24"/>
                <w:szCs w:val="24"/>
              </w:rPr>
            </w:pPr>
            <w:r>
              <w:rPr>
                <w:rFonts w:ascii="Arial"/>
                <w:sz w:val="24"/>
              </w:rPr>
              <w:t>(b)</w:t>
            </w:r>
          </w:p>
        </w:tc>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4" w:right="0"/>
              <w:jc w:val="left"/>
              <w:rPr>
                <w:rFonts w:ascii="宋体" w:hAnsi="宋体" w:cs="宋体" w:eastAsia="宋体" w:hint="default"/>
                <w:sz w:val="24"/>
                <w:szCs w:val="24"/>
              </w:rPr>
            </w:pPr>
            <w:r>
              <w:rPr>
                <w:rFonts w:ascii="宋体" w:hAnsi="宋体" w:cs="宋体" w:eastAsia="宋体" w:hint="default"/>
                <w:sz w:val="24"/>
                <w:szCs w:val="24"/>
              </w:rPr>
              <w:t>营业外支出</w:t>
            </w:r>
          </w:p>
        </w:tc>
        <w:tc>
          <w:tcPr>
            <w:tcW w:w="2234"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
        </w:tc>
      </w:tr>
      <w:tr>
        <w:trPr>
          <w:trHeight w:val="318"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93" w:lineRule="exact"/>
              <w:ind w:left="1059"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93" w:lineRule="exact"/>
              <w:ind w:right="136"/>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47"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nil" w:sz="6" w:space="0" w:color="auto"/>
              <w:right w:val="nil" w:sz="6" w:space="0" w:color="auto"/>
            </w:tcBorders>
          </w:tcPr>
          <w:p>
            <w:pPr>
              <w:pStyle w:val="TableParagraph"/>
              <w:spacing w:line="287" w:lineRule="exact"/>
              <w:ind w:left="77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87" w:lineRule="exact"/>
              <w:ind w:right="135"/>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9" w:right="0"/>
              <w:jc w:val="left"/>
              <w:rPr>
                <w:rFonts w:ascii="宋体" w:hAnsi="宋体" w:cs="宋体" w:eastAsia="宋体" w:hint="default"/>
                <w:sz w:val="24"/>
                <w:szCs w:val="24"/>
              </w:rPr>
            </w:pPr>
            <w:r>
              <w:rPr>
                <w:rFonts w:ascii="宋体" w:hAnsi="宋体" w:cs="宋体" w:eastAsia="宋体" w:hint="default"/>
                <w:sz w:val="24"/>
                <w:szCs w:val="24"/>
              </w:rPr>
              <w:t>处置固定资产损失</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56"/>
              <w:jc w:val="right"/>
              <w:rPr>
                <w:rFonts w:ascii="Arial" w:hAnsi="Arial" w:cs="Arial" w:eastAsia="Arial" w:hint="default"/>
                <w:sz w:val="24"/>
                <w:szCs w:val="24"/>
              </w:rPr>
            </w:pPr>
            <w:r>
              <w:rPr>
                <w:rFonts w:ascii="Arial"/>
                <w:spacing w:val="-1"/>
                <w:w w:val="95"/>
                <w:sz w:val="24"/>
              </w:rPr>
              <w:t>275</w:t>
            </w:r>
            <w:r>
              <w:rPr>
                <w:rFonts w:ascii="Arial"/>
                <w:w w:val="95"/>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10"/>
              <w:jc w:val="right"/>
              <w:rPr>
                <w:rFonts w:ascii="Arial" w:hAnsi="Arial" w:cs="Arial" w:eastAsia="Arial" w:hint="default"/>
                <w:sz w:val="24"/>
                <w:szCs w:val="24"/>
              </w:rPr>
            </w:pPr>
            <w:r>
              <w:rPr>
                <w:rFonts w:ascii="Arial"/>
                <w:spacing w:val="-1"/>
                <w:w w:val="95"/>
                <w:sz w:val="24"/>
              </w:rPr>
              <w:t>74</w:t>
            </w:r>
            <w:r>
              <w:rPr>
                <w:rFonts w:ascii="Arial"/>
                <w:w w:val="95"/>
                <w:sz w:val="24"/>
              </w:rPr>
            </w:r>
          </w:p>
        </w:tc>
      </w:tr>
      <w:tr>
        <w:trPr>
          <w:trHeight w:val="318"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96" w:lineRule="exact"/>
              <w:ind w:left="189" w:right="0"/>
              <w:jc w:val="left"/>
              <w:rPr>
                <w:rFonts w:ascii="Arial" w:hAnsi="Arial" w:cs="Arial" w:eastAsia="Arial" w:hint="default"/>
                <w:sz w:val="24"/>
                <w:szCs w:val="24"/>
              </w:rPr>
            </w:pPr>
            <w:r>
              <w:rPr>
                <w:rFonts w:ascii="宋体" w:hAnsi="宋体" w:cs="宋体" w:eastAsia="宋体" w:hint="default"/>
                <w:sz w:val="24"/>
                <w:szCs w:val="24"/>
              </w:rPr>
              <w:t>特许加盟终止违约金</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43" w:right="0"/>
              <w:jc w:val="left"/>
              <w:rPr>
                <w:rFonts w:ascii="Arial" w:hAnsi="Arial" w:cs="Arial" w:eastAsia="Arial" w:hint="default"/>
                <w:sz w:val="24"/>
                <w:szCs w:val="24"/>
              </w:rPr>
            </w:pPr>
            <w:r>
              <w:rPr>
                <w:rFonts w:ascii="Arial"/>
                <w:sz w:val="24"/>
              </w:rPr>
              <w:t>13,750</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10"/>
              <w:jc w:val="right"/>
              <w:rPr>
                <w:rFonts w:ascii="Arial" w:hAnsi="Arial" w:cs="Arial" w:eastAsia="Arial" w:hint="default"/>
                <w:sz w:val="24"/>
                <w:szCs w:val="24"/>
              </w:rPr>
            </w:pPr>
            <w:r>
              <w:rPr>
                <w:rFonts w:ascii="Arial"/>
                <w:sz w:val="24"/>
              </w:rPr>
              <w:t>-</w:t>
            </w:r>
          </w:p>
        </w:tc>
      </w:tr>
      <w:tr>
        <w:trPr>
          <w:trHeight w:val="306"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73" w:lineRule="exact"/>
              <w:ind w:left="189" w:right="0"/>
              <w:jc w:val="left"/>
              <w:rPr>
                <w:rFonts w:ascii="宋体" w:hAnsi="宋体" w:cs="宋体" w:eastAsia="宋体" w:hint="default"/>
                <w:sz w:val="24"/>
                <w:szCs w:val="24"/>
              </w:rPr>
            </w:pPr>
            <w:r>
              <w:rPr>
                <w:rFonts w:ascii="宋体" w:hAnsi="宋体" w:cs="宋体" w:eastAsia="宋体" w:hint="default"/>
                <w:sz w:val="24"/>
                <w:szCs w:val="24"/>
              </w:rPr>
              <w:t>滞纳金及罚款支出</w:t>
            </w:r>
          </w:p>
        </w:tc>
        <w:tc>
          <w:tcPr>
            <w:tcW w:w="2234" w:type="dxa"/>
            <w:tcBorders>
              <w:top w:val="nil" w:sz="6" w:space="0" w:color="auto"/>
              <w:left w:val="nil" w:sz="6" w:space="0" w:color="auto"/>
              <w:bottom w:val="nil" w:sz="6" w:space="0" w:color="auto"/>
              <w:right w:val="nil" w:sz="6" w:space="0" w:color="auto"/>
            </w:tcBorders>
          </w:tcPr>
          <w:p>
            <w:pPr>
              <w:pStyle w:val="TableParagraph"/>
              <w:spacing w:line="272" w:lineRule="exact"/>
              <w:ind w:left="1376" w:right="0"/>
              <w:jc w:val="left"/>
              <w:rPr>
                <w:rFonts w:ascii="Arial" w:hAnsi="Arial" w:cs="Arial" w:eastAsia="Arial" w:hint="default"/>
                <w:sz w:val="24"/>
                <w:szCs w:val="24"/>
              </w:rPr>
            </w:pPr>
            <w:r>
              <w:rPr>
                <w:rFonts w:ascii="Arial"/>
                <w:sz w:val="24"/>
              </w:rPr>
              <w:t>5,733</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72" w:lineRule="exact"/>
              <w:ind w:left="1426" w:right="0"/>
              <w:jc w:val="left"/>
              <w:rPr>
                <w:rFonts w:ascii="Arial" w:hAnsi="Arial" w:cs="Arial" w:eastAsia="Arial" w:hint="default"/>
                <w:sz w:val="24"/>
                <w:szCs w:val="24"/>
              </w:rPr>
            </w:pPr>
            <w:r>
              <w:rPr>
                <w:rFonts w:ascii="Arial"/>
                <w:sz w:val="24"/>
              </w:rPr>
              <w:t>3,291</w:t>
            </w:r>
          </w:p>
        </w:tc>
      </w:tr>
      <w:tr>
        <w:trPr>
          <w:trHeight w:val="312"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79" w:lineRule="exact"/>
              <w:ind w:left="189" w:right="0"/>
              <w:jc w:val="left"/>
              <w:rPr>
                <w:rFonts w:ascii="宋体" w:hAnsi="宋体" w:cs="宋体" w:eastAsia="宋体" w:hint="default"/>
                <w:sz w:val="24"/>
                <w:szCs w:val="24"/>
              </w:rPr>
            </w:pPr>
            <w:r>
              <w:rPr>
                <w:rFonts w:ascii="宋体" w:hAnsi="宋体" w:cs="宋体" w:eastAsia="宋体" w:hint="default"/>
                <w:sz w:val="24"/>
                <w:szCs w:val="24"/>
              </w:rPr>
              <w:t>捐赠支出</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76" w:right="0"/>
              <w:jc w:val="left"/>
              <w:rPr>
                <w:rFonts w:ascii="Arial" w:hAnsi="Arial" w:cs="Arial" w:eastAsia="Arial" w:hint="default"/>
                <w:sz w:val="24"/>
                <w:szCs w:val="24"/>
              </w:rPr>
            </w:pPr>
            <w:r>
              <w:rPr>
                <w:rFonts w:ascii="Arial"/>
                <w:sz w:val="24"/>
              </w:rPr>
              <w:t>6,128</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26" w:right="0"/>
              <w:jc w:val="left"/>
              <w:rPr>
                <w:rFonts w:ascii="Arial" w:hAnsi="Arial" w:cs="Arial" w:eastAsia="Arial" w:hint="default"/>
                <w:sz w:val="24"/>
                <w:szCs w:val="24"/>
              </w:rPr>
            </w:pPr>
            <w:r>
              <w:rPr>
                <w:rFonts w:ascii="Arial"/>
                <w:sz w:val="24"/>
              </w:rPr>
              <w:t>1,060</w:t>
            </w:r>
          </w:p>
        </w:tc>
      </w:tr>
      <w:tr>
        <w:trPr>
          <w:trHeight w:val="321"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79" w:lineRule="exact"/>
              <w:ind w:left="18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3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261" w:right="0"/>
              <w:jc w:val="left"/>
              <w:rPr>
                <w:rFonts w:ascii="Arial" w:hAnsi="Arial" w:cs="Arial" w:eastAsia="Arial" w:hint="default"/>
                <w:sz w:val="24"/>
                <w:szCs w:val="24"/>
              </w:rPr>
            </w:pPr>
            <w:r>
              <w:rPr>
                <w:rFonts w:ascii="Arial"/>
                <w:spacing w:val="-4"/>
                <w:sz w:val="24"/>
              </w:rPr>
              <w:t>18,311</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426" w:right="0"/>
              <w:jc w:val="left"/>
              <w:rPr>
                <w:rFonts w:ascii="Arial" w:hAnsi="Arial" w:cs="Arial" w:eastAsia="Arial" w:hint="default"/>
                <w:sz w:val="24"/>
                <w:szCs w:val="24"/>
              </w:rPr>
            </w:pPr>
            <w:r>
              <w:rPr>
                <w:rFonts w:ascii="Arial"/>
                <w:sz w:val="24"/>
              </w:rPr>
              <w:t>8,669</w:t>
            </w:r>
          </w:p>
        </w:tc>
      </w:tr>
      <w:tr>
        <w:trPr>
          <w:trHeight w:val="296" w:hRule="exact"/>
        </w:trPr>
        <w:tc>
          <w:tcPr>
            <w:tcW w:w="617"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0"/>
              <w:left w:val="nil" w:sz="6" w:space="0" w:color="auto"/>
              <w:bottom w:val="single" w:sz="12" w:space="0" w:color="000000"/>
              <w:right w:val="nil" w:sz="6" w:space="0" w:color="auto"/>
            </w:tcBorders>
          </w:tcPr>
          <w:p>
            <w:pPr>
              <w:pStyle w:val="TableParagraph"/>
              <w:spacing w:line="274" w:lineRule="exact"/>
              <w:ind w:left="1243" w:right="0"/>
              <w:jc w:val="left"/>
              <w:rPr>
                <w:rFonts w:ascii="Arial" w:hAnsi="Arial" w:cs="Arial" w:eastAsia="Arial" w:hint="default"/>
                <w:sz w:val="24"/>
                <w:szCs w:val="24"/>
              </w:rPr>
            </w:pPr>
            <w:r>
              <w:rPr>
                <w:rFonts w:ascii="Arial"/>
                <w:sz w:val="24"/>
              </w:rPr>
              <w:t>44,197</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single" w:sz="4" w:space="0" w:color="000000"/>
              <w:left w:val="nil" w:sz="6" w:space="0" w:color="auto"/>
              <w:bottom w:val="single" w:sz="12" w:space="0" w:color="000000"/>
              <w:right w:val="nil" w:sz="6" w:space="0" w:color="auto"/>
            </w:tcBorders>
          </w:tcPr>
          <w:p>
            <w:pPr>
              <w:pStyle w:val="TableParagraph"/>
              <w:spacing w:line="274" w:lineRule="exact"/>
              <w:ind w:left="1293" w:right="0"/>
              <w:jc w:val="left"/>
              <w:rPr>
                <w:rFonts w:ascii="Arial" w:hAnsi="Arial" w:cs="Arial" w:eastAsia="Arial" w:hint="default"/>
                <w:sz w:val="24"/>
                <w:szCs w:val="24"/>
              </w:rPr>
            </w:pPr>
            <w:r>
              <w:rPr>
                <w:rFonts w:ascii="Arial"/>
                <w:sz w:val="24"/>
              </w:rPr>
              <w:t>13,094</w:t>
            </w:r>
          </w:p>
        </w:tc>
      </w:tr>
    </w:tbl>
    <w:p>
      <w:pPr>
        <w:spacing w:after="0" w:line="274" w:lineRule="exact"/>
        <w:jc w:val="left"/>
        <w:rPr>
          <w:rFonts w:ascii="Arial" w:hAnsi="Arial" w:cs="Arial" w:eastAsia="Arial" w:hint="default"/>
          <w:sz w:val="24"/>
          <w:szCs w:val="24"/>
        </w:rPr>
        <w:sectPr>
          <w:pgSz w:w="11910" w:h="16840"/>
          <w:pgMar w:header="748" w:footer="708" w:top="980" w:bottom="900" w:left="92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617"/>
        <w:gridCol w:w="3956"/>
        <w:gridCol w:w="2358"/>
        <w:gridCol w:w="532"/>
        <w:gridCol w:w="2444"/>
      </w:tblGrid>
      <w:tr>
        <w:trPr>
          <w:trHeight w:val="964"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99" w:right="0"/>
              <w:jc w:val="left"/>
              <w:rPr>
                <w:rFonts w:ascii="Arial" w:hAnsi="Arial" w:cs="Arial" w:eastAsia="Arial" w:hint="default"/>
                <w:sz w:val="24"/>
                <w:szCs w:val="24"/>
              </w:rPr>
            </w:pPr>
            <w:r>
              <w:rPr>
                <w:rFonts w:ascii="Arial"/>
                <w:sz w:val="24"/>
              </w:rPr>
              <w:t>(32)</w:t>
            </w:r>
          </w:p>
        </w:tc>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0"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54" w:right="0"/>
              <w:jc w:val="left"/>
              <w:rPr>
                <w:rFonts w:ascii="宋体" w:hAnsi="宋体" w:cs="宋体" w:eastAsia="宋体" w:hint="default"/>
                <w:sz w:val="24"/>
                <w:szCs w:val="24"/>
              </w:rPr>
            </w:pPr>
            <w:r>
              <w:rPr>
                <w:rFonts w:ascii="宋体" w:hAnsi="宋体" w:cs="宋体" w:eastAsia="宋体" w:hint="default"/>
                <w:b/>
                <w:bCs/>
                <w:sz w:val="24"/>
                <w:szCs w:val="24"/>
              </w:rPr>
              <w:t>所得税费用</w:t>
            </w:r>
            <w:r>
              <w:rPr>
                <w:rFonts w:ascii="宋体" w:hAnsi="宋体" w:cs="宋体" w:eastAsia="宋体" w:hint="default"/>
                <w:sz w:val="24"/>
                <w:szCs w:val="24"/>
              </w:rPr>
            </w:r>
          </w:p>
        </w:tc>
        <w:tc>
          <w:tcPr>
            <w:tcW w:w="5334" w:type="dxa"/>
            <w:gridSpan w:val="3"/>
            <w:tcBorders>
              <w:top w:val="nil" w:sz="6" w:space="0" w:color="auto"/>
              <w:left w:val="nil" w:sz="6" w:space="0" w:color="auto"/>
              <w:bottom w:val="nil" w:sz="6" w:space="0" w:color="auto"/>
              <w:right w:val="nil" w:sz="6" w:space="0" w:color="auto"/>
            </w:tcBorders>
          </w:tcPr>
          <w:p>
            <w:pPr/>
          </w:p>
        </w:tc>
      </w:tr>
      <w:tr>
        <w:trPr>
          <w:trHeight w:val="765" w:hRule="exact"/>
        </w:trPr>
        <w:tc>
          <w:tcPr>
            <w:tcW w:w="617" w:type="dxa"/>
            <w:tcBorders>
              <w:top w:val="nil" w:sz="6" w:space="0" w:color="auto"/>
              <w:left w:val="nil" w:sz="6" w:space="0" w:color="auto"/>
              <w:bottom w:val="nil" w:sz="6" w:space="0" w:color="auto"/>
              <w:right w:val="nil" w:sz="6" w:space="0" w:color="auto"/>
            </w:tcBorders>
          </w:tcPr>
          <w:p>
            <w:pPr/>
          </w:p>
        </w:tc>
        <w:tc>
          <w:tcPr>
            <w:tcW w:w="3956"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nil" w:sz="6" w:space="0" w:color="auto"/>
              <w:right w:val="nil" w:sz="6" w:space="0" w:color="auto"/>
            </w:tcBorders>
          </w:tcPr>
          <w:p>
            <w:pPr>
              <w:pStyle w:val="TableParagraph"/>
              <w:spacing w:line="284" w:lineRule="exact"/>
              <w:ind w:left="895" w:right="0" w:firstLine="286"/>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p>
            <w:pPr>
              <w:pStyle w:val="TableParagraph"/>
              <w:spacing w:line="322" w:lineRule="exact"/>
              <w:ind w:left="895"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32"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Style w:val="TableParagraph"/>
              <w:spacing w:line="284" w:lineRule="exact"/>
              <w:ind w:left="982" w:right="0" w:firstLine="286"/>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p>
            <w:pPr>
              <w:pStyle w:val="TableParagraph"/>
              <w:spacing w:line="322" w:lineRule="exact"/>
              <w:ind w:left="98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617" w:type="dxa"/>
            <w:tcBorders>
              <w:top w:val="nil" w:sz="6" w:space="0" w:color="auto"/>
              <w:left w:val="nil" w:sz="6" w:space="0" w:color="auto"/>
              <w:bottom w:val="nil" w:sz="6" w:space="0" w:color="auto"/>
              <w:right w:val="nil" w:sz="6" w:space="0" w:color="auto"/>
            </w:tcBorders>
          </w:tcPr>
          <w:p>
            <w:pPr/>
          </w:p>
        </w:tc>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9" w:right="0"/>
              <w:jc w:val="left"/>
              <w:rPr>
                <w:rFonts w:ascii="宋体" w:hAnsi="宋体" w:cs="宋体" w:eastAsia="宋体" w:hint="default"/>
                <w:sz w:val="24"/>
                <w:szCs w:val="24"/>
              </w:rPr>
            </w:pPr>
            <w:r>
              <w:rPr>
                <w:rFonts w:ascii="宋体" w:hAnsi="宋体" w:cs="宋体" w:eastAsia="宋体" w:hint="default"/>
                <w:sz w:val="24"/>
                <w:szCs w:val="24"/>
              </w:rPr>
              <w:t>当期所得税</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2"/>
              <w:jc w:val="right"/>
              <w:rPr>
                <w:rFonts w:ascii="Arial" w:hAnsi="Arial" w:cs="Arial" w:eastAsia="Arial" w:hint="default"/>
                <w:sz w:val="24"/>
                <w:szCs w:val="24"/>
              </w:rPr>
            </w:pPr>
            <w:r>
              <w:rPr>
                <w:rFonts w:ascii="Arial"/>
                <w:spacing w:val="-1"/>
                <w:sz w:val="24"/>
              </w:rPr>
              <w:t>720,926</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0"/>
              <w:jc w:val="right"/>
              <w:rPr>
                <w:rFonts w:ascii="Arial" w:hAnsi="Arial" w:cs="Arial" w:eastAsia="Arial" w:hint="default"/>
                <w:sz w:val="24"/>
                <w:szCs w:val="24"/>
              </w:rPr>
            </w:pPr>
            <w:r>
              <w:rPr>
                <w:rFonts w:ascii="Arial"/>
                <w:spacing w:val="-1"/>
                <w:sz w:val="24"/>
              </w:rPr>
              <w:t>373,446</w:t>
            </w:r>
            <w:r>
              <w:rPr>
                <w:rFonts w:ascii="Arial"/>
                <w:sz w:val="24"/>
              </w:rPr>
            </w:r>
          </w:p>
        </w:tc>
      </w:tr>
      <w:tr>
        <w:trPr>
          <w:trHeight w:val="321" w:hRule="exact"/>
        </w:trPr>
        <w:tc>
          <w:tcPr>
            <w:tcW w:w="617" w:type="dxa"/>
            <w:tcBorders>
              <w:top w:val="nil" w:sz="6" w:space="0" w:color="auto"/>
              <w:left w:val="nil" w:sz="6" w:space="0" w:color="auto"/>
              <w:bottom w:val="nil" w:sz="6" w:space="0" w:color="auto"/>
              <w:right w:val="nil" w:sz="6" w:space="0" w:color="auto"/>
            </w:tcBorders>
          </w:tcPr>
          <w:p>
            <w:pPr/>
          </w:p>
        </w:tc>
        <w:tc>
          <w:tcPr>
            <w:tcW w:w="3956" w:type="dxa"/>
            <w:tcBorders>
              <w:top w:val="nil" w:sz="6" w:space="0" w:color="auto"/>
              <w:left w:val="nil" w:sz="6" w:space="0" w:color="auto"/>
              <w:bottom w:val="nil" w:sz="6" w:space="0" w:color="auto"/>
              <w:right w:val="nil" w:sz="6" w:space="0" w:color="auto"/>
            </w:tcBorders>
          </w:tcPr>
          <w:p>
            <w:pPr>
              <w:pStyle w:val="TableParagraph"/>
              <w:spacing w:line="279" w:lineRule="exact"/>
              <w:ind w:left="189"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235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sz w:val="24"/>
              </w:rPr>
              <w:t>(2,736)</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(23,504)</w:t>
            </w:r>
            <w:r>
              <w:rPr>
                <w:rFonts w:ascii="Arial"/>
                <w:sz w:val="24"/>
              </w:rPr>
            </w:r>
          </w:p>
        </w:tc>
      </w:tr>
      <w:tr>
        <w:trPr>
          <w:trHeight w:val="297" w:hRule="exact"/>
        </w:trPr>
        <w:tc>
          <w:tcPr>
            <w:tcW w:w="617" w:type="dxa"/>
            <w:tcBorders>
              <w:top w:val="nil" w:sz="6" w:space="0" w:color="auto"/>
              <w:left w:val="nil" w:sz="6" w:space="0" w:color="auto"/>
              <w:bottom w:val="nil" w:sz="6" w:space="0" w:color="auto"/>
              <w:right w:val="nil" w:sz="6" w:space="0" w:color="auto"/>
            </w:tcBorders>
          </w:tcPr>
          <w:p>
            <w:pPr/>
          </w:p>
        </w:tc>
        <w:tc>
          <w:tcPr>
            <w:tcW w:w="3956" w:type="dxa"/>
            <w:tcBorders>
              <w:top w:val="nil" w:sz="6" w:space="0" w:color="auto"/>
              <w:left w:val="nil" w:sz="6" w:space="0" w:color="auto"/>
              <w:bottom w:val="nil" w:sz="6" w:space="0" w:color="auto"/>
              <w:right w:val="nil" w:sz="6" w:space="0" w:color="auto"/>
            </w:tcBorders>
          </w:tcPr>
          <w:p>
            <w:pPr/>
          </w:p>
        </w:tc>
        <w:tc>
          <w:tcPr>
            <w:tcW w:w="235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72"/>
              <w:jc w:val="right"/>
              <w:rPr>
                <w:rFonts w:ascii="Arial" w:hAnsi="Arial" w:cs="Arial" w:eastAsia="Arial" w:hint="default"/>
                <w:sz w:val="24"/>
                <w:szCs w:val="24"/>
              </w:rPr>
            </w:pPr>
            <w:r>
              <w:rPr>
                <w:rFonts w:ascii="Arial"/>
                <w:spacing w:val="-1"/>
                <w:sz w:val="24"/>
              </w:rPr>
              <w:t>718,190</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44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69"/>
              <w:jc w:val="right"/>
              <w:rPr>
                <w:rFonts w:ascii="Arial" w:hAnsi="Arial" w:cs="Arial" w:eastAsia="Arial" w:hint="default"/>
                <w:sz w:val="24"/>
                <w:szCs w:val="24"/>
              </w:rPr>
            </w:pPr>
            <w:r>
              <w:rPr>
                <w:rFonts w:ascii="Arial"/>
                <w:spacing w:val="-1"/>
                <w:sz w:val="24"/>
              </w:rPr>
              <w:t>349,942</w:t>
            </w:r>
            <w:r>
              <w:rPr>
                <w:rFonts w:ascii="Arial"/>
                <w:sz w:val="24"/>
              </w:rPr>
            </w:r>
          </w:p>
        </w:tc>
      </w:tr>
    </w:tbl>
    <w:p>
      <w:pPr>
        <w:spacing w:line="240" w:lineRule="auto" w:before="0"/>
        <w:rPr>
          <w:rFonts w:ascii="Times New Roman" w:hAnsi="Times New Roman" w:cs="Times New Roman" w:eastAsia="Times New Roman" w:hint="default"/>
          <w:sz w:val="17"/>
          <w:szCs w:val="17"/>
        </w:rPr>
      </w:pPr>
    </w:p>
    <w:p>
      <w:pPr>
        <w:pStyle w:val="BodyText"/>
        <w:spacing w:line="240" w:lineRule="auto" w:before="26"/>
        <w:ind w:left="880" w:right="0"/>
        <w:jc w:val="left"/>
      </w:pPr>
      <w:r>
        <w:rPr/>
        <w:t>将列示于合并利润表的利润总额调节为所得税费用：</w:t>
      </w:r>
    </w:p>
    <w:p>
      <w:pPr>
        <w:spacing w:line="240" w:lineRule="auto" w:before="12"/>
        <w:rPr>
          <w:rFonts w:ascii="宋体" w:hAnsi="宋体" w:cs="宋体" w:eastAsia="宋体" w:hint="default"/>
          <w:sz w:val="20"/>
          <w:szCs w:val="20"/>
        </w:rPr>
      </w:pPr>
    </w:p>
    <w:p>
      <w:pPr>
        <w:pStyle w:val="BodyText"/>
        <w:tabs>
          <w:tab w:pos="8840" w:val="left" w:leader="none"/>
        </w:tabs>
        <w:spacing w:line="322" w:lineRule="exact"/>
        <w:ind w:left="6084" w:right="0"/>
        <w:jc w:val="left"/>
      </w:pPr>
      <w:r>
        <w:rPr>
          <w:rFonts w:ascii="Arial" w:hAnsi="Arial" w:cs="Arial" w:eastAsia="Arial" w:hint="default"/>
        </w:rPr>
        <w:t>2007</w:t>
      </w:r>
      <w:r>
        <w:rPr>
          <w:rFonts w:ascii="Arial" w:hAnsi="Arial" w:cs="Arial" w:eastAsia="Arial" w:hint="default"/>
          <w:spacing w:val="-10"/>
        </w:rPr>
        <w:t> </w:t>
      </w:r>
      <w:r>
        <w:rPr/>
        <w:t>年度</w:t>
        <w:tab/>
      </w:r>
      <w:r>
        <w:rPr>
          <w:rFonts w:ascii="Arial" w:hAnsi="Arial" w:cs="Arial" w:eastAsia="Arial" w:hint="default"/>
        </w:rPr>
        <w:t>2006</w:t>
      </w:r>
      <w:r>
        <w:rPr>
          <w:rFonts w:ascii="Arial" w:hAnsi="Arial" w:cs="Arial" w:eastAsia="Arial" w:hint="default"/>
          <w:spacing w:val="-10"/>
        </w:rPr>
        <w:t> </w:t>
      </w:r>
      <w:r>
        <w:rPr/>
        <w:t>年度</w:t>
      </w:r>
    </w:p>
    <w:p>
      <w:pPr>
        <w:pStyle w:val="BodyText"/>
        <w:tabs>
          <w:tab w:pos="8553" w:val="left" w:leader="none"/>
        </w:tabs>
        <w:spacing w:line="322" w:lineRule="exact"/>
        <w:ind w:left="5797" w:right="0"/>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5978" w:val="left" w:leader="none"/>
          <w:tab w:pos="8812" w:val="left" w:leader="none"/>
        </w:tabs>
        <w:spacing w:line="240" w:lineRule="auto"/>
        <w:ind w:left="914" w:right="0"/>
        <w:jc w:val="left"/>
        <w:rPr>
          <w:rFonts w:ascii="Arial" w:hAnsi="Arial" w:cs="Arial" w:eastAsia="Arial" w:hint="default"/>
        </w:rPr>
      </w:pPr>
      <w:r>
        <w:rPr/>
        <w:t>利润总额</w:t>
        <w:tab/>
      </w:r>
      <w:r>
        <w:rPr>
          <w:rFonts w:ascii="Arial" w:hAnsi="Arial" w:cs="Arial" w:eastAsia="Arial" w:hint="default"/>
          <w:spacing w:val="-1"/>
          <w:position w:val="2"/>
        </w:rPr>
        <w:t>2,241,358</w:t>
        <w:tab/>
        <w:t>1,147,478</w:t>
      </w:r>
      <w:r>
        <w:rPr>
          <w:rFonts w:ascii="Arial" w:hAnsi="Arial" w:cs="Arial" w:eastAsia="Arial" w:hint="default"/>
        </w:rPr>
      </w:r>
    </w:p>
    <w:p>
      <w:pPr>
        <w:spacing w:line="240" w:lineRule="auto" w:before="3"/>
        <w:rPr>
          <w:rFonts w:ascii="Arial" w:hAnsi="Arial" w:cs="Arial" w:eastAsia="Arial" w:hint="default"/>
          <w:sz w:val="3"/>
          <w:szCs w:val="3"/>
        </w:rPr>
      </w:pPr>
    </w:p>
    <w:p>
      <w:pPr>
        <w:tabs>
          <w:tab w:pos="7700" w:val="left" w:leader="none"/>
        </w:tabs>
        <w:spacing w:line="20" w:lineRule="exact"/>
        <w:ind w:left="4952" w:right="0" w:firstLine="0"/>
        <w:rPr>
          <w:rFonts w:ascii="Arial" w:hAnsi="Arial" w:cs="Arial" w:eastAsia="Arial" w:hint="default"/>
          <w:sz w:val="2"/>
          <w:szCs w:val="2"/>
        </w:rPr>
      </w:pPr>
      <w:r>
        <w:rPr>
          <w:rFonts w:ascii="Arial"/>
          <w:sz w:val="2"/>
        </w:rPr>
        <w:pict>
          <v:group style="width:115.5pt;height:.5pt;mso-position-horizontal-relative:char;mso-position-vertical-relative:line" coordorigin="0,0" coordsize="2310,10">
            <v:group style="position:absolute;left:5;top:5;width:2301;height:2" coordorigin="5,5" coordsize="2301,2">
              <v:shape style="position:absolute;left:5;top:5;width:2301;height:2" coordorigin="5,5" coordsize="2301,0" path="m5,5l2305,5e" filled="false" stroked="true" strokeweight=".48004pt" strokecolor="#000000">
                <v:path arrowok="t"/>
              </v:shape>
            </v:group>
          </v:group>
        </w:pict>
      </w:r>
      <w:r>
        <w:rPr>
          <w:rFonts w:ascii="Arial"/>
          <w:sz w:val="2"/>
        </w:rPr>
      </w:r>
      <w:r>
        <w:rPr>
          <w:rFonts w:ascii="Arial"/>
          <w:sz w:val="2"/>
        </w:rPr>
        <w:tab/>
      </w:r>
      <w:r>
        <w:rPr>
          <w:rFonts w:ascii="Arial"/>
          <w:sz w:val="2"/>
        </w:rPr>
        <w:pict>
          <v:group style="width:116pt;height:.5pt;mso-position-horizontal-relative:char;mso-position-vertical-relative:line" coordorigin="0,0" coordsize="2320,10">
            <v:group style="position:absolute;left:5;top:5;width:2310;height:2" coordorigin="5,5" coordsize="2310,2">
              <v:shape style="position:absolute;left:5;top:5;width:2310;height:2" coordorigin="5,5" coordsize="2310,0" path="m5,5l2315,5e" filled="false" stroked="true" strokeweight=".48004pt" strokecolor="#000000">
                <v:path arrowok="t"/>
              </v:shape>
            </v:group>
          </v:group>
        </w:pict>
      </w:r>
      <w:r>
        <w:rPr>
          <w:rFonts w:ascii="Arial"/>
          <w:sz w:val="2"/>
        </w:rPr>
      </w:r>
    </w:p>
    <w:p>
      <w:pPr>
        <w:spacing w:line="240" w:lineRule="auto" w:before="10"/>
        <w:rPr>
          <w:rFonts w:ascii="Arial" w:hAnsi="Arial" w:cs="Arial" w:eastAsia="Arial" w:hint="default"/>
          <w:sz w:val="16"/>
          <w:szCs w:val="16"/>
        </w:rPr>
      </w:pPr>
    </w:p>
    <w:p>
      <w:pPr>
        <w:pStyle w:val="BodyText"/>
        <w:tabs>
          <w:tab w:pos="6180" w:val="left" w:leader="none"/>
          <w:tab w:pos="9014" w:val="left" w:leader="none"/>
        </w:tabs>
        <w:spacing w:line="322" w:lineRule="exact" w:before="32"/>
        <w:ind w:left="914" w:right="0"/>
        <w:jc w:val="left"/>
        <w:rPr>
          <w:rFonts w:ascii="Arial" w:hAnsi="Arial" w:cs="Arial" w:eastAsia="Arial" w:hint="default"/>
        </w:rPr>
      </w:pPr>
      <w:r>
        <w:rPr/>
        <w:t>按适用税率计算的所得税费用</w:t>
      </w:r>
      <w:r>
        <w:rPr>
          <w:rFonts w:ascii="Arial" w:hAnsi="Arial" w:cs="Arial" w:eastAsia="Arial" w:hint="default"/>
        </w:rPr>
        <w:t>(33%)</w:t>
        <w:tab/>
      </w:r>
      <w:r>
        <w:rPr>
          <w:rFonts w:ascii="Arial" w:hAnsi="Arial" w:cs="Arial" w:eastAsia="Arial" w:hint="default"/>
          <w:spacing w:val="-1"/>
          <w:position w:val="2"/>
        </w:rPr>
        <w:t>739,648</w:t>
        <w:tab/>
        <w:t>378,668</w:t>
      </w:r>
      <w:r>
        <w:rPr>
          <w:rFonts w:ascii="Arial" w:hAnsi="Arial" w:cs="Arial" w:eastAsia="Arial" w:hint="default"/>
        </w:rPr>
      </w:r>
    </w:p>
    <w:p>
      <w:pPr>
        <w:pStyle w:val="BodyText"/>
        <w:spacing w:line="302" w:lineRule="exact"/>
        <w:ind w:left="925" w:right="0"/>
        <w:jc w:val="left"/>
      </w:pPr>
      <w:r>
        <w:rPr>
          <w:spacing w:val="6"/>
        </w:rPr>
        <w:t>新所得税法的颁布对原已确认的递延</w:t>
      </w:r>
      <w:r>
        <w:rPr/>
      </w:r>
    </w:p>
    <w:p>
      <w:pPr>
        <w:pStyle w:val="BodyText"/>
        <w:tabs>
          <w:tab w:pos="6313" w:val="left" w:leader="none"/>
          <w:tab w:pos="9800" w:val="left" w:leader="none"/>
        </w:tabs>
        <w:spacing w:line="331" w:lineRule="exact"/>
        <w:ind w:left="1166" w:right="0"/>
        <w:jc w:val="left"/>
        <w:rPr>
          <w:rFonts w:ascii="Arial" w:hAnsi="Arial" w:cs="Arial" w:eastAsia="Arial" w:hint="default"/>
        </w:rPr>
      </w:pPr>
      <w:r>
        <w:rPr>
          <w:position w:val="2"/>
        </w:rPr>
        <w:t>所得税余额的影响</w:t>
      </w:r>
      <w:r>
        <w:rPr>
          <w:rFonts w:ascii="Arial" w:hAnsi="Arial" w:cs="Arial" w:eastAsia="Arial" w:hint="default"/>
          <w:position w:val="2"/>
        </w:rPr>
        <w:t>(</w:t>
      </w:r>
      <w:r>
        <w:rPr>
          <w:position w:val="2"/>
        </w:rPr>
        <w:t>附注八</w:t>
      </w:r>
      <w:r>
        <w:rPr>
          <w:rFonts w:ascii="Arial" w:hAnsi="Arial" w:cs="Arial" w:eastAsia="Arial" w:hint="default"/>
          <w:position w:val="2"/>
        </w:rPr>
        <w:t>(21))</w:t>
        <w:tab/>
      </w:r>
      <w:r>
        <w:rPr>
          <w:rFonts w:ascii="Arial" w:hAnsi="Arial" w:cs="Arial" w:eastAsia="Arial" w:hint="default"/>
          <w:spacing w:val="-1"/>
        </w:rPr>
        <w:t>20,789</w:t>
        <w:tab/>
      </w:r>
      <w:r>
        <w:rPr>
          <w:rFonts w:ascii="Arial" w:hAnsi="Arial" w:cs="Arial" w:eastAsia="Arial" w:hint="default"/>
        </w:rPr>
        <w:t>-</w:t>
      </w:r>
    </w:p>
    <w:p>
      <w:pPr>
        <w:pStyle w:val="BodyText"/>
        <w:tabs>
          <w:tab w:pos="6366" w:val="left" w:leader="none"/>
          <w:tab w:pos="9800" w:val="left" w:leader="none"/>
        </w:tabs>
        <w:spacing w:line="294" w:lineRule="exact"/>
        <w:ind w:left="914" w:right="0"/>
        <w:jc w:val="left"/>
        <w:rPr>
          <w:rFonts w:ascii="Arial" w:hAnsi="Arial" w:cs="Arial" w:eastAsia="Arial" w:hint="default"/>
        </w:rPr>
      </w:pPr>
      <w:r>
        <w:rPr/>
        <w:t>非应纳税收入</w:t>
        <w:tab/>
      </w:r>
      <w:r>
        <w:rPr>
          <w:rFonts w:ascii="Arial" w:hAnsi="Arial" w:cs="Arial" w:eastAsia="Arial" w:hint="default"/>
          <w:spacing w:val="-1"/>
          <w:position w:val="2"/>
        </w:rPr>
        <w:t>(5,231)</w:t>
        <w:tab/>
      </w:r>
      <w:r>
        <w:rPr>
          <w:rFonts w:ascii="Arial" w:hAnsi="Arial" w:cs="Arial" w:eastAsia="Arial" w:hint="default"/>
          <w:position w:val="2"/>
        </w:rPr>
        <w:t>-</w:t>
      </w:r>
      <w:r>
        <w:rPr>
          <w:rFonts w:ascii="Arial" w:hAnsi="Arial" w:cs="Arial" w:eastAsia="Arial" w:hint="default"/>
        </w:rPr>
      </w:r>
    </w:p>
    <w:p>
      <w:pPr>
        <w:pStyle w:val="BodyText"/>
        <w:tabs>
          <w:tab w:pos="6233" w:val="left" w:leader="none"/>
          <w:tab w:pos="9020" w:val="left" w:leader="none"/>
        </w:tabs>
        <w:spacing w:line="312" w:lineRule="exact"/>
        <w:ind w:left="914" w:right="0"/>
        <w:jc w:val="left"/>
        <w:rPr>
          <w:rFonts w:ascii="Arial" w:hAnsi="Arial" w:cs="Arial" w:eastAsia="Arial" w:hint="default"/>
        </w:rPr>
      </w:pPr>
      <w:r>
        <w:rPr/>
        <w:t>部分子公司之优惠税率影响</w:t>
        <w:tab/>
      </w:r>
      <w:r>
        <w:rPr>
          <w:rFonts w:ascii="Arial" w:hAnsi="Arial" w:cs="Arial" w:eastAsia="Arial" w:hint="default"/>
          <w:spacing w:val="-1"/>
          <w:position w:val="2"/>
        </w:rPr>
        <w:t>(42,812)</w:t>
        <w:tab/>
        <w:t>(34,707)</w:t>
      </w:r>
      <w:r>
        <w:rPr>
          <w:rFonts w:ascii="Arial" w:hAnsi="Arial" w:cs="Arial" w:eastAsia="Arial" w:hint="default"/>
        </w:rPr>
      </w:r>
    </w:p>
    <w:p>
      <w:pPr>
        <w:pStyle w:val="BodyText"/>
        <w:tabs>
          <w:tab w:pos="6446" w:val="left" w:leader="none"/>
          <w:tab w:pos="9281" w:val="left" w:leader="none"/>
        </w:tabs>
        <w:spacing w:line="313" w:lineRule="exact"/>
        <w:ind w:left="914" w:right="0"/>
        <w:jc w:val="left"/>
        <w:rPr>
          <w:rFonts w:ascii="Arial" w:hAnsi="Arial" w:cs="Arial" w:eastAsia="Arial" w:hint="default"/>
        </w:rPr>
      </w:pPr>
      <w:r>
        <w:rPr/>
        <w:t>不得扣除的成本、费用和损失</w:t>
        <w:tab/>
      </w:r>
      <w:r>
        <w:rPr>
          <w:rFonts w:ascii="Arial" w:hAnsi="Arial" w:cs="Arial" w:eastAsia="Arial" w:hint="default"/>
          <w:spacing w:val="-1"/>
          <w:position w:val="2"/>
        </w:rPr>
        <w:t>5,796</w:t>
        <w:tab/>
        <w:t>5,981</w:t>
      </w:r>
      <w:r>
        <w:rPr>
          <w:rFonts w:ascii="Arial" w:hAnsi="Arial" w:cs="Arial" w:eastAsia="Arial" w:hint="default"/>
        </w:rPr>
      </w:r>
    </w:p>
    <w:p>
      <w:pPr>
        <w:pStyle w:val="BodyText"/>
        <w:tabs>
          <w:tab w:pos="6180" w:val="left" w:leader="none"/>
          <w:tab w:pos="9014" w:val="left" w:leader="none"/>
        </w:tabs>
        <w:spacing w:line="240" w:lineRule="auto" w:before="7"/>
        <w:ind w:left="879" w:right="0"/>
        <w:jc w:val="left"/>
        <w:rPr>
          <w:rFonts w:ascii="Arial" w:hAnsi="Arial" w:cs="Arial" w:eastAsia="Arial" w:hint="default"/>
        </w:rPr>
      </w:pPr>
      <w:r>
        <w:rPr/>
        <w:pict>
          <v:group style="position:absolute;margin-left:293.880005pt;margin-top:2.065918pt;width:115.05pt;height:.1pt;mso-position-horizontal-relative:page;mso-position-vertical-relative:paragraph;z-index:-576376" coordorigin="5878,41" coordsize="2301,2">
            <v:shape style="position:absolute;left:5878;top:41;width:2301;height:2" coordorigin="5878,41" coordsize="2301,0" path="m5878,41l8178,41e" filled="false" stroked="true" strokeweight=".48001pt" strokecolor="#000000">
              <v:path arrowok="t"/>
            </v:shape>
            <w10:wrap type="none"/>
          </v:group>
        </w:pict>
      </w:r>
      <w:r>
        <w:rPr/>
        <w:pict>
          <v:group style="position:absolute;margin-left:431.279999pt;margin-top:2.065918pt;width:115.5pt;height:.1pt;mso-position-horizontal-relative:page;mso-position-vertical-relative:paragraph;z-index:-576352" coordorigin="8626,41" coordsize="2310,2">
            <v:shape style="position:absolute;left:8626;top:41;width:2310;height:2" coordorigin="8626,41" coordsize="2310,0" path="m8626,41l10936,41e" filled="false" stroked="true" strokeweight=".48001pt" strokecolor="#000000">
              <v:path arrowok="t"/>
            </v:shape>
            <w10:wrap type="none"/>
          </v:group>
        </w:pict>
      </w:r>
      <w:r>
        <w:rPr/>
        <w:t>所得税费用</w:t>
        <w:tab/>
      </w:r>
      <w:r>
        <w:rPr>
          <w:rFonts w:ascii="Arial" w:hAnsi="Arial" w:cs="Arial" w:eastAsia="Arial" w:hint="default"/>
          <w:spacing w:val="-1"/>
          <w:position w:val="2"/>
        </w:rPr>
        <w:t>718,190</w:t>
        <w:tab/>
        <w:t>349,942</w:t>
      </w:r>
      <w:r>
        <w:rPr>
          <w:rFonts w:ascii="Arial" w:hAnsi="Arial" w:cs="Arial" w:eastAsia="Arial" w:hint="default"/>
        </w:rPr>
      </w:r>
    </w:p>
    <w:p>
      <w:pPr>
        <w:spacing w:line="240" w:lineRule="auto" w:before="3"/>
        <w:rPr>
          <w:rFonts w:ascii="Arial" w:hAnsi="Arial" w:cs="Arial" w:eastAsia="Arial" w:hint="default"/>
          <w:sz w:val="3"/>
          <w:szCs w:val="3"/>
        </w:rPr>
      </w:pPr>
    </w:p>
    <w:p>
      <w:pPr>
        <w:tabs>
          <w:tab w:pos="7690" w:val="left" w:leader="none"/>
        </w:tabs>
        <w:spacing w:line="30" w:lineRule="exact"/>
        <w:ind w:left="4942" w:right="0" w:firstLine="0"/>
        <w:rPr>
          <w:rFonts w:ascii="Arial" w:hAnsi="Arial" w:cs="Arial" w:eastAsia="Arial" w:hint="default"/>
          <w:sz w:val="3"/>
          <w:szCs w:val="3"/>
        </w:rPr>
      </w:pPr>
      <w:r>
        <w:rPr>
          <w:rFonts w:ascii="Arial"/>
          <w:position w:val="0"/>
          <w:sz w:val="3"/>
        </w:rPr>
        <w:pict>
          <v:group style="width:116.55pt;height:1.5pt;mso-position-horizontal-relative:char;mso-position-vertical-relative:line" coordorigin="0,0" coordsize="2331,30">
            <v:group style="position:absolute;left:15;top:15;width:2301;height:2" coordorigin="15,15" coordsize="2301,2">
              <v:shape style="position:absolute;left:15;top:15;width:2301;height:2" coordorigin="15,15" coordsize="2301,0" path="m15,15l2315,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17pt;height:1.5pt;mso-position-horizontal-relative:char;mso-position-vertical-relative:line" coordorigin="0,0" coordsize="2340,30">
            <v:group style="position:absolute;left:15;top:15;width:2310;height:2" coordorigin="15,15" coordsize="2310,2">
              <v:shape style="position:absolute;left:15;top:15;width:2310;height:2" coordorigin="15,15" coordsize="2310,0" path="m15,15l2325,15e" filled="false" stroked="true" strokeweight="1.5pt" strokecolor="#000000">
                <v:path arrowok="t"/>
              </v:shape>
            </v:group>
          </v:group>
        </w:pict>
      </w:r>
      <w:r>
        <w:rPr>
          <w:rFonts w:ascii="Arial"/>
          <w:position w:val="0"/>
          <w:sz w:val="3"/>
        </w:rPr>
      </w:r>
    </w:p>
    <w:p>
      <w:pPr>
        <w:spacing w:line="240" w:lineRule="auto" w:before="9"/>
        <w:rPr>
          <w:rFonts w:ascii="Arial" w:hAnsi="Arial" w:cs="Arial" w:eastAsia="Arial" w:hint="default"/>
          <w:sz w:val="17"/>
          <w:szCs w:val="17"/>
        </w:rPr>
      </w:pPr>
    </w:p>
    <w:p>
      <w:pPr>
        <w:tabs>
          <w:tab w:pos="879" w:val="left" w:leader="none"/>
        </w:tabs>
        <w:spacing w:before="32"/>
        <w:ind w:left="207" w:right="0" w:firstLine="0"/>
        <w:jc w:val="left"/>
        <w:rPr>
          <w:rFonts w:ascii="宋体" w:hAnsi="宋体" w:cs="宋体" w:eastAsia="宋体" w:hint="default"/>
          <w:sz w:val="24"/>
          <w:szCs w:val="24"/>
        </w:rPr>
      </w:pPr>
      <w:r>
        <w:rPr>
          <w:rFonts w:ascii="Arial" w:hAnsi="Arial" w:cs="Arial" w:eastAsia="Arial" w:hint="default"/>
          <w:position w:val="2"/>
          <w:sz w:val="24"/>
          <w:szCs w:val="24"/>
        </w:rPr>
        <w:t>(33)</w:t>
        <w:tab/>
      </w:r>
      <w:r>
        <w:rPr>
          <w:rFonts w:ascii="宋体" w:hAnsi="宋体" w:cs="宋体" w:eastAsia="宋体" w:hint="default"/>
          <w:b/>
          <w:bCs/>
          <w:sz w:val="24"/>
          <w:szCs w:val="24"/>
        </w:rPr>
        <w:t>每股收益</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79" w:val="left" w:leader="none"/>
        </w:tabs>
        <w:spacing w:line="240" w:lineRule="auto"/>
        <w:ind w:left="208" w:right="0"/>
        <w:jc w:val="left"/>
      </w:pPr>
      <w:r>
        <w:rPr>
          <w:rFonts w:ascii="Arial" w:hAnsi="Arial" w:cs="Arial" w:eastAsia="Arial" w:hint="default"/>
          <w:position w:val="2"/>
        </w:rPr>
        <w:t>(a)</w:t>
        <w:tab/>
      </w:r>
      <w:r>
        <w:rPr/>
        <w:t>基本每股收益</w:t>
      </w:r>
    </w:p>
    <w:p>
      <w:pPr>
        <w:spacing w:line="240" w:lineRule="auto" w:before="4"/>
        <w:rPr>
          <w:rFonts w:ascii="宋体" w:hAnsi="宋体" w:cs="宋体" w:eastAsia="宋体" w:hint="default"/>
          <w:sz w:val="23"/>
          <w:szCs w:val="23"/>
        </w:rPr>
      </w:pPr>
    </w:p>
    <w:p>
      <w:pPr>
        <w:pStyle w:val="BodyText"/>
        <w:spacing w:line="312" w:lineRule="exact"/>
        <w:ind w:left="880" w:right="0"/>
        <w:jc w:val="left"/>
      </w:pPr>
      <w:r>
        <w:rPr>
          <w:spacing w:val="3"/>
        </w:rPr>
        <w:t>基本每股收益以归属于母公司普通股股东的合并净利润除以母公司发行在外普通股的</w:t>
      </w:r>
      <w:r>
        <w:rPr>
          <w:spacing w:val="-86"/>
        </w:rPr>
        <w:t> </w:t>
      </w:r>
      <w:r>
        <w:rPr>
          <w:spacing w:val="-86"/>
        </w:rPr>
      </w:r>
      <w:r>
        <w:rPr/>
        <w:t>加权平均数计算：</w:t>
      </w:r>
    </w:p>
    <w:p>
      <w:pPr>
        <w:pStyle w:val="BodyText"/>
        <w:tabs>
          <w:tab w:pos="8840" w:val="left" w:leader="none"/>
        </w:tabs>
        <w:spacing w:line="300" w:lineRule="exact"/>
        <w:ind w:left="6284" w:right="0"/>
        <w:jc w:val="left"/>
      </w:pPr>
      <w:r>
        <w:rPr>
          <w:rFonts w:ascii="Arial" w:hAnsi="Arial" w:cs="Arial" w:eastAsia="Arial" w:hint="default"/>
        </w:rPr>
        <w:t>2007</w:t>
      </w:r>
      <w:r>
        <w:rPr>
          <w:rFonts w:ascii="Arial" w:hAnsi="Arial" w:cs="Arial" w:eastAsia="Arial" w:hint="default"/>
          <w:spacing w:val="-10"/>
        </w:rPr>
        <w:t> </w:t>
      </w:r>
      <w:r>
        <w:rPr/>
        <w:t>年度</w:t>
        <w:tab/>
      </w:r>
      <w:r>
        <w:rPr>
          <w:rFonts w:ascii="Arial" w:hAnsi="Arial" w:cs="Arial" w:eastAsia="Arial" w:hint="default"/>
        </w:rPr>
        <w:t>2006</w:t>
      </w:r>
      <w:r>
        <w:rPr>
          <w:rFonts w:ascii="Arial" w:hAnsi="Arial" w:cs="Arial" w:eastAsia="Arial" w:hint="default"/>
          <w:spacing w:val="-10"/>
        </w:rPr>
        <w:t> </w:t>
      </w:r>
      <w:r>
        <w:rPr/>
        <w:t>年度</w:t>
      </w:r>
    </w:p>
    <w:p>
      <w:pPr>
        <w:spacing w:line="240" w:lineRule="auto" w:before="8"/>
        <w:rPr>
          <w:rFonts w:ascii="宋体" w:hAnsi="宋体" w:cs="宋体" w:eastAsia="宋体" w:hint="default"/>
          <w:sz w:val="19"/>
          <w:szCs w:val="19"/>
        </w:rPr>
      </w:pPr>
    </w:p>
    <w:p>
      <w:pPr>
        <w:pStyle w:val="BodyText"/>
        <w:spacing w:line="312" w:lineRule="exact"/>
        <w:ind w:left="914" w:right="0"/>
        <w:jc w:val="left"/>
      </w:pPr>
      <w:r>
        <w:rPr>
          <w:spacing w:val="19"/>
        </w:rPr>
        <w:t>归属于母公司普通股股东的合并净利润</w:t>
      </w:r>
      <w:r>
        <w:rPr/>
      </w:r>
    </w:p>
    <w:p>
      <w:pPr>
        <w:pStyle w:val="BodyText"/>
        <w:tabs>
          <w:tab w:pos="5998" w:val="left" w:leader="none"/>
          <w:tab w:pos="8751" w:val="left" w:leader="none"/>
        </w:tabs>
        <w:spacing w:line="330" w:lineRule="exact"/>
        <w:ind w:left="935" w:right="0"/>
        <w:jc w:val="center"/>
        <w:rPr>
          <w:rFonts w:ascii="Arial" w:hAnsi="Arial" w:cs="Arial" w:eastAsia="Arial" w:hint="default"/>
        </w:rPr>
      </w:pPr>
      <w:r>
        <w:rPr>
          <w:rFonts w:ascii="Arial" w:hAnsi="Arial" w:cs="Arial" w:eastAsia="Arial" w:hint="default"/>
          <w:position w:val="2"/>
        </w:rPr>
        <w:t>(</w:t>
      </w:r>
      <w:r>
        <w:rPr>
          <w:position w:val="2"/>
        </w:rPr>
        <w:t>人民币千元</w:t>
      </w:r>
      <w:r>
        <w:rPr>
          <w:rFonts w:ascii="Arial" w:hAnsi="Arial" w:cs="Arial" w:eastAsia="Arial" w:hint="default"/>
          <w:position w:val="2"/>
        </w:rPr>
        <w:t>)</w:t>
        <w:tab/>
      </w:r>
      <w:r>
        <w:rPr>
          <w:rFonts w:ascii="Arial" w:hAnsi="Arial" w:cs="Arial" w:eastAsia="Arial" w:hint="default"/>
          <w:spacing w:val="-1"/>
        </w:rPr>
        <w:t>1,465,426</w:t>
        <w:tab/>
        <w:t>757,636</w:t>
      </w:r>
      <w:r>
        <w:rPr>
          <w:rFonts w:ascii="Arial" w:hAnsi="Arial" w:cs="Arial" w:eastAsia="Arial" w:hint="default"/>
        </w:rPr>
      </w:r>
    </w:p>
    <w:p>
      <w:pPr>
        <w:pStyle w:val="BodyText"/>
        <w:tabs>
          <w:tab w:pos="5408" w:val="left" w:leader="none"/>
          <w:tab w:pos="6261" w:val="left" w:leader="none"/>
          <w:tab w:pos="8027" w:val="left" w:leader="none"/>
          <w:tab w:pos="8813" w:val="left" w:leader="none"/>
          <w:tab w:pos="10015" w:val="left" w:leader="none"/>
        </w:tabs>
        <w:spacing w:line="318" w:lineRule="exact"/>
        <w:ind w:left="914" w:right="0"/>
        <w:jc w:val="left"/>
        <w:rPr>
          <w:rFonts w:ascii="Arial" w:hAnsi="Arial" w:cs="Arial" w:eastAsia="Arial" w:hint="default"/>
        </w:rPr>
      </w:pPr>
      <w:r>
        <w:rPr>
          <w:position w:val="2"/>
        </w:rPr>
        <w:t>发行在外普通股的加权平均数</w:t>
      </w:r>
      <w:r>
        <w:rPr>
          <w:rFonts w:ascii="Arial" w:hAnsi="Arial" w:cs="Arial" w:eastAsia="Arial" w:hint="default"/>
          <w:position w:val="2"/>
        </w:rPr>
        <w:t>(</w:t>
      </w:r>
      <w:r>
        <w:rPr>
          <w:position w:val="2"/>
        </w:rPr>
        <w:t>千股</w:t>
      </w:r>
      <w:r>
        <w:rPr>
          <w:rFonts w:ascii="Arial" w:hAnsi="Arial" w:cs="Arial" w:eastAsia="Arial" w:hint="default"/>
          <w:position w:val="2"/>
        </w:rPr>
        <w:t>)</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1,441,504</w:t>
      </w:r>
      <w:r>
        <w:rPr>
          <w:rFonts w:ascii="Arial" w:hAnsi="Arial" w:cs="Arial" w:eastAsia="Arial" w:hint="default"/>
          <w:spacing w:val="-1"/>
        </w:rPr>
        <w:tab/>
      </w:r>
      <w:r>
        <w:rPr>
          <w:rFonts w:ascii="Arial" w:hAnsi="Arial" w:cs="Arial" w:eastAsia="Arial" w:hint="default"/>
          <w:spacing w:val="-1"/>
          <w:u w:val="single" w:color="000000"/>
        </w:rPr>
        <w:t> </w:t>
        <w:tab/>
        <w:t>1,391,504</w:t>
        <w:tab/>
      </w:r>
      <w:r>
        <w:rPr>
          <w:rFonts w:ascii="Arial" w:hAnsi="Arial" w:cs="Arial" w:eastAsia="Arial" w:hint="default"/>
          <w:spacing w:val="-1"/>
        </w:rPr>
      </w:r>
    </w:p>
    <w:p>
      <w:pPr>
        <w:pStyle w:val="BodyText"/>
        <w:tabs>
          <w:tab w:pos="5811" w:val="left" w:leader="none"/>
          <w:tab w:pos="8367" w:val="left" w:leader="none"/>
        </w:tabs>
        <w:spacing w:line="317" w:lineRule="exact"/>
        <w:ind w:left="879" w:right="0"/>
        <w:jc w:val="left"/>
      </w:pPr>
      <w:r>
        <w:rPr/>
        <w:t>基本每股收益</w:t>
        <w:tab/>
        <w:t>人民币</w:t>
      </w:r>
      <w:r>
        <w:rPr>
          <w:spacing w:val="-62"/>
        </w:rPr>
        <w:t> </w:t>
      </w:r>
      <w:r>
        <w:rPr>
          <w:rFonts w:ascii="Arial" w:hAnsi="Arial" w:cs="Arial" w:eastAsia="Arial" w:hint="default"/>
        </w:rPr>
        <w:t>1.02</w:t>
      </w:r>
      <w:r>
        <w:rPr>
          <w:rFonts w:ascii="Arial" w:hAnsi="Arial" w:cs="Arial" w:eastAsia="Arial" w:hint="default"/>
          <w:spacing w:val="-9"/>
        </w:rPr>
        <w:t> </w:t>
      </w:r>
      <w:r>
        <w:rPr/>
        <w:t>元</w:t>
        <w:tab/>
        <w:t>人民币</w:t>
      </w:r>
      <w:r>
        <w:rPr>
          <w:spacing w:val="-62"/>
        </w:rPr>
        <w:t> </w:t>
      </w:r>
      <w:r>
        <w:rPr>
          <w:rFonts w:ascii="Arial" w:hAnsi="Arial" w:cs="Arial" w:eastAsia="Arial" w:hint="default"/>
        </w:rPr>
        <w:t>0.54</w:t>
      </w:r>
      <w:r>
        <w:rPr>
          <w:rFonts w:ascii="Arial" w:hAnsi="Arial" w:cs="Arial" w:eastAsia="Arial" w:hint="default"/>
          <w:spacing w:val="-9"/>
        </w:rPr>
        <w:t> </w:t>
      </w:r>
      <w:r>
        <w:rPr/>
        <w:t>元</w:t>
      </w:r>
    </w:p>
    <w:p>
      <w:pPr>
        <w:tabs>
          <w:tab w:pos="8012" w:val="left" w:leader="none"/>
        </w:tabs>
        <w:spacing w:line="30" w:lineRule="exact"/>
        <w:ind w:left="5393" w:right="0" w:firstLine="0"/>
        <w:rPr>
          <w:rFonts w:ascii="宋体" w:hAnsi="宋体" w:cs="宋体" w:eastAsia="宋体" w:hint="default"/>
          <w:sz w:val="3"/>
          <w:szCs w:val="3"/>
        </w:rPr>
      </w:pPr>
      <w:r>
        <w:rPr>
          <w:rFonts w:ascii="宋体"/>
          <w:position w:val="0"/>
          <w:sz w:val="3"/>
        </w:rPr>
        <w:pict>
          <v:group style="width:104.05pt;height:1.5pt;mso-position-horizontal-relative:char;mso-position-vertical-relative:line" coordorigin="0,0" coordsize="2081,30">
            <v:group style="position:absolute;left:15;top:15;width:2051;height:2" coordorigin="15,15" coordsize="2051,2">
              <v:shape style="position:absolute;left:15;top:15;width:2051;height:2" coordorigin="15,15" coordsize="2051,0" path="m15,15l2066,15e" filled="false" stroked="true" strokeweight="1.5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100.95pt;height:1.5pt;mso-position-horizontal-relative:char;mso-position-vertical-relative:line" coordorigin="0,0" coordsize="2019,30">
            <v:group style="position:absolute;left:15;top:15;width:1989;height:2" coordorigin="15,15" coordsize="1989,2">
              <v:shape style="position:absolute;left:15;top:15;width:1989;height:2" coordorigin="15,15" coordsize="1989,0" path="m15,15l2003,15e" filled="false" stroked="true" strokeweight="1.5pt" strokecolor="#000000">
                <v:path arrowok="t"/>
              </v:shape>
            </v:group>
          </v:group>
        </w:pict>
      </w:r>
      <w:r>
        <w:rPr>
          <w:rFonts w:ascii="宋体"/>
          <w:position w:val="0"/>
          <w:sz w:val="3"/>
        </w:rPr>
      </w:r>
    </w:p>
    <w:p>
      <w:pPr>
        <w:spacing w:line="240" w:lineRule="auto" w:before="3"/>
        <w:rPr>
          <w:rFonts w:ascii="宋体" w:hAnsi="宋体" w:cs="宋体" w:eastAsia="宋体" w:hint="default"/>
          <w:sz w:val="17"/>
          <w:szCs w:val="17"/>
        </w:rPr>
      </w:pPr>
    </w:p>
    <w:p>
      <w:pPr>
        <w:pStyle w:val="BodyText"/>
        <w:tabs>
          <w:tab w:pos="879" w:val="left" w:leader="none"/>
        </w:tabs>
        <w:spacing w:line="240" w:lineRule="auto" w:before="32"/>
        <w:ind w:left="207" w:right="0"/>
        <w:jc w:val="left"/>
      </w:pPr>
      <w:r>
        <w:rPr>
          <w:rFonts w:ascii="Arial" w:hAnsi="Arial" w:cs="Arial" w:eastAsia="Arial" w:hint="default"/>
          <w:position w:val="2"/>
        </w:rPr>
        <w:t>(b)</w:t>
        <w:tab/>
      </w:r>
      <w:r>
        <w:rPr/>
        <w:t>稀释每股收益</w:t>
      </w:r>
    </w:p>
    <w:p>
      <w:pPr>
        <w:spacing w:line="240" w:lineRule="auto" w:before="4"/>
        <w:rPr>
          <w:rFonts w:ascii="宋体" w:hAnsi="宋体" w:cs="宋体" w:eastAsia="宋体" w:hint="default"/>
          <w:sz w:val="23"/>
          <w:szCs w:val="23"/>
        </w:rPr>
      </w:pPr>
    </w:p>
    <w:p>
      <w:pPr>
        <w:pStyle w:val="BodyText"/>
        <w:spacing w:line="312" w:lineRule="exact"/>
        <w:ind w:left="880" w:right="221"/>
        <w:jc w:val="both"/>
      </w:pPr>
      <w:r>
        <w:rPr>
          <w:spacing w:val="3"/>
        </w:rPr>
        <w:t>稀释每股收益以根据稀释性潜在普通股调整后的归属于母公司普通股股东的合并净利</w:t>
      </w:r>
      <w:r>
        <w:rPr>
          <w:spacing w:val="-86"/>
        </w:rPr>
        <w:t> </w:t>
      </w:r>
      <w:r>
        <w:rPr>
          <w:spacing w:val="-86"/>
        </w:rPr>
      </w:r>
      <w:r>
        <w:rPr>
          <w:spacing w:val="-3"/>
        </w:rPr>
        <w:t>润除以调整后的母公司发行在外普通股的加权平均数计算。本公司无具有稀释性的潜在</w:t>
      </w:r>
      <w:r>
        <w:rPr>
          <w:spacing w:val="-92"/>
        </w:rPr>
        <w:t> </w:t>
      </w:r>
      <w:r>
        <w:rPr>
          <w:spacing w:val="-92"/>
        </w:rPr>
      </w:r>
      <w:r>
        <w:rPr/>
        <w:t>普通股，所以稀释每股收益等同于基本每股收益。</w:t>
      </w:r>
    </w:p>
    <w:p>
      <w:pPr>
        <w:spacing w:after="0" w:line="312" w:lineRule="exact"/>
        <w:jc w:val="both"/>
        <w:sectPr>
          <w:pgSz w:w="11910" w:h="16840"/>
          <w:pgMar w:header="748" w:footer="708" w:top="980" w:bottom="900" w:left="92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599"/>
        <w:gridCol w:w="4871"/>
        <w:gridCol w:w="1964"/>
        <w:gridCol w:w="424"/>
        <w:gridCol w:w="2163"/>
      </w:tblGrid>
      <w:tr>
        <w:trPr>
          <w:trHeight w:val="1099"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(34)</w:t>
            </w:r>
          </w:p>
        </w:tc>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宋体" w:hAnsi="宋体" w:cs="宋体" w:eastAsia="宋体" w:hint="default"/>
                <w:sz w:val="24"/>
                <w:szCs w:val="24"/>
              </w:rPr>
            </w:pPr>
            <w:r>
              <w:rPr>
                <w:rFonts w:ascii="宋体" w:hAnsi="宋体" w:cs="宋体" w:eastAsia="宋体" w:hint="default"/>
                <w:b/>
                <w:bCs/>
                <w:sz w:val="24"/>
                <w:szCs w:val="24"/>
              </w:rPr>
              <w:t>现金流量表附注</w:t>
            </w:r>
            <w:r>
              <w:rPr>
                <w:rFonts w:ascii="宋体" w:hAnsi="宋体" w:cs="宋体" w:eastAsia="宋体" w:hint="default"/>
                <w:sz w:val="24"/>
                <w:szCs w:val="24"/>
              </w:rPr>
            </w:r>
          </w:p>
        </w:tc>
        <w:tc>
          <w:tcPr>
            <w:tcW w:w="4551" w:type="dxa"/>
            <w:gridSpan w:val="3"/>
            <w:vMerge w:val="restart"/>
            <w:tcBorders>
              <w:top w:val="nil" w:sz="6" w:space="0" w:color="auto"/>
              <w:left w:val="nil" w:sz="6" w:space="0" w:color="auto"/>
              <w:right w:val="nil" w:sz="6" w:space="0" w:color="auto"/>
            </w:tcBorders>
          </w:tcPr>
          <w:p>
            <w:pPr/>
          </w:p>
        </w:tc>
      </w:tr>
      <w:tr>
        <w:trPr>
          <w:trHeight w:val="453"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4"/>
                <w:szCs w:val="24"/>
              </w:rPr>
            </w:pPr>
            <w:r>
              <w:rPr>
                <w:rFonts w:ascii="宋体" w:hAnsi="宋体" w:cs="宋体" w:eastAsia="宋体" w:hint="default"/>
                <w:sz w:val="24"/>
                <w:szCs w:val="24"/>
              </w:rPr>
              <w:t>将净利润调节为经营活动现金流量</w:t>
            </w:r>
          </w:p>
        </w:tc>
        <w:tc>
          <w:tcPr>
            <w:tcW w:w="4551" w:type="dxa"/>
            <w:gridSpan w:val="3"/>
            <w:vMerge/>
            <w:tcBorders>
              <w:left w:val="nil" w:sz="6" w:space="0" w:color="auto"/>
              <w:bottom w:val="nil" w:sz="6" w:space="0" w:color="auto"/>
              <w:right w:val="nil" w:sz="6" w:space="0" w:color="auto"/>
            </w:tcBorders>
          </w:tcPr>
          <w:p>
            <w:pPr/>
          </w:p>
        </w:tc>
      </w:tr>
      <w:tr>
        <w:trPr>
          <w:trHeight w:val="318"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93" w:lineRule="exact"/>
              <w:ind w:left="789"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93" w:lineRule="exact"/>
              <w:ind w:left="1376"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50"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87" w:lineRule="exact"/>
              <w:ind w:left="430"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87" w:lineRule="exact"/>
              <w:ind w:left="1089"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723" w:right="0"/>
              <w:jc w:val="left"/>
              <w:rPr>
                <w:rFonts w:ascii="Arial" w:hAnsi="Arial" w:cs="Arial" w:eastAsia="Arial" w:hint="default"/>
                <w:sz w:val="24"/>
                <w:szCs w:val="24"/>
              </w:rPr>
            </w:pPr>
            <w:r>
              <w:rPr>
                <w:rFonts w:ascii="Arial"/>
                <w:sz w:val="24"/>
              </w:rPr>
              <w:t>1,523,168</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7"/>
              <w:ind w:left="1511" w:right="0"/>
              <w:jc w:val="left"/>
              <w:rPr>
                <w:rFonts w:ascii="Arial" w:hAnsi="Arial" w:cs="Arial" w:eastAsia="Arial" w:hint="default"/>
                <w:sz w:val="24"/>
                <w:szCs w:val="24"/>
              </w:rPr>
            </w:pPr>
            <w:r>
              <w:rPr>
                <w:rFonts w:ascii="Arial"/>
                <w:sz w:val="24"/>
              </w:rPr>
              <w:t>797,536</w:t>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8" w:right="0"/>
              <w:jc w:val="left"/>
              <w:rPr>
                <w:rFonts w:ascii="Arial" w:hAnsi="Arial" w:cs="Arial" w:eastAsia="Arial" w:hint="default"/>
                <w:sz w:val="24"/>
                <w:szCs w:val="24"/>
              </w:rPr>
            </w:pPr>
            <w:r>
              <w:rPr>
                <w:rFonts w:ascii="Arial"/>
                <w:sz w:val="24"/>
              </w:rPr>
              <w:t>10,159</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right="206"/>
              <w:jc w:val="right"/>
              <w:rPr>
                <w:rFonts w:ascii="Arial" w:hAnsi="Arial" w:cs="Arial" w:eastAsia="Arial" w:hint="default"/>
                <w:sz w:val="24"/>
                <w:szCs w:val="24"/>
              </w:rPr>
            </w:pPr>
            <w:r>
              <w:rPr>
                <w:rFonts w:ascii="Arial"/>
                <w:spacing w:val="-1"/>
                <w:w w:val="95"/>
                <w:sz w:val="24"/>
              </w:rPr>
              <w:t>2,069</w:t>
            </w:r>
            <w:r>
              <w:rPr>
                <w:rFonts w:ascii="Arial"/>
                <w:w w:val="95"/>
                <w:sz w:val="24"/>
              </w:rPr>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固定资产折旧</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8" w:right="0"/>
              <w:jc w:val="left"/>
              <w:rPr>
                <w:rFonts w:ascii="Arial" w:hAnsi="Arial" w:cs="Arial" w:eastAsia="Arial" w:hint="default"/>
                <w:sz w:val="24"/>
                <w:szCs w:val="24"/>
              </w:rPr>
            </w:pPr>
            <w:r>
              <w:rPr>
                <w:rFonts w:ascii="Arial"/>
                <w:sz w:val="24"/>
              </w:rPr>
              <w:t>79,073</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645" w:right="0"/>
              <w:jc w:val="left"/>
              <w:rPr>
                <w:rFonts w:ascii="Arial" w:hAnsi="Arial" w:cs="Arial" w:eastAsia="Arial" w:hint="default"/>
                <w:sz w:val="24"/>
                <w:szCs w:val="24"/>
              </w:rPr>
            </w:pPr>
            <w:r>
              <w:rPr>
                <w:rFonts w:ascii="Arial"/>
                <w:sz w:val="24"/>
              </w:rPr>
              <w:t>52,460</w:t>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91" w:right="0"/>
              <w:jc w:val="left"/>
              <w:rPr>
                <w:rFonts w:ascii="Arial" w:hAnsi="Arial" w:cs="Arial" w:eastAsia="Arial" w:hint="default"/>
                <w:sz w:val="24"/>
                <w:szCs w:val="24"/>
              </w:rPr>
            </w:pPr>
            <w:r>
              <w:rPr>
                <w:rFonts w:ascii="Arial"/>
                <w:sz w:val="24"/>
              </w:rPr>
              <w:t>7,460</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right="206"/>
              <w:jc w:val="right"/>
              <w:rPr>
                <w:rFonts w:ascii="Arial" w:hAnsi="Arial" w:cs="Arial" w:eastAsia="Arial" w:hint="default"/>
                <w:sz w:val="24"/>
                <w:szCs w:val="24"/>
              </w:rPr>
            </w:pPr>
            <w:r>
              <w:rPr>
                <w:rFonts w:ascii="Arial"/>
                <w:spacing w:val="-1"/>
                <w:w w:val="95"/>
                <w:sz w:val="24"/>
              </w:rPr>
              <w:t>4,703</w:t>
            </w:r>
            <w:r>
              <w:rPr>
                <w:rFonts w:ascii="Arial"/>
                <w:w w:val="95"/>
                <w:sz w:val="24"/>
              </w:rPr>
            </w:r>
          </w:p>
        </w:tc>
      </w:tr>
      <w:tr>
        <w:trPr>
          <w:trHeight w:val="609"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0" w:lineRule="exact"/>
              <w:ind w:left="596"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p>
            <w:pPr>
              <w:pStyle w:val="TableParagraph"/>
              <w:spacing w:line="313" w:lineRule="exact"/>
              <w:ind w:left="596" w:right="0"/>
              <w:jc w:val="left"/>
              <w:rPr>
                <w:rFonts w:ascii="宋体" w:hAnsi="宋体" w:cs="宋体" w:eastAsia="宋体" w:hint="default"/>
                <w:sz w:val="24"/>
                <w:szCs w:val="24"/>
              </w:rPr>
            </w:pPr>
            <w:r>
              <w:rPr>
                <w:rFonts w:ascii="宋体" w:hAnsi="宋体" w:cs="宋体" w:eastAsia="宋体" w:hint="default"/>
                <w:spacing w:val="6"/>
                <w:sz w:val="24"/>
                <w:szCs w:val="24"/>
              </w:rPr>
              <w:t>处置固定资产、无形资产和其他长期资</w:t>
            </w:r>
            <w:r>
              <w:rPr>
                <w:rFonts w:ascii="宋体" w:hAnsi="宋体" w:cs="宋体" w:eastAsia="宋体" w:hint="default"/>
                <w:sz w:val="24"/>
                <w:szCs w:val="24"/>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25" w:right="0"/>
              <w:jc w:val="left"/>
              <w:rPr>
                <w:rFonts w:ascii="Arial" w:hAnsi="Arial" w:cs="Arial" w:eastAsia="Arial" w:hint="default"/>
                <w:sz w:val="24"/>
                <w:szCs w:val="24"/>
              </w:rPr>
            </w:pPr>
            <w:r>
              <w:rPr>
                <w:rFonts w:ascii="Arial"/>
                <w:sz w:val="24"/>
              </w:rPr>
              <w:t>131,484</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511" w:right="0"/>
              <w:jc w:val="left"/>
              <w:rPr>
                <w:rFonts w:ascii="Arial" w:hAnsi="Arial" w:cs="Arial" w:eastAsia="Arial" w:hint="default"/>
                <w:sz w:val="24"/>
                <w:szCs w:val="24"/>
              </w:rPr>
            </w:pPr>
            <w:r>
              <w:rPr>
                <w:rFonts w:ascii="Arial"/>
                <w:sz w:val="24"/>
              </w:rPr>
              <w:t>151,346</w:t>
            </w:r>
          </w:p>
        </w:tc>
      </w:tr>
      <w:tr>
        <w:trPr>
          <w:trHeight w:val="327"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76" w:lineRule="exact"/>
              <w:ind w:left="871" w:right="0"/>
              <w:jc w:val="left"/>
              <w:rPr>
                <w:rFonts w:ascii="宋体" w:hAnsi="宋体" w:cs="宋体" w:eastAsia="宋体" w:hint="default"/>
                <w:sz w:val="24"/>
                <w:szCs w:val="24"/>
              </w:rPr>
            </w:pPr>
            <w:r>
              <w:rPr>
                <w:rFonts w:ascii="宋体" w:hAnsi="宋体" w:cs="宋体" w:eastAsia="宋体" w:hint="default"/>
                <w:sz w:val="24"/>
                <w:szCs w:val="24"/>
              </w:rPr>
              <w:t>产的收益</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03" w:right="0"/>
              <w:jc w:val="left"/>
              <w:rPr>
                <w:rFonts w:ascii="Arial" w:hAnsi="Arial" w:cs="Arial" w:eastAsia="Arial" w:hint="default"/>
                <w:sz w:val="24"/>
                <w:szCs w:val="24"/>
              </w:rPr>
            </w:pPr>
            <w:r>
              <w:rPr>
                <w:rFonts w:ascii="Arial"/>
                <w:sz w:val="24"/>
              </w:rPr>
              <w:t>(109)</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right="134"/>
              <w:jc w:val="right"/>
              <w:rPr>
                <w:rFonts w:ascii="Arial" w:hAnsi="Arial" w:cs="Arial" w:eastAsia="Arial" w:hint="default"/>
                <w:sz w:val="24"/>
                <w:szCs w:val="24"/>
              </w:rPr>
            </w:pPr>
            <w:r>
              <w:rPr>
                <w:rFonts w:ascii="Arial"/>
                <w:spacing w:val="-1"/>
                <w:w w:val="95"/>
                <w:sz w:val="24"/>
              </w:rPr>
              <w:t>(108)</w:t>
            </w:r>
            <w:r>
              <w:rPr>
                <w:rFonts w:ascii="Arial"/>
                <w:w w:val="95"/>
                <w:sz w:val="24"/>
              </w:rPr>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固定资产报废损失</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1"/>
              <w:jc w:val="right"/>
              <w:rPr>
                <w:rFonts w:ascii="Arial" w:hAnsi="Arial" w:cs="Arial" w:eastAsia="Arial" w:hint="default"/>
                <w:sz w:val="24"/>
                <w:szCs w:val="24"/>
              </w:rPr>
            </w:pPr>
            <w:r>
              <w:rPr>
                <w:rFonts w:ascii="Arial"/>
                <w:sz w:val="24"/>
              </w:rPr>
              <w:t>-</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right="205"/>
              <w:jc w:val="right"/>
              <w:rPr>
                <w:rFonts w:ascii="Arial" w:hAnsi="Arial" w:cs="Arial" w:eastAsia="Arial" w:hint="default"/>
                <w:sz w:val="24"/>
                <w:szCs w:val="24"/>
              </w:rPr>
            </w:pPr>
            <w:r>
              <w:rPr>
                <w:rFonts w:ascii="Arial"/>
                <w:spacing w:val="-1"/>
                <w:w w:val="95"/>
                <w:sz w:val="24"/>
              </w:rPr>
              <w:t>63</w:t>
            </w:r>
            <w:r>
              <w:rPr>
                <w:rFonts w:ascii="Arial"/>
                <w:w w:val="95"/>
                <w:sz w:val="24"/>
              </w:rPr>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投资损失</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1"/>
              <w:jc w:val="right"/>
              <w:rPr>
                <w:rFonts w:ascii="Arial" w:hAnsi="Arial" w:cs="Arial" w:eastAsia="Arial" w:hint="default"/>
                <w:sz w:val="24"/>
                <w:szCs w:val="24"/>
              </w:rPr>
            </w:pPr>
            <w:r>
              <w:rPr>
                <w:rFonts w:ascii="Arial"/>
                <w:sz w:val="24"/>
              </w:rPr>
              <w:t>-</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right="205"/>
              <w:jc w:val="right"/>
              <w:rPr>
                <w:rFonts w:ascii="Arial" w:hAnsi="Arial" w:cs="Arial" w:eastAsia="Arial" w:hint="default"/>
                <w:sz w:val="24"/>
                <w:szCs w:val="24"/>
              </w:rPr>
            </w:pPr>
            <w:r>
              <w:rPr>
                <w:rFonts w:ascii="Arial"/>
                <w:sz w:val="24"/>
              </w:rPr>
              <w:t>2</w:t>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8" w:right="0"/>
              <w:jc w:val="left"/>
              <w:rPr>
                <w:rFonts w:ascii="Arial" w:hAnsi="Arial" w:cs="Arial" w:eastAsia="Arial" w:hint="default"/>
                <w:sz w:val="24"/>
                <w:szCs w:val="24"/>
              </w:rPr>
            </w:pPr>
            <w:r>
              <w:rPr>
                <w:rFonts w:ascii="Arial"/>
                <w:sz w:val="24"/>
              </w:rPr>
              <w:t>15,324</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574" w:right="0"/>
              <w:jc w:val="left"/>
              <w:rPr>
                <w:rFonts w:ascii="Arial" w:hAnsi="Arial" w:cs="Arial" w:eastAsia="Arial" w:hint="default"/>
                <w:sz w:val="24"/>
                <w:szCs w:val="24"/>
              </w:rPr>
            </w:pPr>
            <w:r>
              <w:rPr>
                <w:rFonts w:ascii="Arial"/>
                <w:spacing w:val="-4"/>
                <w:sz w:val="24"/>
              </w:rPr>
              <w:t>(11,547)</w:t>
            </w:r>
            <w:r>
              <w:rPr>
                <w:rFonts w:ascii="Arial"/>
                <w:sz w:val="24"/>
              </w:rPr>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78" w:lineRule="exact"/>
              <w:ind w:left="596" w:right="0"/>
              <w:jc w:val="left"/>
              <w:rPr>
                <w:rFonts w:ascii="Arial" w:hAnsi="Arial" w:cs="Arial" w:eastAsia="Arial" w:hint="default"/>
                <w:sz w:val="24"/>
                <w:szCs w:val="24"/>
              </w:rPr>
            </w:pPr>
            <w:r>
              <w:rPr>
                <w:rFonts w:ascii="宋体" w:hAnsi="宋体" w:cs="宋体" w:eastAsia="宋体" w:hint="default"/>
                <w:sz w:val="24"/>
                <w:szCs w:val="24"/>
              </w:rPr>
              <w:t>业务合并收益</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69" w:right="0"/>
              <w:jc w:val="left"/>
              <w:rPr>
                <w:rFonts w:ascii="Arial" w:hAnsi="Arial" w:cs="Arial" w:eastAsia="Arial" w:hint="default"/>
                <w:sz w:val="24"/>
                <w:szCs w:val="24"/>
              </w:rPr>
            </w:pPr>
            <w:r>
              <w:rPr>
                <w:rFonts w:ascii="Arial"/>
                <w:sz w:val="24"/>
              </w:rPr>
              <w:t>(15,850)</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right="206"/>
              <w:jc w:val="right"/>
              <w:rPr>
                <w:rFonts w:ascii="Arial" w:hAnsi="Arial" w:cs="Arial" w:eastAsia="Arial" w:hint="default"/>
                <w:sz w:val="24"/>
                <w:szCs w:val="24"/>
              </w:rPr>
            </w:pPr>
            <w:r>
              <w:rPr>
                <w:rFonts w:ascii="Arial"/>
                <w:sz w:val="24"/>
              </w:rPr>
              <w:t>-</w:t>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递延所得税资产减少</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2" w:right="0"/>
              <w:jc w:val="left"/>
              <w:rPr>
                <w:rFonts w:ascii="Arial" w:hAnsi="Arial" w:cs="Arial" w:eastAsia="Arial" w:hint="default"/>
                <w:sz w:val="24"/>
                <w:szCs w:val="24"/>
              </w:rPr>
            </w:pPr>
            <w:r>
              <w:rPr>
                <w:rFonts w:ascii="Arial"/>
                <w:sz w:val="24"/>
              </w:rPr>
              <w:t>(5,066)</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556" w:right="0"/>
              <w:jc w:val="left"/>
              <w:rPr>
                <w:rFonts w:ascii="Arial" w:hAnsi="Arial" w:cs="Arial" w:eastAsia="Arial" w:hint="default"/>
                <w:sz w:val="24"/>
                <w:szCs w:val="24"/>
              </w:rPr>
            </w:pPr>
            <w:r>
              <w:rPr>
                <w:rFonts w:ascii="Arial"/>
                <w:sz w:val="24"/>
              </w:rPr>
              <w:t>(23,504)</w:t>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递延所得税负债增加</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91" w:right="0"/>
              <w:jc w:val="left"/>
              <w:rPr>
                <w:rFonts w:ascii="Arial" w:hAnsi="Arial" w:cs="Arial" w:eastAsia="Arial" w:hint="default"/>
                <w:sz w:val="24"/>
                <w:szCs w:val="24"/>
              </w:rPr>
            </w:pPr>
            <w:r>
              <w:rPr>
                <w:rFonts w:ascii="Arial"/>
                <w:sz w:val="24"/>
              </w:rPr>
              <w:t>2,330</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right="206"/>
              <w:jc w:val="right"/>
              <w:rPr>
                <w:rFonts w:ascii="Arial" w:hAnsi="Arial" w:cs="Arial" w:eastAsia="Arial" w:hint="default"/>
                <w:sz w:val="24"/>
                <w:szCs w:val="24"/>
              </w:rPr>
            </w:pPr>
            <w:r>
              <w:rPr>
                <w:rFonts w:ascii="Arial"/>
                <w:sz w:val="24"/>
              </w:rPr>
              <w:t>-</w:t>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存货的减少</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36" w:right="0"/>
              <w:jc w:val="left"/>
              <w:rPr>
                <w:rFonts w:ascii="Arial" w:hAnsi="Arial" w:cs="Arial" w:eastAsia="Arial" w:hint="default"/>
                <w:sz w:val="24"/>
                <w:szCs w:val="24"/>
              </w:rPr>
            </w:pPr>
            <w:r>
              <w:rPr>
                <w:rFonts w:ascii="Arial"/>
                <w:sz w:val="24"/>
              </w:rPr>
              <w:t>(1,167,093)</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222" w:right="0"/>
              <w:jc w:val="left"/>
              <w:rPr>
                <w:rFonts w:ascii="Arial" w:hAnsi="Arial" w:cs="Arial" w:eastAsia="Arial" w:hint="default"/>
                <w:sz w:val="24"/>
                <w:szCs w:val="24"/>
              </w:rPr>
            </w:pPr>
            <w:r>
              <w:rPr>
                <w:rFonts w:ascii="Arial"/>
                <w:sz w:val="24"/>
              </w:rPr>
              <w:t>(1,394,989)</w:t>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经营性应收项目的减少</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36" w:right="0"/>
              <w:jc w:val="left"/>
              <w:rPr>
                <w:rFonts w:ascii="Arial" w:hAnsi="Arial" w:cs="Arial" w:eastAsia="Arial" w:hint="default"/>
                <w:sz w:val="24"/>
                <w:szCs w:val="24"/>
              </w:rPr>
            </w:pPr>
            <w:r>
              <w:rPr>
                <w:rFonts w:ascii="Arial"/>
                <w:sz w:val="24"/>
              </w:rPr>
              <w:t>(161,940)</w:t>
            </w:r>
          </w:p>
        </w:tc>
        <w:tc>
          <w:tcPr>
            <w:tcW w:w="25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423" w:right="0"/>
              <w:jc w:val="left"/>
              <w:rPr>
                <w:rFonts w:ascii="Arial" w:hAnsi="Arial" w:cs="Arial" w:eastAsia="Arial" w:hint="default"/>
                <w:sz w:val="24"/>
                <w:szCs w:val="24"/>
              </w:rPr>
            </w:pPr>
            <w:r>
              <w:rPr>
                <w:rFonts w:ascii="Arial"/>
                <w:sz w:val="24"/>
              </w:rPr>
              <w:t>(123,143)</w:t>
            </w:r>
          </w:p>
        </w:tc>
      </w:tr>
      <w:tr>
        <w:trPr>
          <w:trHeight w:val="291"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596" w:right="0"/>
              <w:jc w:val="left"/>
              <w:rPr>
                <w:rFonts w:ascii="宋体" w:hAnsi="宋体" w:cs="宋体" w:eastAsia="宋体" w:hint="default"/>
                <w:sz w:val="24"/>
                <w:szCs w:val="24"/>
              </w:rPr>
            </w:pPr>
            <w:r>
              <w:rPr>
                <w:rFonts w:ascii="宋体" w:hAnsi="宋体" w:cs="宋体" w:eastAsia="宋体" w:hint="default"/>
                <w:sz w:val="24"/>
                <w:szCs w:val="24"/>
              </w:rPr>
              <w:t>经营性应付项目的增加</w:t>
            </w:r>
          </w:p>
        </w:tc>
        <w:tc>
          <w:tcPr>
            <w:tcW w:w="1964" w:type="dxa"/>
            <w:tcBorders>
              <w:top w:val="nil" w:sz="6" w:space="0" w:color="auto"/>
              <w:left w:val="nil" w:sz="6" w:space="0" w:color="auto"/>
              <w:bottom w:val="nil" w:sz="6" w:space="0" w:color="auto"/>
              <w:right w:val="nil" w:sz="6" w:space="0" w:color="auto"/>
            </w:tcBorders>
          </w:tcPr>
          <w:p>
            <w:pPr>
              <w:pStyle w:val="TableParagraph"/>
              <w:tabs>
                <w:tab w:pos="723" w:val="left" w:leader="none"/>
                <w:tab w:pos="1964" w:val="left" w:leader="none"/>
              </w:tabs>
              <w:spacing w:line="240" w:lineRule="auto" w:before="20"/>
              <w:ind w:right="0"/>
              <w:jc w:val="left"/>
              <w:rPr>
                <w:rFonts w:ascii="Arial" w:hAnsi="Arial" w:cs="Arial" w:eastAsia="Arial" w:hint="default"/>
                <w:sz w:val="24"/>
                <w:szCs w:val="24"/>
              </w:rPr>
            </w:pPr>
            <w:r>
              <w:rPr>
                <w:rFonts w:ascii="Arial"/>
                <w:sz w:val="24"/>
              </w:rPr>
            </w:r>
            <w:r>
              <w:rPr>
                <w:rFonts w:ascii="Arial"/>
                <w:sz w:val="24"/>
                <w:u w:val="single" w:color="000000"/>
              </w:rPr>
              <w:t> </w:t>
              <w:tab/>
              <w:t>3,077,536</w:t>
              <w:tab/>
            </w:r>
            <w:r>
              <w:rPr>
                <w:rFonts w:ascii="Arial"/>
                <w:sz w:val="24"/>
              </w:rPr>
            </w:r>
          </w:p>
        </w:tc>
        <w:tc>
          <w:tcPr>
            <w:tcW w:w="2586" w:type="dxa"/>
            <w:gridSpan w:val="2"/>
            <w:tcBorders>
              <w:top w:val="nil" w:sz="6" w:space="0" w:color="auto"/>
              <w:left w:val="nil" w:sz="6" w:space="0" w:color="auto"/>
              <w:bottom w:val="nil" w:sz="6" w:space="0" w:color="auto"/>
              <w:right w:val="nil" w:sz="6" w:space="0" w:color="auto"/>
            </w:tcBorders>
          </w:tcPr>
          <w:p>
            <w:pPr>
              <w:pStyle w:val="TableParagraph"/>
              <w:tabs>
                <w:tab w:pos="1511" w:val="left" w:leader="none"/>
                <w:tab w:pos="2550" w:val="left" w:leader="none"/>
              </w:tabs>
              <w:spacing w:line="240" w:lineRule="auto" w:before="20"/>
              <w:ind w:left="440" w:right="0"/>
              <w:jc w:val="left"/>
              <w:rPr>
                <w:rFonts w:ascii="Arial" w:hAnsi="Arial" w:cs="Arial" w:eastAsia="Arial" w:hint="default"/>
                <w:sz w:val="24"/>
                <w:szCs w:val="24"/>
              </w:rPr>
            </w:pPr>
            <w:r>
              <w:rPr>
                <w:rFonts w:ascii="Arial"/>
                <w:sz w:val="24"/>
              </w:rPr>
            </w:r>
            <w:r>
              <w:rPr>
                <w:rFonts w:ascii="Arial"/>
                <w:sz w:val="24"/>
                <w:u w:val="single" w:color="000000"/>
              </w:rPr>
              <w:t> </w:t>
              <w:tab/>
              <w:t>695,863</w:t>
              <w:tab/>
            </w:r>
            <w:r>
              <w:rPr>
                <w:rFonts w:ascii="Arial"/>
                <w:sz w:val="24"/>
              </w:rPr>
            </w:r>
          </w:p>
        </w:tc>
      </w:tr>
      <w:tr>
        <w:trPr>
          <w:trHeight w:val="493" w:hRule="exact"/>
        </w:trPr>
        <w:tc>
          <w:tcPr>
            <w:tcW w:w="10020" w:type="dxa"/>
            <w:gridSpan w:val="5"/>
            <w:tcBorders>
              <w:top w:val="nil" w:sz="6" w:space="0" w:color="auto"/>
              <w:left w:val="nil" w:sz="6" w:space="0" w:color="auto"/>
              <w:bottom w:val="nil" w:sz="6" w:space="0" w:color="auto"/>
              <w:right w:val="nil" w:sz="6" w:space="0" w:color="auto"/>
            </w:tcBorders>
          </w:tcPr>
          <w:p>
            <w:pPr>
              <w:pStyle w:val="TableParagraph"/>
              <w:tabs>
                <w:tab w:pos="5469" w:val="left" w:leader="none"/>
                <w:tab w:pos="6193" w:val="left" w:leader="none"/>
                <w:tab w:pos="7874" w:val="left" w:leader="none"/>
                <w:tab w:pos="8946" w:val="left" w:leader="none"/>
                <w:tab w:pos="9985" w:val="left" w:leader="none"/>
              </w:tabs>
              <w:spacing w:line="327" w:lineRule="exact"/>
              <w:ind w:left="735" w:right="0"/>
              <w:jc w:val="left"/>
              <w:rPr>
                <w:rFonts w:ascii="Arial" w:hAnsi="Arial" w:cs="Arial" w:eastAsia="Arial" w:hint="default"/>
                <w:sz w:val="24"/>
                <w:szCs w:val="24"/>
              </w:rPr>
            </w:pPr>
            <w:r>
              <w:rPr>
                <w:rFonts w:ascii="宋体" w:hAnsi="宋体" w:cs="宋体" w:eastAsia="宋体" w:hint="default"/>
                <w:position w:val="2"/>
                <w:sz w:val="24"/>
                <w:szCs w:val="24"/>
              </w:rPr>
              <w:t>经营活动产生的现金流量净额</w:t>
              <w:tab/>
            </w:r>
            <w:r>
              <w:rPr>
                <w:rFonts w:ascii="Arial" w:hAnsi="Arial" w:cs="Arial" w:eastAsia="Arial" w:hint="default"/>
                <w:sz w:val="24"/>
                <w:szCs w:val="24"/>
              </w:rPr>
            </w:r>
            <w:r>
              <w:rPr>
                <w:rFonts w:ascii="Arial" w:hAnsi="Arial" w:cs="Arial" w:eastAsia="Arial" w:hint="default"/>
                <w:sz w:val="24"/>
                <w:szCs w:val="24"/>
                <w:u w:val="thick" w:color="000000"/>
              </w:rPr>
              <w:t> </w:t>
              <w:tab/>
            </w:r>
            <w:r>
              <w:rPr>
                <w:rFonts w:ascii="Arial" w:hAnsi="Arial" w:cs="Arial" w:eastAsia="Arial" w:hint="default"/>
                <w:spacing w:val="-1"/>
                <w:sz w:val="24"/>
                <w:szCs w:val="24"/>
                <w:u w:val="thick" w:color="000000"/>
              </w:rPr>
              <w:t>3,496,476</w:t>
            </w:r>
            <w:r>
              <w:rPr>
                <w:rFonts w:ascii="Arial" w:hAnsi="Arial" w:cs="Arial" w:eastAsia="Arial" w:hint="default"/>
                <w:spacing w:val="-1"/>
                <w:sz w:val="24"/>
                <w:szCs w:val="24"/>
              </w:rPr>
              <w:tab/>
            </w:r>
            <w:r>
              <w:rPr>
                <w:rFonts w:ascii="Arial" w:hAnsi="Arial" w:cs="Arial" w:eastAsia="Arial" w:hint="default"/>
                <w:spacing w:val="-1"/>
                <w:sz w:val="24"/>
                <w:szCs w:val="24"/>
                <w:u w:val="thick" w:color="000000"/>
              </w:rPr>
              <w:t> </w:t>
              <w:tab/>
              <w:t>150,751</w:t>
              <w:tab/>
            </w:r>
            <w:r>
              <w:rPr>
                <w:rFonts w:ascii="Arial" w:hAnsi="Arial" w:cs="Arial" w:eastAsia="Arial" w:hint="default"/>
                <w:spacing w:val="-1"/>
                <w:sz w:val="24"/>
                <w:szCs w:val="24"/>
              </w:rPr>
            </w:r>
          </w:p>
        </w:tc>
      </w:tr>
      <w:tr>
        <w:trPr>
          <w:trHeight w:val="454"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4"/>
                <w:szCs w:val="24"/>
              </w:rPr>
            </w:pPr>
            <w:r>
              <w:rPr>
                <w:rFonts w:ascii="Arial"/>
                <w:sz w:val="24"/>
              </w:rPr>
              <w:t>(b)</w:t>
            </w:r>
          </w:p>
        </w:tc>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4"/>
                <w:szCs w:val="24"/>
              </w:rPr>
            </w:pPr>
            <w:r>
              <w:rPr>
                <w:rFonts w:ascii="宋体" w:hAnsi="宋体" w:cs="宋体" w:eastAsia="宋体" w:hint="default"/>
                <w:sz w:val="24"/>
                <w:szCs w:val="24"/>
              </w:rPr>
              <w:t>不涉及现金收支的重大投资和筹资活动</w:t>
            </w:r>
          </w:p>
        </w:tc>
        <w:tc>
          <w:tcPr>
            <w:tcW w:w="1964" w:type="dxa"/>
            <w:tcBorders>
              <w:top w:val="nil" w:sz="6" w:space="0" w:color="auto"/>
              <w:left w:val="nil" w:sz="6" w:space="0" w:color="auto"/>
              <w:bottom w:val="nil" w:sz="6" w:space="0" w:color="auto"/>
              <w:right w:val="nil" w:sz="6" w:space="0" w:color="auto"/>
            </w:tcBorders>
          </w:tcPr>
          <w:p>
            <w:pP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
        </w:tc>
      </w:tr>
      <w:tr>
        <w:trPr>
          <w:trHeight w:val="318"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93" w:lineRule="exact"/>
              <w:ind w:left="789"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93" w:lineRule="exact"/>
              <w:ind w:right="134"/>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47"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87" w:lineRule="exact"/>
              <w:ind w:left="50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87" w:lineRule="exact"/>
              <w:ind w:right="134"/>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63"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6" w:right="0"/>
              <w:jc w:val="left"/>
              <w:rPr>
                <w:rFonts w:ascii="宋体" w:hAnsi="宋体" w:cs="宋体" w:eastAsia="宋体" w:hint="default"/>
                <w:sz w:val="24"/>
                <w:szCs w:val="24"/>
              </w:rPr>
            </w:pPr>
            <w:r>
              <w:rPr>
                <w:rFonts w:ascii="宋体" w:hAnsi="宋体" w:cs="宋体" w:eastAsia="宋体" w:hint="default"/>
                <w:sz w:val="24"/>
                <w:szCs w:val="24"/>
              </w:rPr>
              <w:t>资本公积转增股本</w:t>
            </w:r>
          </w:p>
        </w:tc>
        <w:tc>
          <w:tcPr>
            <w:tcW w:w="1964"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left="997" w:right="0"/>
              <w:jc w:val="left"/>
              <w:rPr>
                <w:rFonts w:ascii="Arial" w:hAnsi="Arial" w:cs="Arial" w:eastAsia="Arial" w:hint="default"/>
                <w:sz w:val="24"/>
                <w:szCs w:val="24"/>
              </w:rPr>
            </w:pPr>
            <w:r>
              <w:rPr>
                <w:rFonts w:ascii="Arial"/>
                <w:sz w:val="24"/>
              </w:rPr>
              <w:t>720,752</w:t>
            </w: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right="134"/>
              <w:jc w:val="right"/>
              <w:rPr>
                <w:rFonts w:ascii="Arial" w:hAnsi="Arial" w:cs="Arial" w:eastAsia="Arial" w:hint="default"/>
                <w:sz w:val="24"/>
                <w:szCs w:val="24"/>
              </w:rPr>
            </w:pPr>
            <w:r>
              <w:rPr>
                <w:rFonts w:ascii="Arial"/>
                <w:spacing w:val="-1"/>
                <w:sz w:val="24"/>
              </w:rPr>
              <w:t>360,376</w:t>
            </w:r>
            <w:r>
              <w:rPr>
                <w:rFonts w:ascii="Arial"/>
                <w:sz w:val="24"/>
              </w:rPr>
            </w:r>
          </w:p>
        </w:tc>
      </w:tr>
      <w:tr>
        <w:trPr>
          <w:trHeight w:val="602"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sz w:val="24"/>
              </w:rPr>
              <w:t>(c)</w:t>
            </w:r>
          </w:p>
        </w:tc>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1964" w:type="dxa"/>
            <w:tcBorders>
              <w:top w:val="single" w:sz="12" w:space="0" w:color="000000"/>
              <w:left w:val="nil" w:sz="6" w:space="0" w:color="auto"/>
              <w:bottom w:val="nil" w:sz="6" w:space="0" w:color="auto"/>
              <w:right w:val="nil" w:sz="6" w:space="0" w:color="auto"/>
            </w:tcBorders>
          </w:tcPr>
          <w:p>
            <w:pP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single" w:sz="12" w:space="0" w:color="000000"/>
              <w:left w:val="nil" w:sz="6" w:space="0" w:color="auto"/>
              <w:bottom w:val="nil" w:sz="6" w:space="0" w:color="auto"/>
              <w:right w:val="nil" w:sz="6" w:space="0" w:color="auto"/>
            </w:tcBorders>
          </w:tcPr>
          <w:p>
            <w:pPr/>
          </w:p>
        </w:tc>
      </w:tr>
      <w:tr>
        <w:trPr>
          <w:trHeight w:val="318"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93" w:lineRule="exact"/>
              <w:ind w:left="789"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93" w:lineRule="exact"/>
              <w:ind w:right="134"/>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50"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87" w:lineRule="exact"/>
              <w:ind w:left="50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87" w:lineRule="exact"/>
              <w:ind w:right="134"/>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现金的年末余额</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723" w:right="0"/>
              <w:jc w:val="left"/>
              <w:rPr>
                <w:rFonts w:ascii="Arial" w:hAnsi="Arial" w:cs="Arial" w:eastAsia="Arial" w:hint="default"/>
                <w:sz w:val="24"/>
                <w:szCs w:val="24"/>
              </w:rPr>
            </w:pPr>
            <w:r>
              <w:rPr>
                <w:rFonts w:ascii="Arial"/>
                <w:sz w:val="24"/>
              </w:rPr>
              <w:t>3,501,220</w:t>
            </w: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885" w:right="0"/>
              <w:jc w:val="left"/>
              <w:rPr>
                <w:rFonts w:ascii="Arial" w:hAnsi="Arial" w:cs="Arial" w:eastAsia="Arial" w:hint="default"/>
                <w:sz w:val="24"/>
                <w:szCs w:val="24"/>
              </w:rPr>
            </w:pPr>
            <w:r>
              <w:rPr>
                <w:rFonts w:ascii="Arial"/>
                <w:sz w:val="24"/>
              </w:rPr>
              <w:t>1,503,345</w:t>
            </w:r>
          </w:p>
        </w:tc>
      </w:tr>
      <w:tr>
        <w:trPr>
          <w:trHeight w:val="317"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减：现金的年初余额</w:t>
            </w:r>
          </w:p>
        </w:tc>
        <w:tc>
          <w:tcPr>
            <w:tcW w:w="1964" w:type="dxa"/>
            <w:tcBorders>
              <w:top w:val="nil" w:sz="6" w:space="0" w:color="auto"/>
              <w:left w:val="nil" w:sz="6" w:space="0" w:color="auto"/>
              <w:bottom w:val="nil" w:sz="6" w:space="0" w:color="auto"/>
              <w:right w:val="nil" w:sz="6" w:space="0" w:color="auto"/>
            </w:tcBorders>
          </w:tcPr>
          <w:p>
            <w:pPr>
              <w:pStyle w:val="TableParagraph"/>
              <w:tabs>
                <w:tab w:pos="644" w:val="left" w:leader="none"/>
                <w:tab w:pos="1964" w:val="left" w:leader="none"/>
              </w:tabs>
              <w:spacing w:line="240" w:lineRule="auto" w:before="20"/>
              <w:ind w:right="0"/>
              <w:jc w:val="left"/>
              <w:rPr>
                <w:rFonts w:ascii="Arial" w:hAnsi="Arial" w:cs="Arial" w:eastAsia="Arial" w:hint="default"/>
                <w:sz w:val="24"/>
                <w:szCs w:val="24"/>
              </w:rPr>
            </w:pPr>
            <w:r>
              <w:rPr>
                <w:rFonts w:ascii="Arial"/>
                <w:sz w:val="24"/>
              </w:rPr>
            </w:r>
            <w:r>
              <w:rPr>
                <w:rFonts w:ascii="Arial"/>
                <w:sz w:val="24"/>
                <w:u w:val="single" w:color="000000"/>
              </w:rPr>
              <w:t> </w:t>
              <w:tab/>
              <w:t>(1,503,345)</w:t>
              <w:tab/>
            </w:r>
            <w:r>
              <w:rPr>
                <w:rFonts w:ascii="Arial"/>
                <w:sz w:val="24"/>
              </w:rPr>
            </w: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tabs>
                <w:tab w:pos="1006" w:val="left" w:leader="none"/>
                <w:tab w:pos="2127" w:val="left" w:leader="none"/>
              </w:tabs>
              <w:spacing w:line="240" w:lineRule="auto" w:before="20"/>
              <w:ind w:right="33"/>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(362,337)</w:t>
              <w:tab/>
            </w:r>
            <w:r>
              <w:rPr>
                <w:rFonts w:ascii="Arial"/>
                <w:spacing w:val="-1"/>
                <w:sz w:val="24"/>
              </w:rPr>
            </w:r>
          </w:p>
        </w:tc>
      </w:tr>
      <w:tr>
        <w:trPr>
          <w:trHeight w:val="396" w:hRule="exact"/>
        </w:trPr>
        <w:tc>
          <w:tcPr>
            <w:tcW w:w="599"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spacing w:line="266" w:lineRule="exact"/>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1964" w:type="dxa"/>
            <w:tcBorders>
              <w:top w:val="nil" w:sz="6" w:space="0" w:color="auto"/>
              <w:left w:val="nil" w:sz="6" w:space="0" w:color="auto"/>
              <w:bottom w:val="nil" w:sz="6" w:space="0" w:color="auto"/>
              <w:right w:val="nil" w:sz="6" w:space="0" w:color="auto"/>
            </w:tcBorders>
          </w:tcPr>
          <w:p>
            <w:pPr>
              <w:pStyle w:val="TableParagraph"/>
              <w:tabs>
                <w:tab w:pos="723" w:val="left" w:leader="none"/>
                <w:tab w:pos="1964" w:val="left" w:leader="none"/>
              </w:tabs>
              <w:spacing w:line="240" w:lineRule="auto" w:before="25"/>
              <w:ind w:right="0"/>
              <w:jc w:val="left"/>
              <w:rPr>
                <w:rFonts w:ascii="Arial" w:hAnsi="Arial" w:cs="Arial" w:eastAsia="Arial" w:hint="default"/>
                <w:sz w:val="24"/>
                <w:szCs w:val="24"/>
              </w:rPr>
            </w:pPr>
            <w:r>
              <w:rPr>
                <w:rFonts w:ascii="Arial"/>
                <w:sz w:val="24"/>
              </w:rPr>
            </w:r>
            <w:r>
              <w:rPr>
                <w:rFonts w:ascii="Arial"/>
                <w:sz w:val="24"/>
                <w:u w:val="thick" w:color="000000"/>
              </w:rPr>
              <w:t> </w:t>
              <w:tab/>
              <w:t>1,997,875</w:t>
              <w:tab/>
            </w:r>
            <w:r>
              <w:rPr>
                <w:rFonts w:ascii="Arial"/>
                <w:sz w:val="24"/>
              </w:rPr>
            </w:r>
          </w:p>
        </w:tc>
        <w:tc>
          <w:tcPr>
            <w:tcW w:w="4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tabs>
                <w:tab w:pos="885" w:val="left" w:leader="none"/>
                <w:tab w:pos="2127" w:val="left" w:leader="none"/>
              </w:tabs>
              <w:spacing w:line="240" w:lineRule="auto" w:before="25"/>
              <w:ind w:right="33"/>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1,141,008</w:t>
              <w:tab/>
            </w:r>
            <w:r>
              <w:rPr>
                <w:rFonts w:ascii="Arial"/>
                <w:spacing w:val="-1"/>
                <w:sz w:val="24"/>
              </w:rPr>
            </w:r>
          </w:p>
        </w:tc>
      </w:tr>
    </w:tbl>
    <w:p>
      <w:pPr>
        <w:spacing w:after="0" w:line="240" w:lineRule="auto"/>
        <w:jc w:val="right"/>
        <w:rPr>
          <w:rFonts w:ascii="Arial" w:hAnsi="Arial" w:cs="Arial" w:eastAsia="Arial" w:hint="default"/>
          <w:sz w:val="24"/>
          <w:szCs w:val="24"/>
        </w:rPr>
        <w:sectPr>
          <w:pgSz w:w="11910" w:h="16840"/>
          <w:pgMar w:header="748" w:footer="708" w:top="980" w:bottom="900" w:left="98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599"/>
        <w:gridCol w:w="4265"/>
        <w:gridCol w:w="2351"/>
        <w:gridCol w:w="407"/>
        <w:gridCol w:w="2464"/>
      </w:tblGrid>
      <w:tr>
        <w:trPr>
          <w:trHeight w:val="1690"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(34)</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(d)</w:t>
            </w:r>
          </w:p>
        </w:tc>
        <w:tc>
          <w:tcPr>
            <w:tcW w:w="4265"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36" w:right="1323"/>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现金流量表附注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宋体" w:hAnsi="宋体" w:cs="宋体" w:eastAsia="宋体" w:hint="default"/>
                <w:sz w:val="24"/>
                <w:szCs w:val="24"/>
              </w:rPr>
              <w:t>现金及现金等价物</w:t>
            </w:r>
          </w:p>
        </w:tc>
        <w:tc>
          <w:tcPr>
            <w:tcW w:w="5221" w:type="dxa"/>
            <w:gridSpan w:val="3"/>
            <w:tcBorders>
              <w:top w:val="nil" w:sz="6" w:space="0" w:color="auto"/>
              <w:left w:val="nil" w:sz="6" w:space="0" w:color="auto"/>
              <w:bottom w:val="nil" w:sz="6" w:space="0" w:color="auto"/>
              <w:right w:val="nil" w:sz="6" w:space="0" w:color="auto"/>
            </w:tcBorders>
          </w:tcPr>
          <w:p>
            <w:pPr/>
          </w:p>
        </w:tc>
      </w:tr>
      <w:tr>
        <w:trPr>
          <w:trHeight w:val="456" w:hRule="exact"/>
        </w:trPr>
        <w:tc>
          <w:tcPr>
            <w:tcW w:w="599"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5"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Style w:val="TableParagraph"/>
              <w:spacing w:line="287" w:lineRule="exact"/>
              <w:ind w:left="86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87" w:lineRule="exact"/>
              <w:ind w:left="94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303" w:hRule="exact"/>
        </w:trPr>
        <w:tc>
          <w:tcPr>
            <w:tcW w:w="599"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35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Style w:val="TableParagraph"/>
              <w:spacing w:line="279" w:lineRule="exact"/>
              <w:ind w:left="439"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w w:val="95"/>
                <w:sz w:val="24"/>
              </w:rPr>
              <w:t>7,283</w:t>
            </w:r>
            <w:r>
              <w:rPr>
                <w:rFonts w:ascii="Arial"/>
                <w:w w:val="95"/>
                <w:sz w:val="24"/>
              </w:rPr>
            </w: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06"/>
              <w:jc w:val="right"/>
              <w:rPr>
                <w:rFonts w:ascii="Arial" w:hAnsi="Arial" w:cs="Arial" w:eastAsia="Arial" w:hint="default"/>
                <w:sz w:val="24"/>
                <w:szCs w:val="24"/>
              </w:rPr>
            </w:pPr>
            <w:r>
              <w:rPr>
                <w:rFonts w:ascii="Arial"/>
                <w:spacing w:val="-1"/>
                <w:w w:val="95"/>
                <w:sz w:val="24"/>
              </w:rPr>
              <w:t>2,251</w:t>
            </w:r>
            <w:r>
              <w:rPr>
                <w:rFonts w:ascii="Arial"/>
                <w:w w:val="95"/>
                <w:sz w:val="24"/>
              </w:rPr>
            </w:r>
          </w:p>
        </w:tc>
      </w:tr>
      <w:tr>
        <w:trPr>
          <w:trHeight w:val="312" w:hRule="exact"/>
        </w:trPr>
        <w:tc>
          <w:tcPr>
            <w:tcW w:w="599"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Style w:val="TableParagraph"/>
              <w:spacing w:line="279" w:lineRule="exact"/>
              <w:ind w:left="439"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10" w:right="0"/>
              <w:jc w:val="left"/>
              <w:rPr>
                <w:rFonts w:ascii="Arial" w:hAnsi="Arial" w:cs="Arial" w:eastAsia="Arial" w:hint="default"/>
                <w:sz w:val="24"/>
                <w:szCs w:val="24"/>
              </w:rPr>
            </w:pPr>
            <w:r>
              <w:rPr>
                <w:rFonts w:ascii="Arial"/>
                <w:sz w:val="24"/>
              </w:rPr>
              <w:t>2,934,812</w:t>
            </w: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88" w:right="0"/>
              <w:jc w:val="left"/>
              <w:rPr>
                <w:rFonts w:ascii="Arial" w:hAnsi="Arial" w:cs="Arial" w:eastAsia="Arial" w:hint="default"/>
                <w:sz w:val="24"/>
                <w:szCs w:val="24"/>
              </w:rPr>
            </w:pPr>
            <w:r>
              <w:rPr>
                <w:rFonts w:ascii="Arial"/>
                <w:sz w:val="24"/>
              </w:rPr>
              <w:t>1,442,873</w:t>
            </w:r>
          </w:p>
        </w:tc>
      </w:tr>
      <w:tr>
        <w:trPr>
          <w:trHeight w:val="321" w:hRule="exact"/>
        </w:trPr>
        <w:tc>
          <w:tcPr>
            <w:tcW w:w="599"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Style w:val="TableParagraph"/>
              <w:spacing w:line="279" w:lineRule="exact"/>
              <w:ind w:left="439"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235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110" w:right="0"/>
              <w:jc w:val="left"/>
              <w:rPr>
                <w:rFonts w:ascii="Arial" w:hAnsi="Arial" w:cs="Arial" w:eastAsia="Arial" w:hint="default"/>
                <w:sz w:val="24"/>
                <w:szCs w:val="24"/>
              </w:rPr>
            </w:pPr>
            <w:r>
              <w:rPr>
                <w:rFonts w:ascii="Arial"/>
                <w:sz w:val="24"/>
              </w:rPr>
              <w:t>4,523,198</w:t>
            </w: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188" w:right="0"/>
              <w:jc w:val="left"/>
              <w:rPr>
                <w:rFonts w:ascii="Arial" w:hAnsi="Arial" w:cs="Arial" w:eastAsia="Arial" w:hint="default"/>
                <w:sz w:val="24"/>
                <w:szCs w:val="24"/>
              </w:rPr>
            </w:pPr>
            <w:r>
              <w:rPr>
                <w:rFonts w:ascii="Arial"/>
                <w:sz w:val="24"/>
              </w:rPr>
              <w:t>1,894,657</w:t>
            </w:r>
          </w:p>
        </w:tc>
      </w:tr>
      <w:tr>
        <w:trPr>
          <w:trHeight w:val="295" w:hRule="exact"/>
        </w:trPr>
        <w:tc>
          <w:tcPr>
            <w:tcW w:w="599"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
        </w:tc>
        <w:tc>
          <w:tcPr>
            <w:tcW w:w="2351" w:type="dxa"/>
            <w:tcBorders>
              <w:top w:val="single" w:sz="4" w:space="0" w:color="000000"/>
              <w:left w:val="nil" w:sz="6" w:space="0" w:color="auto"/>
              <w:bottom w:val="nil" w:sz="6" w:space="0" w:color="auto"/>
              <w:right w:val="nil" w:sz="6" w:space="0" w:color="auto"/>
            </w:tcBorders>
          </w:tcPr>
          <w:p>
            <w:pPr>
              <w:pStyle w:val="TableParagraph"/>
              <w:spacing w:line="274" w:lineRule="exact"/>
              <w:ind w:left="1110" w:right="0"/>
              <w:jc w:val="left"/>
              <w:rPr>
                <w:rFonts w:ascii="Arial" w:hAnsi="Arial" w:cs="Arial" w:eastAsia="Arial" w:hint="default"/>
                <w:sz w:val="24"/>
                <w:szCs w:val="24"/>
              </w:rPr>
            </w:pPr>
            <w:r>
              <w:rPr>
                <w:rFonts w:ascii="Arial"/>
                <w:sz w:val="24"/>
              </w:rPr>
              <w:t>7,465,293</w:t>
            </w: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nil" w:sz="6" w:space="0" w:color="auto"/>
              <w:right w:val="nil" w:sz="6" w:space="0" w:color="auto"/>
            </w:tcBorders>
          </w:tcPr>
          <w:p>
            <w:pPr>
              <w:pStyle w:val="TableParagraph"/>
              <w:spacing w:line="274" w:lineRule="exact"/>
              <w:ind w:left="1187" w:right="0"/>
              <w:jc w:val="left"/>
              <w:rPr>
                <w:rFonts w:ascii="Arial" w:hAnsi="Arial" w:cs="Arial" w:eastAsia="Arial" w:hint="default"/>
                <w:sz w:val="24"/>
                <w:szCs w:val="24"/>
              </w:rPr>
            </w:pPr>
            <w:r>
              <w:rPr>
                <w:rFonts w:ascii="Arial"/>
                <w:sz w:val="24"/>
              </w:rPr>
              <w:t>3,339,781</w:t>
            </w:r>
          </w:p>
        </w:tc>
      </w:tr>
      <w:tr>
        <w:trPr>
          <w:trHeight w:val="317" w:hRule="exact"/>
        </w:trPr>
        <w:tc>
          <w:tcPr>
            <w:tcW w:w="599"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Style w:val="TableParagraph"/>
              <w:spacing w:line="262" w:lineRule="exact"/>
              <w:ind w:left="154" w:right="0"/>
              <w:jc w:val="left"/>
              <w:rPr>
                <w:rFonts w:ascii="宋体" w:hAnsi="宋体" w:cs="宋体" w:eastAsia="宋体" w:hint="default"/>
                <w:sz w:val="24"/>
                <w:szCs w:val="24"/>
              </w:rPr>
            </w:pPr>
            <w:r>
              <w:rPr>
                <w:rFonts w:ascii="宋体" w:hAnsi="宋体" w:cs="宋体" w:eastAsia="宋体" w:hint="default"/>
                <w:sz w:val="24"/>
                <w:szCs w:val="24"/>
              </w:rPr>
              <w:t>减：受到限制的其他货币资金</w:t>
            </w:r>
          </w:p>
        </w:tc>
        <w:tc>
          <w:tcPr>
            <w:tcW w:w="2351" w:type="dxa"/>
            <w:tcBorders>
              <w:top w:val="nil" w:sz="6" w:space="0" w:color="auto"/>
              <w:left w:val="nil" w:sz="6" w:space="0" w:color="auto"/>
              <w:bottom w:val="nil" w:sz="6" w:space="0" w:color="auto"/>
              <w:right w:val="nil" w:sz="6" w:space="0" w:color="auto"/>
            </w:tcBorders>
          </w:tcPr>
          <w:p>
            <w:pPr>
              <w:pStyle w:val="TableParagraph"/>
              <w:tabs>
                <w:tab w:pos="1030" w:val="left" w:leader="none"/>
                <w:tab w:pos="2350" w:val="left" w:leader="none"/>
              </w:tabs>
              <w:spacing w:line="240" w:lineRule="auto" w:before="21"/>
              <w:ind w:right="0"/>
              <w:jc w:val="left"/>
              <w:rPr>
                <w:rFonts w:ascii="Arial" w:hAnsi="Arial" w:cs="Arial" w:eastAsia="Arial" w:hint="default"/>
                <w:sz w:val="24"/>
                <w:szCs w:val="24"/>
              </w:rPr>
            </w:pPr>
            <w:r>
              <w:rPr>
                <w:rFonts w:ascii="Arial"/>
                <w:sz w:val="24"/>
              </w:rPr>
            </w:r>
            <w:r>
              <w:rPr>
                <w:rFonts w:ascii="Arial"/>
                <w:sz w:val="24"/>
                <w:u w:val="single" w:color="000000"/>
              </w:rPr>
              <w:t> </w:t>
              <w:tab/>
              <w:t>(3,964,073)</w:t>
              <w:tab/>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tabs>
                <w:tab w:pos="1108" w:val="left" w:leader="none"/>
                <w:tab w:pos="2428" w:val="left" w:leader="none"/>
              </w:tabs>
              <w:spacing w:line="240" w:lineRule="auto" w:before="21"/>
              <w:ind w:right="0"/>
              <w:jc w:val="left"/>
              <w:rPr>
                <w:rFonts w:ascii="Arial" w:hAnsi="Arial" w:cs="Arial" w:eastAsia="Arial" w:hint="default"/>
                <w:sz w:val="24"/>
                <w:szCs w:val="24"/>
              </w:rPr>
            </w:pPr>
            <w:r>
              <w:rPr>
                <w:rFonts w:ascii="Arial"/>
                <w:sz w:val="24"/>
              </w:rPr>
            </w:r>
            <w:r>
              <w:rPr>
                <w:rFonts w:ascii="Arial"/>
                <w:sz w:val="24"/>
                <w:u w:val="single" w:color="000000"/>
              </w:rPr>
              <w:t> </w:t>
              <w:tab/>
              <w:t>(1,836,436)</w:t>
              <w:tab/>
            </w:r>
            <w:r>
              <w:rPr>
                <w:rFonts w:ascii="Arial"/>
                <w:sz w:val="24"/>
              </w:rPr>
            </w:r>
          </w:p>
        </w:tc>
      </w:tr>
      <w:tr>
        <w:trPr>
          <w:trHeight w:val="467" w:hRule="exact"/>
        </w:trPr>
        <w:tc>
          <w:tcPr>
            <w:tcW w:w="599"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Style w:val="TableParagraph"/>
              <w:spacing w:line="266" w:lineRule="exact"/>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现金及现金等价物年末余额</w:t>
            </w:r>
          </w:p>
        </w:tc>
        <w:tc>
          <w:tcPr>
            <w:tcW w:w="2351" w:type="dxa"/>
            <w:tcBorders>
              <w:top w:val="nil" w:sz="6" w:space="0" w:color="auto"/>
              <w:left w:val="nil" w:sz="6" w:space="0" w:color="auto"/>
              <w:bottom w:val="nil" w:sz="6" w:space="0" w:color="auto"/>
              <w:right w:val="nil" w:sz="6" w:space="0" w:color="auto"/>
            </w:tcBorders>
          </w:tcPr>
          <w:p>
            <w:pPr>
              <w:pStyle w:val="TableParagraph"/>
              <w:tabs>
                <w:tab w:pos="1109" w:val="left" w:leader="none"/>
                <w:tab w:pos="2350" w:val="left" w:leader="none"/>
              </w:tabs>
              <w:spacing w:line="240" w:lineRule="auto" w:before="25"/>
              <w:ind w:right="0"/>
              <w:jc w:val="left"/>
              <w:rPr>
                <w:rFonts w:ascii="Arial" w:hAnsi="Arial" w:cs="Arial" w:eastAsia="Arial" w:hint="default"/>
                <w:sz w:val="24"/>
                <w:szCs w:val="24"/>
              </w:rPr>
            </w:pPr>
            <w:r>
              <w:rPr>
                <w:rFonts w:ascii="Arial"/>
                <w:sz w:val="24"/>
              </w:rPr>
            </w:r>
            <w:r>
              <w:rPr>
                <w:rFonts w:ascii="Arial"/>
                <w:sz w:val="24"/>
                <w:u w:val="thick" w:color="000000"/>
              </w:rPr>
              <w:t> </w:t>
              <w:tab/>
              <w:t>3,501,220</w:t>
              <w:tab/>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tabs>
                <w:tab w:pos="1187" w:val="left" w:leader="none"/>
                <w:tab w:pos="2428" w:val="left" w:leader="none"/>
              </w:tabs>
              <w:spacing w:line="240" w:lineRule="auto" w:before="25"/>
              <w:ind w:right="0"/>
              <w:jc w:val="left"/>
              <w:rPr>
                <w:rFonts w:ascii="Arial" w:hAnsi="Arial" w:cs="Arial" w:eastAsia="Arial" w:hint="default"/>
                <w:sz w:val="24"/>
                <w:szCs w:val="24"/>
              </w:rPr>
            </w:pPr>
            <w:r>
              <w:rPr>
                <w:rFonts w:ascii="Arial"/>
                <w:sz w:val="24"/>
              </w:rPr>
            </w:r>
            <w:r>
              <w:rPr>
                <w:rFonts w:ascii="Arial"/>
                <w:sz w:val="24"/>
                <w:u w:val="thick" w:color="000000"/>
              </w:rPr>
              <w:t> </w:t>
              <w:tab/>
              <w:t>1,503,345</w:t>
              <w:tab/>
            </w:r>
            <w:r>
              <w:rPr>
                <w:rFonts w:ascii="Arial"/>
                <w:sz w:val="24"/>
              </w:rPr>
            </w:r>
          </w:p>
        </w:tc>
      </w:tr>
      <w:tr>
        <w:trPr>
          <w:trHeight w:val="517" w:hRule="exact"/>
        </w:trPr>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(e)</w:t>
            </w:r>
          </w:p>
        </w:tc>
        <w:tc>
          <w:tcPr>
            <w:tcW w:w="426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4"/>
                <w:szCs w:val="24"/>
              </w:rPr>
            </w:pPr>
            <w:r>
              <w:rPr>
                <w:rFonts w:ascii="宋体" w:hAnsi="宋体" w:cs="宋体" w:eastAsia="宋体" w:hint="default"/>
                <w:b/>
                <w:bCs/>
                <w:sz w:val="24"/>
                <w:szCs w:val="24"/>
              </w:rPr>
              <w:t>支付其他与经营活动有关的现金</w:t>
            </w:r>
            <w:r>
              <w:rPr>
                <w:rFonts w:ascii="宋体" w:hAnsi="宋体" w:cs="宋体" w:eastAsia="宋体" w:hint="default"/>
                <w:sz w:val="24"/>
                <w:szCs w:val="24"/>
              </w:rPr>
            </w:r>
          </w:p>
        </w:tc>
        <w:tc>
          <w:tcPr>
            <w:tcW w:w="235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Times New Roman" w:hAnsi="Times New Roman" w:cs="Times New Roman" w:eastAsia="Times New Roman" w:hint="default"/>
          <w:sz w:val="12"/>
          <w:szCs w:val="12"/>
        </w:rPr>
      </w:pPr>
    </w:p>
    <w:p>
      <w:pPr>
        <w:pStyle w:val="BodyText"/>
        <w:spacing w:line="240" w:lineRule="auto" w:before="26"/>
        <w:ind w:left="848" w:right="0"/>
        <w:jc w:val="left"/>
      </w:pPr>
      <w:r>
        <w:rPr/>
        <w:t>现金流量表中支付其他与经营活动有关的现金主要包括：</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tbl>
      <w:tblPr>
        <w:tblW w:w="0" w:type="auto"/>
        <w:jc w:val="left"/>
        <w:tblInd w:w="813" w:type="dxa"/>
        <w:tblLayout w:type="fixed"/>
        <w:tblCellMar>
          <w:top w:w="0" w:type="dxa"/>
          <w:left w:w="0" w:type="dxa"/>
          <w:bottom w:w="0" w:type="dxa"/>
          <w:right w:w="0" w:type="dxa"/>
        </w:tblCellMar>
        <w:tblLook w:val="01E0"/>
      </w:tblPr>
      <w:tblGrid>
        <w:gridCol w:w="4163"/>
        <w:gridCol w:w="2351"/>
        <w:gridCol w:w="407"/>
        <w:gridCol w:w="2429"/>
      </w:tblGrid>
      <w:tr>
        <w:trPr>
          <w:trHeight w:val="829" w:hRule="exact"/>
        </w:trPr>
        <w:tc>
          <w:tcPr>
            <w:tcW w:w="4163"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1176"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p>
            <w:pPr>
              <w:pStyle w:val="TableParagraph"/>
              <w:spacing w:line="322" w:lineRule="exact"/>
              <w:ind w:left="889"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1254"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p>
            <w:pPr>
              <w:pStyle w:val="TableParagraph"/>
              <w:spacing w:line="322" w:lineRule="exact"/>
              <w:ind w:left="967"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2"/>
              <w:jc w:val="right"/>
              <w:rPr>
                <w:rFonts w:ascii="Arial" w:hAnsi="Arial" w:cs="Arial" w:eastAsia="Arial" w:hint="default"/>
                <w:sz w:val="24"/>
                <w:szCs w:val="24"/>
              </w:rPr>
            </w:pPr>
            <w:r>
              <w:rPr>
                <w:rFonts w:ascii="Arial"/>
                <w:spacing w:val="-1"/>
                <w:sz w:val="24"/>
              </w:rPr>
              <w:t>1,155,568</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1"/>
              <w:jc w:val="right"/>
              <w:rPr>
                <w:rFonts w:ascii="Arial" w:hAnsi="Arial" w:cs="Arial" w:eastAsia="Arial" w:hint="default"/>
                <w:sz w:val="24"/>
                <w:szCs w:val="24"/>
              </w:rPr>
            </w:pPr>
            <w:r>
              <w:rPr>
                <w:rFonts w:ascii="Arial"/>
                <w:spacing w:val="-1"/>
                <w:sz w:val="24"/>
              </w:rPr>
              <w:t>729,198</w:t>
            </w:r>
            <w:r>
              <w:rPr>
                <w:rFonts w:ascii="Arial"/>
                <w:sz w:val="24"/>
              </w:rPr>
            </w:r>
          </w:p>
        </w:tc>
      </w:tr>
      <w:tr>
        <w:trPr>
          <w:trHeight w:val="312"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广告费</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459,164</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281,574</w:t>
            </w:r>
            <w:r>
              <w:rPr>
                <w:rFonts w:ascii="Arial"/>
                <w:sz w:val="24"/>
              </w:rPr>
            </w:r>
          </w:p>
        </w:tc>
      </w:tr>
      <w:tr>
        <w:trPr>
          <w:trHeight w:val="312"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213,154</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168,737</w:t>
            </w:r>
            <w:r>
              <w:rPr>
                <w:rFonts w:ascii="Arial"/>
                <w:sz w:val="24"/>
              </w:rPr>
            </w:r>
          </w:p>
        </w:tc>
      </w:tr>
      <w:tr>
        <w:trPr>
          <w:trHeight w:val="312"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支付的各类保证金、订金及押金等</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192,838</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94,079</w:t>
            </w:r>
            <w:r>
              <w:rPr>
                <w:rFonts w:ascii="Arial"/>
                <w:sz w:val="24"/>
              </w:rPr>
            </w:r>
          </w:p>
        </w:tc>
      </w:tr>
      <w:tr>
        <w:trPr>
          <w:trHeight w:val="312"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155,654</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140,403</w:t>
            </w:r>
            <w:r>
              <w:rPr>
                <w:rFonts w:ascii="Arial"/>
                <w:sz w:val="24"/>
              </w:rPr>
            </w:r>
          </w:p>
        </w:tc>
      </w:tr>
      <w:tr>
        <w:trPr>
          <w:trHeight w:val="312"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运杂费</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123,030</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80,138</w:t>
            </w:r>
            <w:r>
              <w:rPr>
                <w:rFonts w:ascii="Arial"/>
                <w:sz w:val="24"/>
              </w:rPr>
            </w:r>
          </w:p>
        </w:tc>
      </w:tr>
      <w:tr>
        <w:trPr>
          <w:trHeight w:val="312"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4"/>
                <w:sz w:val="24"/>
              </w:rPr>
              <w:t>114,858</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62,052</w:t>
            </w:r>
            <w:r>
              <w:rPr>
                <w:rFonts w:ascii="Arial"/>
                <w:sz w:val="24"/>
              </w:rPr>
            </w:r>
          </w:p>
        </w:tc>
      </w:tr>
      <w:tr>
        <w:trPr>
          <w:trHeight w:val="312"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市场推广费</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94,388</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89,218</w:t>
            </w:r>
            <w:r>
              <w:rPr>
                <w:rFonts w:ascii="Arial"/>
                <w:sz w:val="24"/>
              </w:rPr>
            </w:r>
          </w:p>
        </w:tc>
      </w:tr>
      <w:tr>
        <w:trPr>
          <w:trHeight w:val="312"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日常维修及装潢</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41,671</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33,148</w:t>
            </w:r>
            <w:r>
              <w:rPr>
                <w:rFonts w:ascii="Arial"/>
                <w:sz w:val="24"/>
              </w:rPr>
            </w:r>
          </w:p>
        </w:tc>
      </w:tr>
      <w:tr>
        <w:trPr>
          <w:trHeight w:val="321" w:hRule="exact"/>
        </w:trPr>
        <w:tc>
          <w:tcPr>
            <w:tcW w:w="416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5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170,940</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71"/>
              <w:jc w:val="right"/>
              <w:rPr>
                <w:rFonts w:ascii="Arial" w:hAnsi="Arial" w:cs="Arial" w:eastAsia="Arial" w:hint="default"/>
                <w:sz w:val="24"/>
                <w:szCs w:val="24"/>
              </w:rPr>
            </w:pPr>
            <w:r>
              <w:rPr>
                <w:rFonts w:ascii="Arial"/>
                <w:spacing w:val="-1"/>
                <w:sz w:val="24"/>
              </w:rPr>
              <w:t>153,450</w:t>
            </w:r>
            <w:r>
              <w:rPr>
                <w:rFonts w:ascii="Arial"/>
                <w:sz w:val="24"/>
              </w:rPr>
            </w:r>
          </w:p>
        </w:tc>
      </w:tr>
      <w:tr>
        <w:trPr>
          <w:trHeight w:val="296" w:hRule="exact"/>
        </w:trPr>
        <w:tc>
          <w:tcPr>
            <w:tcW w:w="4163" w:type="dxa"/>
            <w:tcBorders>
              <w:top w:val="nil" w:sz="6" w:space="0" w:color="auto"/>
              <w:left w:val="nil" w:sz="6" w:space="0" w:color="auto"/>
              <w:bottom w:val="nil" w:sz="6" w:space="0" w:color="auto"/>
              <w:right w:val="nil" w:sz="6" w:space="0" w:color="auto"/>
            </w:tcBorders>
          </w:tcPr>
          <w:p>
            <w:pPr/>
          </w:p>
        </w:tc>
        <w:tc>
          <w:tcPr>
            <w:tcW w:w="2351"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72"/>
              <w:jc w:val="right"/>
              <w:rPr>
                <w:rFonts w:ascii="Arial" w:hAnsi="Arial" w:cs="Arial" w:eastAsia="Arial" w:hint="default"/>
                <w:sz w:val="24"/>
                <w:szCs w:val="24"/>
              </w:rPr>
            </w:pPr>
            <w:r>
              <w:rPr>
                <w:rFonts w:ascii="Arial"/>
                <w:spacing w:val="-1"/>
                <w:sz w:val="24"/>
              </w:rPr>
              <w:t>2,721,265</w:t>
            </w:r>
            <w:r>
              <w:rPr>
                <w:rFonts w:ascii="Arial"/>
                <w:sz w:val="24"/>
              </w:rPr>
            </w:r>
          </w:p>
        </w:tc>
        <w:tc>
          <w:tcPr>
            <w:tcW w:w="407" w:type="dxa"/>
            <w:tcBorders>
              <w:top w:val="nil" w:sz="6" w:space="0" w:color="auto"/>
              <w:left w:val="nil" w:sz="6" w:space="0" w:color="auto"/>
              <w:bottom w:val="nil" w:sz="6" w:space="0" w:color="auto"/>
              <w:right w:val="nil" w:sz="6" w:space="0" w:color="auto"/>
            </w:tcBorders>
          </w:tcPr>
          <w:p>
            <w:pPr/>
          </w:p>
        </w:tc>
        <w:tc>
          <w:tcPr>
            <w:tcW w:w="2429"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72"/>
              <w:jc w:val="right"/>
              <w:rPr>
                <w:rFonts w:ascii="Arial" w:hAnsi="Arial" w:cs="Arial" w:eastAsia="Arial" w:hint="default"/>
                <w:sz w:val="24"/>
                <w:szCs w:val="24"/>
              </w:rPr>
            </w:pPr>
            <w:r>
              <w:rPr>
                <w:rFonts w:ascii="Arial"/>
                <w:spacing w:val="-1"/>
                <w:sz w:val="24"/>
              </w:rPr>
              <w:t>1,831,997</w:t>
            </w:r>
            <w:r>
              <w:rPr>
                <w:rFonts w:ascii="Arial"/>
                <w:sz w:val="24"/>
              </w:rPr>
            </w:r>
          </w:p>
        </w:tc>
      </w:tr>
    </w:tbl>
    <w:p>
      <w:pPr>
        <w:spacing w:after="0" w:line="274" w:lineRule="exact"/>
        <w:jc w:val="right"/>
        <w:rPr>
          <w:rFonts w:ascii="Arial" w:hAnsi="Arial" w:cs="Arial" w:eastAsia="Arial" w:hint="default"/>
          <w:sz w:val="24"/>
          <w:szCs w:val="24"/>
        </w:rPr>
        <w:sectPr>
          <w:pgSz w:w="11910" w:h="16840"/>
          <w:pgMar w:header="748" w:footer="708" w:top="980" w:bottom="900" w:left="980" w:right="6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tabs>
          <w:tab w:pos="805" w:val="left" w:leader="none"/>
        </w:tabs>
        <w:spacing w:line="448" w:lineRule="auto" w:before="26"/>
        <w:ind w:left="806" w:right="6996" w:hanging="700"/>
        <w:jc w:val="left"/>
        <w:rPr>
          <w:rFonts w:ascii="宋体" w:hAnsi="宋体" w:cs="宋体" w:eastAsia="宋体" w:hint="default"/>
          <w:sz w:val="24"/>
          <w:szCs w:val="24"/>
        </w:rPr>
      </w:pPr>
      <w:r>
        <w:rPr>
          <w:rFonts w:ascii="宋体" w:hAnsi="宋体" w:cs="宋体" w:eastAsia="宋体" w:hint="default"/>
          <w:b/>
          <w:bCs/>
          <w:w w:val="95"/>
          <w:sz w:val="24"/>
          <w:szCs w:val="24"/>
        </w:rPr>
        <w:t>九</w:t>
        <w:tab/>
      </w:r>
      <w:r>
        <w:rPr>
          <w:rFonts w:ascii="宋体" w:hAnsi="宋体" w:cs="宋体" w:eastAsia="宋体" w:hint="default"/>
          <w:b/>
          <w:bCs/>
          <w:sz w:val="24"/>
          <w:szCs w:val="24"/>
        </w:rPr>
        <w:t>业务合并</w:t>
      </w:r>
      <w:r>
        <w:rPr>
          <w:rFonts w:ascii="宋体" w:hAnsi="宋体" w:cs="宋体" w:eastAsia="宋体" w:hint="default"/>
          <w:b/>
          <w:bCs/>
          <w:w w:val="99"/>
          <w:sz w:val="24"/>
          <w:szCs w:val="24"/>
        </w:rPr>
        <w:t> </w:t>
      </w:r>
      <w:r>
        <w:rPr>
          <w:rFonts w:ascii="宋体" w:hAnsi="宋体" w:cs="宋体" w:eastAsia="宋体" w:hint="default"/>
          <w:sz w:val="24"/>
          <w:szCs w:val="24"/>
        </w:rPr>
        <w:t>非同一控制下业务合并</w:t>
      </w:r>
    </w:p>
    <w:p>
      <w:pPr>
        <w:pStyle w:val="BodyText"/>
        <w:spacing w:line="312" w:lineRule="exact" w:before="96"/>
        <w:ind w:left="806" w:right="245"/>
        <w:jc w:val="both"/>
      </w:pPr>
      <w:r>
        <w:rPr/>
        <w:t>于</w:t>
      </w:r>
      <w:r>
        <w:rPr>
          <w:spacing w:val="-38"/>
        </w:rPr>
        <w:t> </w:t>
      </w:r>
      <w:r>
        <w:rPr>
          <w:rFonts w:ascii="Arial" w:hAnsi="Arial" w:cs="Arial" w:eastAsia="Arial" w:hint="default"/>
          <w:spacing w:val="-1"/>
        </w:rPr>
        <w:t>2007</w:t>
      </w:r>
      <w:r>
        <w:rPr>
          <w:rFonts w:ascii="Arial" w:hAnsi="Arial" w:cs="Arial" w:eastAsia="Arial" w:hint="default"/>
          <w:spacing w:val="16"/>
        </w:rPr>
        <w:t> </w:t>
      </w:r>
      <w:r>
        <w:rPr/>
        <w:t>年</w:t>
      </w:r>
      <w:r>
        <w:rPr>
          <w:spacing w:val="-38"/>
        </w:rPr>
        <w:t> </w:t>
      </w:r>
      <w:r>
        <w:rPr>
          <w:rFonts w:ascii="Arial" w:hAnsi="Arial" w:cs="Arial" w:eastAsia="Arial" w:hint="default"/>
          <w:spacing w:val="-1"/>
        </w:rPr>
        <w:t>12</w:t>
      </w:r>
      <w:r>
        <w:rPr>
          <w:rFonts w:ascii="Arial" w:hAnsi="Arial" w:cs="Arial" w:eastAsia="Arial" w:hint="default"/>
          <w:spacing w:val="15"/>
        </w:rPr>
        <w:t> </w:t>
      </w:r>
      <w:r>
        <w:rPr/>
        <w:t>月，本集团与全部</w:t>
      </w:r>
      <w:r>
        <w:rPr>
          <w:spacing w:val="-38"/>
        </w:rPr>
        <w:t> </w:t>
      </w:r>
      <w:r>
        <w:rPr>
          <w:rFonts w:ascii="Arial" w:hAnsi="Arial" w:cs="Arial" w:eastAsia="Arial" w:hint="default"/>
          <w:spacing w:val="-1"/>
        </w:rPr>
        <w:t>19</w:t>
      </w:r>
      <w:r>
        <w:rPr>
          <w:rFonts w:ascii="Arial" w:hAnsi="Arial" w:cs="Arial" w:eastAsia="Arial" w:hint="default"/>
          <w:spacing w:val="56"/>
        </w:rPr>
        <w:t> </w:t>
      </w:r>
      <w:r>
        <w:rPr>
          <w:spacing w:val="-6"/>
        </w:rPr>
        <w:t>家特许加盟企业签署了《特许加盟终止协议》，终</w:t>
      </w:r>
      <w:r>
        <w:rPr/>
        <w:t> 止加盟合作，代之以直营方式发展。根据协议，本集团支付了提前解除特许加盟的违约 金共计约人民币</w:t>
      </w:r>
      <w:r>
        <w:rPr>
          <w:spacing w:val="-72"/>
        </w:rPr>
        <w:t> </w:t>
      </w:r>
      <w:r>
        <w:rPr>
          <w:rFonts w:ascii="Arial" w:hAnsi="Arial" w:cs="Arial" w:eastAsia="Arial" w:hint="default"/>
        </w:rPr>
        <w:t>1,375</w:t>
      </w:r>
      <w:r>
        <w:rPr>
          <w:rFonts w:ascii="Arial" w:hAnsi="Arial" w:cs="Arial" w:eastAsia="Arial" w:hint="default"/>
          <w:spacing w:val="-19"/>
        </w:rPr>
        <w:t> </w:t>
      </w:r>
      <w:r>
        <w:rPr/>
        <w:t>万元</w:t>
      </w:r>
      <w:r>
        <w:rPr>
          <w:rFonts w:ascii="Arial" w:hAnsi="Arial" w:cs="Arial" w:eastAsia="Arial" w:hint="default"/>
        </w:rPr>
        <w:t>(</w:t>
      </w:r>
      <w:r>
        <w:rPr/>
        <w:t>附注八</w:t>
      </w:r>
      <w:r>
        <w:rPr>
          <w:rFonts w:ascii="Arial" w:hAnsi="Arial" w:cs="Arial" w:eastAsia="Arial" w:hint="default"/>
        </w:rPr>
        <w:t>(31(b)))</w:t>
      </w:r>
      <w:r>
        <w:rPr/>
        <w:t>，支付了承接</w:t>
      </w:r>
      <w:r>
        <w:rPr>
          <w:spacing w:val="-72"/>
        </w:rPr>
        <w:t> </w:t>
      </w:r>
      <w:r>
        <w:rPr>
          <w:rFonts w:ascii="Arial" w:hAnsi="Arial" w:cs="Arial" w:eastAsia="Arial" w:hint="default"/>
        </w:rPr>
        <w:t>19</w:t>
      </w:r>
      <w:r>
        <w:rPr>
          <w:rFonts w:ascii="Arial" w:hAnsi="Arial" w:cs="Arial" w:eastAsia="Arial" w:hint="default"/>
          <w:spacing w:val="-19"/>
        </w:rPr>
        <w:t> </w:t>
      </w:r>
      <w:r>
        <w:rPr/>
        <w:t>家加盟店的经营渠道、购买</w:t>
      </w:r>
    </w:p>
    <w:p>
      <w:pPr>
        <w:pStyle w:val="BodyText"/>
        <w:spacing w:line="312" w:lineRule="exact"/>
        <w:ind w:left="806" w:right="130"/>
        <w:jc w:val="left"/>
      </w:pPr>
      <w:r>
        <w:rPr/>
        <w:t>加盟店固定资产和物业的对价共计约人民币</w:t>
      </w:r>
      <w:r>
        <w:rPr>
          <w:spacing w:val="-63"/>
        </w:rPr>
        <w:t> </w:t>
      </w:r>
      <w:r>
        <w:rPr>
          <w:rFonts w:ascii="Arial" w:hAnsi="Arial" w:cs="Arial" w:eastAsia="Arial" w:hint="default"/>
        </w:rPr>
        <w:t>28,585</w:t>
      </w:r>
      <w:r>
        <w:rPr>
          <w:rFonts w:ascii="Arial" w:hAnsi="Arial" w:cs="Arial" w:eastAsia="Arial" w:hint="default"/>
          <w:spacing w:val="-10"/>
        </w:rPr>
        <w:t> </w:t>
      </w:r>
      <w:r>
        <w:rPr/>
        <w:t>万元，并承诺接收原加盟企业人员。 除此之外不收购加盟企业的股权，不承接加盟企业的任何资产、负债。</w:t>
      </w:r>
    </w:p>
    <w:p>
      <w:pPr>
        <w:spacing w:line="240" w:lineRule="auto" w:before="10"/>
        <w:rPr>
          <w:rFonts w:ascii="宋体" w:hAnsi="宋体" w:cs="宋体" w:eastAsia="宋体" w:hint="default"/>
          <w:sz w:val="18"/>
          <w:szCs w:val="18"/>
        </w:rPr>
      </w:pPr>
    </w:p>
    <w:p>
      <w:pPr>
        <w:pStyle w:val="BodyText"/>
        <w:spacing w:line="240" w:lineRule="auto"/>
        <w:ind w:left="806" w:right="0"/>
        <w:jc w:val="both"/>
      </w:pPr>
      <w:r>
        <w:rPr/>
        <w:t>对加盟店的上述收购方式系非同一控制下的业务合并。</w:t>
      </w:r>
    </w:p>
    <w:p>
      <w:pPr>
        <w:spacing w:line="240" w:lineRule="auto" w:before="4"/>
        <w:rPr>
          <w:rFonts w:ascii="宋体" w:hAnsi="宋体" w:cs="宋体" w:eastAsia="宋体" w:hint="default"/>
          <w:sz w:val="23"/>
          <w:szCs w:val="23"/>
        </w:rPr>
      </w:pPr>
    </w:p>
    <w:p>
      <w:pPr>
        <w:pStyle w:val="BodyText"/>
        <w:spacing w:line="312" w:lineRule="exact"/>
        <w:ind w:left="806" w:right="247"/>
        <w:jc w:val="both"/>
      </w:pPr>
      <w:r>
        <w:rPr/>
        <w:t>本次交易的购买日分别为</w:t>
      </w:r>
      <w:r>
        <w:rPr>
          <w:spacing w:val="-57"/>
        </w:rPr>
        <w:t> </w:t>
      </w:r>
      <w:r>
        <w:rPr>
          <w:rFonts w:ascii="Arial" w:hAnsi="Arial" w:cs="Arial" w:eastAsia="Arial" w:hint="default"/>
        </w:rPr>
        <w:t>2007</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22</w:t>
      </w:r>
      <w:r>
        <w:rPr>
          <w:rFonts w:ascii="Arial" w:hAnsi="Arial" w:cs="Arial" w:eastAsia="Arial" w:hint="default"/>
          <w:spacing w:val="-4"/>
        </w:rPr>
        <w:t> </w:t>
      </w:r>
      <w:r>
        <w:rPr/>
        <w:t>日和</w:t>
      </w:r>
      <w:r>
        <w:rPr>
          <w:spacing w:val="-57"/>
        </w:rPr>
        <w:t> </w:t>
      </w:r>
      <w:r>
        <w:rPr>
          <w:rFonts w:ascii="Arial" w:hAnsi="Arial" w:cs="Arial" w:eastAsia="Arial" w:hint="default"/>
        </w:rPr>
        <w:t>2007</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27</w:t>
      </w:r>
      <w:r>
        <w:rPr>
          <w:rFonts w:ascii="Arial" w:hAnsi="Arial" w:cs="Arial" w:eastAsia="Arial" w:hint="default"/>
          <w:spacing w:val="-4"/>
        </w:rPr>
        <w:t> </w:t>
      </w:r>
      <w:r>
        <w:rPr/>
        <w:t>日，系本集团实际取 得原加盟店业务控制权的日期。收购取得的净资产与负商誉的确认情况如下：</w:t>
      </w:r>
    </w:p>
    <w:p>
      <w:pPr>
        <w:spacing w:line="240" w:lineRule="auto" w:before="10"/>
        <w:rPr>
          <w:rFonts w:ascii="宋体" w:hAnsi="宋体" w:cs="宋体" w:eastAsia="宋体" w:hint="default"/>
          <w:sz w:val="16"/>
          <w:szCs w:val="16"/>
        </w:rPr>
      </w:pPr>
    </w:p>
    <w:tbl>
      <w:tblPr>
        <w:tblW w:w="0" w:type="auto"/>
        <w:jc w:val="left"/>
        <w:tblInd w:w="770" w:type="dxa"/>
        <w:tblLayout w:type="fixed"/>
        <w:tblCellMar>
          <w:top w:w="0" w:type="dxa"/>
          <w:left w:w="0" w:type="dxa"/>
          <w:bottom w:w="0" w:type="dxa"/>
          <w:right w:w="0" w:type="dxa"/>
        </w:tblCellMar>
        <w:tblLook w:val="01E0"/>
      </w:tblPr>
      <w:tblGrid>
        <w:gridCol w:w="6770"/>
        <w:gridCol w:w="2549"/>
      </w:tblGrid>
      <w:tr>
        <w:trPr>
          <w:trHeight w:val="703" w:hRule="exact"/>
        </w:trPr>
        <w:tc>
          <w:tcPr>
            <w:tcW w:w="67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合并成本－支付的现金</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5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p>
            <w:pPr>
              <w:pStyle w:val="TableParagraph"/>
              <w:spacing w:line="240" w:lineRule="auto" w:before="54"/>
              <w:ind w:left="1475" w:right="0"/>
              <w:jc w:val="left"/>
              <w:rPr>
                <w:rFonts w:ascii="Arial" w:hAnsi="Arial" w:cs="Arial" w:eastAsia="Arial" w:hint="default"/>
                <w:sz w:val="24"/>
                <w:szCs w:val="24"/>
              </w:rPr>
            </w:pPr>
            <w:r>
              <w:rPr>
                <w:rFonts w:ascii="Arial"/>
                <w:sz w:val="24"/>
              </w:rPr>
              <w:t>285,850</w:t>
            </w:r>
          </w:p>
        </w:tc>
      </w:tr>
      <w:tr>
        <w:trPr>
          <w:trHeight w:val="312" w:hRule="exact"/>
        </w:trPr>
        <w:tc>
          <w:tcPr>
            <w:tcW w:w="67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减：取得的固定资产的公允价值</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20" w:right="0"/>
              <w:jc w:val="left"/>
              <w:rPr>
                <w:rFonts w:ascii="Arial" w:hAnsi="Arial" w:cs="Arial" w:eastAsia="Arial" w:hint="default"/>
                <w:sz w:val="24"/>
                <w:szCs w:val="24"/>
              </w:rPr>
            </w:pPr>
            <w:r>
              <w:rPr>
                <w:rFonts w:ascii="Arial"/>
                <w:sz w:val="24"/>
              </w:rPr>
              <w:t>(61,750)</w:t>
            </w:r>
          </w:p>
        </w:tc>
      </w:tr>
      <w:tr>
        <w:trPr>
          <w:trHeight w:val="312" w:hRule="exact"/>
        </w:trPr>
        <w:tc>
          <w:tcPr>
            <w:tcW w:w="6770" w:type="dxa"/>
            <w:tcBorders>
              <w:top w:val="nil" w:sz="6" w:space="0" w:color="auto"/>
              <w:left w:val="nil" w:sz="6" w:space="0" w:color="auto"/>
              <w:bottom w:val="nil" w:sz="6" w:space="0" w:color="auto"/>
              <w:right w:val="nil" w:sz="6" w:space="0" w:color="auto"/>
            </w:tcBorders>
          </w:tcPr>
          <w:p>
            <w:pPr>
              <w:pStyle w:val="TableParagraph"/>
              <w:spacing w:line="278" w:lineRule="exact"/>
              <w:ind w:left="35" w:right="0"/>
              <w:jc w:val="left"/>
              <w:rPr>
                <w:rFonts w:ascii="Arial" w:hAnsi="Arial" w:cs="Arial" w:eastAsia="Arial" w:hint="default"/>
                <w:sz w:val="24"/>
                <w:szCs w:val="24"/>
              </w:rPr>
            </w:pPr>
            <w:r>
              <w:rPr>
                <w:rFonts w:ascii="宋体" w:hAnsi="宋体" w:cs="宋体" w:eastAsia="宋体" w:hint="default"/>
                <w:sz w:val="24"/>
                <w:szCs w:val="24"/>
              </w:rPr>
              <w:t>减：取得的无形资产－优惠承租权的公允价值</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(10(a)))</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87" w:right="0"/>
              <w:jc w:val="left"/>
              <w:rPr>
                <w:rFonts w:ascii="Arial" w:hAnsi="Arial" w:cs="Arial" w:eastAsia="Arial" w:hint="default"/>
                <w:sz w:val="24"/>
                <w:szCs w:val="24"/>
              </w:rPr>
            </w:pPr>
            <w:r>
              <w:rPr>
                <w:rFonts w:ascii="Arial"/>
                <w:sz w:val="24"/>
              </w:rPr>
              <w:t>(245,233)</w:t>
            </w:r>
          </w:p>
        </w:tc>
      </w:tr>
      <w:tr>
        <w:trPr>
          <w:trHeight w:val="317" w:hRule="exact"/>
        </w:trPr>
        <w:tc>
          <w:tcPr>
            <w:tcW w:w="6770" w:type="dxa"/>
            <w:tcBorders>
              <w:top w:val="nil" w:sz="6" w:space="0" w:color="auto"/>
              <w:left w:val="nil" w:sz="6" w:space="0" w:color="auto"/>
              <w:bottom w:val="nil" w:sz="6" w:space="0" w:color="auto"/>
              <w:right w:val="nil" w:sz="6" w:space="0" w:color="auto"/>
            </w:tcBorders>
          </w:tcPr>
          <w:p>
            <w:pPr>
              <w:pStyle w:val="TableParagraph"/>
              <w:spacing w:line="278" w:lineRule="exact"/>
              <w:ind w:left="35" w:right="0"/>
              <w:jc w:val="left"/>
              <w:rPr>
                <w:rFonts w:ascii="Arial" w:hAnsi="Arial" w:cs="Arial" w:eastAsia="Arial" w:hint="default"/>
                <w:sz w:val="24"/>
                <w:szCs w:val="24"/>
              </w:rPr>
            </w:pPr>
            <w:r>
              <w:rPr>
                <w:rFonts w:ascii="宋体" w:hAnsi="宋体" w:cs="宋体" w:eastAsia="宋体" w:hint="default"/>
                <w:sz w:val="24"/>
                <w:szCs w:val="24"/>
              </w:rPr>
              <w:t>加：递延所得税负债</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(21))</w:t>
            </w:r>
          </w:p>
        </w:tc>
        <w:tc>
          <w:tcPr>
            <w:tcW w:w="2549" w:type="dxa"/>
            <w:tcBorders>
              <w:top w:val="nil" w:sz="6" w:space="0" w:color="auto"/>
              <w:left w:val="nil" w:sz="6" w:space="0" w:color="auto"/>
              <w:bottom w:val="nil" w:sz="6" w:space="0" w:color="auto"/>
              <w:right w:val="nil" w:sz="6" w:space="0" w:color="auto"/>
            </w:tcBorders>
          </w:tcPr>
          <w:p>
            <w:pPr>
              <w:pStyle w:val="TableParagraph"/>
              <w:tabs>
                <w:tab w:pos="1407" w:val="left" w:leader="none"/>
                <w:tab w:pos="2180" w:val="left" w:leader="none"/>
              </w:tabs>
              <w:spacing w:line="240" w:lineRule="auto" w:before="20"/>
              <w:ind w:right="33"/>
              <w:jc w:val="right"/>
              <w:rPr>
                <w:rFonts w:ascii="Arial" w:hAnsi="Arial" w:cs="Arial" w:eastAsia="Arial" w:hint="default"/>
                <w:sz w:val="24"/>
                <w:szCs w:val="24"/>
              </w:rPr>
            </w:pPr>
            <w:r>
              <w:rPr>
                <w:rFonts w:ascii="Arial"/>
                <w:sz w:val="24"/>
              </w:rPr>
            </w:r>
            <w:r>
              <w:rPr>
                <w:rFonts w:ascii="Arial"/>
                <w:sz w:val="24"/>
                <w:u w:val="single" w:color="000000"/>
              </w:rPr>
              <w:t> </w:t>
              <w:tab/>
            </w:r>
            <w:r>
              <w:rPr>
                <w:rFonts w:ascii="Arial"/>
                <w:spacing w:val="-1"/>
                <w:sz w:val="24"/>
                <w:u w:val="single" w:color="000000"/>
              </w:rPr>
              <w:t>5,283</w:t>
              <w:tab/>
            </w:r>
            <w:r>
              <w:rPr>
                <w:rFonts w:ascii="Arial"/>
                <w:spacing w:val="-1"/>
                <w:sz w:val="24"/>
              </w:rPr>
            </w:r>
          </w:p>
        </w:tc>
      </w:tr>
      <w:tr>
        <w:trPr>
          <w:trHeight w:val="396" w:hRule="exact"/>
        </w:trPr>
        <w:tc>
          <w:tcPr>
            <w:tcW w:w="6770"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Arial" w:hAnsi="Arial" w:cs="Arial" w:eastAsia="Arial" w:hint="default"/>
                <w:sz w:val="24"/>
                <w:szCs w:val="24"/>
              </w:rPr>
            </w:pPr>
            <w:r>
              <w:rPr>
                <w:rFonts w:ascii="宋体" w:hAnsi="宋体" w:cs="宋体" w:eastAsia="宋体" w:hint="default"/>
                <w:sz w:val="24"/>
                <w:szCs w:val="24"/>
              </w:rPr>
              <w:t>营业外收入</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(31(a)))</w:t>
            </w:r>
          </w:p>
        </w:tc>
        <w:tc>
          <w:tcPr>
            <w:tcW w:w="2549" w:type="dxa"/>
            <w:tcBorders>
              <w:top w:val="nil" w:sz="6" w:space="0" w:color="auto"/>
              <w:left w:val="nil" w:sz="6" w:space="0" w:color="auto"/>
              <w:bottom w:val="nil" w:sz="6" w:space="0" w:color="auto"/>
              <w:right w:val="nil" w:sz="6" w:space="0" w:color="auto"/>
            </w:tcBorders>
          </w:tcPr>
          <w:p>
            <w:pPr>
              <w:pStyle w:val="TableParagraph"/>
              <w:tabs>
                <w:tab w:pos="1186" w:val="left" w:leader="none"/>
                <w:tab w:pos="2180" w:val="left" w:leader="none"/>
              </w:tabs>
              <w:spacing w:line="240" w:lineRule="auto" w:before="25"/>
              <w:ind w:right="33"/>
              <w:jc w:val="right"/>
              <w:rPr>
                <w:rFonts w:ascii="Arial" w:hAnsi="Arial" w:cs="Arial" w:eastAsia="Arial" w:hint="default"/>
                <w:sz w:val="24"/>
                <w:szCs w:val="24"/>
              </w:rPr>
            </w:pPr>
            <w:r>
              <w:rPr>
                <w:rFonts w:ascii="Arial"/>
                <w:sz w:val="24"/>
              </w:rPr>
            </w:r>
            <w:r>
              <w:rPr>
                <w:rFonts w:ascii="Arial"/>
                <w:sz w:val="24"/>
                <w:u w:val="thick" w:color="000000"/>
              </w:rPr>
              <w:t> </w:t>
              <w:tab/>
            </w:r>
            <w:r>
              <w:rPr>
                <w:rFonts w:ascii="Arial"/>
                <w:spacing w:val="-1"/>
                <w:sz w:val="24"/>
                <w:u w:val="thick" w:color="000000"/>
              </w:rPr>
              <w:t>(15,850)</w:t>
              <w:tab/>
            </w:r>
            <w:r>
              <w:rPr>
                <w:rFonts w:ascii="Arial"/>
                <w:spacing w:val="-1"/>
                <w:sz w:val="24"/>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12" w:lineRule="exact"/>
        <w:ind w:left="805" w:right="130"/>
        <w:jc w:val="left"/>
      </w:pPr>
      <w:r>
        <w:rPr/>
        <w:t>该</w:t>
      </w:r>
      <w:r>
        <w:rPr>
          <w:spacing w:val="-60"/>
        </w:rPr>
        <w:t> </w:t>
      </w:r>
      <w:r>
        <w:rPr>
          <w:rFonts w:ascii="Arial" w:hAnsi="Arial" w:cs="Arial" w:eastAsia="Arial" w:hint="default"/>
        </w:rPr>
        <w:t>19</w:t>
      </w:r>
      <w:r>
        <w:rPr>
          <w:rFonts w:ascii="Arial" w:hAnsi="Arial" w:cs="Arial" w:eastAsia="Arial" w:hint="default"/>
          <w:spacing w:val="-7"/>
        </w:rPr>
        <w:t> </w:t>
      </w:r>
      <w:r>
        <w:rPr/>
        <w:t>家加盟店自购买日至</w:t>
      </w:r>
      <w:r>
        <w:rPr>
          <w:spacing w:val="-60"/>
        </w:rPr>
        <w:t> </w:t>
      </w:r>
      <w:r>
        <w:rPr>
          <w:rFonts w:ascii="Arial" w:hAnsi="Arial" w:cs="Arial" w:eastAsia="Arial" w:hint="default"/>
        </w:rPr>
        <w:t>2007</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spacing w:val="-6"/>
        </w:rPr>
        <w:t>日止期间的收入、净利润和现金流量列示如</w:t>
      </w:r>
      <w:r>
        <w:rPr>
          <w:spacing w:val="-1"/>
        </w:rPr>
        <w:t> </w:t>
      </w:r>
      <w:r>
        <w:rPr/>
        <w:t>下：</w:t>
      </w:r>
    </w:p>
    <w:p>
      <w:pPr>
        <w:pStyle w:val="BodyText"/>
        <w:spacing w:line="300" w:lineRule="exact"/>
        <w:ind w:left="0" w:right="248"/>
        <w:jc w:val="righ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1"/>
        <w:rPr>
          <w:rFonts w:ascii="Arial" w:hAnsi="Arial" w:cs="Arial" w:eastAsia="Arial" w:hint="default"/>
          <w:sz w:val="20"/>
          <w:szCs w:val="20"/>
        </w:rPr>
      </w:pPr>
    </w:p>
    <w:tbl>
      <w:tblPr>
        <w:tblW w:w="0" w:type="auto"/>
        <w:jc w:val="left"/>
        <w:tblInd w:w="770" w:type="dxa"/>
        <w:tblLayout w:type="fixed"/>
        <w:tblCellMar>
          <w:top w:w="0" w:type="dxa"/>
          <w:left w:w="0" w:type="dxa"/>
          <w:bottom w:w="0" w:type="dxa"/>
          <w:right w:w="0" w:type="dxa"/>
        </w:tblCellMar>
        <w:tblLook w:val="01E0"/>
      </w:tblPr>
      <w:tblGrid>
        <w:gridCol w:w="5106"/>
        <w:gridCol w:w="4052"/>
      </w:tblGrid>
      <w:tr>
        <w:trPr>
          <w:trHeight w:val="391" w:hRule="exact"/>
        </w:trPr>
        <w:tc>
          <w:tcPr>
            <w:tcW w:w="51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24"/>
                <w:szCs w:val="24"/>
              </w:rPr>
            </w:pPr>
            <w:r>
              <w:rPr>
                <w:rFonts w:ascii="Arial"/>
                <w:spacing w:val="-6"/>
                <w:sz w:val="24"/>
              </w:rPr>
              <w:t>377,111</w:t>
            </w:r>
          </w:p>
        </w:tc>
      </w:tr>
      <w:tr>
        <w:trPr>
          <w:trHeight w:val="312" w:hRule="exact"/>
        </w:trPr>
        <w:tc>
          <w:tcPr>
            <w:tcW w:w="510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7,510</w:t>
            </w:r>
            <w:r>
              <w:rPr>
                <w:rFonts w:ascii="Arial"/>
                <w:w w:val="95"/>
                <w:sz w:val="24"/>
              </w:rPr>
            </w:r>
          </w:p>
        </w:tc>
      </w:tr>
      <w:tr>
        <w:trPr>
          <w:trHeight w:val="312" w:hRule="exact"/>
        </w:trPr>
        <w:tc>
          <w:tcPr>
            <w:tcW w:w="510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经营活动现金流量</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sz w:val="24"/>
              </w:rPr>
              <w:t>305,728</w:t>
            </w:r>
            <w:r>
              <w:rPr>
                <w:rFonts w:ascii="Arial"/>
                <w:sz w:val="24"/>
              </w:rPr>
            </w:r>
          </w:p>
        </w:tc>
      </w:tr>
      <w:tr>
        <w:trPr>
          <w:trHeight w:val="391" w:hRule="exact"/>
        </w:trPr>
        <w:tc>
          <w:tcPr>
            <w:tcW w:w="510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sz w:val="24"/>
              </w:rPr>
              <w:t>305,728</w:t>
            </w:r>
            <w:r>
              <w:rPr>
                <w:rFonts w:ascii="Arial"/>
                <w:sz w:val="24"/>
              </w:rPr>
            </w:r>
          </w:p>
        </w:tc>
      </w:tr>
    </w:tbl>
    <w:p>
      <w:pPr>
        <w:spacing w:after="0" w:line="240" w:lineRule="auto"/>
        <w:jc w:val="right"/>
        <w:rPr>
          <w:rFonts w:ascii="Arial" w:hAnsi="Arial" w:cs="Arial" w:eastAsia="Arial" w:hint="default"/>
          <w:sz w:val="24"/>
          <w:szCs w:val="24"/>
        </w:rPr>
        <w:sectPr>
          <w:pgSz w:w="11910" w:h="16840"/>
          <w:pgMar w:header="748" w:footer="708" w:top="980" w:bottom="900" w:left="880" w:right="8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Heading2"/>
        <w:tabs>
          <w:tab w:pos="808" w:val="left" w:leader="none"/>
        </w:tabs>
        <w:spacing w:line="240" w:lineRule="auto" w:before="193"/>
        <w:ind w:right="883"/>
        <w:jc w:val="left"/>
        <w:rPr>
          <w:b w:val="0"/>
          <w:bCs w:val="0"/>
        </w:rPr>
      </w:pPr>
      <w:r>
        <w:rPr>
          <w:w w:val="95"/>
        </w:rPr>
        <w:t>十</w:t>
        <w:tab/>
      </w:r>
      <w:r>
        <w:rPr/>
        <w:t>母公司财务报表主要项目附注</w:t>
      </w:r>
      <w:r>
        <w:rPr>
          <w:b w:val="0"/>
          <w:bCs w:val="0"/>
        </w:rPr>
      </w:r>
    </w:p>
    <w:p>
      <w:pPr>
        <w:spacing w:line="240" w:lineRule="auto" w:before="12"/>
        <w:rPr>
          <w:rFonts w:ascii="宋体" w:hAnsi="宋体" w:cs="宋体" w:eastAsia="宋体" w:hint="default"/>
          <w:b/>
          <w:bCs/>
          <w:sz w:val="20"/>
          <w:szCs w:val="20"/>
        </w:rPr>
      </w:pPr>
    </w:p>
    <w:p>
      <w:pPr>
        <w:tabs>
          <w:tab w:pos="808" w:val="left" w:leader="none"/>
        </w:tabs>
        <w:spacing w:before="0"/>
        <w:ind w:left="108" w:right="883" w:firstLine="0"/>
        <w:jc w:val="left"/>
        <w:rPr>
          <w:rFonts w:ascii="宋体" w:hAnsi="宋体" w:cs="宋体" w:eastAsia="宋体" w:hint="default"/>
          <w:sz w:val="24"/>
          <w:szCs w:val="24"/>
        </w:rPr>
      </w:pPr>
      <w:r>
        <w:rPr>
          <w:rFonts w:ascii="Arial" w:hAnsi="Arial" w:cs="Arial" w:eastAsia="Arial" w:hint="default"/>
          <w:position w:val="2"/>
          <w:sz w:val="24"/>
          <w:szCs w:val="24"/>
        </w:rPr>
        <w:t>(1)</w:t>
        <w:tab/>
      </w:r>
      <w:r>
        <w:rPr>
          <w:rFonts w:ascii="宋体" w:hAnsi="宋体" w:cs="宋体" w:eastAsia="宋体" w:hint="default"/>
          <w:b/>
          <w:bCs/>
          <w:sz w:val="24"/>
          <w:szCs w:val="24"/>
        </w:rPr>
        <w:t>应收账款及其他应收款</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08" w:val="left" w:leader="none"/>
        </w:tabs>
        <w:spacing w:line="240" w:lineRule="auto"/>
        <w:ind w:left="108" w:right="883"/>
        <w:jc w:val="left"/>
      </w:pPr>
      <w:r>
        <w:rPr>
          <w:rFonts w:ascii="Arial" w:hAnsi="Arial" w:cs="Arial" w:eastAsia="Arial" w:hint="default"/>
          <w:position w:val="2"/>
        </w:rPr>
        <w:t>(a)</w:t>
        <w:tab/>
      </w:r>
      <w:r>
        <w:rPr/>
        <w:t>应收账款</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8" w:footer="708" w:top="980" w:bottom="900" w:left="1020" w:right="480"/>
        </w:sectPr>
      </w:pPr>
    </w:p>
    <w:p>
      <w:pPr>
        <w:pStyle w:val="BodyText"/>
        <w:spacing w:line="322" w:lineRule="exact" w:before="26"/>
        <w:ind w:left="0" w:right="0"/>
        <w:jc w:val="right"/>
      </w:pPr>
      <w:r>
        <w:rPr>
          <w:rFonts w:ascii="Arial" w:hAnsi="Arial" w:cs="Arial" w:eastAsia="Arial" w:hint="default"/>
        </w:rPr>
        <w:t>2006</w:t>
      </w:r>
      <w:r>
        <w:rPr>
          <w:rFonts w:ascii="Arial" w:hAnsi="Arial" w:cs="Arial" w:eastAsia="Arial" w:hint="default"/>
          <w:spacing w:val="-10"/>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before="26"/>
        <w:ind w:left="0" w:right="209"/>
        <w:jc w:val="right"/>
      </w:pPr>
      <w:r>
        <w:rPr/>
        <w:br w:type="column"/>
      </w:r>
      <w:r>
        <w:rPr>
          <w:rFonts w:ascii="Arial" w:hAnsi="Arial" w:cs="Arial" w:eastAsia="Arial" w:hint="default"/>
        </w:rPr>
        <w:t>2007</w:t>
      </w:r>
      <w:r>
        <w:rPr>
          <w:rFonts w:ascii="Arial" w:hAnsi="Arial" w:cs="Arial" w:eastAsia="Arial" w:hint="default"/>
          <w:spacing w:val="-10"/>
        </w:rPr>
        <w:t> </w:t>
      </w:r>
      <w:r>
        <w:rPr/>
        <w:t>年</w:t>
      </w:r>
    </w:p>
    <w:p>
      <w:pPr>
        <w:pStyle w:val="BodyText"/>
        <w:spacing w:line="322" w:lineRule="exact"/>
        <w:ind w:left="0" w:right="210"/>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right"/>
        <w:sectPr>
          <w:type w:val="continuous"/>
          <w:pgSz w:w="11910" w:h="16840"/>
          <w:pgMar w:top="1600" w:bottom="280" w:left="1020" w:right="480"/>
          <w:cols w:num="2" w:equalWidth="0">
            <w:col w:w="4957" w:space="280"/>
            <w:col w:w="5173"/>
          </w:cols>
        </w:sectPr>
      </w:pPr>
    </w:p>
    <w:p>
      <w:pPr>
        <w:pStyle w:val="BodyText"/>
        <w:tabs>
          <w:tab w:pos="8831" w:val="left" w:leader="none"/>
        </w:tabs>
        <w:spacing w:line="312" w:lineRule="exact"/>
        <w:ind w:left="3595" w:right="0"/>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2"/>
        <w:rPr>
          <w:rFonts w:ascii="Arial" w:hAnsi="Arial" w:cs="Arial" w:eastAsia="Arial" w:hint="default"/>
          <w:sz w:val="22"/>
          <w:szCs w:val="22"/>
        </w:rPr>
      </w:pPr>
    </w:p>
    <w:p>
      <w:pPr>
        <w:pStyle w:val="BodyText"/>
        <w:tabs>
          <w:tab w:pos="4034" w:val="left" w:leader="none"/>
          <w:tab w:pos="8997" w:val="left" w:leader="none"/>
        </w:tabs>
        <w:spacing w:line="240" w:lineRule="auto"/>
        <w:ind w:left="808" w:right="0"/>
        <w:jc w:val="left"/>
        <w:rPr>
          <w:rFonts w:ascii="Arial" w:hAnsi="Arial" w:cs="Arial" w:eastAsia="Arial" w:hint="default"/>
        </w:rPr>
      </w:pPr>
      <w:r>
        <w:rPr>
          <w:position w:val="2"/>
        </w:rPr>
        <w:t>应收账款</w:t>
        <w:tab/>
      </w:r>
      <w:r>
        <w:rPr>
          <w:rFonts w:ascii="Arial" w:hAnsi="Arial" w:cs="Arial" w:eastAsia="Arial" w:hint="default"/>
          <w:spacing w:val="-1"/>
          <w:position w:val="4"/>
        </w:rPr>
        <w:t>472,185</w:t>
        <w:tab/>
      </w:r>
      <w:r>
        <w:rPr>
          <w:rFonts w:ascii="Arial" w:hAnsi="Arial" w:cs="Arial" w:eastAsia="Arial" w:hint="default"/>
          <w:spacing w:val="-1"/>
        </w:rPr>
        <w:t>2,367,959</w:t>
      </w:r>
      <w:r>
        <w:rPr>
          <w:rFonts w:ascii="Arial" w:hAnsi="Arial" w:cs="Arial" w:eastAsia="Arial" w:hint="default"/>
        </w:rPr>
      </w:r>
    </w:p>
    <w:p>
      <w:pPr>
        <w:tabs>
          <w:tab w:pos="8431" w:val="left" w:leader="none"/>
        </w:tabs>
        <w:spacing w:line="20" w:lineRule="exact"/>
        <w:ind w:left="3248" w:right="0" w:firstLine="0"/>
        <w:rPr>
          <w:rFonts w:ascii="Arial" w:hAnsi="Arial" w:cs="Arial" w:eastAsia="Arial" w:hint="default"/>
          <w:sz w:val="2"/>
          <w:szCs w:val="2"/>
        </w:rPr>
      </w:pPr>
      <w:r>
        <w:rPr>
          <w:rFonts w:ascii="Arial"/>
          <w:sz w:val="2"/>
        </w:rPr>
        <w:pict>
          <v:group style="width:90.7pt;height:.5pt;mso-position-horizontal-relative:char;mso-position-vertical-relative:line" coordorigin="0,0" coordsize="1814,10">
            <v:group style="position:absolute;left:5;top:5;width:1804;height:2" coordorigin="5,5" coordsize="1804,2">
              <v:shape style="position:absolute;left:5;top:5;width:1804;height:2" coordorigin="5,5" coordsize="1804,0" path="m5,5l1808,5e" filled="false" stroked="true" strokeweight=".48004pt" strokecolor="#000000">
                <v:path arrowok="t"/>
              </v:shape>
            </v:group>
          </v:group>
        </w:pict>
      </w:r>
      <w:r>
        <w:rPr>
          <w:rFonts w:ascii="Arial"/>
          <w:sz w:val="2"/>
        </w:rPr>
      </w:r>
      <w:r>
        <w:rPr>
          <w:rFonts w:ascii="Arial"/>
          <w:sz w:val="2"/>
        </w:rPr>
        <w:tab/>
      </w:r>
      <w:r>
        <w:rPr>
          <w:rFonts w:ascii="Arial"/>
          <w:sz w:val="2"/>
        </w:rPr>
        <w:pict>
          <v:group style="width:93.4pt;height:.5pt;mso-position-horizontal-relative:char;mso-position-vertical-relative:line" coordorigin="0,0" coordsize="1868,10">
            <v:group style="position:absolute;left:5;top:5;width:1858;height:2" coordorigin="5,5" coordsize="1858,2">
              <v:shape style="position:absolute;left:5;top:5;width:1858;height:2" coordorigin="5,5" coordsize="1858,0" path="m5,5l1862,5e" filled="false" stroked="true" strokeweight=".48004pt" strokecolor="#000000">
                <v:path arrowok="t"/>
              </v:shape>
            </v:group>
          </v:group>
        </w:pict>
      </w:r>
      <w:r>
        <w:rPr>
          <w:rFonts w:ascii="Arial"/>
          <w:sz w:val="2"/>
        </w:rPr>
      </w:r>
    </w:p>
    <w:p>
      <w:pPr>
        <w:spacing w:line="240" w:lineRule="auto" w:before="6"/>
        <w:rPr>
          <w:rFonts w:ascii="Arial" w:hAnsi="Arial" w:cs="Arial" w:eastAsia="Arial" w:hint="default"/>
          <w:sz w:val="17"/>
          <w:szCs w:val="17"/>
        </w:rPr>
      </w:pPr>
    </w:p>
    <w:p>
      <w:pPr>
        <w:pStyle w:val="BodyText"/>
        <w:tabs>
          <w:tab w:pos="4737" w:val="left" w:leader="none"/>
        </w:tabs>
        <w:spacing w:line="313" w:lineRule="exact" w:before="26"/>
        <w:ind w:left="3216" w:right="0"/>
        <w:jc w:val="center"/>
      </w:pPr>
      <w:r>
        <w:rPr/>
        <w:t>本年增加</w:t>
        <w:tab/>
        <w:t>本年减少</w:t>
      </w:r>
    </w:p>
    <w:p>
      <w:pPr>
        <w:pStyle w:val="BodyText"/>
        <w:spacing w:line="330" w:lineRule="exact"/>
        <w:ind w:left="3104" w:right="0"/>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0"/>
        <w:rPr>
          <w:rFonts w:ascii="Arial" w:hAnsi="Arial" w:cs="Arial" w:eastAsia="Arial" w:hint="default"/>
          <w:sz w:val="3"/>
          <w:szCs w:val="3"/>
        </w:rPr>
      </w:pPr>
    </w:p>
    <w:tbl>
      <w:tblPr>
        <w:tblW w:w="0" w:type="auto"/>
        <w:jc w:val="left"/>
        <w:tblInd w:w="773" w:type="dxa"/>
        <w:tblLayout w:type="fixed"/>
        <w:tblCellMar>
          <w:top w:w="0" w:type="dxa"/>
          <w:left w:w="0" w:type="dxa"/>
          <w:bottom w:w="0" w:type="dxa"/>
          <w:right w:w="0" w:type="dxa"/>
        </w:tblCellMar>
        <w:tblLook w:val="01E0"/>
      </w:tblPr>
      <w:tblGrid>
        <w:gridCol w:w="2479"/>
        <w:gridCol w:w="1804"/>
        <w:gridCol w:w="287"/>
        <w:gridCol w:w="2808"/>
        <w:gridCol w:w="284"/>
        <w:gridCol w:w="1858"/>
      </w:tblGrid>
      <w:tr>
        <w:trPr>
          <w:trHeight w:val="302" w:hRule="exact"/>
        </w:trPr>
        <w:tc>
          <w:tcPr>
            <w:tcW w:w="2479"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1804" w:type="dxa"/>
            <w:tcBorders>
              <w:top w:val="nil" w:sz="6" w:space="0" w:color="auto"/>
              <w:left w:val="nil" w:sz="6" w:space="0" w:color="auto"/>
              <w:bottom w:val="single" w:sz="4" w:space="0" w:color="000000"/>
              <w:right w:val="nil" w:sz="6" w:space="0" w:color="auto"/>
            </w:tcBorders>
          </w:tcPr>
          <w:p>
            <w:pPr>
              <w:pStyle w:val="TableParagraph"/>
              <w:spacing w:line="259" w:lineRule="exact"/>
              <w:ind w:right="99"/>
              <w:jc w:val="right"/>
              <w:rPr>
                <w:rFonts w:ascii="Arial" w:hAnsi="Arial" w:cs="Arial" w:eastAsia="Arial" w:hint="default"/>
                <w:sz w:val="24"/>
                <w:szCs w:val="24"/>
              </w:rPr>
            </w:pPr>
            <w:r>
              <w:rPr>
                <w:rFonts w:ascii="Arial"/>
                <w:spacing w:val="-1"/>
                <w:sz w:val="24"/>
              </w:rPr>
              <w:t>(24,080)</w:t>
            </w:r>
            <w:r>
              <w:rPr>
                <w:rFonts w:ascii="Arial"/>
                <w:sz w:val="24"/>
              </w:rPr>
            </w:r>
          </w:p>
        </w:tc>
        <w:tc>
          <w:tcPr>
            <w:tcW w:w="287"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single" w:sz="4" w:space="0" w:color="000000"/>
              <w:right w:val="nil" w:sz="6" w:space="0" w:color="auto"/>
            </w:tcBorders>
          </w:tcPr>
          <w:p>
            <w:pPr>
              <w:pStyle w:val="TableParagraph"/>
              <w:tabs>
                <w:tab w:pos="2035" w:val="left" w:leader="none"/>
              </w:tabs>
              <w:spacing w:line="240" w:lineRule="auto" w:before="19"/>
              <w:ind w:left="1081" w:right="0"/>
              <w:jc w:val="left"/>
              <w:rPr>
                <w:rFonts w:ascii="Arial" w:hAnsi="Arial" w:cs="Arial" w:eastAsia="Arial" w:hint="default"/>
                <w:sz w:val="24"/>
                <w:szCs w:val="24"/>
              </w:rPr>
            </w:pPr>
            <w:r>
              <w:rPr>
                <w:rFonts w:ascii="Arial"/>
                <w:sz w:val="24"/>
              </w:rPr>
              <w:t>-</w:t>
              <w:tab/>
              <w:t>22,265</w:t>
            </w:r>
          </w:p>
        </w:tc>
        <w:tc>
          <w:tcPr>
            <w:tcW w:w="284"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46"/>
              <w:jc w:val="right"/>
              <w:rPr>
                <w:rFonts w:ascii="Arial" w:hAnsi="Arial" w:cs="Arial" w:eastAsia="Arial" w:hint="default"/>
                <w:sz w:val="24"/>
                <w:szCs w:val="24"/>
              </w:rPr>
            </w:pPr>
            <w:r>
              <w:rPr>
                <w:rFonts w:ascii="Arial"/>
                <w:spacing w:val="-1"/>
                <w:sz w:val="24"/>
              </w:rPr>
              <w:t>(1,815)</w:t>
            </w:r>
            <w:r>
              <w:rPr>
                <w:rFonts w:ascii="Arial"/>
                <w:sz w:val="24"/>
              </w:rPr>
            </w:r>
          </w:p>
        </w:tc>
      </w:tr>
      <w:tr>
        <w:trPr>
          <w:trHeight w:val="296" w:hRule="exact"/>
        </w:trPr>
        <w:tc>
          <w:tcPr>
            <w:tcW w:w="2479" w:type="dxa"/>
            <w:tcBorders>
              <w:top w:val="nil" w:sz="6" w:space="0" w:color="auto"/>
              <w:left w:val="nil" w:sz="6" w:space="0" w:color="auto"/>
              <w:bottom w:val="nil" w:sz="6" w:space="0" w:color="auto"/>
              <w:right w:val="nil" w:sz="6" w:space="0" w:color="auto"/>
            </w:tcBorders>
          </w:tcPr>
          <w:p>
            <w:pPr/>
          </w:p>
        </w:tc>
        <w:tc>
          <w:tcPr>
            <w:tcW w:w="180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53"/>
              <w:jc w:val="right"/>
              <w:rPr>
                <w:rFonts w:ascii="Arial" w:hAnsi="Arial" w:cs="Arial" w:eastAsia="Arial" w:hint="default"/>
                <w:sz w:val="24"/>
                <w:szCs w:val="24"/>
              </w:rPr>
            </w:pPr>
            <w:r>
              <w:rPr>
                <w:rFonts w:ascii="Arial"/>
                <w:spacing w:val="-1"/>
                <w:sz w:val="24"/>
              </w:rPr>
              <w:t>448,105</w:t>
            </w:r>
            <w:r>
              <w:rPr>
                <w:rFonts w:ascii="Arial"/>
                <w:sz w:val="24"/>
              </w:rPr>
            </w:r>
          </w:p>
        </w:tc>
        <w:tc>
          <w:tcPr>
            <w:tcW w:w="287" w:type="dxa"/>
            <w:tcBorders>
              <w:top w:val="nil" w:sz="6" w:space="0" w:color="auto"/>
              <w:left w:val="nil" w:sz="6" w:space="0" w:color="auto"/>
              <w:bottom w:val="nil" w:sz="6" w:space="0" w:color="auto"/>
              <w:right w:val="nil" w:sz="6" w:space="0" w:color="auto"/>
            </w:tcBorders>
          </w:tcPr>
          <w:p>
            <w:pPr/>
          </w:p>
        </w:tc>
        <w:tc>
          <w:tcPr>
            <w:tcW w:w="280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Arial" w:hAnsi="Arial" w:cs="Arial" w:eastAsia="Arial" w:hint="default"/>
                <w:sz w:val="2"/>
                <w:szCs w:val="2"/>
              </w:rPr>
            </w:pPr>
            <w:r>
              <w:rPr>
                <w:rFonts w:ascii="Arial" w:hAnsi="Arial" w:cs="Arial" w:eastAsia="Arial" w:hint="default"/>
                <w:sz w:val="2"/>
                <w:szCs w:val="2"/>
              </w:rPr>
              <w:pict>
                <v:group style="width:64.8pt;height:.5pt;mso-position-horizontal-relative:char;mso-position-vertical-relative:line" coordorigin="0,0" coordsize="1296,10">
                  <v:group style="position:absolute;left:5;top:5;width:1287;height:2" coordorigin="5,5" coordsize="1287,2">
                    <v:shape style="position:absolute;left:5;top:5;width:1287;height:2" coordorigin="5,5" coordsize="1287,0" path="m5,5l1291,5e" filled="false" stroked="true" strokeweight=".47998pt" strokecolor="#000000">
                      <v:path arrowok="t"/>
                    </v:shape>
                  </v:group>
                </v:group>
              </w:pict>
            </w:r>
            <w:r>
              <w:rPr>
                <w:rFonts w:ascii="Arial" w:hAnsi="Arial" w:cs="Arial" w:eastAsia="Arial" w:hint="default"/>
                <w:sz w:val="2"/>
                <w:szCs w:val="2"/>
              </w:rPr>
            </w:r>
          </w:p>
          <w:p>
            <w:pPr>
              <w:pStyle w:val="TableParagraph"/>
              <w:spacing w:line="240" w:lineRule="auto" w:before="5"/>
              <w:ind w:right="0"/>
              <w:jc w:val="left"/>
              <w:rPr>
                <w:rFonts w:ascii="Arial" w:hAnsi="Arial" w:cs="Arial" w:eastAsia="Arial" w:hint="default"/>
                <w:sz w:val="24"/>
                <w:szCs w:val="24"/>
              </w:rPr>
            </w:pPr>
          </w:p>
        </w:tc>
        <w:tc>
          <w:tcPr>
            <w:tcW w:w="284"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227"/>
              <w:jc w:val="right"/>
              <w:rPr>
                <w:rFonts w:ascii="Arial" w:hAnsi="Arial" w:cs="Arial" w:eastAsia="Arial" w:hint="default"/>
                <w:sz w:val="24"/>
                <w:szCs w:val="24"/>
              </w:rPr>
            </w:pPr>
            <w:r>
              <w:rPr>
                <w:rFonts w:ascii="Arial"/>
                <w:spacing w:val="-1"/>
                <w:sz w:val="24"/>
              </w:rPr>
              <w:t>2,366,144</w:t>
            </w:r>
            <w:r>
              <w:rPr>
                <w:rFonts w:ascii="Arial"/>
                <w:sz w:val="24"/>
              </w:rPr>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1"/>
          <w:szCs w:val="21"/>
        </w:rPr>
      </w:pPr>
    </w:p>
    <w:p>
      <w:pPr>
        <w:pStyle w:val="BodyText"/>
        <w:spacing w:line="240" w:lineRule="auto" w:before="26"/>
        <w:ind w:left="808" w:right="883"/>
        <w:jc w:val="left"/>
      </w:pPr>
      <w:r>
        <w:rPr/>
        <w:t>应收账款账龄及相应的坏账准备分析如下：</w:t>
      </w:r>
    </w:p>
    <w:p>
      <w:pPr>
        <w:spacing w:line="240" w:lineRule="auto" w:before="4"/>
        <w:rPr>
          <w:rFonts w:ascii="宋体" w:hAnsi="宋体" w:cs="宋体" w:eastAsia="宋体" w:hint="default"/>
          <w:sz w:val="21"/>
          <w:szCs w:val="21"/>
        </w:rPr>
      </w:pPr>
    </w:p>
    <w:p>
      <w:pPr>
        <w:tabs>
          <w:tab w:pos="7587" w:val="left" w:leader="none"/>
        </w:tabs>
        <w:spacing w:before="0"/>
        <w:ind w:left="3744" w:right="883" w:firstLine="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tab/>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line="240" w:lineRule="auto" w:before="6"/>
        <w:rPr>
          <w:rFonts w:ascii="宋体" w:hAnsi="宋体" w:cs="宋体" w:eastAsia="宋体" w:hint="default"/>
          <w:sz w:val="2"/>
          <w:szCs w:val="2"/>
        </w:rPr>
      </w:pPr>
    </w:p>
    <w:tbl>
      <w:tblPr>
        <w:tblW w:w="0" w:type="auto"/>
        <w:jc w:val="left"/>
        <w:tblInd w:w="773" w:type="dxa"/>
        <w:tblLayout w:type="fixed"/>
        <w:tblCellMar>
          <w:top w:w="0" w:type="dxa"/>
          <w:left w:w="0" w:type="dxa"/>
          <w:bottom w:w="0" w:type="dxa"/>
          <w:right w:w="0" w:type="dxa"/>
        </w:tblCellMar>
        <w:tblLook w:val="01E0"/>
      </w:tblPr>
      <w:tblGrid>
        <w:gridCol w:w="1835"/>
        <w:gridCol w:w="1384"/>
        <w:gridCol w:w="811"/>
        <w:gridCol w:w="280"/>
        <w:gridCol w:w="1302"/>
        <w:gridCol w:w="308"/>
        <w:gridCol w:w="1263"/>
        <w:gridCol w:w="763"/>
        <w:gridCol w:w="236"/>
        <w:gridCol w:w="1338"/>
      </w:tblGrid>
      <w:tr>
        <w:trPr>
          <w:trHeight w:val="1196" w:hRule="exact"/>
        </w:trPr>
        <w:tc>
          <w:tcPr>
            <w:tcW w:w="1835"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241" w:lineRule="exact"/>
              <w:ind w:left="232" w:right="0" w:firstLine="60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2"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811" w:type="dxa"/>
            <w:tcBorders>
              <w:top w:val="single" w:sz="12" w:space="0" w:color="000000"/>
              <w:left w:val="nil" w:sz="6" w:space="0" w:color="auto"/>
              <w:bottom w:val="nil" w:sz="6" w:space="0" w:color="auto"/>
              <w:right w:val="nil" w:sz="6" w:space="0" w:color="auto"/>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80" w:type="dxa"/>
            <w:tcBorders>
              <w:top w:val="single" w:sz="12" w:space="0" w:color="000000"/>
              <w:left w:val="nil" w:sz="6" w:space="0" w:color="auto"/>
              <w:bottom w:val="nil" w:sz="6" w:space="0" w:color="auto"/>
              <w:right w:val="nil" w:sz="6" w:space="0" w:color="auto"/>
            </w:tcBorders>
          </w:tcPr>
          <w:p>
            <w:pPr/>
          </w:p>
        </w:tc>
        <w:tc>
          <w:tcPr>
            <w:tcW w:w="1302" w:type="dxa"/>
            <w:tcBorders>
              <w:top w:val="single" w:sz="12" w:space="0" w:color="000000"/>
              <w:left w:val="nil" w:sz="6" w:space="0" w:color="auto"/>
              <w:bottom w:val="nil" w:sz="6" w:space="0" w:color="auto"/>
              <w:right w:val="nil" w:sz="6" w:space="0" w:color="auto"/>
            </w:tcBorders>
          </w:tcPr>
          <w:p>
            <w:pPr>
              <w:pStyle w:val="TableParagraph"/>
              <w:spacing w:line="241" w:lineRule="exact"/>
              <w:ind w:left="181" w:right="0" w:firstLine="23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81"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308" w:type="dxa"/>
            <w:tcBorders>
              <w:top w:val="nil" w:sz="6" w:space="0" w:color="auto"/>
              <w:left w:val="nil" w:sz="6" w:space="0" w:color="auto"/>
              <w:bottom w:val="nil" w:sz="6" w:space="0" w:color="auto"/>
              <w:right w:val="nil" w:sz="6" w:space="0" w:color="auto"/>
            </w:tcBorders>
          </w:tcPr>
          <w:p>
            <w:pPr/>
          </w:p>
        </w:tc>
        <w:tc>
          <w:tcPr>
            <w:tcW w:w="1263" w:type="dxa"/>
            <w:tcBorders>
              <w:top w:val="single" w:sz="12" w:space="0" w:color="000000"/>
              <w:left w:val="nil" w:sz="6" w:space="0" w:color="auto"/>
              <w:bottom w:val="nil" w:sz="6" w:space="0" w:color="auto"/>
              <w:right w:val="nil" w:sz="6" w:space="0" w:color="auto"/>
            </w:tcBorders>
          </w:tcPr>
          <w:p>
            <w:pPr>
              <w:pStyle w:val="TableParagraph"/>
              <w:spacing w:line="241" w:lineRule="exact"/>
              <w:ind w:left="117" w:right="0" w:firstLine="566"/>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17"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763" w:type="dxa"/>
            <w:tcBorders>
              <w:top w:val="single" w:sz="12" w:space="0" w:color="000000"/>
              <w:left w:val="nil" w:sz="6" w:space="0" w:color="auto"/>
              <w:bottom w:val="nil" w:sz="6" w:space="0" w:color="auto"/>
              <w:right w:val="nil" w:sz="6" w:space="0" w:color="auto"/>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占总</w:t>
            </w:r>
          </w:p>
          <w:p>
            <w:pPr>
              <w:pStyle w:val="TableParagraph"/>
              <w:spacing w:line="272" w:lineRule="exact" w:before="27"/>
              <w:ind w:left="292" w:right="48" w:firstLine="210"/>
              <w:jc w:val="left"/>
              <w:rPr>
                <w:rFonts w:ascii="宋体" w:hAnsi="宋体" w:cs="宋体" w:eastAsia="宋体" w:hint="default"/>
                <w:sz w:val="21"/>
                <w:szCs w:val="21"/>
              </w:rPr>
            </w:pPr>
            <w:r>
              <w:rPr>
                <w:rFonts w:ascii="宋体" w:hAnsi="宋体" w:cs="宋体" w:eastAsia="宋体" w:hint="default"/>
                <w:sz w:val="21"/>
                <w:szCs w:val="21"/>
              </w:rPr>
              <w:t>额 比例</w:t>
            </w:r>
          </w:p>
        </w:tc>
        <w:tc>
          <w:tcPr>
            <w:tcW w:w="236" w:type="dxa"/>
            <w:tcBorders>
              <w:top w:val="single" w:sz="12" w:space="0" w:color="000000"/>
              <w:left w:val="nil" w:sz="6" w:space="0" w:color="auto"/>
              <w:bottom w:val="nil" w:sz="6" w:space="0" w:color="auto"/>
              <w:right w:val="nil" w:sz="6" w:space="0" w:color="auto"/>
            </w:tcBorders>
          </w:tcPr>
          <w:p>
            <w:pPr/>
          </w:p>
        </w:tc>
        <w:tc>
          <w:tcPr>
            <w:tcW w:w="1338" w:type="dxa"/>
            <w:tcBorders>
              <w:top w:val="single" w:sz="12" w:space="0" w:color="000000"/>
              <w:left w:val="nil" w:sz="6" w:space="0" w:color="auto"/>
              <w:bottom w:val="nil" w:sz="6" w:space="0" w:color="auto"/>
              <w:right w:val="nil" w:sz="6" w:space="0" w:color="auto"/>
            </w:tcBorders>
          </w:tcPr>
          <w:p>
            <w:pPr>
              <w:pStyle w:val="TableParagraph"/>
              <w:spacing w:line="241" w:lineRule="exact"/>
              <w:ind w:left="217" w:right="0" w:firstLine="23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17"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r>
      <w:tr>
        <w:trPr>
          <w:trHeight w:val="391"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1"/>
              <w:jc w:val="right"/>
              <w:rPr>
                <w:rFonts w:ascii="Arial" w:hAnsi="Arial" w:cs="Arial" w:eastAsia="Arial" w:hint="default"/>
                <w:sz w:val="21"/>
                <w:szCs w:val="21"/>
              </w:rPr>
            </w:pPr>
            <w:r>
              <w:rPr>
                <w:rFonts w:ascii="Arial"/>
                <w:spacing w:val="-1"/>
                <w:sz w:val="21"/>
              </w:rPr>
              <w:t>2,365,350</w:t>
            </w:r>
            <w:r>
              <w:rPr>
                <w:rFonts w:ascii="Arial"/>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0"/>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9"/>
              <w:jc w:val="right"/>
              <w:rPr>
                <w:rFonts w:ascii="Arial" w:hAnsi="Arial" w:cs="Arial" w:eastAsia="Arial" w:hint="default"/>
                <w:sz w:val="21"/>
                <w:szCs w:val="21"/>
              </w:rPr>
            </w:pPr>
            <w:r>
              <w:rPr>
                <w:rFonts w:ascii="Arial"/>
                <w:spacing w:val="-1"/>
                <w:sz w:val="21"/>
              </w:rPr>
              <w:t>(1,256)</w:t>
            </w:r>
            <w:r>
              <w:rPr>
                <w:rFonts w:ascii="Arial"/>
                <w:sz w:val="21"/>
              </w:rPr>
            </w:r>
          </w:p>
        </w:tc>
        <w:tc>
          <w:tcPr>
            <w:tcW w:w="30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3"/>
              <w:jc w:val="right"/>
              <w:rPr>
                <w:rFonts w:ascii="Arial" w:hAnsi="Arial" w:cs="Arial" w:eastAsia="Arial" w:hint="default"/>
                <w:sz w:val="21"/>
                <w:szCs w:val="21"/>
              </w:rPr>
            </w:pPr>
            <w:r>
              <w:rPr>
                <w:rFonts w:ascii="Arial"/>
                <w:spacing w:val="-1"/>
                <w:sz w:val="21"/>
              </w:rPr>
              <w:t>468,801</w:t>
            </w:r>
            <w:r>
              <w:rPr>
                <w:rFonts w:ascii="Arial"/>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9"/>
              <w:jc w:val="right"/>
              <w:rPr>
                <w:rFonts w:ascii="Arial" w:hAnsi="Arial" w:cs="Arial" w:eastAsia="Arial" w:hint="default"/>
                <w:sz w:val="21"/>
                <w:szCs w:val="21"/>
              </w:rPr>
            </w:pPr>
            <w:r>
              <w:rPr>
                <w:rFonts w:ascii="Arial"/>
                <w:spacing w:val="-1"/>
                <w:w w:val="95"/>
                <w:sz w:val="21"/>
              </w:rPr>
              <w:t>99%</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9"/>
              <w:jc w:val="right"/>
              <w:rPr>
                <w:rFonts w:ascii="Arial" w:hAnsi="Arial" w:cs="Arial" w:eastAsia="Arial" w:hint="default"/>
                <w:sz w:val="21"/>
                <w:szCs w:val="21"/>
              </w:rPr>
            </w:pPr>
            <w:r>
              <w:rPr>
                <w:rFonts w:ascii="Arial"/>
                <w:spacing w:val="-1"/>
                <w:sz w:val="21"/>
              </w:rPr>
              <w:t>(23,440)</w:t>
            </w:r>
          </w:p>
        </w:tc>
      </w:tr>
      <w:tr>
        <w:trPr>
          <w:trHeight w:val="273"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9"/>
              <w:jc w:val="right"/>
              <w:rPr>
                <w:rFonts w:ascii="Arial" w:hAnsi="Arial" w:cs="Arial" w:eastAsia="Arial" w:hint="default"/>
                <w:sz w:val="21"/>
                <w:szCs w:val="21"/>
              </w:rPr>
            </w:pPr>
            <w:r>
              <w:rPr>
                <w:rFonts w:ascii="Arial"/>
                <w:spacing w:val="-1"/>
                <w:w w:val="95"/>
                <w:sz w:val="21"/>
              </w:rPr>
              <w:t>1,248</w:t>
            </w:r>
            <w:r>
              <w:rPr>
                <w:rFonts w:ascii="Arial"/>
                <w:w w:val="95"/>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(125)</w:t>
            </w:r>
            <w:r>
              <w:rPr>
                <w:rFonts w:ascii="Arial"/>
                <w:w w:val="95"/>
                <w:sz w:val="21"/>
              </w:rPr>
            </w:r>
          </w:p>
        </w:tc>
        <w:tc>
          <w:tcPr>
            <w:tcW w:w="30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4"/>
              <w:jc w:val="right"/>
              <w:rPr>
                <w:rFonts w:ascii="Arial" w:hAnsi="Arial" w:cs="Arial" w:eastAsia="Arial" w:hint="default"/>
                <w:sz w:val="21"/>
                <w:szCs w:val="21"/>
              </w:rPr>
            </w:pPr>
            <w:r>
              <w:rPr>
                <w:rFonts w:ascii="Arial"/>
                <w:spacing w:val="-1"/>
                <w:w w:val="95"/>
                <w:sz w:val="21"/>
              </w:rPr>
              <w:t>2,049</w:t>
            </w:r>
            <w:r>
              <w:rPr>
                <w:rFonts w:ascii="Arial"/>
                <w:w w:val="95"/>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(205)</w:t>
            </w:r>
            <w:r>
              <w:rPr>
                <w:rFonts w:ascii="Arial"/>
                <w:w w:val="95"/>
                <w:sz w:val="21"/>
              </w:rPr>
            </w:r>
          </w:p>
        </w:tc>
      </w:tr>
      <w:tr>
        <w:trPr>
          <w:trHeight w:val="273"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8"/>
              <w:jc w:val="right"/>
              <w:rPr>
                <w:rFonts w:ascii="Arial" w:hAnsi="Arial" w:cs="Arial" w:eastAsia="Arial" w:hint="default"/>
                <w:sz w:val="21"/>
                <w:szCs w:val="21"/>
              </w:rPr>
            </w:pPr>
            <w:r>
              <w:rPr>
                <w:rFonts w:ascii="Arial"/>
                <w:spacing w:val="-1"/>
                <w:w w:val="95"/>
                <w:sz w:val="21"/>
              </w:rPr>
              <w:t>712</w:t>
            </w:r>
            <w:r>
              <w:rPr>
                <w:rFonts w:ascii="Arial"/>
                <w:w w:val="95"/>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(142)</w:t>
            </w:r>
            <w:r>
              <w:rPr>
                <w:rFonts w:ascii="Arial"/>
                <w:w w:val="95"/>
                <w:sz w:val="21"/>
              </w:rPr>
            </w:r>
          </w:p>
        </w:tc>
        <w:tc>
          <w:tcPr>
            <w:tcW w:w="30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3"/>
              <w:jc w:val="right"/>
              <w:rPr>
                <w:rFonts w:ascii="Arial" w:hAnsi="Arial" w:cs="Arial" w:eastAsia="Arial" w:hint="default"/>
                <w:sz w:val="21"/>
                <w:szCs w:val="21"/>
              </w:rPr>
            </w:pPr>
            <w:r>
              <w:rPr>
                <w:rFonts w:ascii="Arial"/>
                <w:spacing w:val="-1"/>
                <w:w w:val="95"/>
                <w:sz w:val="21"/>
              </w:rPr>
              <w:t>555</w:t>
            </w:r>
            <w:r>
              <w:rPr>
                <w:rFonts w:ascii="Arial"/>
                <w:w w:val="95"/>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7"/>
                <w:sz w:val="21"/>
              </w:rPr>
              <w:t>(111)</w:t>
            </w:r>
          </w:p>
        </w:tc>
      </w:tr>
      <w:tr>
        <w:trPr>
          <w:trHeight w:val="273"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8"/>
              <w:jc w:val="right"/>
              <w:rPr>
                <w:rFonts w:ascii="Arial" w:hAnsi="Arial" w:cs="Arial" w:eastAsia="Arial" w:hint="default"/>
                <w:sz w:val="21"/>
                <w:szCs w:val="21"/>
              </w:rPr>
            </w:pPr>
            <w:r>
              <w:rPr>
                <w:rFonts w:ascii="Arial"/>
                <w:spacing w:val="-1"/>
                <w:w w:val="95"/>
                <w:sz w:val="21"/>
              </w:rPr>
              <w:t>421</w:t>
            </w:r>
            <w:r>
              <w:rPr>
                <w:rFonts w:ascii="Arial"/>
                <w:w w:val="95"/>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(126)</w:t>
            </w:r>
            <w:r>
              <w:rPr>
                <w:rFonts w:ascii="Arial"/>
                <w:w w:val="95"/>
                <w:sz w:val="21"/>
              </w:rPr>
            </w:r>
          </w:p>
        </w:tc>
        <w:tc>
          <w:tcPr>
            <w:tcW w:w="30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3"/>
              <w:jc w:val="right"/>
              <w:rPr>
                <w:rFonts w:ascii="Arial" w:hAnsi="Arial" w:cs="Arial" w:eastAsia="Arial" w:hint="default"/>
                <w:sz w:val="21"/>
                <w:szCs w:val="21"/>
              </w:rPr>
            </w:pPr>
            <w:r>
              <w:rPr>
                <w:rFonts w:ascii="Arial"/>
                <w:spacing w:val="-1"/>
                <w:w w:val="95"/>
                <w:sz w:val="21"/>
              </w:rPr>
              <w:t>607</w:t>
            </w:r>
            <w:r>
              <w:rPr>
                <w:rFonts w:ascii="Arial"/>
                <w:w w:val="95"/>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(182)</w:t>
            </w:r>
            <w:r>
              <w:rPr>
                <w:rFonts w:ascii="Arial"/>
                <w:w w:val="95"/>
                <w:sz w:val="21"/>
              </w:rPr>
            </w:r>
          </w:p>
        </w:tc>
      </w:tr>
      <w:tr>
        <w:trPr>
          <w:trHeight w:val="273"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8"/>
              <w:jc w:val="right"/>
              <w:rPr>
                <w:rFonts w:ascii="Arial" w:hAnsi="Arial" w:cs="Arial" w:eastAsia="Arial" w:hint="default"/>
                <w:sz w:val="21"/>
                <w:szCs w:val="21"/>
              </w:rPr>
            </w:pPr>
            <w:r>
              <w:rPr>
                <w:rFonts w:ascii="Arial"/>
                <w:spacing w:val="-1"/>
                <w:w w:val="95"/>
                <w:sz w:val="21"/>
              </w:rPr>
              <w:t>154</w:t>
            </w:r>
            <w:r>
              <w:rPr>
                <w:rFonts w:ascii="Arial"/>
                <w:w w:val="95"/>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(92)</w:t>
            </w:r>
            <w:r>
              <w:rPr>
                <w:rFonts w:ascii="Arial"/>
                <w:w w:val="95"/>
                <w:sz w:val="21"/>
              </w:rPr>
            </w:r>
          </w:p>
        </w:tc>
        <w:tc>
          <w:tcPr>
            <w:tcW w:w="30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3"/>
              <w:jc w:val="right"/>
              <w:rPr>
                <w:rFonts w:ascii="Arial" w:hAnsi="Arial" w:cs="Arial" w:eastAsia="Arial" w:hint="default"/>
                <w:sz w:val="21"/>
                <w:szCs w:val="21"/>
              </w:rPr>
            </w:pPr>
            <w:r>
              <w:rPr>
                <w:rFonts w:ascii="Arial"/>
                <w:spacing w:val="-1"/>
                <w:w w:val="95"/>
                <w:sz w:val="21"/>
              </w:rPr>
              <w:t>78</w:t>
            </w:r>
            <w:r>
              <w:rPr>
                <w:rFonts w:ascii="Arial"/>
                <w:w w:val="95"/>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(47)</w:t>
            </w:r>
            <w:r>
              <w:rPr>
                <w:rFonts w:ascii="Arial"/>
                <w:w w:val="95"/>
                <w:sz w:val="21"/>
              </w:rPr>
            </w:r>
          </w:p>
        </w:tc>
      </w:tr>
      <w:tr>
        <w:trPr>
          <w:trHeight w:val="280"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28"/>
              <w:jc w:val="right"/>
              <w:rPr>
                <w:rFonts w:ascii="Arial" w:hAnsi="Arial" w:cs="Arial" w:eastAsia="Arial" w:hint="default"/>
                <w:sz w:val="21"/>
                <w:szCs w:val="21"/>
              </w:rPr>
            </w:pPr>
            <w:r>
              <w:rPr>
                <w:rFonts w:ascii="Arial"/>
                <w:spacing w:val="-1"/>
                <w:w w:val="95"/>
                <w:sz w:val="21"/>
              </w:rPr>
              <w:t>74</w:t>
            </w:r>
            <w:r>
              <w:rPr>
                <w:rFonts w:ascii="Arial"/>
                <w:w w:val="95"/>
                <w:sz w:val="21"/>
              </w:rPr>
            </w:r>
          </w:p>
        </w:tc>
        <w:tc>
          <w:tcPr>
            <w:tcW w:w="81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(74)</w:t>
            </w:r>
            <w:r>
              <w:rPr>
                <w:rFonts w:ascii="Arial"/>
                <w:w w:val="95"/>
                <w:sz w:val="21"/>
              </w:rPr>
            </w:r>
          </w:p>
        </w:tc>
        <w:tc>
          <w:tcPr>
            <w:tcW w:w="30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23"/>
              <w:jc w:val="right"/>
              <w:rPr>
                <w:rFonts w:ascii="Arial" w:hAnsi="Arial" w:cs="Arial" w:eastAsia="Arial" w:hint="default"/>
                <w:sz w:val="21"/>
                <w:szCs w:val="21"/>
              </w:rPr>
            </w:pPr>
            <w:r>
              <w:rPr>
                <w:rFonts w:ascii="Arial"/>
                <w:spacing w:val="-1"/>
                <w:w w:val="95"/>
                <w:sz w:val="21"/>
              </w:rPr>
              <w:t>95</w:t>
            </w:r>
            <w:r>
              <w:rPr>
                <w:rFonts w:ascii="Arial"/>
                <w:w w:val="95"/>
                <w:sz w:val="21"/>
              </w:rPr>
            </w: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(95)</w:t>
            </w:r>
            <w:r>
              <w:rPr>
                <w:rFonts w:ascii="Arial"/>
                <w:w w:val="95"/>
                <w:sz w:val="21"/>
              </w:rPr>
            </w:r>
          </w:p>
        </w:tc>
      </w:tr>
      <w:tr>
        <w:trPr>
          <w:trHeight w:val="262" w:hRule="exact"/>
        </w:trPr>
        <w:tc>
          <w:tcPr>
            <w:tcW w:w="1835"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29"/>
              <w:jc w:val="right"/>
              <w:rPr>
                <w:rFonts w:ascii="Arial" w:hAnsi="Arial" w:cs="Arial" w:eastAsia="Arial" w:hint="default"/>
                <w:sz w:val="21"/>
                <w:szCs w:val="21"/>
              </w:rPr>
            </w:pPr>
            <w:r>
              <w:rPr>
                <w:rFonts w:ascii="Arial"/>
                <w:spacing w:val="-1"/>
                <w:sz w:val="21"/>
              </w:rPr>
              <w:t>2,367,959</w:t>
            </w:r>
            <w:r>
              <w:rPr>
                <w:rFonts w:ascii="Arial"/>
                <w:sz w:val="21"/>
              </w:rPr>
            </w:r>
          </w:p>
        </w:tc>
        <w:tc>
          <w:tcPr>
            <w:tcW w:w="81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0"/>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30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sz w:val="21"/>
              </w:rPr>
              <w:t>(1,815)</w:t>
            </w:r>
            <w:r>
              <w:rPr>
                <w:rFonts w:ascii="Arial"/>
                <w:sz w:val="21"/>
              </w:rPr>
            </w:r>
          </w:p>
        </w:tc>
        <w:tc>
          <w:tcPr>
            <w:tcW w:w="308" w:type="dxa"/>
            <w:tcBorders>
              <w:top w:val="nil" w:sz="6" w:space="0" w:color="auto"/>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23"/>
              <w:jc w:val="right"/>
              <w:rPr>
                <w:rFonts w:ascii="Arial" w:hAnsi="Arial" w:cs="Arial" w:eastAsia="Arial" w:hint="default"/>
                <w:sz w:val="21"/>
                <w:szCs w:val="21"/>
              </w:rPr>
            </w:pPr>
            <w:r>
              <w:rPr>
                <w:rFonts w:ascii="Arial"/>
                <w:spacing w:val="-1"/>
                <w:sz w:val="21"/>
              </w:rPr>
              <w:t>472,185</w:t>
            </w:r>
            <w:r>
              <w:rPr>
                <w:rFonts w:ascii="Arial"/>
                <w:sz w:val="21"/>
              </w:rPr>
            </w:r>
          </w:p>
        </w:tc>
        <w:tc>
          <w:tcPr>
            <w:tcW w:w="76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236" w:type="dxa"/>
            <w:tcBorders>
              <w:top w:val="nil" w:sz="6" w:space="0" w:color="auto"/>
              <w:left w:val="nil" w:sz="6" w:space="0" w:color="auto"/>
              <w:bottom w:val="nil" w:sz="6" w:space="0" w:color="auto"/>
              <w:right w:val="nil" w:sz="6" w:space="0" w:color="auto"/>
            </w:tcBorders>
          </w:tcPr>
          <w:p>
            <w:pPr/>
          </w:p>
        </w:tc>
        <w:tc>
          <w:tcPr>
            <w:tcW w:w="133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sz w:val="21"/>
              </w:rPr>
              <w:t>(24,080)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12" w:lineRule="exact" w:before="56"/>
        <w:ind w:left="808" w:right="0"/>
        <w:jc w:val="left"/>
      </w:pPr>
      <w:r>
        <w:rPr/>
        <w:t>于</w:t>
      </w:r>
      <w:r>
        <w:rPr>
          <w:spacing w:val="-59"/>
        </w:rPr>
        <w:t> </w:t>
      </w:r>
      <w:r>
        <w:rPr>
          <w:rFonts w:ascii="Arial" w:hAnsi="Arial" w:cs="Arial" w:eastAsia="Arial" w:hint="default"/>
        </w:rPr>
        <w:t>2007</w:t>
      </w:r>
      <w:r>
        <w:rPr>
          <w:rFonts w:ascii="Arial" w:hAnsi="Arial" w:cs="Arial" w:eastAsia="Arial" w:hint="default"/>
          <w:spacing w:val="-6"/>
        </w:rPr>
        <w:t> </w:t>
      </w:r>
      <w:r>
        <w:rPr/>
        <w:t>年</w:t>
      </w:r>
      <w:r>
        <w:rPr>
          <w:spacing w:val="-58"/>
        </w:rPr>
        <w:t> </w:t>
      </w:r>
      <w:r>
        <w:rPr>
          <w:rFonts w:ascii="Arial" w:hAnsi="Arial" w:cs="Arial" w:eastAsia="Arial" w:hint="default"/>
        </w:rPr>
        <w:t>12</w:t>
      </w:r>
      <w:r>
        <w:rPr>
          <w:rFonts w:ascii="Arial" w:hAnsi="Arial" w:cs="Arial" w:eastAsia="Arial" w:hint="default"/>
          <w:spacing w:val="-6"/>
        </w:rPr>
        <w:t> </w:t>
      </w:r>
      <w:r>
        <w:rPr/>
        <w:t>月</w:t>
      </w:r>
      <w:r>
        <w:rPr>
          <w:spacing w:val="-59"/>
        </w:rPr>
        <w:t> </w:t>
      </w:r>
      <w:r>
        <w:rPr>
          <w:rFonts w:ascii="Arial" w:hAnsi="Arial" w:cs="Arial" w:eastAsia="Arial" w:hint="default"/>
        </w:rPr>
        <w:t>31</w:t>
      </w:r>
      <w:r>
        <w:rPr>
          <w:rFonts w:ascii="Arial" w:hAnsi="Arial" w:cs="Arial" w:eastAsia="Arial" w:hint="default"/>
          <w:spacing w:val="-6"/>
        </w:rPr>
        <w:t> </w:t>
      </w:r>
      <w:r>
        <w:rPr/>
        <w:t>日及</w:t>
      </w:r>
      <w:r>
        <w:rPr>
          <w:spacing w:val="-59"/>
        </w:rPr>
        <w:t> </w:t>
      </w:r>
      <w:r>
        <w:rPr>
          <w:rFonts w:ascii="Arial" w:hAnsi="Arial" w:cs="Arial" w:eastAsia="Arial" w:hint="default"/>
        </w:rPr>
        <w:t>2006</w:t>
      </w:r>
      <w:r>
        <w:rPr>
          <w:rFonts w:ascii="Arial" w:hAnsi="Arial" w:cs="Arial" w:eastAsia="Arial" w:hint="default"/>
          <w:spacing w:val="-6"/>
        </w:rPr>
        <w:t> </w:t>
      </w:r>
      <w:r>
        <w:rPr/>
        <w:t>年</w:t>
      </w:r>
      <w:r>
        <w:rPr>
          <w:spacing w:val="-58"/>
        </w:rPr>
        <w:t> </w:t>
      </w:r>
      <w:r>
        <w:rPr>
          <w:rFonts w:ascii="Arial" w:hAnsi="Arial" w:cs="Arial" w:eastAsia="Arial" w:hint="default"/>
        </w:rPr>
        <w:t>12</w:t>
      </w:r>
      <w:r>
        <w:rPr>
          <w:rFonts w:ascii="Arial" w:hAnsi="Arial" w:cs="Arial" w:eastAsia="Arial" w:hint="default"/>
          <w:spacing w:val="-6"/>
        </w:rPr>
        <w:t> </w:t>
      </w:r>
      <w:r>
        <w:rPr/>
        <w:t>月</w:t>
      </w:r>
      <w:r>
        <w:rPr>
          <w:spacing w:val="-59"/>
        </w:rPr>
        <w:t> </w:t>
      </w:r>
      <w:r>
        <w:rPr>
          <w:rFonts w:ascii="Arial" w:hAnsi="Arial" w:cs="Arial" w:eastAsia="Arial" w:hint="default"/>
        </w:rPr>
        <w:t>31</w:t>
      </w:r>
      <w:r>
        <w:rPr>
          <w:rFonts w:ascii="Arial" w:hAnsi="Arial" w:cs="Arial" w:eastAsia="Arial" w:hint="default"/>
          <w:spacing w:val="-6"/>
        </w:rPr>
        <w:t> </w:t>
      </w:r>
      <w:r>
        <w:rPr/>
        <w:t>日，应收账款中无持有本公司</w:t>
      </w:r>
      <w:r>
        <w:rPr>
          <w:spacing w:val="-59"/>
        </w:rPr>
        <w:t> </w:t>
      </w:r>
      <w:r>
        <w:rPr>
          <w:rFonts w:ascii="Arial" w:hAnsi="Arial" w:cs="Arial" w:eastAsia="Arial" w:hint="default"/>
        </w:rPr>
        <w:t>5%(</w:t>
      </w:r>
      <w:r>
        <w:rPr/>
        <w:t>含</w:t>
      </w:r>
      <w:r>
        <w:rPr>
          <w:spacing w:val="-59"/>
        </w:rPr>
        <w:t> </w:t>
      </w:r>
      <w:r>
        <w:rPr>
          <w:rFonts w:ascii="Arial" w:hAnsi="Arial" w:cs="Arial" w:eastAsia="Arial" w:hint="default"/>
        </w:rPr>
        <w:t>5%)</w:t>
      </w:r>
      <w:r>
        <w:rPr/>
        <w:t>以上 表决权股份的股东的欠款。</w:t>
      </w:r>
    </w:p>
    <w:p>
      <w:pPr>
        <w:spacing w:after="0" w:line="312" w:lineRule="exact"/>
        <w:jc w:val="left"/>
        <w:sectPr>
          <w:type w:val="continuous"/>
          <w:pgSz w:w="11910" w:h="16840"/>
          <w:pgMar w:top="1600" w:bottom="280" w:left="1020" w:right="4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14" w:val="left" w:leader="none"/>
        </w:tabs>
        <w:spacing w:line="240" w:lineRule="auto"/>
        <w:ind w:right="883"/>
        <w:jc w:val="left"/>
        <w:rPr>
          <w:rFonts w:ascii="Arial" w:hAnsi="Arial" w:cs="Arial" w:eastAsia="Arial" w:hint="default"/>
          <w:b w:val="0"/>
          <w:bCs w:val="0"/>
        </w:rPr>
      </w:pPr>
      <w:r>
        <w:rPr>
          <w:w w:val="95"/>
        </w:rPr>
        <w:t>十</w:t>
        <w:tab/>
      </w:r>
      <w:r>
        <w:rPr/>
        <w:t>母公司财务报表主要项目附注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4" w:val="left" w:leader="none"/>
        </w:tabs>
        <w:spacing w:before="0"/>
        <w:ind w:left="107" w:right="883" w:firstLine="0"/>
        <w:jc w:val="left"/>
        <w:rPr>
          <w:rFonts w:ascii="Arial" w:hAnsi="Arial" w:cs="Arial" w:eastAsia="Arial" w:hint="default"/>
          <w:sz w:val="24"/>
          <w:szCs w:val="24"/>
        </w:rPr>
      </w:pPr>
      <w:r>
        <w:rPr>
          <w:rFonts w:ascii="Arial" w:hAnsi="Arial" w:cs="Arial" w:eastAsia="Arial" w:hint="default"/>
          <w:position w:val="2"/>
          <w:sz w:val="24"/>
          <w:szCs w:val="24"/>
        </w:rPr>
        <w:t>(1)</w:t>
        <w:tab/>
      </w:r>
      <w:r>
        <w:rPr>
          <w:rFonts w:ascii="宋体" w:hAnsi="宋体" w:cs="宋体" w:eastAsia="宋体" w:hint="default"/>
          <w:b/>
          <w:bCs/>
          <w:sz w:val="24"/>
          <w:szCs w:val="24"/>
        </w:rPr>
        <w:t>应收账款及其他应收款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06" w:val="left" w:leader="none"/>
        </w:tabs>
        <w:spacing w:line="240" w:lineRule="auto"/>
        <w:ind w:left="108" w:right="883"/>
        <w:jc w:val="left"/>
        <w:rPr>
          <w:rFonts w:ascii="Arial" w:hAnsi="Arial" w:cs="Arial" w:eastAsia="Arial" w:hint="default"/>
        </w:rPr>
      </w:pPr>
      <w:r>
        <w:rPr>
          <w:rFonts w:ascii="Arial" w:hAnsi="Arial" w:cs="Arial" w:eastAsia="Arial" w:hint="default"/>
          <w:position w:val="2"/>
        </w:rPr>
        <w:t>(a)</w:t>
        <w:tab/>
      </w:r>
      <w:r>
        <w:rPr/>
        <w:t>应收账款</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spacing w:line="322" w:lineRule="exact"/>
        <w:ind w:left="814" w:right="0"/>
        <w:jc w:val="left"/>
        <w:rPr>
          <w:rFonts w:ascii="Arial" w:hAnsi="Arial" w:cs="Arial" w:eastAsia="Arial" w:hint="default"/>
        </w:rPr>
      </w:pPr>
      <w:r>
        <w:rPr/>
        <w:t>于</w:t>
      </w:r>
      <w:r>
        <w:rPr>
          <w:spacing w:val="-60"/>
        </w:rPr>
        <w:t> </w:t>
      </w:r>
      <w:r>
        <w:rPr>
          <w:rFonts w:ascii="Arial" w:hAnsi="Arial" w:cs="Arial" w:eastAsia="Arial" w:hint="default"/>
          <w:spacing w:val="-1"/>
        </w:rPr>
        <w:t>200</w:t>
      </w:r>
      <w:r>
        <w:rPr>
          <w:rFonts w:ascii="Arial" w:hAnsi="Arial" w:cs="Arial" w:eastAsia="Arial" w:hint="default"/>
        </w:rPr>
        <w:t>7</w:t>
      </w:r>
      <w:r>
        <w:rPr>
          <w:rFonts w:ascii="Arial" w:hAnsi="Arial" w:cs="Arial" w:eastAsia="Arial" w:hint="default"/>
          <w:spacing w:val="-7"/>
        </w:rPr>
        <w:t> </w:t>
      </w:r>
      <w:r>
        <w:rPr/>
        <w:t>年</w:t>
      </w:r>
      <w:r>
        <w:rPr>
          <w:spacing w:val="-59"/>
        </w:rPr>
        <w:t> </w:t>
      </w:r>
      <w:r>
        <w:rPr>
          <w:rFonts w:ascii="Arial" w:hAnsi="Arial" w:cs="Arial" w:eastAsia="Arial" w:hint="default"/>
          <w:spacing w:val="-1"/>
        </w:rPr>
        <w:t>1</w:t>
      </w:r>
      <w:r>
        <w:rPr>
          <w:rFonts w:ascii="Arial" w:hAnsi="Arial" w:cs="Arial" w:eastAsia="Arial" w:hint="default"/>
        </w:rPr>
        <w:t>2</w:t>
      </w:r>
      <w:r>
        <w:rPr>
          <w:rFonts w:ascii="Arial" w:hAnsi="Arial" w:cs="Arial" w:eastAsia="Arial" w:hint="default"/>
          <w:spacing w:val="-7"/>
        </w:rPr>
        <w:t> </w:t>
      </w:r>
      <w:r>
        <w:rPr/>
        <w:t>月</w:t>
      </w:r>
      <w:r>
        <w:rPr>
          <w:spacing w:val="-60"/>
        </w:rPr>
        <w:t> </w:t>
      </w:r>
      <w:r>
        <w:rPr>
          <w:rFonts w:ascii="Arial" w:hAnsi="Arial" w:cs="Arial" w:eastAsia="Arial" w:hint="default"/>
          <w:spacing w:val="-1"/>
        </w:rPr>
        <w:t>3</w:t>
      </w:r>
      <w:r>
        <w:rPr>
          <w:rFonts w:ascii="Arial" w:hAnsi="Arial" w:cs="Arial" w:eastAsia="Arial" w:hint="default"/>
        </w:rPr>
        <w:t>1</w:t>
      </w:r>
      <w:r>
        <w:rPr>
          <w:rFonts w:ascii="Arial" w:hAnsi="Arial" w:cs="Arial" w:eastAsia="Arial" w:hint="default"/>
          <w:spacing w:val="-7"/>
        </w:rPr>
        <w:t> </w:t>
      </w:r>
      <w:r>
        <w:rPr>
          <w:spacing w:val="1"/>
        </w:rPr>
        <w:t>日</w:t>
      </w:r>
      <w:r>
        <w:rPr>
          <w:spacing w:val="-111"/>
        </w:rPr>
        <w:t>，</w:t>
      </w:r>
      <w:r>
        <w:rPr/>
        <w:t>应收账款前五名债务人欠款金额合计约为人民币</w:t>
      </w:r>
      <w:r>
        <w:rPr>
          <w:spacing w:val="-60"/>
        </w:rPr>
        <w:t> </w:t>
      </w:r>
      <w:r>
        <w:rPr>
          <w:rFonts w:ascii="Arial" w:hAnsi="Arial" w:cs="Arial" w:eastAsia="Arial" w:hint="default"/>
          <w:spacing w:val="-1"/>
        </w:rPr>
        <w:t>12.2</w:t>
      </w:r>
      <w:r>
        <w:rPr>
          <w:rFonts w:ascii="Arial" w:hAnsi="Arial" w:cs="Arial" w:eastAsia="Arial" w:hint="default"/>
        </w:rPr>
        <w:t>7</w:t>
      </w:r>
      <w:r>
        <w:rPr>
          <w:rFonts w:ascii="Arial" w:hAnsi="Arial" w:cs="Arial" w:eastAsia="Arial" w:hint="default"/>
          <w:spacing w:val="-7"/>
        </w:rPr>
        <w:t> </w:t>
      </w:r>
      <w:r>
        <w:rPr/>
        <w:t>亿元</w:t>
      </w:r>
      <w:r>
        <w:rPr>
          <w:rFonts w:ascii="Arial" w:hAnsi="Arial" w:cs="Arial" w:eastAsia="Arial" w:hint="default"/>
          <w:spacing w:val="-1"/>
        </w:rPr>
        <w:t>(2006</w:t>
      </w:r>
      <w:r>
        <w:rPr>
          <w:rFonts w:ascii="Arial" w:hAnsi="Arial" w:cs="Arial" w:eastAsia="Arial" w:hint="default"/>
        </w:rPr>
      </w:r>
    </w:p>
    <w:p>
      <w:pPr>
        <w:pStyle w:val="BodyText"/>
        <w:spacing w:line="312" w:lineRule="exact"/>
        <w:ind w:left="814" w:right="0"/>
        <w:jc w:val="left"/>
        <w:rPr>
          <w:rFonts w:ascii="Arial" w:hAnsi="Arial" w:cs="Arial" w:eastAsia="Arial" w:hint="default"/>
        </w:rPr>
      </w:pPr>
      <w:r>
        <w:rPr/>
        <w:t>年</w:t>
      </w:r>
      <w:r>
        <w:rPr>
          <w:spacing w:val="-53"/>
        </w:rPr>
        <w:t> </w:t>
      </w:r>
      <w:r>
        <w:rPr>
          <w:rFonts w:ascii="Arial" w:hAnsi="Arial" w:cs="Arial" w:eastAsia="Arial" w:hint="default"/>
        </w:rPr>
        <w:t>12 </w:t>
      </w:r>
      <w:r>
        <w:rPr/>
        <w:t>月</w:t>
      </w:r>
      <w:r>
        <w:rPr>
          <w:spacing w:val="-53"/>
        </w:rPr>
        <w:t> </w:t>
      </w:r>
      <w:r>
        <w:rPr>
          <w:rFonts w:ascii="Arial" w:hAnsi="Arial" w:cs="Arial" w:eastAsia="Arial" w:hint="default"/>
        </w:rPr>
        <w:t>31 </w:t>
      </w:r>
      <w:r>
        <w:rPr/>
        <w:t>日：约人民币</w:t>
      </w:r>
      <w:r>
        <w:rPr>
          <w:spacing w:val="-53"/>
        </w:rPr>
        <w:t> </w:t>
      </w:r>
      <w:r>
        <w:rPr>
          <w:rFonts w:ascii="Arial" w:hAnsi="Arial" w:cs="Arial" w:eastAsia="Arial" w:hint="default"/>
        </w:rPr>
        <w:t>2.74</w:t>
      </w:r>
      <w:r>
        <w:rPr>
          <w:rFonts w:ascii="Arial" w:hAnsi="Arial" w:cs="Arial" w:eastAsia="Arial" w:hint="default"/>
          <w:spacing w:val="-1"/>
        </w:rPr>
        <w:t> </w:t>
      </w:r>
      <w:r>
        <w:rPr/>
        <w:t>亿元</w:t>
      </w:r>
      <w:r>
        <w:rPr>
          <w:rFonts w:ascii="Arial" w:hAnsi="Arial" w:cs="Arial" w:eastAsia="Arial" w:hint="default"/>
        </w:rPr>
        <w:t>)</w:t>
      </w:r>
      <w:r>
        <w:rPr/>
        <w:t>，账龄为</w:t>
      </w:r>
      <w:r>
        <w:rPr>
          <w:spacing w:val="-53"/>
        </w:rPr>
        <w:t> </w:t>
      </w:r>
      <w:r>
        <w:rPr>
          <w:rFonts w:ascii="Arial" w:hAnsi="Arial" w:cs="Arial" w:eastAsia="Arial" w:hint="default"/>
        </w:rPr>
        <w:t>1 </w:t>
      </w:r>
      <w:r>
        <w:rPr/>
        <w:t>年以内，占应收账款总额的</w:t>
      </w:r>
      <w:r>
        <w:rPr>
          <w:spacing w:val="-53"/>
        </w:rPr>
        <w:t> </w:t>
      </w:r>
      <w:r>
        <w:rPr>
          <w:rFonts w:ascii="Arial" w:hAnsi="Arial" w:cs="Arial" w:eastAsia="Arial" w:hint="default"/>
        </w:rPr>
        <w:t>51.8%(2006</w:t>
      </w:r>
    </w:p>
    <w:p>
      <w:pPr>
        <w:pStyle w:val="BodyText"/>
        <w:spacing w:line="322" w:lineRule="exact"/>
        <w:ind w:left="814" w:right="883"/>
        <w:jc w:val="left"/>
      </w:pP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r>
        <w:rPr>
          <w:rFonts w:ascii="Arial" w:hAnsi="Arial" w:cs="Arial" w:eastAsia="Arial" w:hint="default"/>
        </w:rPr>
        <w:t>58.1%)</w:t>
      </w:r>
      <w:r>
        <w:rPr/>
        <w:t>。</w:t>
      </w:r>
    </w:p>
    <w:p>
      <w:pPr>
        <w:spacing w:line="240" w:lineRule="auto" w:before="8"/>
        <w:rPr>
          <w:rFonts w:ascii="宋体" w:hAnsi="宋体" w:cs="宋体" w:eastAsia="宋体" w:hint="default"/>
          <w:sz w:val="19"/>
          <w:szCs w:val="19"/>
        </w:rPr>
      </w:pPr>
    </w:p>
    <w:p>
      <w:pPr>
        <w:pStyle w:val="BodyText"/>
        <w:spacing w:line="322" w:lineRule="exact"/>
        <w:ind w:left="814" w:right="0"/>
        <w:jc w:val="left"/>
      </w:pPr>
      <w:r>
        <w:rPr/>
        <w:t>于</w:t>
      </w:r>
      <w:r>
        <w:rPr>
          <w:spacing w:val="-59"/>
        </w:rPr>
        <w:t> </w:t>
      </w:r>
      <w:r>
        <w:rPr>
          <w:rFonts w:ascii="Arial" w:hAnsi="Arial" w:cs="Arial" w:eastAsia="Arial" w:hint="default"/>
        </w:rPr>
        <w:t>2007</w:t>
      </w:r>
      <w:r>
        <w:rPr>
          <w:rFonts w:ascii="Arial" w:hAnsi="Arial" w:cs="Arial" w:eastAsia="Arial" w:hint="default"/>
          <w:spacing w:val="-6"/>
        </w:rPr>
        <w:t> </w:t>
      </w:r>
      <w:r>
        <w:rPr/>
        <w:t>年</w:t>
      </w:r>
      <w:r>
        <w:rPr>
          <w:spacing w:val="-58"/>
        </w:rPr>
        <w:t> </w:t>
      </w:r>
      <w:r>
        <w:rPr>
          <w:rFonts w:ascii="Arial" w:hAnsi="Arial" w:cs="Arial" w:eastAsia="Arial" w:hint="default"/>
        </w:rPr>
        <w:t>12</w:t>
      </w:r>
      <w:r>
        <w:rPr>
          <w:rFonts w:ascii="Arial" w:hAnsi="Arial" w:cs="Arial" w:eastAsia="Arial" w:hint="default"/>
          <w:spacing w:val="-6"/>
        </w:rPr>
        <w:t> </w:t>
      </w:r>
      <w:r>
        <w:rPr/>
        <w:t>月</w:t>
      </w:r>
      <w:r>
        <w:rPr>
          <w:spacing w:val="-59"/>
        </w:rPr>
        <w:t> </w:t>
      </w:r>
      <w:r>
        <w:rPr>
          <w:rFonts w:ascii="Arial" w:hAnsi="Arial" w:cs="Arial" w:eastAsia="Arial" w:hint="default"/>
        </w:rPr>
        <w:t>31</w:t>
      </w:r>
      <w:r>
        <w:rPr>
          <w:rFonts w:ascii="Arial" w:hAnsi="Arial" w:cs="Arial" w:eastAsia="Arial" w:hint="default"/>
          <w:spacing w:val="-6"/>
        </w:rPr>
        <w:t> </w:t>
      </w:r>
      <w:r>
        <w:rPr/>
        <w:t>日，本公司应收账款中约人民币</w:t>
      </w:r>
      <w:r>
        <w:rPr>
          <w:spacing w:val="-59"/>
        </w:rPr>
        <w:t> </w:t>
      </w:r>
      <w:r>
        <w:rPr>
          <w:rFonts w:ascii="Arial" w:hAnsi="Arial" w:cs="Arial" w:eastAsia="Arial" w:hint="default"/>
        </w:rPr>
        <w:t>23.42</w:t>
      </w:r>
      <w:r>
        <w:rPr>
          <w:rFonts w:ascii="Arial" w:hAnsi="Arial" w:cs="Arial" w:eastAsia="Arial" w:hint="default"/>
          <w:spacing w:val="-6"/>
        </w:rPr>
        <w:t> </w:t>
      </w:r>
      <w:r>
        <w:rPr/>
        <w:t>亿元系应收本集团子公司之款</w:t>
      </w:r>
    </w:p>
    <w:p>
      <w:pPr>
        <w:pStyle w:val="BodyText"/>
        <w:tabs>
          <w:tab w:pos="796" w:val="left" w:leader="none"/>
        </w:tabs>
        <w:spacing w:line="427" w:lineRule="auto"/>
        <w:ind w:left="107" w:right="4833" w:firstLine="706"/>
        <w:jc w:val="left"/>
      </w:pPr>
      <w:r>
        <w:rPr/>
        <w:t>项</w:t>
      </w:r>
      <w:r>
        <w:rPr>
          <w:rFonts w:ascii="Arial" w:hAnsi="Arial" w:cs="Arial" w:eastAsia="Arial" w:hint="default"/>
        </w:rPr>
        <w:t>(2006</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日：约人民币</w:t>
      </w:r>
      <w:r>
        <w:rPr>
          <w:spacing w:val="-62"/>
        </w:rPr>
        <w:t> </w:t>
      </w:r>
      <w:r>
        <w:rPr>
          <w:rFonts w:ascii="Arial" w:hAnsi="Arial" w:cs="Arial" w:eastAsia="Arial" w:hint="default"/>
        </w:rPr>
        <w:t>4.27</w:t>
      </w:r>
      <w:r>
        <w:rPr>
          <w:rFonts w:ascii="Arial" w:hAnsi="Arial" w:cs="Arial" w:eastAsia="Arial" w:hint="default"/>
          <w:spacing w:val="-9"/>
        </w:rPr>
        <w:t> </w:t>
      </w:r>
      <w:r>
        <w:rPr/>
        <w:t>亿元</w:t>
      </w:r>
      <w:r>
        <w:rPr>
          <w:rFonts w:ascii="Arial" w:hAnsi="Arial" w:cs="Arial" w:eastAsia="Arial" w:hint="default"/>
        </w:rPr>
        <w:t>) </w:t>
      </w:r>
      <w:r>
        <w:rPr>
          <w:rFonts w:ascii="Arial" w:hAnsi="Arial" w:cs="Arial" w:eastAsia="Arial" w:hint="default"/>
          <w:position w:val="2"/>
        </w:rPr>
        <w:t>(b)</w:t>
        <w:tab/>
      </w:r>
      <w:r>
        <w:rPr/>
        <w:t>其他应收款</w:t>
      </w:r>
    </w:p>
    <w:p>
      <w:pPr>
        <w:spacing w:after="0" w:line="427" w:lineRule="auto"/>
        <w:jc w:val="left"/>
        <w:sectPr>
          <w:pgSz w:w="11910" w:h="16840"/>
          <w:pgMar w:header="748" w:footer="708" w:top="980" w:bottom="900" w:left="1020" w:right="480"/>
        </w:sectPr>
      </w:pPr>
    </w:p>
    <w:p>
      <w:pPr>
        <w:pStyle w:val="BodyText"/>
        <w:spacing w:line="322" w:lineRule="exact" w:before="62"/>
        <w:ind w:left="0" w:right="0"/>
        <w:jc w:val="right"/>
      </w:pPr>
      <w:r>
        <w:rPr>
          <w:rFonts w:ascii="Arial" w:hAnsi="Arial" w:cs="Arial" w:eastAsia="Arial" w:hint="default"/>
        </w:rPr>
        <w:t>2006</w:t>
      </w:r>
      <w:r>
        <w:rPr>
          <w:rFonts w:ascii="Arial" w:hAnsi="Arial" w:cs="Arial" w:eastAsia="Arial" w:hint="default"/>
          <w:spacing w:val="-10"/>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before="62"/>
        <w:ind w:left="0" w:right="216"/>
        <w:jc w:val="right"/>
      </w:pPr>
      <w:r>
        <w:rPr/>
        <w:br w:type="column"/>
      </w:r>
      <w:r>
        <w:rPr>
          <w:rFonts w:ascii="Arial" w:hAnsi="Arial" w:cs="Arial" w:eastAsia="Arial" w:hint="default"/>
        </w:rPr>
        <w:t>2007</w:t>
      </w:r>
      <w:r>
        <w:rPr>
          <w:rFonts w:ascii="Arial" w:hAnsi="Arial" w:cs="Arial" w:eastAsia="Arial" w:hint="default"/>
          <w:spacing w:val="-10"/>
        </w:rPr>
        <w:t> </w:t>
      </w:r>
      <w:r>
        <w:rPr/>
        <w:t>年</w:t>
      </w:r>
    </w:p>
    <w:p>
      <w:pPr>
        <w:pStyle w:val="BodyText"/>
        <w:spacing w:line="322" w:lineRule="exact"/>
        <w:ind w:left="0" w:right="219"/>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right"/>
        <w:sectPr>
          <w:type w:val="continuous"/>
          <w:pgSz w:w="11910" w:h="16840"/>
          <w:pgMar w:top="1600" w:bottom="280" w:left="1020" w:right="480"/>
          <w:cols w:num="2" w:equalWidth="0">
            <w:col w:w="4957" w:space="273"/>
            <w:col w:w="5180"/>
          </w:cols>
        </w:sectPr>
      </w:pPr>
    </w:p>
    <w:p>
      <w:pPr>
        <w:pStyle w:val="BodyText"/>
        <w:tabs>
          <w:tab w:pos="8605" w:val="left" w:leader="none"/>
        </w:tabs>
        <w:spacing w:line="312" w:lineRule="exact"/>
        <w:ind w:left="3375" w:right="0"/>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4172" w:val="left" w:leader="none"/>
          <w:tab w:pos="9332" w:val="left" w:leader="none"/>
        </w:tabs>
        <w:spacing w:line="313" w:lineRule="exact"/>
        <w:ind w:left="814" w:right="0"/>
        <w:jc w:val="left"/>
        <w:rPr>
          <w:rFonts w:ascii="Arial" w:hAnsi="Arial" w:cs="Arial" w:eastAsia="Arial" w:hint="default"/>
        </w:rPr>
      </w:pPr>
      <w:r>
        <w:rPr/>
        <w:t>集团内部往来款项</w:t>
        <w:tab/>
      </w:r>
      <w:r>
        <w:rPr>
          <w:rFonts w:ascii="Arial" w:hAnsi="Arial" w:cs="Arial" w:eastAsia="Arial" w:hint="default"/>
          <w:spacing w:val="-1"/>
          <w:position w:val="2"/>
        </w:rPr>
        <w:t>14,186</w:t>
        <w:tab/>
        <w:t>36,691</w:t>
      </w:r>
      <w:r>
        <w:rPr>
          <w:rFonts w:ascii="Arial" w:hAnsi="Arial" w:cs="Arial" w:eastAsia="Arial" w:hint="default"/>
        </w:rPr>
      </w:r>
    </w:p>
    <w:p>
      <w:pPr>
        <w:pStyle w:val="BodyText"/>
        <w:tabs>
          <w:tab w:pos="4305" w:val="left" w:leader="none"/>
          <w:tab w:pos="9465" w:val="left" w:leader="none"/>
        </w:tabs>
        <w:spacing w:line="312" w:lineRule="exact"/>
        <w:ind w:left="814" w:right="0"/>
        <w:jc w:val="left"/>
        <w:rPr>
          <w:rFonts w:ascii="Arial" w:hAnsi="Arial" w:cs="Arial" w:eastAsia="Arial" w:hint="default"/>
        </w:rPr>
      </w:pPr>
      <w:r>
        <w:rPr/>
        <w:t>押金及保证金</w:t>
        <w:tab/>
      </w:r>
      <w:r>
        <w:rPr>
          <w:rFonts w:ascii="Arial" w:hAnsi="Arial" w:cs="Arial" w:eastAsia="Arial" w:hint="default"/>
          <w:spacing w:val="-1"/>
          <w:position w:val="2"/>
        </w:rPr>
        <w:t>2,308</w:t>
        <w:tab/>
        <w:t>3,317</w:t>
      </w:r>
      <w:r>
        <w:rPr>
          <w:rFonts w:ascii="Arial" w:hAnsi="Arial" w:cs="Arial" w:eastAsia="Arial" w:hint="default"/>
        </w:rPr>
      </w:r>
    </w:p>
    <w:p>
      <w:pPr>
        <w:pStyle w:val="BodyText"/>
        <w:tabs>
          <w:tab w:pos="4305" w:val="left" w:leader="none"/>
          <w:tab w:pos="9465" w:val="left" w:leader="none"/>
        </w:tabs>
        <w:spacing w:line="312" w:lineRule="exact"/>
        <w:ind w:left="814" w:right="0"/>
        <w:jc w:val="left"/>
        <w:rPr>
          <w:rFonts w:ascii="Arial" w:hAnsi="Arial" w:cs="Arial" w:eastAsia="Arial" w:hint="default"/>
        </w:rPr>
      </w:pPr>
      <w:r>
        <w:rPr/>
        <w:t>员工借款</w:t>
        <w:tab/>
      </w:r>
      <w:r>
        <w:rPr>
          <w:rFonts w:ascii="Arial" w:hAnsi="Arial" w:cs="Arial" w:eastAsia="Arial" w:hint="default"/>
          <w:spacing w:val="-1"/>
          <w:position w:val="2"/>
        </w:rPr>
        <w:t>3,594</w:t>
        <w:tab/>
        <w:t>1,983</w:t>
      </w:r>
      <w:r>
        <w:rPr>
          <w:rFonts w:ascii="Arial" w:hAnsi="Arial" w:cs="Arial" w:eastAsia="Arial" w:hint="default"/>
        </w:rPr>
      </w:r>
    </w:p>
    <w:p>
      <w:pPr>
        <w:pStyle w:val="BodyText"/>
        <w:tabs>
          <w:tab w:pos="4172" w:val="left" w:leader="none"/>
          <w:tab w:pos="9465" w:val="left" w:leader="none"/>
        </w:tabs>
        <w:spacing w:line="313" w:lineRule="exact"/>
        <w:ind w:left="814" w:right="0"/>
        <w:jc w:val="left"/>
        <w:rPr>
          <w:rFonts w:ascii="Arial" w:hAnsi="Arial" w:cs="Arial" w:eastAsia="Arial" w:hint="default"/>
        </w:rPr>
      </w:pPr>
      <w:r>
        <w:rPr/>
        <w:t>其它</w:t>
        <w:tab/>
      </w:r>
      <w:r>
        <w:rPr>
          <w:rFonts w:ascii="Arial" w:hAnsi="Arial" w:cs="Arial" w:eastAsia="Arial" w:hint="default"/>
          <w:spacing w:val="-1"/>
          <w:position w:val="2"/>
        </w:rPr>
        <w:t>10,213</w:t>
        <w:tab/>
        <w:t>5,561</w:t>
      </w:r>
      <w:r>
        <w:rPr>
          <w:rFonts w:ascii="Arial" w:hAnsi="Arial" w:cs="Arial" w:eastAsia="Arial" w:hint="default"/>
        </w:rPr>
      </w:r>
    </w:p>
    <w:p>
      <w:pPr>
        <w:spacing w:line="240" w:lineRule="auto" w:before="3"/>
        <w:rPr>
          <w:rFonts w:ascii="Arial" w:hAnsi="Arial" w:cs="Arial" w:eastAsia="Arial" w:hint="default"/>
          <w:sz w:val="3"/>
          <w:szCs w:val="3"/>
        </w:rPr>
      </w:pPr>
    </w:p>
    <w:p>
      <w:pPr>
        <w:tabs>
          <w:tab w:pos="8445" w:val="left" w:leader="none"/>
        </w:tabs>
        <w:spacing w:line="20" w:lineRule="exact"/>
        <w:ind w:left="3223" w:right="0" w:firstLine="0"/>
        <w:rPr>
          <w:rFonts w:ascii="Arial" w:hAnsi="Arial" w:cs="Arial" w:eastAsia="Arial" w:hint="default"/>
          <w:sz w:val="2"/>
          <w:szCs w:val="2"/>
        </w:rPr>
      </w:pPr>
      <w:r>
        <w:rPr>
          <w:rFonts w:ascii="Arial"/>
          <w:sz w:val="2"/>
        </w:rPr>
        <w:pict>
          <v:group style="width:91.95pt;height:.5pt;mso-position-horizontal-relative:char;mso-position-vertical-relative:line" coordorigin="0,0" coordsize="1839,10">
            <v:group style="position:absolute;left:5;top:5;width:1829;height:2" coordorigin="5,5" coordsize="1829,2">
              <v:shape style="position:absolute;left:5;top:5;width:1829;height:2" coordorigin="5,5" coordsize="1829,0" path="m5,5l1834,5e" filled="false" stroked="true" strokeweight=".48001pt" strokecolor="#000000">
                <v:path arrowok="t"/>
              </v:shape>
            </v:group>
          </v:group>
        </w:pict>
      </w:r>
      <w:r>
        <w:rPr>
          <w:rFonts w:ascii="Arial"/>
          <w:sz w:val="2"/>
        </w:rPr>
      </w:r>
      <w:r>
        <w:rPr>
          <w:rFonts w:ascii="Arial"/>
          <w:sz w:val="2"/>
        </w:rPr>
        <w:tab/>
      </w:r>
      <w:r>
        <w:rPr>
          <w:rFonts w:ascii="Arial"/>
          <w:sz w:val="2"/>
        </w:rPr>
        <w:pict>
          <v:group style="width:92.3pt;height:.5pt;mso-position-horizontal-relative:char;mso-position-vertical-relative:line" coordorigin="0,0" coordsize="1846,10">
            <v:group style="position:absolute;left:5;top:5;width:1836;height:2" coordorigin="5,5" coordsize="1836,2">
              <v:shape style="position:absolute;left:5;top:5;width:1836;height:2" coordorigin="5,5" coordsize="1836,0" path="m5,5l1841,5e" filled="false" stroked="true" strokeweight=".48001pt" strokecolor="#000000">
                <v:path arrowok="t"/>
              </v:shape>
            </v:group>
          </v:group>
        </w:pict>
      </w:r>
      <w:r>
        <w:rPr>
          <w:rFonts w:ascii="Arial"/>
          <w:sz w:val="2"/>
        </w:rPr>
      </w:r>
    </w:p>
    <w:p>
      <w:pPr>
        <w:pStyle w:val="BodyText"/>
        <w:tabs>
          <w:tab w:pos="9332" w:val="left" w:leader="none"/>
        </w:tabs>
        <w:spacing w:line="245" w:lineRule="exact"/>
        <w:ind w:left="4172" w:right="0"/>
        <w:jc w:val="left"/>
        <w:rPr>
          <w:rFonts w:ascii="Arial" w:hAnsi="Arial" w:cs="Arial" w:eastAsia="Arial" w:hint="default"/>
        </w:rPr>
      </w:pPr>
      <w:r>
        <w:rPr>
          <w:rFonts w:ascii="Arial"/>
          <w:spacing w:val="-1"/>
        </w:rPr>
        <w:t>30,301</w:t>
        <w:tab/>
        <w:t>47,552</w:t>
      </w:r>
      <w:r>
        <w:rPr>
          <w:rFonts w:ascii="Arial"/>
        </w:rPr>
      </w:r>
    </w:p>
    <w:p>
      <w:pPr>
        <w:pStyle w:val="BodyText"/>
        <w:tabs>
          <w:tab w:pos="4763" w:val="left" w:leader="none"/>
        </w:tabs>
        <w:spacing w:line="295" w:lineRule="exact"/>
        <w:ind w:left="3195" w:right="0"/>
        <w:jc w:val="center"/>
      </w:pPr>
      <w:r>
        <w:rPr/>
        <w:t>本年增加</w:t>
        <w:tab/>
        <w:t>本年减少</w:t>
      </w:r>
    </w:p>
    <w:p>
      <w:pPr>
        <w:pStyle w:val="BodyText"/>
        <w:spacing w:line="330" w:lineRule="exact"/>
        <w:ind w:left="3119" w:right="0"/>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0"/>
        <w:rPr>
          <w:rFonts w:ascii="Arial" w:hAnsi="Arial" w:cs="Arial" w:eastAsia="Arial" w:hint="default"/>
          <w:sz w:val="3"/>
          <w:szCs w:val="3"/>
        </w:rPr>
      </w:pPr>
    </w:p>
    <w:tbl>
      <w:tblPr>
        <w:tblW w:w="0" w:type="auto"/>
        <w:jc w:val="left"/>
        <w:tblInd w:w="779" w:type="dxa"/>
        <w:tblLayout w:type="fixed"/>
        <w:tblCellMar>
          <w:top w:w="0" w:type="dxa"/>
          <w:left w:w="0" w:type="dxa"/>
          <w:bottom w:w="0" w:type="dxa"/>
          <w:right w:w="0" w:type="dxa"/>
        </w:tblCellMar>
        <w:tblLook w:val="01E0"/>
      </w:tblPr>
      <w:tblGrid>
        <w:gridCol w:w="2448"/>
        <w:gridCol w:w="1829"/>
        <w:gridCol w:w="287"/>
        <w:gridCol w:w="2821"/>
        <w:gridCol w:w="286"/>
        <w:gridCol w:w="1836"/>
      </w:tblGrid>
      <w:tr>
        <w:trPr>
          <w:trHeight w:val="302"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59" w:lineRule="exact"/>
              <w:ind w:right="69"/>
              <w:jc w:val="right"/>
              <w:rPr>
                <w:rFonts w:ascii="Arial" w:hAnsi="Arial" w:cs="Arial" w:eastAsia="Arial" w:hint="default"/>
                <w:sz w:val="24"/>
                <w:szCs w:val="24"/>
              </w:rPr>
            </w:pPr>
            <w:r>
              <w:rPr>
                <w:rFonts w:ascii="Arial"/>
                <w:spacing w:val="-1"/>
                <w:sz w:val="24"/>
              </w:rPr>
              <w:t>(6,093)</w:t>
            </w:r>
            <w:r>
              <w:rPr>
                <w:rFonts w:ascii="Arial"/>
                <w:sz w:val="24"/>
              </w:rPr>
            </w:r>
          </w:p>
        </w:tc>
        <w:tc>
          <w:tcPr>
            <w:tcW w:w="287"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single" w:sz="4" w:space="0" w:color="000000"/>
              <w:right w:val="nil" w:sz="6" w:space="0" w:color="auto"/>
            </w:tcBorders>
          </w:tcPr>
          <w:p>
            <w:pPr>
              <w:pStyle w:val="TableParagraph"/>
              <w:tabs>
                <w:tab w:pos="2119" w:val="left" w:leader="none"/>
              </w:tabs>
              <w:spacing w:line="259" w:lineRule="exact"/>
              <w:ind w:left="1075" w:right="0"/>
              <w:jc w:val="left"/>
              <w:rPr>
                <w:rFonts w:ascii="Arial" w:hAnsi="Arial" w:cs="Arial" w:eastAsia="Arial" w:hint="default"/>
                <w:sz w:val="24"/>
                <w:szCs w:val="24"/>
              </w:rPr>
            </w:pPr>
            <w:r>
              <w:rPr>
                <w:rFonts w:ascii="Arial"/>
                <w:sz w:val="24"/>
              </w:rPr>
              <w:t>-</w:t>
              <w:tab/>
              <w:t>4,225</w:t>
            </w:r>
          </w:p>
        </w:tc>
        <w:tc>
          <w:tcPr>
            <w:tcW w:w="286"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single" w:sz="4" w:space="0" w:color="000000"/>
              <w:right w:val="nil" w:sz="6" w:space="0" w:color="auto"/>
            </w:tcBorders>
          </w:tcPr>
          <w:p>
            <w:pPr>
              <w:pStyle w:val="TableParagraph"/>
              <w:spacing w:line="259" w:lineRule="exact"/>
              <w:ind w:right="139"/>
              <w:jc w:val="right"/>
              <w:rPr>
                <w:rFonts w:ascii="Arial" w:hAnsi="Arial" w:cs="Arial" w:eastAsia="Arial" w:hint="default"/>
                <w:sz w:val="24"/>
                <w:szCs w:val="24"/>
              </w:rPr>
            </w:pPr>
            <w:r>
              <w:rPr>
                <w:rFonts w:ascii="Arial"/>
                <w:spacing w:val="-1"/>
                <w:sz w:val="24"/>
              </w:rPr>
              <w:t>(1,868)</w:t>
            </w:r>
            <w:r>
              <w:rPr>
                <w:rFonts w:ascii="Arial"/>
                <w:sz w:val="24"/>
              </w:rPr>
            </w:r>
          </w:p>
        </w:tc>
      </w:tr>
      <w:tr>
        <w:trPr>
          <w:trHeight w:val="296" w:hRule="exact"/>
        </w:trPr>
        <w:tc>
          <w:tcPr>
            <w:tcW w:w="2448"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49"/>
              <w:jc w:val="right"/>
              <w:rPr>
                <w:rFonts w:ascii="Arial" w:hAnsi="Arial" w:cs="Arial" w:eastAsia="Arial" w:hint="default"/>
                <w:sz w:val="24"/>
                <w:szCs w:val="24"/>
              </w:rPr>
            </w:pPr>
            <w:r>
              <w:rPr>
                <w:rFonts w:ascii="Arial"/>
                <w:spacing w:val="-1"/>
                <w:sz w:val="24"/>
              </w:rPr>
              <w:t>24,208</w:t>
            </w:r>
            <w:r>
              <w:rPr>
                <w:rFonts w:ascii="Arial"/>
                <w:sz w:val="24"/>
              </w:rPr>
            </w:r>
          </w:p>
        </w:tc>
        <w:tc>
          <w:tcPr>
            <w:tcW w:w="287" w:type="dxa"/>
            <w:tcBorders>
              <w:top w:val="nil" w:sz="6" w:space="0" w:color="auto"/>
              <w:left w:val="nil" w:sz="6" w:space="0" w:color="auto"/>
              <w:bottom w:val="nil" w:sz="6" w:space="0" w:color="auto"/>
              <w:right w:val="nil" w:sz="6" w:space="0" w:color="auto"/>
            </w:tcBorders>
          </w:tcPr>
          <w:p>
            <w:pPr/>
          </w:p>
        </w:tc>
        <w:tc>
          <w:tcPr>
            <w:tcW w:w="282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Arial" w:hAnsi="Arial" w:cs="Arial" w:eastAsia="Arial" w:hint="default"/>
                <w:sz w:val="2"/>
                <w:szCs w:val="2"/>
              </w:rPr>
            </w:pPr>
            <w:r>
              <w:rPr>
                <w:rFonts w:ascii="Arial" w:hAnsi="Arial" w:cs="Arial" w:eastAsia="Arial" w:hint="default"/>
                <w:sz w:val="2"/>
                <w:szCs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7998pt" strokecolor="#000000">
                      <v:path arrowok="t"/>
                    </v:shape>
                  </v:group>
                </v:group>
              </w:pict>
            </w:r>
            <w:r>
              <w:rPr>
                <w:rFonts w:ascii="Arial" w:hAnsi="Arial" w:cs="Arial" w:eastAsia="Arial" w:hint="default"/>
                <w:sz w:val="2"/>
                <w:szCs w:val="2"/>
              </w:rPr>
            </w:r>
          </w:p>
          <w:p>
            <w:pPr>
              <w:pStyle w:val="TableParagraph"/>
              <w:spacing w:line="240" w:lineRule="auto" w:before="5"/>
              <w:ind w:right="0"/>
              <w:jc w:val="left"/>
              <w:rPr>
                <w:rFonts w:ascii="Arial" w:hAnsi="Arial" w:cs="Arial" w:eastAsia="Arial" w:hint="default"/>
                <w:sz w:val="24"/>
                <w:szCs w:val="24"/>
              </w:rPr>
            </w:pPr>
          </w:p>
        </w:tc>
        <w:tc>
          <w:tcPr>
            <w:tcW w:w="286"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219"/>
              <w:jc w:val="right"/>
              <w:rPr>
                <w:rFonts w:ascii="Arial" w:hAnsi="Arial" w:cs="Arial" w:eastAsia="Arial" w:hint="default"/>
                <w:sz w:val="24"/>
                <w:szCs w:val="24"/>
              </w:rPr>
            </w:pPr>
            <w:r>
              <w:rPr>
                <w:rFonts w:ascii="Arial"/>
                <w:spacing w:val="-1"/>
                <w:sz w:val="24"/>
              </w:rPr>
              <w:t>45,684</w:t>
            </w:r>
            <w:r>
              <w:rPr>
                <w:rFonts w:ascii="Arial"/>
                <w:sz w:val="24"/>
              </w:rPr>
            </w:r>
          </w:p>
        </w:tc>
      </w:tr>
    </w:tbl>
    <w:p>
      <w:pPr>
        <w:spacing w:line="240" w:lineRule="auto" w:before="0"/>
        <w:rPr>
          <w:rFonts w:ascii="Arial" w:hAnsi="Arial" w:cs="Arial" w:eastAsia="Arial" w:hint="default"/>
          <w:sz w:val="17"/>
          <w:szCs w:val="17"/>
        </w:rPr>
      </w:pPr>
    </w:p>
    <w:p>
      <w:pPr>
        <w:pStyle w:val="BodyText"/>
        <w:spacing w:line="240" w:lineRule="auto" w:before="26"/>
        <w:ind w:left="814" w:right="883"/>
        <w:jc w:val="left"/>
      </w:pPr>
      <w:r>
        <w:rPr/>
        <w:t>其他应收款及相应的坏账准备分析如下：</w:t>
      </w:r>
    </w:p>
    <w:p>
      <w:pPr>
        <w:spacing w:line="240" w:lineRule="auto" w:before="4"/>
        <w:rPr>
          <w:rFonts w:ascii="宋体" w:hAnsi="宋体" w:cs="宋体" w:eastAsia="宋体" w:hint="default"/>
          <w:sz w:val="21"/>
          <w:szCs w:val="21"/>
        </w:rPr>
      </w:pPr>
    </w:p>
    <w:p>
      <w:pPr>
        <w:tabs>
          <w:tab w:pos="7565" w:val="left" w:leader="none"/>
        </w:tabs>
        <w:spacing w:before="0"/>
        <w:ind w:left="3730" w:right="883" w:firstLine="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tab/>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line="240" w:lineRule="auto" w:before="6"/>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834"/>
        <w:gridCol w:w="1379"/>
        <w:gridCol w:w="811"/>
        <w:gridCol w:w="280"/>
        <w:gridCol w:w="1268"/>
        <w:gridCol w:w="307"/>
        <w:gridCol w:w="1312"/>
        <w:gridCol w:w="763"/>
        <w:gridCol w:w="235"/>
        <w:gridCol w:w="1318"/>
      </w:tblGrid>
      <w:tr>
        <w:trPr>
          <w:trHeight w:val="1196" w:hRule="exact"/>
        </w:trPr>
        <w:tc>
          <w:tcPr>
            <w:tcW w:w="1834" w:type="dxa"/>
            <w:tcBorders>
              <w:top w:val="nil" w:sz="6" w:space="0" w:color="auto"/>
              <w:left w:val="nil" w:sz="6" w:space="0" w:color="auto"/>
              <w:bottom w:val="nil" w:sz="6" w:space="0" w:color="auto"/>
              <w:right w:val="nil" w:sz="6" w:space="0" w:color="auto"/>
            </w:tcBorders>
          </w:tcPr>
          <w:p>
            <w:pPr/>
          </w:p>
        </w:tc>
        <w:tc>
          <w:tcPr>
            <w:tcW w:w="1379" w:type="dxa"/>
            <w:tcBorders>
              <w:top w:val="single" w:sz="12" w:space="0" w:color="000000"/>
              <w:left w:val="nil" w:sz="6" w:space="0" w:color="auto"/>
              <w:bottom w:val="nil" w:sz="6" w:space="0" w:color="auto"/>
              <w:right w:val="nil" w:sz="6" w:space="0" w:color="auto"/>
            </w:tcBorders>
          </w:tcPr>
          <w:p>
            <w:pPr>
              <w:pStyle w:val="TableParagraph"/>
              <w:spacing w:line="241" w:lineRule="exact"/>
              <w:ind w:left="229" w:right="0" w:firstLine="599"/>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9"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811" w:type="dxa"/>
            <w:tcBorders>
              <w:top w:val="single" w:sz="12" w:space="0" w:color="000000"/>
              <w:left w:val="nil" w:sz="6" w:space="0" w:color="auto"/>
              <w:bottom w:val="nil" w:sz="6" w:space="0" w:color="auto"/>
              <w:right w:val="nil" w:sz="6" w:space="0" w:color="auto"/>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80" w:type="dxa"/>
            <w:tcBorders>
              <w:top w:val="single" w:sz="12" w:space="0" w:color="000000"/>
              <w:left w:val="nil" w:sz="6" w:space="0" w:color="auto"/>
              <w:bottom w:val="nil" w:sz="6" w:space="0" w:color="auto"/>
              <w:right w:val="nil" w:sz="6" w:space="0" w:color="auto"/>
            </w:tcBorders>
          </w:tcPr>
          <w:p>
            <w:pPr/>
          </w:p>
        </w:tc>
        <w:tc>
          <w:tcPr>
            <w:tcW w:w="1268" w:type="dxa"/>
            <w:tcBorders>
              <w:top w:val="single" w:sz="12" w:space="0" w:color="000000"/>
              <w:left w:val="nil" w:sz="6" w:space="0" w:color="auto"/>
              <w:bottom w:val="nil" w:sz="6" w:space="0" w:color="auto"/>
              <w:right w:val="nil" w:sz="6" w:space="0" w:color="auto"/>
            </w:tcBorders>
          </w:tcPr>
          <w:p>
            <w:pPr>
              <w:pStyle w:val="TableParagraph"/>
              <w:spacing w:line="241" w:lineRule="exact"/>
              <w:ind w:left="147" w:right="0" w:firstLine="229"/>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47"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307" w:type="dxa"/>
            <w:tcBorders>
              <w:top w:val="nil" w:sz="6" w:space="0" w:color="auto"/>
              <w:left w:val="nil" w:sz="6" w:space="0" w:color="auto"/>
              <w:bottom w:val="nil" w:sz="6" w:space="0" w:color="auto"/>
              <w:right w:val="nil" w:sz="6" w:space="0" w:color="auto"/>
            </w:tcBorders>
          </w:tcPr>
          <w:p>
            <w:pPr/>
          </w:p>
        </w:tc>
        <w:tc>
          <w:tcPr>
            <w:tcW w:w="1312" w:type="dxa"/>
            <w:tcBorders>
              <w:top w:val="single" w:sz="12" w:space="0" w:color="000000"/>
              <w:left w:val="nil" w:sz="6" w:space="0" w:color="auto"/>
              <w:bottom w:val="nil" w:sz="6" w:space="0" w:color="auto"/>
              <w:right w:val="nil" w:sz="6" w:space="0" w:color="auto"/>
            </w:tcBorders>
          </w:tcPr>
          <w:p>
            <w:pPr>
              <w:pStyle w:val="TableParagraph"/>
              <w:spacing w:line="241" w:lineRule="exact"/>
              <w:ind w:left="166" w:right="0" w:firstLine="565"/>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66"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763" w:type="dxa"/>
            <w:tcBorders>
              <w:top w:val="single" w:sz="12" w:space="0" w:color="000000"/>
              <w:left w:val="nil" w:sz="6" w:space="0" w:color="auto"/>
              <w:bottom w:val="nil" w:sz="6" w:space="0" w:color="auto"/>
              <w:right w:val="nil" w:sz="6" w:space="0" w:color="auto"/>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占总</w:t>
            </w:r>
          </w:p>
          <w:p>
            <w:pPr>
              <w:pStyle w:val="TableParagraph"/>
              <w:spacing w:line="272" w:lineRule="exact" w:before="27"/>
              <w:ind w:left="292" w:right="48" w:firstLine="210"/>
              <w:jc w:val="left"/>
              <w:rPr>
                <w:rFonts w:ascii="宋体" w:hAnsi="宋体" w:cs="宋体" w:eastAsia="宋体" w:hint="default"/>
                <w:sz w:val="21"/>
                <w:szCs w:val="21"/>
              </w:rPr>
            </w:pPr>
            <w:r>
              <w:rPr>
                <w:rFonts w:ascii="宋体" w:hAnsi="宋体" w:cs="宋体" w:eastAsia="宋体" w:hint="default"/>
                <w:sz w:val="21"/>
                <w:szCs w:val="21"/>
              </w:rPr>
              <w:t>额 比例</w:t>
            </w:r>
          </w:p>
        </w:tc>
        <w:tc>
          <w:tcPr>
            <w:tcW w:w="235" w:type="dxa"/>
            <w:tcBorders>
              <w:top w:val="single" w:sz="12" w:space="0" w:color="000000"/>
              <w:left w:val="nil" w:sz="6" w:space="0" w:color="auto"/>
              <w:bottom w:val="nil" w:sz="6" w:space="0" w:color="auto"/>
              <w:right w:val="nil" w:sz="6" w:space="0" w:color="auto"/>
            </w:tcBorders>
          </w:tcPr>
          <w:p>
            <w:pPr/>
          </w:p>
        </w:tc>
        <w:tc>
          <w:tcPr>
            <w:tcW w:w="1318" w:type="dxa"/>
            <w:tcBorders>
              <w:top w:val="single" w:sz="12" w:space="0" w:color="000000"/>
              <w:left w:val="nil" w:sz="6" w:space="0" w:color="auto"/>
              <w:bottom w:val="nil" w:sz="6" w:space="0" w:color="auto"/>
              <w:right w:val="nil" w:sz="6" w:space="0" w:color="auto"/>
            </w:tcBorders>
          </w:tcPr>
          <w:p>
            <w:pPr>
              <w:pStyle w:val="TableParagraph"/>
              <w:spacing w:line="241" w:lineRule="exact"/>
              <w:ind w:left="196" w:right="0" w:firstLine="229"/>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96"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r>
      <w:tr>
        <w:trPr>
          <w:trHeight w:val="391"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8"/>
              <w:jc w:val="right"/>
              <w:rPr>
                <w:rFonts w:ascii="Arial" w:hAnsi="Arial" w:cs="Arial" w:eastAsia="Arial" w:hint="default"/>
                <w:sz w:val="21"/>
                <w:szCs w:val="21"/>
              </w:rPr>
            </w:pPr>
            <w:r>
              <w:rPr>
                <w:rFonts w:ascii="Arial"/>
                <w:spacing w:val="-1"/>
                <w:sz w:val="21"/>
              </w:rPr>
              <w:t>44,575</w:t>
            </w:r>
            <w:r>
              <w:rPr>
                <w:rFonts w:ascii="Arial"/>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9"/>
              <w:jc w:val="right"/>
              <w:rPr>
                <w:rFonts w:ascii="Arial" w:hAnsi="Arial" w:cs="Arial" w:eastAsia="Arial" w:hint="default"/>
                <w:sz w:val="21"/>
                <w:szCs w:val="21"/>
              </w:rPr>
            </w:pPr>
            <w:r>
              <w:rPr>
                <w:rFonts w:ascii="Arial"/>
                <w:spacing w:val="-1"/>
                <w:w w:val="95"/>
                <w:sz w:val="21"/>
              </w:rPr>
              <w:t>94%</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8"/>
              <w:jc w:val="right"/>
              <w:rPr>
                <w:rFonts w:ascii="Arial" w:hAnsi="Arial" w:cs="Arial" w:eastAsia="Arial" w:hint="default"/>
                <w:sz w:val="21"/>
                <w:szCs w:val="21"/>
              </w:rPr>
            </w:pPr>
            <w:r>
              <w:rPr>
                <w:rFonts w:ascii="Arial"/>
                <w:spacing w:val="-1"/>
                <w:w w:val="95"/>
                <w:sz w:val="21"/>
              </w:rPr>
              <w:t>(393)</w:t>
            </w:r>
            <w:r>
              <w:rPr>
                <w:rFonts w:ascii="Arial"/>
                <w:w w:val="95"/>
                <w:sz w:val="21"/>
              </w:rPr>
            </w:r>
          </w:p>
        </w:tc>
        <w:tc>
          <w:tcPr>
            <w:tcW w:w="307"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3"/>
              <w:jc w:val="right"/>
              <w:rPr>
                <w:rFonts w:ascii="Arial" w:hAnsi="Arial" w:cs="Arial" w:eastAsia="Arial" w:hint="default"/>
                <w:sz w:val="21"/>
                <w:szCs w:val="21"/>
              </w:rPr>
            </w:pPr>
            <w:r>
              <w:rPr>
                <w:rFonts w:ascii="Arial"/>
                <w:spacing w:val="-1"/>
                <w:sz w:val="21"/>
              </w:rPr>
              <w:t>23,783</w:t>
            </w:r>
            <w:r>
              <w:rPr>
                <w:rFonts w:ascii="Arial"/>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9"/>
              <w:jc w:val="right"/>
              <w:rPr>
                <w:rFonts w:ascii="Arial" w:hAnsi="Arial" w:cs="Arial" w:eastAsia="Arial" w:hint="default"/>
                <w:sz w:val="21"/>
                <w:szCs w:val="21"/>
              </w:rPr>
            </w:pPr>
            <w:r>
              <w:rPr>
                <w:rFonts w:ascii="Arial"/>
                <w:spacing w:val="-1"/>
                <w:w w:val="95"/>
                <w:sz w:val="21"/>
              </w:rPr>
              <w:t>78%</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0"/>
              <w:jc w:val="right"/>
              <w:rPr>
                <w:rFonts w:ascii="Arial" w:hAnsi="Arial" w:cs="Arial" w:eastAsia="Arial" w:hint="default"/>
                <w:sz w:val="21"/>
                <w:szCs w:val="21"/>
              </w:rPr>
            </w:pPr>
            <w:r>
              <w:rPr>
                <w:rFonts w:ascii="Arial"/>
                <w:spacing w:val="-1"/>
                <w:sz w:val="21"/>
              </w:rPr>
              <w:t>(1,318)</w:t>
            </w:r>
            <w:r>
              <w:rPr>
                <w:rFonts w:ascii="Arial"/>
                <w:sz w:val="21"/>
              </w:rPr>
            </w:r>
          </w:p>
        </w:tc>
      </w:tr>
      <w:tr>
        <w:trPr>
          <w:trHeight w:val="273"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8"/>
              <w:jc w:val="right"/>
              <w:rPr>
                <w:rFonts w:ascii="Arial" w:hAnsi="Arial" w:cs="Arial" w:eastAsia="Arial" w:hint="default"/>
                <w:sz w:val="21"/>
                <w:szCs w:val="21"/>
              </w:rPr>
            </w:pPr>
            <w:r>
              <w:rPr>
                <w:rFonts w:ascii="Arial"/>
                <w:spacing w:val="-1"/>
                <w:w w:val="95"/>
                <w:sz w:val="21"/>
              </w:rPr>
              <w:t>838</w:t>
            </w:r>
            <w:r>
              <w:rPr>
                <w:rFonts w:ascii="Arial"/>
                <w:w w:val="95"/>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2%</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(84)</w:t>
            </w:r>
            <w:r>
              <w:rPr>
                <w:rFonts w:ascii="Arial"/>
                <w:w w:val="95"/>
                <w:sz w:val="21"/>
              </w:rPr>
            </w:r>
          </w:p>
        </w:tc>
        <w:tc>
          <w:tcPr>
            <w:tcW w:w="307"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2"/>
              <w:jc w:val="right"/>
              <w:rPr>
                <w:rFonts w:ascii="Arial" w:hAnsi="Arial" w:cs="Arial" w:eastAsia="Arial" w:hint="default"/>
                <w:sz w:val="21"/>
                <w:szCs w:val="21"/>
              </w:rPr>
            </w:pPr>
            <w:r>
              <w:rPr>
                <w:rFonts w:ascii="Arial"/>
                <w:spacing w:val="-1"/>
                <w:w w:val="95"/>
                <w:sz w:val="21"/>
              </w:rPr>
              <w:t>507</w:t>
            </w:r>
            <w:r>
              <w:rPr>
                <w:rFonts w:ascii="Arial"/>
                <w:w w:val="95"/>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2%</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(51)</w:t>
            </w:r>
            <w:r>
              <w:rPr>
                <w:rFonts w:ascii="Arial"/>
                <w:w w:val="95"/>
                <w:sz w:val="21"/>
              </w:rPr>
            </w:r>
          </w:p>
        </w:tc>
      </w:tr>
      <w:tr>
        <w:trPr>
          <w:trHeight w:val="273"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8"/>
              <w:jc w:val="right"/>
              <w:rPr>
                <w:rFonts w:ascii="Arial" w:hAnsi="Arial" w:cs="Arial" w:eastAsia="Arial" w:hint="default"/>
                <w:sz w:val="21"/>
                <w:szCs w:val="21"/>
              </w:rPr>
            </w:pPr>
            <w:r>
              <w:rPr>
                <w:rFonts w:ascii="Arial"/>
                <w:spacing w:val="-1"/>
                <w:w w:val="95"/>
                <w:sz w:val="21"/>
              </w:rPr>
              <w:t>120</w:t>
            </w:r>
            <w:r>
              <w:rPr>
                <w:rFonts w:ascii="Arial"/>
                <w:w w:val="95"/>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(24)</w:t>
            </w:r>
            <w:r>
              <w:rPr>
                <w:rFonts w:ascii="Arial"/>
                <w:w w:val="95"/>
                <w:sz w:val="21"/>
              </w:rPr>
            </w:r>
          </w:p>
        </w:tc>
        <w:tc>
          <w:tcPr>
            <w:tcW w:w="307"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2"/>
              <w:jc w:val="right"/>
              <w:rPr>
                <w:rFonts w:ascii="Arial" w:hAnsi="Arial" w:cs="Arial" w:eastAsia="Arial" w:hint="default"/>
                <w:sz w:val="21"/>
                <w:szCs w:val="21"/>
              </w:rPr>
            </w:pPr>
            <w:r>
              <w:rPr>
                <w:rFonts w:ascii="Arial"/>
                <w:spacing w:val="-1"/>
                <w:w w:val="95"/>
                <w:sz w:val="21"/>
              </w:rPr>
              <w:t>234</w:t>
            </w:r>
            <w:r>
              <w:rPr>
                <w:rFonts w:ascii="Arial"/>
                <w:w w:val="95"/>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(47)</w:t>
            </w:r>
            <w:r>
              <w:rPr>
                <w:rFonts w:ascii="Arial"/>
                <w:w w:val="95"/>
                <w:sz w:val="21"/>
              </w:rPr>
            </w:r>
          </w:p>
        </w:tc>
      </w:tr>
      <w:tr>
        <w:trPr>
          <w:trHeight w:val="273"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8"/>
              <w:jc w:val="right"/>
              <w:rPr>
                <w:rFonts w:ascii="Arial" w:hAnsi="Arial" w:cs="Arial" w:eastAsia="Arial" w:hint="default"/>
                <w:sz w:val="21"/>
                <w:szCs w:val="21"/>
              </w:rPr>
            </w:pPr>
            <w:r>
              <w:rPr>
                <w:rFonts w:ascii="Arial"/>
                <w:spacing w:val="-1"/>
                <w:w w:val="95"/>
                <w:sz w:val="21"/>
              </w:rPr>
              <w:t>182</w:t>
            </w:r>
            <w:r>
              <w:rPr>
                <w:rFonts w:ascii="Arial"/>
                <w:w w:val="95"/>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(55)</w:t>
            </w:r>
            <w:r>
              <w:rPr>
                <w:rFonts w:ascii="Arial"/>
                <w:w w:val="95"/>
                <w:sz w:val="21"/>
              </w:rPr>
            </w:r>
          </w:p>
        </w:tc>
        <w:tc>
          <w:tcPr>
            <w:tcW w:w="307"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3"/>
              <w:jc w:val="right"/>
              <w:rPr>
                <w:rFonts w:ascii="Arial" w:hAnsi="Arial" w:cs="Arial" w:eastAsia="Arial" w:hint="default"/>
                <w:sz w:val="21"/>
                <w:szCs w:val="21"/>
              </w:rPr>
            </w:pPr>
            <w:r>
              <w:rPr>
                <w:rFonts w:ascii="Arial"/>
                <w:spacing w:val="-1"/>
                <w:w w:val="95"/>
                <w:sz w:val="21"/>
              </w:rPr>
              <w:t>1,514</w:t>
            </w:r>
            <w:r>
              <w:rPr>
                <w:rFonts w:ascii="Arial"/>
                <w:w w:val="95"/>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5%</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(481)</w:t>
            </w:r>
            <w:r>
              <w:rPr>
                <w:rFonts w:ascii="Arial"/>
                <w:w w:val="95"/>
                <w:sz w:val="21"/>
              </w:rPr>
            </w:r>
          </w:p>
        </w:tc>
      </w:tr>
      <w:tr>
        <w:trPr>
          <w:trHeight w:val="273"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Arial" w:hAnsi="Arial" w:cs="Arial" w:eastAsia="Arial" w:hint="default"/>
                <w:sz w:val="21"/>
                <w:szCs w:val="21"/>
              </w:rPr>
            </w:pPr>
            <w:r>
              <w:rPr>
                <w:rFonts w:ascii="Arial"/>
                <w:spacing w:val="-1"/>
                <w:w w:val="95"/>
                <w:sz w:val="21"/>
              </w:rPr>
              <w:t>1,313</w:t>
            </w:r>
            <w:r>
              <w:rPr>
                <w:rFonts w:ascii="Arial"/>
                <w:w w:val="95"/>
                <w:sz w:val="21"/>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3%</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(788)</w:t>
            </w:r>
            <w:r>
              <w:rPr>
                <w:rFonts w:ascii="Arial"/>
                <w:w w:val="95"/>
                <w:sz w:val="21"/>
              </w:rPr>
            </w:r>
          </w:p>
        </w:tc>
        <w:tc>
          <w:tcPr>
            <w:tcW w:w="307"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3"/>
              <w:jc w:val="right"/>
              <w:rPr>
                <w:rFonts w:ascii="Arial" w:hAnsi="Arial" w:cs="Arial" w:eastAsia="Arial" w:hint="default"/>
                <w:sz w:val="21"/>
                <w:szCs w:val="21"/>
              </w:rPr>
            </w:pPr>
            <w:r>
              <w:rPr>
                <w:rFonts w:ascii="Arial"/>
                <w:spacing w:val="-1"/>
                <w:w w:val="95"/>
                <w:sz w:val="21"/>
              </w:rPr>
              <w:t>168</w:t>
            </w:r>
            <w:r>
              <w:rPr>
                <w:rFonts w:ascii="Arial"/>
                <w:w w:val="95"/>
                <w:sz w:val="21"/>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(101)</w:t>
            </w:r>
            <w:r>
              <w:rPr>
                <w:rFonts w:ascii="Arial"/>
                <w:w w:val="95"/>
                <w:sz w:val="21"/>
              </w:rPr>
            </w:r>
          </w:p>
        </w:tc>
      </w:tr>
      <w:tr>
        <w:trPr>
          <w:trHeight w:val="28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28"/>
              <w:jc w:val="right"/>
              <w:rPr>
                <w:rFonts w:ascii="Arial" w:hAnsi="Arial" w:cs="Arial" w:eastAsia="Arial" w:hint="default"/>
                <w:sz w:val="21"/>
                <w:szCs w:val="21"/>
              </w:rPr>
            </w:pPr>
            <w:r>
              <w:rPr>
                <w:rFonts w:ascii="Arial"/>
                <w:spacing w:val="-1"/>
                <w:w w:val="95"/>
                <w:sz w:val="21"/>
              </w:rPr>
              <w:t>524</w:t>
            </w:r>
            <w:r>
              <w:rPr>
                <w:rFonts w:ascii="Arial"/>
                <w:w w:val="95"/>
                <w:sz w:val="21"/>
              </w:rPr>
            </w:r>
          </w:p>
        </w:tc>
        <w:tc>
          <w:tcPr>
            <w:tcW w:w="81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1%</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(524)</w:t>
            </w:r>
            <w:r>
              <w:rPr>
                <w:rFonts w:ascii="Arial"/>
                <w:w w:val="95"/>
                <w:sz w:val="21"/>
              </w:rPr>
            </w:r>
          </w:p>
        </w:tc>
        <w:tc>
          <w:tcPr>
            <w:tcW w:w="307"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23"/>
              <w:jc w:val="right"/>
              <w:rPr>
                <w:rFonts w:ascii="Arial" w:hAnsi="Arial" w:cs="Arial" w:eastAsia="Arial" w:hint="default"/>
                <w:sz w:val="21"/>
                <w:szCs w:val="21"/>
              </w:rPr>
            </w:pPr>
            <w:r>
              <w:rPr>
                <w:rFonts w:ascii="Arial"/>
                <w:spacing w:val="-1"/>
                <w:w w:val="95"/>
                <w:sz w:val="21"/>
              </w:rPr>
              <w:t>4,095</w:t>
            </w:r>
            <w:r>
              <w:rPr>
                <w:rFonts w:ascii="Arial"/>
                <w:w w:val="95"/>
                <w:sz w:val="21"/>
              </w:rPr>
            </w: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13%</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sz w:val="21"/>
              </w:rPr>
              <w:t>(4,095)</w:t>
            </w:r>
            <w:r>
              <w:rPr>
                <w:rFonts w:ascii="Arial"/>
                <w:sz w:val="21"/>
              </w:rPr>
            </w:r>
          </w:p>
        </w:tc>
      </w:tr>
      <w:tr>
        <w:trPr>
          <w:trHeight w:val="262" w:hRule="exact"/>
        </w:trPr>
        <w:tc>
          <w:tcPr>
            <w:tcW w:w="1834" w:type="dxa"/>
            <w:tcBorders>
              <w:top w:val="nil" w:sz="6" w:space="0" w:color="auto"/>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28"/>
              <w:jc w:val="right"/>
              <w:rPr>
                <w:rFonts w:ascii="Arial" w:hAnsi="Arial" w:cs="Arial" w:eastAsia="Arial" w:hint="default"/>
                <w:sz w:val="21"/>
                <w:szCs w:val="21"/>
              </w:rPr>
            </w:pPr>
            <w:r>
              <w:rPr>
                <w:rFonts w:ascii="Arial"/>
                <w:spacing w:val="-1"/>
                <w:sz w:val="21"/>
              </w:rPr>
              <w:t>47,552</w:t>
            </w:r>
            <w:r>
              <w:rPr>
                <w:rFonts w:ascii="Arial"/>
                <w:sz w:val="21"/>
              </w:rPr>
            </w:r>
          </w:p>
        </w:tc>
        <w:tc>
          <w:tcPr>
            <w:tcW w:w="81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sz w:val="21"/>
              </w:rPr>
              <w:t>(1,868)</w:t>
            </w:r>
            <w:r>
              <w:rPr>
                <w:rFonts w:ascii="Arial"/>
                <w:sz w:val="21"/>
              </w:rPr>
            </w:r>
          </w:p>
        </w:tc>
        <w:tc>
          <w:tcPr>
            <w:tcW w:w="307" w:type="dxa"/>
            <w:tcBorders>
              <w:top w:val="nil" w:sz="6" w:space="0" w:color="auto"/>
              <w:left w:val="nil" w:sz="6" w:space="0" w:color="auto"/>
              <w:bottom w:val="nil" w:sz="6" w:space="0" w:color="auto"/>
              <w:right w:val="nil" w:sz="6" w:space="0" w:color="auto"/>
            </w:tcBorders>
          </w:tcPr>
          <w:p>
            <w:pPr/>
          </w:p>
        </w:tc>
        <w:tc>
          <w:tcPr>
            <w:tcW w:w="131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24"/>
              <w:jc w:val="right"/>
              <w:rPr>
                <w:rFonts w:ascii="Arial" w:hAnsi="Arial" w:cs="Arial" w:eastAsia="Arial" w:hint="default"/>
                <w:sz w:val="21"/>
                <w:szCs w:val="21"/>
              </w:rPr>
            </w:pPr>
            <w:r>
              <w:rPr>
                <w:rFonts w:ascii="Arial"/>
                <w:spacing w:val="-1"/>
                <w:sz w:val="21"/>
              </w:rPr>
              <w:t>30,301</w:t>
            </w:r>
            <w:r>
              <w:rPr>
                <w:rFonts w:ascii="Arial"/>
                <w:sz w:val="21"/>
              </w:rPr>
            </w:r>
          </w:p>
        </w:tc>
        <w:tc>
          <w:tcPr>
            <w:tcW w:w="76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0"/>
              <w:jc w:val="right"/>
              <w:rPr>
                <w:rFonts w:ascii="Arial" w:hAnsi="Arial" w:cs="Arial" w:eastAsia="Arial" w:hint="default"/>
                <w:sz w:val="21"/>
                <w:szCs w:val="21"/>
              </w:rPr>
            </w:pPr>
            <w:r>
              <w:rPr>
                <w:rFonts w:ascii="Arial"/>
                <w:spacing w:val="-1"/>
                <w:w w:val="95"/>
                <w:sz w:val="21"/>
              </w:rPr>
              <w:t>100%</w:t>
            </w:r>
            <w:r>
              <w:rPr>
                <w:rFonts w:ascii="Arial"/>
                <w:w w:val="95"/>
                <w:sz w:val="21"/>
              </w:rPr>
            </w:r>
          </w:p>
        </w:tc>
        <w:tc>
          <w:tcPr>
            <w:tcW w:w="235" w:type="dxa"/>
            <w:tcBorders>
              <w:top w:val="nil" w:sz="6" w:space="0" w:color="auto"/>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0"/>
              <w:jc w:val="right"/>
              <w:rPr>
                <w:rFonts w:ascii="Arial" w:hAnsi="Arial" w:cs="Arial" w:eastAsia="Arial" w:hint="default"/>
                <w:sz w:val="21"/>
                <w:szCs w:val="21"/>
              </w:rPr>
            </w:pPr>
            <w:r>
              <w:rPr>
                <w:rFonts w:ascii="Arial"/>
                <w:spacing w:val="-1"/>
                <w:sz w:val="21"/>
              </w:rPr>
              <w:t>(6,093)</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020" w:right="4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15" w:val="left" w:leader="none"/>
        </w:tabs>
        <w:spacing w:line="240" w:lineRule="auto"/>
        <w:ind w:right="1705"/>
        <w:jc w:val="left"/>
        <w:rPr>
          <w:rFonts w:ascii="Arial" w:hAnsi="Arial" w:cs="Arial" w:eastAsia="Arial" w:hint="default"/>
          <w:b w:val="0"/>
          <w:bCs w:val="0"/>
        </w:rPr>
      </w:pPr>
      <w:r>
        <w:rPr>
          <w:w w:val="95"/>
        </w:rPr>
        <w:t>十</w:t>
        <w:tab/>
      </w:r>
      <w:r>
        <w:rPr/>
        <w:t>母公司财务报表主要项目附注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5" w:val="left" w:leader="none"/>
        </w:tabs>
        <w:spacing w:before="0"/>
        <w:ind w:left="107" w:right="1705" w:firstLine="0"/>
        <w:jc w:val="left"/>
        <w:rPr>
          <w:rFonts w:ascii="Arial" w:hAnsi="Arial" w:cs="Arial" w:eastAsia="Arial" w:hint="default"/>
          <w:sz w:val="24"/>
          <w:szCs w:val="24"/>
        </w:rPr>
      </w:pPr>
      <w:r>
        <w:rPr>
          <w:rFonts w:ascii="Arial" w:hAnsi="Arial" w:cs="Arial" w:eastAsia="Arial" w:hint="default"/>
          <w:position w:val="2"/>
          <w:sz w:val="24"/>
          <w:szCs w:val="24"/>
        </w:rPr>
        <w:t>(1)</w:t>
        <w:tab/>
      </w:r>
      <w:r>
        <w:rPr>
          <w:rFonts w:ascii="宋体" w:hAnsi="宋体" w:cs="宋体" w:eastAsia="宋体" w:hint="default"/>
          <w:b/>
          <w:bCs/>
          <w:sz w:val="24"/>
          <w:szCs w:val="24"/>
        </w:rPr>
        <w:t>应收账款及其他应收款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797" w:val="left" w:leader="none"/>
        </w:tabs>
        <w:spacing w:line="240" w:lineRule="auto"/>
        <w:ind w:left="108" w:right="1705"/>
        <w:jc w:val="left"/>
        <w:rPr>
          <w:rFonts w:ascii="Arial" w:hAnsi="Arial" w:cs="Arial" w:eastAsia="Arial" w:hint="default"/>
        </w:rPr>
      </w:pPr>
      <w:r>
        <w:rPr>
          <w:rFonts w:ascii="Arial" w:hAnsi="Arial" w:cs="Arial" w:eastAsia="Arial" w:hint="default"/>
          <w:position w:val="2"/>
        </w:rPr>
        <w:t>(b)</w:t>
        <w:tab/>
      </w:r>
      <w:r>
        <w:rPr/>
        <w:t>其他应收款</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spacing w:line="322" w:lineRule="exact"/>
        <w:ind w:left="816" w:right="0"/>
        <w:jc w:val="left"/>
        <w:rPr>
          <w:rFonts w:ascii="Arial" w:hAnsi="Arial" w:cs="Arial" w:eastAsia="Arial" w:hint="default"/>
        </w:rPr>
      </w:pPr>
      <w:r>
        <w:rPr/>
        <w:t>于</w:t>
      </w:r>
      <w:r>
        <w:rPr>
          <w:spacing w:val="-66"/>
        </w:rPr>
        <w:t> </w:t>
      </w:r>
      <w:r>
        <w:rPr>
          <w:rFonts w:ascii="Arial" w:hAnsi="Arial" w:cs="Arial" w:eastAsia="Arial" w:hint="default"/>
          <w:spacing w:val="-1"/>
        </w:rPr>
        <w:t>200</w:t>
      </w:r>
      <w:r>
        <w:rPr>
          <w:rFonts w:ascii="Arial" w:hAnsi="Arial" w:cs="Arial" w:eastAsia="Arial" w:hint="default"/>
        </w:rPr>
        <w:t>7</w:t>
      </w:r>
      <w:r>
        <w:rPr>
          <w:rFonts w:ascii="Arial" w:hAnsi="Arial" w:cs="Arial" w:eastAsia="Arial" w:hint="default"/>
          <w:spacing w:val="-13"/>
        </w:rPr>
        <w:t> </w:t>
      </w:r>
      <w:r>
        <w:rPr/>
        <w:t>年</w:t>
      </w:r>
      <w:r>
        <w:rPr>
          <w:spacing w:val="-65"/>
        </w:rPr>
        <w:t> </w:t>
      </w:r>
      <w:r>
        <w:rPr>
          <w:rFonts w:ascii="Arial" w:hAnsi="Arial" w:cs="Arial" w:eastAsia="Arial" w:hint="default"/>
          <w:spacing w:val="-1"/>
        </w:rPr>
        <w:t>1</w:t>
      </w:r>
      <w:r>
        <w:rPr>
          <w:rFonts w:ascii="Arial" w:hAnsi="Arial" w:cs="Arial" w:eastAsia="Arial" w:hint="default"/>
        </w:rPr>
        <w:t>2</w:t>
      </w:r>
      <w:r>
        <w:rPr>
          <w:rFonts w:ascii="Arial" w:hAnsi="Arial" w:cs="Arial" w:eastAsia="Arial" w:hint="default"/>
          <w:spacing w:val="-13"/>
        </w:rPr>
        <w:t> </w:t>
      </w:r>
      <w:r>
        <w:rPr/>
        <w:t>月</w:t>
      </w:r>
      <w:r>
        <w:rPr>
          <w:spacing w:val="-66"/>
        </w:rPr>
        <w:t> </w:t>
      </w:r>
      <w:r>
        <w:rPr>
          <w:rFonts w:ascii="Arial" w:hAnsi="Arial" w:cs="Arial" w:eastAsia="Arial" w:hint="default"/>
          <w:spacing w:val="-1"/>
        </w:rPr>
        <w:t>3</w:t>
      </w:r>
      <w:r>
        <w:rPr>
          <w:rFonts w:ascii="Arial" w:hAnsi="Arial" w:cs="Arial" w:eastAsia="Arial" w:hint="default"/>
        </w:rPr>
        <w:t>1</w:t>
      </w:r>
      <w:r>
        <w:rPr>
          <w:rFonts w:ascii="Arial" w:hAnsi="Arial" w:cs="Arial" w:eastAsia="Arial" w:hint="default"/>
          <w:spacing w:val="-13"/>
        </w:rPr>
        <w:t> </w:t>
      </w:r>
      <w:r>
        <w:rPr>
          <w:spacing w:val="1"/>
        </w:rPr>
        <w:t>日</w:t>
      </w:r>
      <w:r>
        <w:rPr/>
        <w:t>及</w:t>
      </w:r>
      <w:r>
        <w:rPr>
          <w:spacing w:val="-66"/>
        </w:rPr>
        <w:t> </w:t>
      </w:r>
      <w:r>
        <w:rPr>
          <w:rFonts w:ascii="Arial" w:hAnsi="Arial" w:cs="Arial" w:eastAsia="Arial" w:hint="default"/>
          <w:spacing w:val="-1"/>
        </w:rPr>
        <w:t>200</w:t>
      </w:r>
      <w:r>
        <w:rPr>
          <w:rFonts w:ascii="Arial" w:hAnsi="Arial" w:cs="Arial" w:eastAsia="Arial" w:hint="default"/>
        </w:rPr>
        <w:t>6</w:t>
      </w:r>
      <w:r>
        <w:rPr>
          <w:rFonts w:ascii="Arial" w:hAnsi="Arial" w:cs="Arial" w:eastAsia="Arial" w:hint="default"/>
          <w:spacing w:val="-13"/>
        </w:rPr>
        <w:t> </w:t>
      </w:r>
      <w:r>
        <w:rPr/>
        <w:t>年</w:t>
      </w:r>
      <w:r>
        <w:rPr>
          <w:spacing w:val="-65"/>
        </w:rPr>
        <w:t> </w:t>
      </w:r>
      <w:r>
        <w:rPr>
          <w:rFonts w:ascii="Arial" w:hAnsi="Arial" w:cs="Arial" w:eastAsia="Arial" w:hint="default"/>
          <w:spacing w:val="-1"/>
        </w:rPr>
        <w:t>1</w:t>
      </w:r>
      <w:r>
        <w:rPr>
          <w:rFonts w:ascii="Arial" w:hAnsi="Arial" w:cs="Arial" w:eastAsia="Arial" w:hint="default"/>
        </w:rPr>
        <w:t>2</w:t>
      </w:r>
      <w:r>
        <w:rPr>
          <w:rFonts w:ascii="Arial" w:hAnsi="Arial" w:cs="Arial" w:eastAsia="Arial" w:hint="default"/>
          <w:spacing w:val="-13"/>
        </w:rPr>
        <w:t> </w:t>
      </w:r>
      <w:r>
        <w:rPr/>
        <w:t>月</w:t>
      </w:r>
      <w:r>
        <w:rPr>
          <w:spacing w:val="-66"/>
        </w:rPr>
        <w:t> </w:t>
      </w:r>
      <w:r>
        <w:rPr>
          <w:rFonts w:ascii="Arial" w:hAnsi="Arial" w:cs="Arial" w:eastAsia="Arial" w:hint="default"/>
          <w:spacing w:val="-1"/>
        </w:rPr>
        <w:t>3</w:t>
      </w:r>
      <w:r>
        <w:rPr>
          <w:rFonts w:ascii="Arial" w:hAnsi="Arial" w:cs="Arial" w:eastAsia="Arial" w:hint="default"/>
        </w:rPr>
        <w:t>1</w:t>
      </w:r>
      <w:r>
        <w:rPr>
          <w:rFonts w:ascii="Arial" w:hAnsi="Arial" w:cs="Arial" w:eastAsia="Arial" w:hint="default"/>
          <w:spacing w:val="-13"/>
        </w:rPr>
        <w:t> </w:t>
      </w:r>
      <w:r>
        <w:rPr>
          <w:spacing w:val="1"/>
        </w:rPr>
        <w:t>日</w:t>
      </w:r>
      <w:r>
        <w:rPr>
          <w:spacing w:val="-120"/>
        </w:rPr>
        <w:t>，</w:t>
      </w:r>
      <w:r>
        <w:rPr/>
        <w:t>其他应收款中无持有本公司</w:t>
      </w:r>
      <w:r>
        <w:rPr>
          <w:spacing w:val="-66"/>
        </w:rPr>
        <w:t> </w:t>
      </w:r>
      <w:r>
        <w:rPr>
          <w:rFonts w:ascii="Arial" w:hAnsi="Arial" w:cs="Arial" w:eastAsia="Arial" w:hint="default"/>
          <w:spacing w:val="-1"/>
        </w:rPr>
        <w:t>5%</w:t>
      </w:r>
      <w:r>
        <w:rPr>
          <w:rFonts w:ascii="Arial" w:hAnsi="Arial" w:cs="Arial" w:eastAsia="Arial" w:hint="default"/>
        </w:rPr>
        <w:t>(</w:t>
      </w:r>
      <w:r>
        <w:rPr/>
        <w:t>含</w:t>
      </w:r>
      <w:r>
        <w:rPr>
          <w:spacing w:val="-66"/>
        </w:rPr>
        <w:t> </w:t>
      </w:r>
      <w:r>
        <w:rPr>
          <w:rFonts w:ascii="Arial" w:hAnsi="Arial" w:cs="Arial" w:eastAsia="Arial" w:hint="default"/>
          <w:spacing w:val="-1"/>
        </w:rPr>
        <w:t>5%)</w:t>
      </w:r>
      <w:r>
        <w:rPr>
          <w:rFonts w:ascii="Arial" w:hAnsi="Arial" w:cs="Arial" w:eastAsia="Arial" w:hint="default"/>
        </w:rPr>
      </w:r>
    </w:p>
    <w:p>
      <w:pPr>
        <w:pStyle w:val="BodyText"/>
        <w:spacing w:line="304" w:lineRule="exact"/>
        <w:ind w:left="816" w:right="1705"/>
        <w:jc w:val="left"/>
      </w:pPr>
      <w:r>
        <w:rPr/>
        <w:t>以上表决权股份的股东的欠款。</w:t>
      </w:r>
    </w:p>
    <w:p>
      <w:pPr>
        <w:spacing w:line="240" w:lineRule="auto" w:before="12"/>
        <w:rPr>
          <w:rFonts w:ascii="宋体" w:hAnsi="宋体" w:cs="宋体" w:eastAsia="宋体" w:hint="default"/>
          <w:sz w:val="20"/>
          <w:szCs w:val="20"/>
        </w:rPr>
      </w:pPr>
    </w:p>
    <w:p>
      <w:pPr>
        <w:pStyle w:val="BodyText"/>
        <w:spacing w:line="322" w:lineRule="exact"/>
        <w:ind w:left="816" w:right="0"/>
        <w:jc w:val="left"/>
      </w:pPr>
      <w:r>
        <w:rPr/>
        <w:t>于</w:t>
      </w:r>
      <w:r>
        <w:rPr>
          <w:spacing w:val="-59"/>
        </w:rPr>
        <w:t> </w:t>
      </w:r>
      <w:r>
        <w:rPr>
          <w:rFonts w:ascii="Arial" w:hAnsi="Arial" w:cs="Arial" w:eastAsia="Arial" w:hint="default"/>
        </w:rPr>
        <w:t>2007</w:t>
      </w:r>
      <w:r>
        <w:rPr>
          <w:rFonts w:ascii="Arial" w:hAnsi="Arial" w:cs="Arial" w:eastAsia="Arial" w:hint="default"/>
          <w:spacing w:val="-6"/>
        </w:rPr>
        <w:t> </w:t>
      </w:r>
      <w:r>
        <w:rPr/>
        <w:t>年</w:t>
      </w:r>
      <w:r>
        <w:rPr>
          <w:spacing w:val="-59"/>
        </w:rPr>
        <w:t> </w:t>
      </w:r>
      <w:r>
        <w:rPr>
          <w:rFonts w:ascii="Arial" w:hAnsi="Arial" w:cs="Arial" w:eastAsia="Arial" w:hint="default"/>
        </w:rPr>
        <w:t>12</w:t>
      </w:r>
      <w:r>
        <w:rPr>
          <w:rFonts w:ascii="Arial" w:hAnsi="Arial" w:cs="Arial" w:eastAsia="Arial" w:hint="default"/>
          <w:spacing w:val="-6"/>
        </w:rPr>
        <w:t> </w:t>
      </w:r>
      <w:r>
        <w:rPr/>
        <w:t>月</w:t>
      </w:r>
      <w:r>
        <w:rPr>
          <w:spacing w:val="-59"/>
        </w:rPr>
        <w:t> </w:t>
      </w:r>
      <w:r>
        <w:rPr>
          <w:rFonts w:ascii="Arial" w:hAnsi="Arial" w:cs="Arial" w:eastAsia="Arial" w:hint="default"/>
        </w:rPr>
        <w:t>31</w:t>
      </w:r>
      <w:r>
        <w:rPr>
          <w:rFonts w:ascii="Arial" w:hAnsi="Arial" w:cs="Arial" w:eastAsia="Arial" w:hint="default"/>
          <w:spacing w:val="-6"/>
        </w:rPr>
        <w:t> </w:t>
      </w:r>
      <w:r>
        <w:rPr/>
        <w:t>日，其他应收款前五名债务人欠款金额合计约为人民币</w:t>
      </w:r>
      <w:r>
        <w:rPr>
          <w:spacing w:val="-59"/>
        </w:rPr>
        <w:t> </w:t>
      </w:r>
      <w:r>
        <w:rPr>
          <w:rFonts w:ascii="Arial" w:hAnsi="Arial" w:cs="Arial" w:eastAsia="Arial" w:hint="default"/>
          <w:spacing w:val="-7"/>
        </w:rPr>
        <w:t>511</w:t>
      </w:r>
      <w:r>
        <w:rPr>
          <w:rFonts w:ascii="Arial" w:hAnsi="Arial" w:cs="Arial" w:eastAsia="Arial" w:hint="default"/>
          <w:spacing w:val="-6"/>
        </w:rPr>
        <w:t> </w:t>
      </w:r>
      <w:r>
        <w:rPr/>
        <w:t>万元</w:t>
      </w:r>
    </w:p>
    <w:p>
      <w:pPr>
        <w:pStyle w:val="BodyText"/>
        <w:spacing w:line="312" w:lineRule="exact"/>
        <w:ind w:left="816" w:right="0"/>
        <w:jc w:val="left"/>
      </w:pPr>
      <w:r>
        <w:rPr>
          <w:rFonts w:ascii="Arial" w:hAnsi="Arial" w:cs="Arial" w:eastAsia="Arial" w:hint="default"/>
        </w:rPr>
        <w:t>(2006</w:t>
      </w:r>
      <w:r>
        <w:rPr>
          <w:rFonts w:ascii="Arial" w:hAnsi="Arial" w:cs="Arial" w:eastAsia="Arial" w:hint="default"/>
          <w:spacing w:val="-10"/>
        </w:rPr>
        <w:t> </w:t>
      </w:r>
      <w:r>
        <w:rPr/>
        <w:t>年</w:t>
      </w:r>
      <w:r>
        <w:rPr>
          <w:spacing w:val="-63"/>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spacing w:val="-3"/>
        </w:rPr>
        <w:t>日：约人民币</w:t>
      </w:r>
      <w:r>
        <w:rPr>
          <w:spacing w:val="-64"/>
        </w:rPr>
        <w:t> </w:t>
      </w:r>
      <w:r>
        <w:rPr>
          <w:rFonts w:ascii="Arial" w:hAnsi="Arial" w:cs="Arial" w:eastAsia="Arial" w:hint="default"/>
        </w:rPr>
        <w:t>840</w:t>
      </w:r>
      <w:r>
        <w:rPr>
          <w:rFonts w:ascii="Arial" w:hAnsi="Arial" w:cs="Arial" w:eastAsia="Arial" w:hint="default"/>
          <w:spacing w:val="-10"/>
        </w:rPr>
        <w:t> </w:t>
      </w:r>
      <w:r>
        <w:rPr/>
        <w:t>万元</w:t>
      </w:r>
      <w:r>
        <w:rPr>
          <w:rFonts w:ascii="Arial" w:hAnsi="Arial" w:cs="Arial" w:eastAsia="Arial" w:hint="default"/>
        </w:rPr>
        <w:t>)</w:t>
      </w:r>
      <w:r>
        <w:rPr/>
        <w:t>，其中约人民币</w:t>
      </w:r>
      <w:r>
        <w:rPr>
          <w:spacing w:val="-63"/>
        </w:rPr>
        <w:t> </w:t>
      </w:r>
      <w:r>
        <w:rPr>
          <w:rFonts w:ascii="Arial" w:hAnsi="Arial" w:cs="Arial" w:eastAsia="Arial" w:hint="default"/>
        </w:rPr>
        <w:t>170</w:t>
      </w:r>
      <w:r>
        <w:rPr>
          <w:rFonts w:ascii="Arial" w:hAnsi="Arial" w:cs="Arial" w:eastAsia="Arial" w:hint="default"/>
          <w:spacing w:val="-10"/>
        </w:rPr>
        <w:t> </w:t>
      </w:r>
      <w:r>
        <w:rPr/>
        <w:t>万元账龄为</w:t>
      </w:r>
      <w:r>
        <w:rPr>
          <w:spacing w:val="-63"/>
        </w:rPr>
        <w:t> </w:t>
      </w:r>
      <w:r>
        <w:rPr>
          <w:rFonts w:ascii="Arial" w:hAnsi="Arial" w:cs="Arial" w:eastAsia="Arial" w:hint="default"/>
        </w:rPr>
        <w:t>1</w:t>
      </w:r>
      <w:r>
        <w:rPr>
          <w:rFonts w:ascii="Arial" w:hAnsi="Arial" w:cs="Arial" w:eastAsia="Arial" w:hint="default"/>
          <w:spacing w:val="-10"/>
        </w:rPr>
        <w:t> </w:t>
      </w:r>
      <w:r>
        <w:rPr/>
        <w:t>年以内，</w:t>
      </w:r>
    </w:p>
    <w:p>
      <w:pPr>
        <w:pStyle w:val="BodyText"/>
        <w:spacing w:line="312" w:lineRule="exact"/>
        <w:ind w:left="816" w:right="0"/>
        <w:jc w:val="left"/>
        <w:rPr>
          <w:rFonts w:ascii="Arial" w:hAnsi="Arial" w:cs="Arial" w:eastAsia="Arial" w:hint="default"/>
        </w:rPr>
      </w:pPr>
      <w:r>
        <w:rPr/>
        <w:t>约人民币</w:t>
      </w:r>
      <w:r>
        <w:rPr>
          <w:spacing w:val="-61"/>
        </w:rPr>
        <w:t> </w:t>
      </w:r>
      <w:r>
        <w:rPr>
          <w:rFonts w:ascii="Arial" w:hAnsi="Arial" w:cs="Arial" w:eastAsia="Arial" w:hint="default"/>
        </w:rPr>
        <w:t>200</w:t>
      </w:r>
      <w:r>
        <w:rPr>
          <w:rFonts w:ascii="Arial" w:hAnsi="Arial" w:cs="Arial" w:eastAsia="Arial" w:hint="default"/>
          <w:spacing w:val="-8"/>
        </w:rPr>
        <w:t> </w:t>
      </w:r>
      <w:r>
        <w:rPr/>
        <w:t>万元账龄为</w:t>
      </w:r>
      <w:r>
        <w:rPr>
          <w:spacing w:val="-61"/>
        </w:rPr>
        <w:t> </w:t>
      </w:r>
      <w:r>
        <w:rPr>
          <w:rFonts w:ascii="Arial" w:hAnsi="Arial" w:cs="Arial" w:eastAsia="Arial" w:hint="default"/>
        </w:rPr>
        <w:t>1</w:t>
      </w:r>
      <w:r>
        <w:rPr>
          <w:rFonts w:ascii="Arial" w:hAnsi="Arial" w:cs="Arial" w:eastAsia="Arial" w:hint="default"/>
          <w:spacing w:val="-8"/>
        </w:rPr>
        <w:t> </w:t>
      </w:r>
      <w:r>
        <w:rPr/>
        <w:t>至</w:t>
      </w:r>
      <w:r>
        <w:rPr>
          <w:spacing w:val="-61"/>
        </w:rPr>
        <w:t> </w:t>
      </w:r>
      <w:r>
        <w:rPr>
          <w:rFonts w:ascii="Arial" w:hAnsi="Arial" w:cs="Arial" w:eastAsia="Arial" w:hint="default"/>
        </w:rPr>
        <w:t>2</w:t>
      </w:r>
      <w:r>
        <w:rPr>
          <w:rFonts w:ascii="Arial" w:hAnsi="Arial" w:cs="Arial" w:eastAsia="Arial" w:hint="default"/>
          <w:spacing w:val="-8"/>
        </w:rPr>
        <w:t> </w:t>
      </w:r>
      <w:r>
        <w:rPr>
          <w:spacing w:val="-5"/>
        </w:rPr>
        <w:t>年，约人民币</w:t>
      </w:r>
      <w:r>
        <w:rPr>
          <w:spacing w:val="-61"/>
        </w:rPr>
        <w:t> </w:t>
      </w:r>
      <w:r>
        <w:rPr>
          <w:rFonts w:ascii="Arial" w:hAnsi="Arial" w:cs="Arial" w:eastAsia="Arial" w:hint="default"/>
        </w:rPr>
        <w:t>88</w:t>
      </w:r>
      <w:r>
        <w:rPr>
          <w:rFonts w:ascii="Arial" w:hAnsi="Arial" w:cs="Arial" w:eastAsia="Arial" w:hint="default"/>
          <w:spacing w:val="-8"/>
        </w:rPr>
        <w:t> </w:t>
      </w:r>
      <w:r>
        <w:rPr/>
        <w:t>万元账龄为</w:t>
      </w:r>
      <w:r>
        <w:rPr>
          <w:spacing w:val="-61"/>
        </w:rPr>
        <w:t> </w:t>
      </w:r>
      <w:r>
        <w:rPr>
          <w:rFonts w:ascii="Arial" w:hAnsi="Arial" w:cs="Arial" w:eastAsia="Arial" w:hint="default"/>
        </w:rPr>
        <w:t>4</w:t>
      </w:r>
      <w:r>
        <w:rPr>
          <w:rFonts w:ascii="Arial" w:hAnsi="Arial" w:cs="Arial" w:eastAsia="Arial" w:hint="default"/>
          <w:spacing w:val="-8"/>
        </w:rPr>
        <w:t> </w:t>
      </w:r>
      <w:r>
        <w:rPr/>
        <w:t>至</w:t>
      </w:r>
      <w:r>
        <w:rPr>
          <w:spacing w:val="-61"/>
        </w:rPr>
        <w:t> </w:t>
      </w:r>
      <w:r>
        <w:rPr>
          <w:rFonts w:ascii="Arial" w:hAnsi="Arial" w:cs="Arial" w:eastAsia="Arial" w:hint="default"/>
        </w:rPr>
        <w:t>5</w:t>
      </w:r>
      <w:r>
        <w:rPr>
          <w:rFonts w:ascii="Arial" w:hAnsi="Arial" w:cs="Arial" w:eastAsia="Arial" w:hint="default"/>
          <w:spacing w:val="-8"/>
        </w:rPr>
        <w:t> </w:t>
      </w:r>
      <w:r>
        <w:rPr>
          <w:spacing w:val="-5"/>
        </w:rPr>
        <w:t>年，约人民币</w:t>
      </w:r>
      <w:r>
        <w:rPr>
          <w:spacing w:val="-61"/>
        </w:rPr>
        <w:t> </w:t>
      </w:r>
      <w:r>
        <w:rPr>
          <w:rFonts w:ascii="Arial" w:hAnsi="Arial" w:cs="Arial" w:eastAsia="Arial" w:hint="default"/>
        </w:rPr>
        <w:t>52</w:t>
      </w:r>
    </w:p>
    <w:p>
      <w:pPr>
        <w:pStyle w:val="BodyText"/>
        <w:spacing w:line="322" w:lineRule="exact"/>
        <w:ind w:left="816" w:right="0"/>
        <w:jc w:val="left"/>
      </w:pPr>
      <w:r>
        <w:rPr/>
        <w:t>万元账龄为</w:t>
      </w:r>
      <w:r>
        <w:rPr>
          <w:spacing w:val="-62"/>
        </w:rPr>
        <w:t> </w:t>
      </w:r>
      <w:r>
        <w:rPr>
          <w:rFonts w:ascii="Arial" w:hAnsi="Arial" w:cs="Arial" w:eastAsia="Arial" w:hint="default"/>
        </w:rPr>
        <w:t>5</w:t>
      </w:r>
      <w:r>
        <w:rPr>
          <w:rFonts w:ascii="Arial" w:hAnsi="Arial" w:cs="Arial" w:eastAsia="Arial" w:hint="default"/>
          <w:spacing w:val="-9"/>
        </w:rPr>
        <w:t> </w:t>
      </w:r>
      <w:r>
        <w:rPr/>
        <w:t>年以上，共占其他应收款总额的</w:t>
      </w:r>
      <w:r>
        <w:rPr>
          <w:spacing w:val="-62"/>
        </w:rPr>
        <w:t> </w:t>
      </w:r>
      <w:r>
        <w:rPr>
          <w:rFonts w:ascii="Arial" w:hAnsi="Arial" w:cs="Arial" w:eastAsia="Arial" w:hint="default"/>
        </w:rPr>
        <w:t>10.7%(2006</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r>
        <w:rPr>
          <w:rFonts w:ascii="Arial" w:hAnsi="Arial" w:cs="Arial" w:eastAsia="Arial" w:hint="default"/>
        </w:rPr>
        <w:t>27.7%)</w:t>
      </w:r>
      <w:r>
        <w:rPr/>
        <w:t>。</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8" w:footer="708" w:top="980" w:bottom="900" w:left="1020" w:right="920"/>
        </w:sectPr>
      </w:pPr>
    </w:p>
    <w:p>
      <w:pPr>
        <w:tabs>
          <w:tab w:pos="815" w:val="left" w:leader="none"/>
        </w:tabs>
        <w:spacing w:before="32"/>
        <w:ind w:left="108" w:right="0" w:firstLine="0"/>
        <w:jc w:val="left"/>
        <w:rPr>
          <w:rFonts w:ascii="宋体" w:hAnsi="宋体" w:cs="宋体" w:eastAsia="宋体" w:hint="default"/>
          <w:sz w:val="24"/>
          <w:szCs w:val="24"/>
        </w:rPr>
      </w:pPr>
      <w:r>
        <w:rPr>
          <w:rFonts w:ascii="Arial" w:hAnsi="Arial" w:cs="Arial" w:eastAsia="Arial" w:hint="default"/>
          <w:position w:val="2"/>
          <w:sz w:val="24"/>
          <w:szCs w:val="24"/>
        </w:rPr>
        <w:t>(2)</w:t>
        <w:tab/>
      </w:r>
      <w:r>
        <w:rPr>
          <w:rFonts w:ascii="宋体" w:hAnsi="宋体" w:cs="宋体" w:eastAsia="宋体" w:hint="default"/>
          <w:b/>
          <w:bCs/>
          <w:w w:val="95"/>
          <w:sz w:val="24"/>
          <w:szCs w:val="24"/>
        </w:rPr>
        <w:t>长期股权投资</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r>
        <w:rPr/>
        <w:br w:type="column"/>
      </w:r>
      <w:r>
        <w:rPr>
          <w:rFonts w:ascii="宋体"/>
          <w:b/>
          <w:sz w:val="26"/>
        </w:rPr>
      </w:r>
    </w:p>
    <w:p>
      <w:pPr>
        <w:pStyle w:val="BodyText"/>
        <w:tabs>
          <w:tab w:pos="3085" w:val="left" w:leader="none"/>
        </w:tabs>
        <w:spacing w:line="322" w:lineRule="exact"/>
        <w:ind w:left="108" w:right="0"/>
        <w:jc w:val="left"/>
      </w:pP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3811" w:val="left" w:leader="none"/>
        </w:tabs>
        <w:spacing w:line="322" w:lineRule="exact"/>
        <w:ind w:left="834" w:right="0"/>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after="0" w:line="322" w:lineRule="exact"/>
        <w:jc w:val="left"/>
        <w:rPr>
          <w:rFonts w:ascii="Arial" w:hAnsi="Arial" w:cs="Arial" w:eastAsia="Arial" w:hint="default"/>
        </w:rPr>
        <w:sectPr>
          <w:type w:val="continuous"/>
          <w:pgSz w:w="11910" w:h="16840"/>
          <w:pgMar w:top="1600" w:bottom="280" w:left="1020" w:right="920"/>
          <w:cols w:num="2" w:equalWidth="0">
            <w:col w:w="2258" w:space="2295"/>
            <w:col w:w="5417"/>
          </w:cols>
        </w:sectPr>
      </w:pPr>
    </w:p>
    <w:p>
      <w:pPr>
        <w:spacing w:line="240" w:lineRule="auto" w:before="6"/>
        <w:rPr>
          <w:rFonts w:ascii="Arial" w:hAnsi="Arial" w:cs="Arial" w:eastAsia="Arial" w:hint="default"/>
          <w:sz w:val="19"/>
          <w:szCs w:val="19"/>
        </w:rPr>
      </w:pPr>
    </w:p>
    <w:p>
      <w:pPr>
        <w:pStyle w:val="BodyText"/>
        <w:tabs>
          <w:tab w:pos="5679" w:val="left" w:leader="none"/>
          <w:tab w:pos="8857" w:val="left" w:leader="none"/>
        </w:tabs>
        <w:spacing w:line="322" w:lineRule="exact" w:before="32"/>
        <w:ind w:left="816" w:right="0"/>
        <w:jc w:val="left"/>
        <w:rPr>
          <w:rFonts w:ascii="Arial" w:hAnsi="Arial" w:cs="Arial" w:eastAsia="Arial" w:hint="default"/>
        </w:rPr>
      </w:pPr>
      <w:r>
        <w:rPr/>
        <w:t>子公司</w:t>
      </w:r>
      <w:r>
        <w:rPr>
          <w:rFonts w:ascii="Arial" w:hAnsi="Arial" w:cs="Arial" w:eastAsia="Arial" w:hint="default"/>
        </w:rPr>
        <w:t>(a)</w:t>
        <w:tab/>
      </w:r>
      <w:r>
        <w:rPr>
          <w:rFonts w:ascii="Arial" w:hAnsi="Arial" w:cs="Arial" w:eastAsia="Arial" w:hint="default"/>
          <w:spacing w:val="-1"/>
          <w:position w:val="2"/>
        </w:rPr>
        <w:t>1,043,998</w:t>
        <w:tab/>
        <w:t>775,998</w:t>
      </w:r>
      <w:r>
        <w:rPr>
          <w:rFonts w:ascii="Arial" w:hAnsi="Arial" w:cs="Arial" w:eastAsia="Arial" w:hint="default"/>
        </w:rPr>
      </w:r>
    </w:p>
    <w:p>
      <w:pPr>
        <w:pStyle w:val="BodyText"/>
        <w:tabs>
          <w:tab w:pos="6499" w:val="left" w:leader="none"/>
          <w:tab w:pos="9706" w:val="right" w:leader="none"/>
        </w:tabs>
        <w:spacing w:line="312" w:lineRule="exact"/>
        <w:ind w:left="816" w:right="0"/>
        <w:jc w:val="left"/>
        <w:rPr>
          <w:rFonts w:ascii="Arial" w:hAnsi="Arial" w:cs="Arial" w:eastAsia="Arial" w:hint="default"/>
        </w:rPr>
      </w:pPr>
      <w:r>
        <w:rPr>
          <w:spacing w:val="-1"/>
        </w:rPr>
        <w:t>合营企业</w:t>
      </w:r>
      <w:r>
        <w:rPr>
          <w:rFonts w:ascii="Arial" w:hAnsi="Arial" w:cs="Arial" w:eastAsia="Arial" w:hint="default"/>
          <w:spacing w:val="-1"/>
        </w:rPr>
        <w:t>(</w:t>
      </w:r>
      <w:r>
        <w:rPr>
          <w:spacing w:val="-1"/>
        </w:rPr>
        <w:t>附注八</w:t>
      </w:r>
      <w:r>
        <w:rPr>
          <w:rFonts w:ascii="Arial" w:hAnsi="Arial" w:cs="Arial" w:eastAsia="Arial" w:hint="default"/>
          <w:spacing w:val="-1"/>
        </w:rPr>
        <w:t>(7))</w:t>
        <w:tab/>
      </w:r>
      <w:r>
        <w:rPr>
          <w:rFonts w:ascii="Arial" w:hAnsi="Arial" w:cs="Arial" w:eastAsia="Arial" w:hint="default"/>
          <w:spacing w:val="-19"/>
          <w:position w:val="2"/>
        </w:rPr>
        <w:t>11</w:t>
        <w:tab/>
        <w:t>11</w:t>
      </w:r>
      <w:r>
        <w:rPr>
          <w:rFonts w:ascii="Arial" w:hAnsi="Arial" w:cs="Arial" w:eastAsia="Arial" w:hint="default"/>
        </w:rPr>
      </w:r>
    </w:p>
    <w:p>
      <w:pPr>
        <w:pStyle w:val="BodyText"/>
        <w:tabs>
          <w:tab w:pos="6347" w:val="left" w:leader="none"/>
          <w:tab w:pos="9724" w:val="right" w:leader="none"/>
        </w:tabs>
        <w:spacing w:line="322" w:lineRule="exact"/>
        <w:ind w:left="816" w:right="0"/>
        <w:jc w:val="left"/>
        <w:rPr>
          <w:rFonts w:ascii="Arial" w:hAnsi="Arial" w:cs="Arial" w:eastAsia="Arial" w:hint="default"/>
        </w:rPr>
      </w:pPr>
      <w:r>
        <w:rPr/>
        <w:t>其他长期股权投资</w:t>
      </w:r>
      <w:r>
        <w:rPr>
          <w:rFonts w:ascii="Arial" w:hAnsi="Arial" w:cs="Arial" w:eastAsia="Arial" w:hint="default"/>
        </w:rPr>
        <w:t>(</w:t>
      </w:r>
      <w:r>
        <w:rPr/>
        <w:t>附注八</w:t>
      </w:r>
      <w:r>
        <w:rPr>
          <w:rFonts w:ascii="Arial" w:hAnsi="Arial" w:cs="Arial" w:eastAsia="Arial" w:hint="default"/>
        </w:rPr>
        <w:t>(7))</w:t>
        <w:tab/>
      </w:r>
      <w:r>
        <w:rPr>
          <w:rFonts w:ascii="Arial" w:hAnsi="Arial" w:cs="Arial" w:eastAsia="Arial" w:hint="default"/>
          <w:position w:val="2"/>
        </w:rPr>
        <w:t>993</w:t>
        <w:tab/>
        <w:t>993</w:t>
      </w:r>
      <w:r>
        <w:rPr>
          <w:rFonts w:ascii="Arial" w:hAnsi="Arial" w:cs="Arial" w:eastAsia="Arial" w:hint="default"/>
        </w:rPr>
      </w:r>
    </w:p>
    <w:p>
      <w:pPr>
        <w:pStyle w:val="BodyText"/>
        <w:tabs>
          <w:tab w:pos="8857" w:val="left" w:leader="none"/>
        </w:tabs>
        <w:spacing w:line="240" w:lineRule="auto" w:before="27"/>
        <w:ind w:left="5679" w:right="0"/>
        <w:jc w:val="left"/>
        <w:rPr>
          <w:rFonts w:ascii="Arial" w:hAnsi="Arial" w:cs="Arial" w:eastAsia="Arial" w:hint="default"/>
        </w:rPr>
      </w:pPr>
      <w:r>
        <w:rPr/>
        <w:pict>
          <v:group style="position:absolute;margin-left:277.5pt;margin-top:1.206160pt;width:115.95pt;height:.1pt;mso-position-horizontal-relative:page;mso-position-vertical-relative:paragraph;z-index:3688" coordorigin="5550,24" coordsize="2319,2">
            <v:shape style="position:absolute;left:5550;top:24;width:2319;height:2" coordorigin="5550,24" coordsize="2319,0" path="m5550,24l7868,24e" filled="false" stroked="true" strokeweight=".48001pt" strokecolor="#000000">
              <v:path arrowok="t"/>
            </v:shape>
            <w10:wrap type="none"/>
          </v:group>
        </w:pict>
      </w:r>
      <w:r>
        <w:rPr/>
        <w:pict>
          <v:group style="position:absolute;margin-left:422.100006pt;margin-top:1.206160pt;width:120.2pt;height:.1pt;mso-position-horizontal-relative:page;mso-position-vertical-relative:paragraph;z-index:3712" coordorigin="8442,24" coordsize="2404,2">
            <v:shape style="position:absolute;left:8442;top:24;width:2404;height:2" coordorigin="8442,24" coordsize="2404,0" path="m8442,24l10846,24e" filled="false" stroked="true" strokeweight=".48001pt" strokecolor="#000000">
              <v:path arrowok="t"/>
            </v:shape>
            <w10:wrap type="none"/>
          </v:group>
        </w:pict>
      </w:r>
      <w:r>
        <w:rPr/>
        <w:pict>
          <v:group style="position:absolute;margin-left:277.5pt;margin-top:16.056164pt;width:115.95pt;height:.1pt;mso-position-horizontal-relative:page;mso-position-vertical-relative:paragraph;z-index:3736" coordorigin="5550,321" coordsize="2319,2">
            <v:shape style="position:absolute;left:5550;top:321;width:2319;height:2" coordorigin="5550,321" coordsize="2319,0" path="m5550,321l7868,321e" filled="false" stroked="true" strokeweight="1.5pt" strokecolor="#000000">
              <v:path arrowok="t"/>
            </v:shape>
            <w10:wrap type="none"/>
          </v:group>
        </w:pict>
      </w:r>
      <w:r>
        <w:rPr/>
        <w:pict>
          <v:group style="position:absolute;margin-left:422.100006pt;margin-top:16.056164pt;width:120.2pt;height:.1pt;mso-position-horizontal-relative:page;mso-position-vertical-relative:paragraph;z-index:3760" coordorigin="8442,321" coordsize="2404,2">
            <v:shape style="position:absolute;left:8442;top:321;width:2404;height:2" coordorigin="8442,321" coordsize="2404,0" path="m8442,321l10846,321e" filled="false" stroked="true" strokeweight="1.5pt" strokecolor="#000000">
              <v:path arrowok="t"/>
            </v:shape>
            <w10:wrap type="none"/>
          </v:group>
        </w:pict>
      </w:r>
      <w:r>
        <w:rPr>
          <w:rFonts w:ascii="Arial"/>
          <w:spacing w:val="-1"/>
        </w:rPr>
        <w:t>1,045,002</w:t>
        <w:tab/>
        <w:t>777,002</w:t>
      </w:r>
      <w:r>
        <w:rPr>
          <w:rFonts w:ascii="Arial"/>
        </w:rPr>
      </w:r>
    </w:p>
    <w:p>
      <w:pPr>
        <w:pStyle w:val="BodyText"/>
        <w:spacing w:line="240" w:lineRule="auto" w:before="270"/>
        <w:ind w:left="816" w:right="1705"/>
        <w:jc w:val="left"/>
      </w:pPr>
      <w:r>
        <w:rPr/>
        <w:t>本集团无境外投资，故不存在长期投资变现及收益汇回的重大限制。</w:t>
      </w:r>
    </w:p>
    <w:p>
      <w:pPr>
        <w:spacing w:after="0" w:line="240" w:lineRule="auto"/>
        <w:jc w:val="left"/>
        <w:sectPr>
          <w:type w:val="continuous"/>
          <w:pgSz w:w="11910" w:h="16840"/>
          <w:pgMar w:top="1600" w:bottom="280" w:left="10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535"/>
        <w:gridCol w:w="3812"/>
        <w:gridCol w:w="223"/>
        <w:gridCol w:w="1064"/>
        <w:gridCol w:w="223"/>
        <w:gridCol w:w="1380"/>
        <w:gridCol w:w="1195"/>
        <w:gridCol w:w="223"/>
        <w:gridCol w:w="1268"/>
      </w:tblGrid>
      <w:tr>
        <w:trPr>
          <w:trHeight w:val="1685"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十</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(2)</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(a)</w:t>
            </w:r>
          </w:p>
        </w:tc>
        <w:tc>
          <w:tcPr>
            <w:tcW w:w="3812" w:type="dxa"/>
            <w:tcBorders>
              <w:top w:val="nil" w:sz="6" w:space="0" w:color="auto"/>
              <w:left w:val="nil" w:sz="6" w:space="0" w:color="auto"/>
              <w:bottom w:val="nil" w:sz="6" w:space="0" w:color="auto"/>
              <w:right w:val="nil" w:sz="6" w:space="0" w:color="auto"/>
            </w:tcBorders>
          </w:tcPr>
          <w:p>
            <w:pPr>
              <w:pStyle w:val="TableParagraph"/>
              <w:spacing w:line="427" w:lineRule="auto" w:before="26"/>
              <w:ind w:left="206" w:right="80"/>
              <w:jc w:val="left"/>
              <w:rPr>
                <w:rFonts w:ascii="Arial" w:hAnsi="Arial" w:cs="Arial" w:eastAsia="Arial" w:hint="default"/>
                <w:sz w:val="24"/>
                <w:szCs w:val="24"/>
              </w:rPr>
            </w:pPr>
            <w:r>
              <w:rPr>
                <w:rFonts w:ascii="宋体" w:hAnsi="宋体" w:cs="宋体" w:eastAsia="宋体" w:hint="default"/>
                <w:b/>
                <w:bCs/>
                <w:w w:val="95"/>
                <w:sz w:val="24"/>
                <w:szCs w:val="24"/>
              </w:rPr>
              <w:t>母公司财务报表主要项目附注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5"/>
                <w:w w:val="95"/>
                <w:sz w:val="24"/>
                <w:szCs w:val="24"/>
              </w:rPr>
              <w:t> </w:t>
            </w: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7"/>
              <w:ind w:left="206"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5578" w:type="dxa"/>
            <w:gridSpan w:val="7"/>
            <w:tcBorders>
              <w:top w:val="nil" w:sz="6" w:space="0" w:color="auto"/>
              <w:left w:val="nil" w:sz="6" w:space="0" w:color="auto"/>
              <w:bottom w:val="nil" w:sz="6" w:space="0" w:color="auto"/>
              <w:right w:val="nil" w:sz="6" w:space="0" w:color="auto"/>
            </w:tcBorders>
          </w:tcPr>
          <w:p>
            <w:pPr/>
          </w:p>
        </w:tc>
      </w:tr>
      <w:tr>
        <w:trPr>
          <w:trHeight w:val="381"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6"/>
              <w:jc w:val="right"/>
              <w:rPr>
                <w:rFonts w:ascii="宋体" w:hAnsi="宋体" w:cs="宋体" w:eastAsia="宋体" w:hint="default"/>
                <w:sz w:val="18"/>
                <w:szCs w:val="18"/>
              </w:rPr>
            </w:pPr>
            <w:r>
              <w:rPr>
                <w:rFonts w:ascii="宋体" w:hAnsi="宋体" w:cs="宋体" w:eastAsia="宋体" w:hint="default"/>
                <w:sz w:val="18"/>
                <w:szCs w:val="18"/>
              </w:rPr>
              <w:t>初始投资</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24"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195"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36"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spacing w:line="203" w:lineRule="exact"/>
              <w:ind w:right="106"/>
              <w:jc w:val="right"/>
              <w:rPr>
                <w:rFonts w:ascii="宋体" w:hAnsi="宋体" w:cs="宋体" w:eastAsia="宋体" w:hint="default"/>
                <w:sz w:val="18"/>
                <w:szCs w:val="18"/>
              </w:rPr>
            </w:pPr>
            <w:r>
              <w:rPr>
                <w:rFonts w:ascii="宋体" w:hAnsi="宋体" w:cs="宋体" w:eastAsia="宋体" w:hint="default"/>
                <w:sz w:val="18"/>
                <w:szCs w:val="18"/>
              </w:rPr>
              <w:t>成本</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03" w:lineRule="exact"/>
              <w:ind w:left="23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15" w:lineRule="exact"/>
              <w:ind w:left="15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95" w:type="dxa"/>
            <w:tcBorders>
              <w:top w:val="nil" w:sz="6" w:space="0" w:color="auto"/>
              <w:left w:val="nil" w:sz="6" w:space="0" w:color="auto"/>
              <w:bottom w:val="nil" w:sz="6" w:space="0" w:color="auto"/>
              <w:right w:val="nil" w:sz="6" w:space="0" w:color="auto"/>
            </w:tcBorders>
          </w:tcPr>
          <w:p>
            <w:pPr>
              <w:pStyle w:val="TableParagraph"/>
              <w:spacing w:line="203" w:lineRule="exact"/>
              <w:ind w:left="33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15" w:lineRule="exact"/>
              <w:ind w:left="26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38"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15" w:lineRule="exact"/>
              <w:ind w:left="284"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1195"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r>
      <w:tr>
        <w:trPr>
          <w:trHeight w:val="345"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75"/>
              <w:ind w:left="206" w:right="0"/>
              <w:jc w:val="left"/>
              <w:rPr>
                <w:rFonts w:ascii="Arial" w:hAnsi="Arial" w:cs="Arial" w:eastAsia="Arial" w:hint="default"/>
                <w:sz w:val="18"/>
                <w:szCs w:val="18"/>
              </w:rPr>
            </w:pPr>
            <w:r>
              <w:rPr>
                <w:rFonts w:ascii="宋体" w:hAnsi="宋体" w:cs="宋体" w:eastAsia="宋体" w:hint="default"/>
                <w:position w:val="1"/>
                <w:sz w:val="18"/>
                <w:szCs w:val="18"/>
              </w:rPr>
              <w:t>上海苏宁电器有限公司</w:t>
              <w:tab/>
            </w:r>
            <w:r>
              <w:rPr>
                <w:rFonts w:ascii="Arial" w:hAnsi="Arial" w:cs="Arial" w:eastAsia="Arial" w:hint="default"/>
                <w:sz w:val="18"/>
                <w:szCs w:val="18"/>
              </w:rPr>
              <w:t>108,617</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Arial" w:hAnsi="Arial" w:cs="Arial" w:eastAsia="Arial" w:hint="default"/>
                <w:sz w:val="18"/>
                <w:szCs w:val="18"/>
              </w:rPr>
            </w:pPr>
            <w:r>
              <w:rPr>
                <w:rFonts w:ascii="Arial"/>
                <w:spacing w:val="-1"/>
                <w:w w:val="95"/>
                <w:sz w:val="18"/>
              </w:rPr>
              <w:t>5,500</w:t>
            </w:r>
            <w:r>
              <w:rPr>
                <w:rFonts w:ascii="Arial"/>
                <w:w w:val="95"/>
                <w:sz w:val="18"/>
              </w:rPr>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99" w:right="0"/>
              <w:jc w:val="left"/>
              <w:rPr>
                <w:rFonts w:ascii="Arial" w:hAnsi="Arial" w:cs="Arial" w:eastAsia="Arial" w:hint="default"/>
                <w:sz w:val="18"/>
                <w:szCs w:val="18"/>
              </w:rPr>
            </w:pPr>
            <w:r>
              <w:rPr>
                <w:rFonts w:ascii="Arial"/>
                <w:sz w:val="18"/>
              </w:rPr>
              <w:t>108,617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636" w:right="0"/>
              <w:jc w:val="left"/>
              <w:rPr>
                <w:rFonts w:ascii="Arial" w:hAnsi="Arial" w:cs="Arial" w:eastAsia="Arial" w:hint="default"/>
                <w:sz w:val="18"/>
                <w:szCs w:val="18"/>
              </w:rPr>
            </w:pPr>
            <w:r>
              <w:rPr>
                <w:rFonts w:ascii="Arial"/>
                <w:sz w:val="18"/>
              </w:rPr>
              <w:t>5,500</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36" w:right="0"/>
              <w:jc w:val="left"/>
              <w:rPr>
                <w:rFonts w:ascii="Arial" w:hAnsi="Arial" w:cs="Arial" w:eastAsia="Arial" w:hint="default"/>
                <w:sz w:val="18"/>
                <w:szCs w:val="18"/>
              </w:rPr>
            </w:pPr>
            <w:r>
              <w:rPr>
                <w:rFonts w:ascii="Arial"/>
                <w:spacing w:val="-5"/>
                <w:sz w:val="18"/>
              </w:rPr>
              <w:t>114,117</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广东苏宁电器有限公司</w:t>
              <w:tab/>
            </w:r>
            <w:r>
              <w:rPr>
                <w:rFonts w:ascii="Arial" w:hAnsi="Arial" w:cs="Arial" w:eastAsia="Arial" w:hint="default"/>
                <w:sz w:val="18"/>
                <w:szCs w:val="18"/>
              </w:rPr>
              <w:t>50,182</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sz w:val="18"/>
              </w:rPr>
              <w:t>49,500</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50,182</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49,500</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99,682</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北京苏宁电器有限公司</w:t>
              <w:tab/>
            </w:r>
            <w:r>
              <w:rPr>
                <w:rFonts w:ascii="Arial" w:hAnsi="Arial" w:cs="Arial" w:eastAsia="Arial" w:hint="default"/>
                <w:sz w:val="18"/>
                <w:szCs w:val="18"/>
              </w:rPr>
              <w:t>93,728</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93,728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93,728</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浙江苏宁电器有限公司</w:t>
              <w:tab/>
            </w:r>
            <w:r>
              <w:rPr>
                <w:rFonts w:ascii="Arial" w:hAnsi="Arial" w:cs="Arial" w:eastAsia="Arial" w:hint="default"/>
                <w:sz w:val="18"/>
                <w:szCs w:val="18"/>
              </w:rPr>
              <w:t>84,473</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pacing w:val="-1"/>
                <w:w w:val="95"/>
                <w:sz w:val="18"/>
              </w:rPr>
              <w:t>8,000</w:t>
            </w:r>
            <w:r>
              <w:rPr>
                <w:rFonts w:ascii="Arial"/>
                <w:w w:val="95"/>
                <w:sz w:val="18"/>
              </w:rPr>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84,473</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18"/>
                <w:szCs w:val="18"/>
              </w:rPr>
            </w:pPr>
            <w:r>
              <w:rPr>
                <w:rFonts w:ascii="Arial"/>
                <w:sz w:val="18"/>
              </w:rPr>
              <w:t>8,000</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09" w:right="0"/>
              <w:jc w:val="left"/>
              <w:rPr>
                <w:rFonts w:ascii="Arial" w:hAnsi="Arial" w:cs="Arial" w:eastAsia="Arial" w:hint="default"/>
                <w:sz w:val="18"/>
                <w:szCs w:val="18"/>
              </w:rPr>
            </w:pPr>
            <w:r>
              <w:rPr>
                <w:rFonts w:ascii="Arial"/>
                <w:sz w:val="18"/>
              </w:rPr>
              <w:t>92,473</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福建苏宁电器有限公司</w:t>
              <w:tab/>
            </w:r>
            <w:r>
              <w:rPr>
                <w:rFonts w:ascii="Arial" w:hAnsi="Arial" w:cs="Arial" w:eastAsia="Arial" w:hint="default"/>
                <w:sz w:val="18"/>
                <w:szCs w:val="18"/>
              </w:rPr>
              <w:t>56,700</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sz w:val="18"/>
              </w:rPr>
              <w:t>23,400</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56,700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23,400</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80,100</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深圳苏宁电器有限公司</w:t>
              <w:tab/>
            </w:r>
            <w:r>
              <w:rPr>
                <w:rFonts w:ascii="Arial" w:hAnsi="Arial" w:cs="Arial" w:eastAsia="Arial" w:hint="default"/>
                <w:sz w:val="18"/>
                <w:szCs w:val="18"/>
              </w:rPr>
              <w:t>31,500</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sz w:val="18"/>
              </w:rPr>
              <w:t>22,500</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31,500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22,500</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54,000</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武汉苏宁电器有限公司</w:t>
              <w:tab/>
            </w:r>
            <w:r>
              <w:rPr>
                <w:rFonts w:ascii="Arial" w:hAnsi="Arial" w:cs="Arial" w:eastAsia="Arial" w:hint="default"/>
                <w:sz w:val="18"/>
                <w:szCs w:val="18"/>
              </w:rPr>
              <w:t>51,300</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51,300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51,300</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杭州苏宁电器有限公司</w:t>
              <w:tab/>
            </w:r>
            <w:r>
              <w:rPr>
                <w:rFonts w:ascii="Arial" w:hAnsi="Arial" w:cs="Arial" w:eastAsia="Arial" w:hint="default"/>
                <w:sz w:val="18"/>
                <w:szCs w:val="18"/>
              </w:rPr>
              <w:t>41,850</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41,850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41,850</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湖南苏宁电器有限公司</w:t>
              <w:tab/>
            </w:r>
            <w:r>
              <w:rPr>
                <w:rFonts w:ascii="Arial" w:hAnsi="Arial" w:cs="Arial" w:eastAsia="Arial" w:hint="default"/>
                <w:sz w:val="18"/>
                <w:szCs w:val="18"/>
              </w:rPr>
              <w:t>37,035</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37,035</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37,035</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陕西苏宁电器有限公司</w:t>
              <w:tab/>
            </w:r>
            <w:r>
              <w:rPr>
                <w:rFonts w:ascii="Arial" w:hAnsi="Arial" w:cs="Arial" w:eastAsia="Arial" w:hint="default"/>
                <w:sz w:val="18"/>
                <w:szCs w:val="18"/>
              </w:rPr>
              <w:t>30,138</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30,138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30,138</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沈阳苏宁电器有限公司</w:t>
              <w:tab/>
            </w:r>
            <w:r>
              <w:rPr>
                <w:rFonts w:ascii="Arial" w:hAnsi="Arial" w:cs="Arial" w:eastAsia="Arial" w:hint="default"/>
                <w:sz w:val="18"/>
                <w:szCs w:val="18"/>
              </w:rPr>
              <w:t>25,494</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25,494</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25,494</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新疆苏宁电器有限公司</w:t>
              <w:tab/>
            </w:r>
            <w:r>
              <w:rPr>
                <w:rFonts w:ascii="Arial" w:hAnsi="Arial" w:cs="Arial" w:eastAsia="Arial" w:hint="default"/>
                <w:sz w:val="18"/>
                <w:szCs w:val="18"/>
              </w:rPr>
              <w:t>20,700</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20,700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20,700</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上海沪申苏宁电器有限公司</w:t>
              <w:tab/>
            </w:r>
            <w:r>
              <w:rPr>
                <w:rFonts w:ascii="Arial" w:hAnsi="Arial" w:cs="Arial" w:eastAsia="Arial" w:hint="default"/>
                <w:sz w:val="18"/>
                <w:szCs w:val="18"/>
              </w:rPr>
              <w:t>18,000</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9"/>
              <w:jc w:val="right"/>
              <w:rPr>
                <w:rFonts w:ascii="Arial" w:hAnsi="Arial" w:cs="Arial" w:eastAsia="Arial" w:hint="default"/>
                <w:sz w:val="18"/>
                <w:szCs w:val="18"/>
              </w:rPr>
            </w:pPr>
            <w:r>
              <w:rPr>
                <w:rFonts w:ascii="Arial"/>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18,000</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18,000</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西宁苏宁电器有限公司</w:t>
              <w:tab/>
            </w:r>
            <w:r>
              <w:rPr>
                <w:rFonts w:ascii="Arial" w:hAnsi="Arial" w:cs="Arial" w:eastAsia="Arial" w:hint="default"/>
                <w:sz w:val="18"/>
                <w:szCs w:val="18"/>
              </w:rPr>
              <w:t>15,300</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15,300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15,300</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河南苏宁电器有限公司</w:t>
              <w:tab/>
            </w:r>
            <w:r>
              <w:rPr>
                <w:rFonts w:ascii="Arial" w:hAnsi="Arial" w:cs="Arial" w:eastAsia="Arial" w:hint="default"/>
                <w:sz w:val="18"/>
                <w:szCs w:val="18"/>
              </w:rPr>
              <w:t>13,500</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8" w:right="0"/>
              <w:jc w:val="left"/>
              <w:rPr>
                <w:rFonts w:ascii="Arial" w:hAnsi="Arial" w:cs="Arial" w:eastAsia="Arial" w:hint="default"/>
                <w:sz w:val="18"/>
                <w:szCs w:val="18"/>
              </w:rPr>
            </w:pPr>
            <w:r>
              <w:rPr>
                <w:rFonts w:ascii="Arial"/>
                <w:sz w:val="18"/>
              </w:rPr>
              <w:t>13,500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13,500</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67"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甘肃苏宁电器有限公司</w:t>
              <w:tab/>
            </w:r>
            <w:r>
              <w:rPr>
                <w:rFonts w:ascii="Arial" w:hAnsi="Arial" w:cs="Arial" w:eastAsia="Arial" w:hint="default"/>
                <w:spacing w:val="-3"/>
                <w:sz w:val="18"/>
                <w:szCs w:val="18"/>
              </w:rPr>
              <w:t>11,268</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12" w:right="0"/>
              <w:jc w:val="left"/>
              <w:rPr>
                <w:rFonts w:ascii="Arial" w:hAnsi="Arial" w:cs="Arial" w:eastAsia="Arial" w:hint="default"/>
                <w:sz w:val="18"/>
                <w:szCs w:val="18"/>
              </w:rPr>
            </w:pPr>
            <w:r>
              <w:rPr>
                <w:rFonts w:ascii="Arial"/>
                <w:spacing w:val="-3"/>
                <w:sz w:val="18"/>
              </w:rPr>
              <w:t>11,268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23" w:right="0"/>
              <w:jc w:val="left"/>
              <w:rPr>
                <w:rFonts w:ascii="Arial" w:hAnsi="Arial" w:cs="Arial" w:eastAsia="Arial" w:hint="default"/>
                <w:sz w:val="18"/>
                <w:szCs w:val="18"/>
              </w:rPr>
            </w:pPr>
            <w:r>
              <w:rPr>
                <w:rFonts w:ascii="Arial"/>
                <w:spacing w:val="-3"/>
                <w:sz w:val="18"/>
              </w:rPr>
              <w:t>11,268</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23"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四川苏宁电器有限公司</w:t>
              <w:tab/>
            </w:r>
            <w:r>
              <w:rPr>
                <w:rFonts w:ascii="Arial" w:hAnsi="Arial" w:cs="Arial" w:eastAsia="Arial" w:hint="default"/>
                <w:sz w:val="18"/>
                <w:szCs w:val="18"/>
              </w:rPr>
              <w:t>10,000</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9"/>
              <w:jc w:val="right"/>
              <w:rPr>
                <w:rFonts w:ascii="Arial" w:hAnsi="Arial" w:cs="Arial" w:eastAsia="Arial" w:hint="default"/>
                <w:sz w:val="18"/>
                <w:szCs w:val="18"/>
              </w:rPr>
            </w:pPr>
            <w:r>
              <w:rPr>
                <w:rFonts w:ascii="Arial"/>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10,000</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10,000</w:t>
            </w:r>
          </w:p>
        </w:tc>
      </w:tr>
      <w:tr>
        <w:trPr>
          <w:trHeight w:val="461"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3154" w:val="left" w:leader="none"/>
              </w:tabs>
              <w:spacing w:line="208" w:lineRule="exact"/>
              <w:ind w:left="206" w:right="0"/>
              <w:jc w:val="left"/>
              <w:rPr>
                <w:rFonts w:ascii="Arial" w:hAnsi="Arial" w:cs="Arial" w:eastAsia="Arial" w:hint="default"/>
                <w:sz w:val="18"/>
                <w:szCs w:val="18"/>
              </w:rPr>
            </w:pPr>
            <w:r>
              <w:rPr>
                <w:rFonts w:ascii="宋体" w:hAnsi="宋体" w:cs="宋体" w:eastAsia="宋体" w:hint="default"/>
                <w:position w:val="1"/>
                <w:sz w:val="18"/>
                <w:szCs w:val="18"/>
              </w:rPr>
              <w:t>山东苏宁电器有限公司</w:t>
              <w:tab/>
            </w:r>
            <w:r>
              <w:rPr>
                <w:rFonts w:ascii="Arial" w:hAnsi="Arial" w:cs="Arial" w:eastAsia="Arial" w:hint="default"/>
                <w:sz w:val="18"/>
                <w:szCs w:val="18"/>
              </w:rPr>
              <w:t>10,000</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 </w:t>
            </w:r>
            <w:r>
              <w:rPr>
                <w:rFonts w:ascii="Arial" w:hAnsi="Arial" w:cs="Arial" w:eastAsia="Arial" w:hint="default"/>
                <w:sz w:val="18"/>
                <w:szCs w:val="18"/>
              </w:rPr>
              <w:t>51</w:t>
            </w:r>
            <w:r>
              <w:rPr>
                <w:rFonts w:ascii="Arial" w:hAnsi="Arial" w:cs="Arial" w:eastAsia="Arial" w:hint="default"/>
                <w:spacing w:val="-31"/>
                <w:sz w:val="18"/>
                <w:szCs w:val="18"/>
              </w:rPr>
              <w:t> </w:t>
            </w:r>
            <w:r>
              <w:rPr>
                <w:rFonts w:ascii="宋体" w:hAnsi="宋体" w:cs="宋体" w:eastAsia="宋体" w:hint="default"/>
                <w:sz w:val="18"/>
                <w:szCs w:val="18"/>
              </w:rPr>
              <w:t>家子公司</w:t>
            </w:r>
            <w:r>
              <w:rPr>
                <w:rFonts w:ascii="Arial" w:hAnsi="Arial" w:cs="Arial" w:eastAsia="Arial" w:hint="default"/>
                <w:sz w:val="18"/>
                <w:szCs w:val="18"/>
              </w:rPr>
              <w:t>(</w:t>
            </w:r>
            <w:r>
              <w:rPr>
                <w:rFonts w:ascii="宋体" w:hAnsi="宋体" w:cs="宋体" w:eastAsia="宋体" w:hint="default"/>
                <w:sz w:val="18"/>
                <w:szCs w:val="18"/>
              </w:rPr>
              <w:t>单个公司投资</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z w:val="18"/>
              </w:rPr>
              <w:t>-</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9"/>
              <w:jc w:val="right"/>
              <w:rPr>
                <w:rFonts w:ascii="Arial" w:hAnsi="Arial" w:cs="Arial" w:eastAsia="Arial" w:hint="default"/>
                <w:sz w:val="18"/>
                <w:szCs w:val="18"/>
              </w:rPr>
            </w:pPr>
            <w:r>
              <w:rPr>
                <w:rFonts w:ascii="Arial"/>
                <w:sz w:val="18"/>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10,000</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0" w:right="0"/>
              <w:jc w:val="left"/>
              <w:rPr>
                <w:rFonts w:ascii="Arial" w:hAnsi="Arial" w:cs="Arial" w:eastAsia="Arial" w:hint="default"/>
                <w:sz w:val="18"/>
                <w:szCs w:val="18"/>
              </w:rPr>
            </w:pPr>
            <w:r>
              <w:rPr>
                <w:rFonts w:ascii="Arial"/>
                <w:sz w:val="18"/>
              </w:rPr>
              <w:t>10,000</w:t>
            </w:r>
          </w:p>
        </w:tc>
      </w:tr>
      <w:tr>
        <w:trPr>
          <w:trHeight w:val="244"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nil" w:sz="6" w:space="0" w:color="auto"/>
              <w:right w:val="nil" w:sz="6" w:space="0" w:color="auto"/>
            </w:tcBorders>
          </w:tcPr>
          <w:p>
            <w:pPr>
              <w:pStyle w:val="TableParagraph"/>
              <w:tabs>
                <w:tab w:pos="2632" w:val="left" w:leader="none"/>
                <w:tab w:pos="3598" w:val="left" w:leader="none"/>
              </w:tabs>
              <w:spacing w:line="230" w:lineRule="exact"/>
              <w:ind w:right="5"/>
              <w:jc w:val="right"/>
              <w:rPr>
                <w:rFonts w:ascii="Arial" w:hAnsi="Arial" w:cs="Arial" w:eastAsia="Arial" w:hint="default"/>
                <w:sz w:val="18"/>
                <w:szCs w:val="18"/>
              </w:rPr>
            </w:pPr>
            <w:r>
              <w:rPr>
                <w:rFonts w:ascii="宋体" w:hAnsi="宋体" w:cs="宋体" w:eastAsia="宋体" w:hint="default"/>
                <w:position w:val="1"/>
                <w:sz w:val="18"/>
                <w:szCs w:val="18"/>
              </w:rPr>
              <w:t>成本小于人民币</w:t>
            </w:r>
            <w:r>
              <w:rPr>
                <w:rFonts w:ascii="宋体" w:hAnsi="宋体" w:cs="宋体" w:eastAsia="宋体" w:hint="default"/>
                <w:spacing w:val="-45"/>
                <w:position w:val="1"/>
                <w:sz w:val="18"/>
                <w:szCs w:val="18"/>
              </w:rPr>
              <w:t> </w:t>
            </w:r>
            <w:r>
              <w:rPr>
                <w:rFonts w:ascii="Arial" w:hAnsi="Arial" w:cs="Arial" w:eastAsia="Arial" w:hint="default"/>
                <w:spacing w:val="-1"/>
                <w:position w:val="1"/>
                <w:sz w:val="18"/>
                <w:szCs w:val="18"/>
              </w:rPr>
              <w:t>1,000</w:t>
            </w:r>
            <w:r>
              <w:rPr>
                <w:rFonts w:ascii="Arial" w:hAnsi="Arial" w:cs="Arial" w:eastAsia="Arial" w:hint="default"/>
                <w:spacing w:val="-5"/>
                <w:position w:val="1"/>
                <w:sz w:val="18"/>
                <w:szCs w:val="18"/>
              </w:rPr>
              <w:t> </w:t>
            </w:r>
            <w:r>
              <w:rPr>
                <w:rFonts w:ascii="宋体" w:hAnsi="宋体" w:cs="宋体" w:eastAsia="宋体" w:hint="default"/>
                <w:position w:val="1"/>
                <w:sz w:val="18"/>
                <w:szCs w:val="18"/>
              </w:rPr>
              <w:t>万元</w:t>
            </w:r>
            <w:r>
              <w:rPr>
                <w:rFonts w:ascii="Arial" w:hAnsi="Arial" w:cs="Arial" w:eastAsia="Arial" w:hint="default"/>
                <w:position w:val="1"/>
                <w:sz w:val="18"/>
                <w:szCs w:val="18"/>
              </w:rPr>
              <w:t>)</w:t>
              <w:tab/>
            </w:r>
            <w:r>
              <w:rPr>
                <w:rFonts w:ascii="Arial" w:hAnsi="Arial" w:cs="Arial" w:eastAsia="Arial" w:hint="default"/>
                <w:sz w:val="18"/>
                <w:szCs w:val="18"/>
              </w:rPr>
            </w:r>
            <w:r>
              <w:rPr>
                <w:rFonts w:ascii="Arial" w:hAnsi="Arial" w:cs="Arial" w:eastAsia="Arial" w:hint="default"/>
                <w:sz w:val="18"/>
                <w:szCs w:val="18"/>
                <w:u w:val="single" w:color="000000"/>
              </w:rPr>
              <w:t> </w:t>
            </w:r>
            <w:r>
              <w:rPr>
                <w:rFonts w:ascii="Arial" w:hAnsi="Arial" w:cs="Arial" w:eastAsia="Arial" w:hint="default"/>
                <w:spacing w:val="-1"/>
                <w:sz w:val="18"/>
                <w:szCs w:val="18"/>
                <w:u w:val="single" w:color="000000"/>
              </w:rPr>
              <w:t>208,213</w:t>
              <w:tab/>
            </w:r>
            <w:r>
              <w:rPr>
                <w:rFonts w:ascii="Arial" w:hAnsi="Arial" w:cs="Arial" w:eastAsia="Arial" w:hint="default"/>
                <w:spacing w:val="-1"/>
                <w:sz w:val="18"/>
                <w:szCs w:val="18"/>
              </w:rPr>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tabs>
                <w:tab w:pos="399" w:val="left" w:leader="none"/>
                <w:tab w:pos="1049" w:val="left" w:leader="none"/>
              </w:tabs>
              <w:spacing w:line="240" w:lineRule="auto" w:before="23"/>
              <w:ind w:right="5"/>
              <w:jc w:val="right"/>
              <w:rPr>
                <w:rFonts w:ascii="Arial" w:hAnsi="Arial" w:cs="Arial" w:eastAsia="Arial" w:hint="default"/>
                <w:sz w:val="18"/>
                <w:szCs w:val="18"/>
              </w:rPr>
            </w:pPr>
            <w:r>
              <w:rPr>
                <w:rFonts w:ascii="Arial"/>
                <w:sz w:val="18"/>
              </w:rPr>
            </w:r>
            <w:r>
              <w:rPr>
                <w:rFonts w:ascii="Arial"/>
                <w:sz w:val="18"/>
                <w:u w:val="single" w:color="000000"/>
              </w:rPr>
              <w:t> </w:t>
              <w:tab/>
            </w:r>
            <w:r>
              <w:rPr>
                <w:rFonts w:ascii="Arial"/>
                <w:spacing w:val="-1"/>
                <w:sz w:val="18"/>
                <w:u w:val="single" w:color="000000"/>
              </w:rPr>
              <w:t>17,100</w:t>
              <w:tab/>
            </w:r>
            <w:r>
              <w:rPr>
                <w:rFonts w:ascii="Arial"/>
                <w:spacing w:val="-1"/>
                <w:sz w:val="18"/>
              </w:rPr>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tabs>
                <w:tab w:pos="398" w:val="left" w:leader="none"/>
                <w:tab w:pos="1149" w:val="left" w:leader="none"/>
              </w:tabs>
              <w:spacing w:line="240" w:lineRule="auto" w:before="23"/>
              <w:ind w:left="7" w:right="0"/>
              <w:jc w:val="left"/>
              <w:rPr>
                <w:rFonts w:ascii="Arial" w:hAnsi="Arial" w:cs="Arial" w:eastAsia="Arial" w:hint="default"/>
                <w:sz w:val="18"/>
                <w:szCs w:val="18"/>
              </w:rPr>
            </w:pPr>
            <w:r>
              <w:rPr>
                <w:rFonts w:ascii="Arial"/>
                <w:sz w:val="18"/>
              </w:rPr>
            </w:r>
            <w:r>
              <w:rPr>
                <w:rFonts w:ascii="Arial"/>
                <w:sz w:val="18"/>
                <w:u w:val="single" w:color="000000"/>
              </w:rPr>
              <w:t> </w:t>
              <w:tab/>
              <w:t>104,213</w:t>
              <w:tab/>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tabs>
                <w:tab w:pos="435" w:val="left" w:leader="none"/>
                <w:tab w:pos="1187" w:val="left" w:leader="none"/>
              </w:tabs>
              <w:spacing w:line="240" w:lineRule="auto" w:before="23"/>
              <w:ind w:left="7" w:right="0"/>
              <w:jc w:val="left"/>
              <w:rPr>
                <w:rFonts w:ascii="Arial" w:hAnsi="Arial" w:cs="Arial" w:eastAsia="Arial" w:hint="default"/>
                <w:sz w:val="18"/>
                <w:szCs w:val="18"/>
              </w:rPr>
            </w:pPr>
            <w:r>
              <w:rPr>
                <w:rFonts w:ascii="Arial"/>
                <w:sz w:val="18"/>
              </w:rPr>
            </w:r>
            <w:r>
              <w:rPr>
                <w:rFonts w:ascii="Arial"/>
                <w:sz w:val="18"/>
                <w:u w:val="single" w:color="000000"/>
              </w:rPr>
              <w:t> </w:t>
              <w:tab/>
              <w:t>121,100</w:t>
              <w:tab/>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tabs>
                <w:tab w:pos="510" w:val="left" w:leader="none"/>
                <w:tab w:pos="1261" w:val="left" w:leader="none"/>
              </w:tabs>
              <w:spacing w:line="240" w:lineRule="auto" w:before="23"/>
              <w:ind w:left="7" w:right="0"/>
              <w:jc w:val="left"/>
              <w:rPr>
                <w:rFonts w:ascii="Arial" w:hAnsi="Arial" w:cs="Arial" w:eastAsia="Arial" w:hint="default"/>
                <w:sz w:val="18"/>
                <w:szCs w:val="18"/>
              </w:rPr>
            </w:pPr>
            <w:r>
              <w:rPr>
                <w:rFonts w:ascii="Arial"/>
                <w:sz w:val="18"/>
              </w:rPr>
            </w:r>
            <w:r>
              <w:rPr>
                <w:rFonts w:ascii="Arial"/>
                <w:sz w:val="18"/>
                <w:u w:val="single" w:color="000000"/>
              </w:rPr>
              <w:t> </w:t>
              <w:tab/>
              <w:t>225,313</w:t>
              <w:tab/>
            </w:r>
            <w:r>
              <w:rPr>
                <w:rFonts w:ascii="Arial"/>
                <w:sz w:val="18"/>
              </w:rPr>
            </w:r>
          </w:p>
        </w:tc>
      </w:tr>
      <w:tr>
        <w:trPr>
          <w:trHeight w:val="220" w:hRule="exact"/>
        </w:trPr>
        <w:tc>
          <w:tcPr>
            <w:tcW w:w="535" w:type="dxa"/>
            <w:tcBorders>
              <w:top w:val="nil" w:sz="6" w:space="0" w:color="auto"/>
              <w:left w:val="nil" w:sz="6" w:space="0" w:color="auto"/>
              <w:bottom w:val="nil" w:sz="6" w:space="0" w:color="auto"/>
              <w:right w:val="nil" w:sz="6" w:space="0" w:color="auto"/>
            </w:tcBorders>
          </w:tcPr>
          <w:p>
            <w:pPr/>
          </w:p>
        </w:tc>
        <w:tc>
          <w:tcPr>
            <w:tcW w:w="3812" w:type="dxa"/>
            <w:tcBorders>
              <w:top w:val="nil" w:sz="6" w:space="0" w:color="auto"/>
              <w:left w:val="nil" w:sz="6" w:space="0" w:color="auto"/>
              <w:bottom w:val="single" w:sz="12" w:space="0" w:color="000000"/>
              <w:right w:val="nil" w:sz="6" w:space="0" w:color="auto"/>
            </w:tcBorders>
          </w:tcPr>
          <w:p>
            <w:pPr>
              <w:pStyle w:val="TableParagraph"/>
              <w:spacing w:line="202" w:lineRule="exact"/>
              <w:ind w:right="105"/>
              <w:jc w:val="right"/>
              <w:rPr>
                <w:rFonts w:ascii="Arial" w:hAnsi="Arial" w:cs="Arial" w:eastAsia="Arial" w:hint="default"/>
                <w:sz w:val="18"/>
                <w:szCs w:val="18"/>
              </w:rPr>
            </w:pPr>
            <w:r>
              <w:rPr>
                <w:rFonts w:ascii="Arial"/>
                <w:spacing w:val="-1"/>
                <w:sz w:val="18"/>
              </w:rPr>
              <w:t>917,998</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single" w:sz="12" w:space="0" w:color="000000"/>
              <w:right w:val="nil" w:sz="6" w:space="0" w:color="auto"/>
            </w:tcBorders>
          </w:tcPr>
          <w:p>
            <w:pPr>
              <w:pStyle w:val="TableParagraph"/>
              <w:spacing w:line="202" w:lineRule="exact"/>
              <w:ind w:left="307" w:right="0"/>
              <w:jc w:val="left"/>
              <w:rPr>
                <w:rFonts w:ascii="Arial" w:hAnsi="Arial" w:cs="Arial" w:eastAsia="Arial" w:hint="default"/>
                <w:sz w:val="18"/>
                <w:szCs w:val="18"/>
              </w:rPr>
            </w:pPr>
            <w:r>
              <w:rPr>
                <w:rFonts w:ascii="Arial"/>
                <w:sz w:val="18"/>
              </w:rPr>
              <w:t>126,000</w:t>
            </w:r>
          </w:p>
        </w:tc>
        <w:tc>
          <w:tcPr>
            <w:tcW w:w="22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12" w:space="0" w:color="000000"/>
              <w:right w:val="nil" w:sz="6" w:space="0" w:color="auto"/>
            </w:tcBorders>
          </w:tcPr>
          <w:p>
            <w:pPr>
              <w:pStyle w:val="TableParagraph"/>
              <w:spacing w:line="202" w:lineRule="exact"/>
              <w:ind w:left="399" w:right="0"/>
              <w:jc w:val="left"/>
              <w:rPr>
                <w:rFonts w:ascii="Arial" w:hAnsi="Arial" w:cs="Arial" w:eastAsia="Arial" w:hint="default"/>
                <w:sz w:val="18"/>
                <w:szCs w:val="18"/>
              </w:rPr>
            </w:pPr>
            <w:r>
              <w:rPr>
                <w:rFonts w:ascii="Arial"/>
                <w:sz w:val="18"/>
              </w:rPr>
              <w:t>775,998</w:t>
            </w:r>
          </w:p>
        </w:tc>
        <w:tc>
          <w:tcPr>
            <w:tcW w:w="1195" w:type="dxa"/>
            <w:tcBorders>
              <w:top w:val="nil" w:sz="6" w:space="0" w:color="auto"/>
              <w:left w:val="nil" w:sz="6" w:space="0" w:color="auto"/>
              <w:bottom w:val="single" w:sz="12" w:space="0" w:color="000000"/>
              <w:right w:val="nil" w:sz="6" w:space="0" w:color="auto"/>
            </w:tcBorders>
          </w:tcPr>
          <w:p>
            <w:pPr>
              <w:pStyle w:val="TableParagraph"/>
              <w:spacing w:line="202" w:lineRule="exact"/>
              <w:ind w:left="436" w:right="0"/>
              <w:jc w:val="left"/>
              <w:rPr>
                <w:rFonts w:ascii="Arial" w:hAnsi="Arial" w:cs="Arial" w:eastAsia="Arial" w:hint="default"/>
                <w:sz w:val="18"/>
                <w:szCs w:val="18"/>
              </w:rPr>
            </w:pPr>
            <w:r>
              <w:rPr>
                <w:rFonts w:ascii="Arial"/>
                <w:sz w:val="18"/>
              </w:rPr>
              <w:t>268,000</w:t>
            </w:r>
          </w:p>
        </w:tc>
        <w:tc>
          <w:tcPr>
            <w:tcW w:w="22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12" w:space="0" w:color="000000"/>
              <w:right w:val="nil" w:sz="6" w:space="0" w:color="auto"/>
            </w:tcBorders>
          </w:tcPr>
          <w:p>
            <w:pPr>
              <w:pStyle w:val="TableParagraph"/>
              <w:spacing w:line="202" w:lineRule="exact"/>
              <w:ind w:left="361" w:right="0"/>
              <w:jc w:val="left"/>
              <w:rPr>
                <w:rFonts w:ascii="Arial" w:hAnsi="Arial" w:cs="Arial" w:eastAsia="Arial" w:hint="default"/>
                <w:sz w:val="18"/>
                <w:szCs w:val="18"/>
              </w:rPr>
            </w:pPr>
            <w:r>
              <w:rPr>
                <w:rFonts w:ascii="Arial"/>
                <w:sz w:val="18"/>
              </w:rPr>
              <w:t>1,043,998</w:t>
            </w:r>
          </w:p>
        </w:tc>
      </w:tr>
    </w:tbl>
    <w:p>
      <w:pPr>
        <w:spacing w:line="240" w:lineRule="auto" w:before="5"/>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535"/>
        <w:gridCol w:w="3503"/>
        <w:gridCol w:w="2545"/>
        <w:gridCol w:w="583"/>
        <w:gridCol w:w="2676"/>
      </w:tblGrid>
      <w:tr>
        <w:trPr>
          <w:trHeight w:val="976"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24"/>
                <w:szCs w:val="24"/>
              </w:rPr>
            </w:pPr>
            <w:r>
              <w:rPr>
                <w:rFonts w:ascii="Arial"/>
                <w:sz w:val="24"/>
              </w:rPr>
              <w:t>(3)</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6" w:right="0"/>
              <w:jc w:val="left"/>
              <w:rPr>
                <w:rFonts w:ascii="宋体" w:hAnsi="宋体" w:cs="宋体" w:eastAsia="宋体" w:hint="default"/>
                <w:sz w:val="24"/>
                <w:szCs w:val="24"/>
              </w:rPr>
            </w:pPr>
            <w:r>
              <w:rPr>
                <w:rFonts w:ascii="宋体" w:hAnsi="宋体" w:cs="宋体" w:eastAsia="宋体" w:hint="default"/>
                <w:b/>
                <w:bCs/>
                <w:sz w:val="24"/>
                <w:szCs w:val="24"/>
              </w:rPr>
              <w:t>营业收入和营业成本</w:t>
            </w:r>
            <w:r>
              <w:rPr>
                <w:rFonts w:ascii="宋体" w:hAnsi="宋体" w:cs="宋体" w:eastAsia="宋体" w:hint="default"/>
                <w:sz w:val="24"/>
                <w:szCs w:val="24"/>
              </w:rPr>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01"/>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583"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447" w:hRule="exact"/>
        </w:trPr>
        <w:tc>
          <w:tcPr>
            <w:tcW w:w="535"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Style w:val="TableParagraph"/>
              <w:spacing w:line="287" w:lineRule="exact"/>
              <w:ind w:right="99"/>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83"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nil" w:sz="6" w:space="0" w:color="auto"/>
              <w:right w:val="nil" w:sz="6" w:space="0" w:color="auto"/>
            </w:tcBorders>
          </w:tcPr>
          <w:p>
            <w:pPr>
              <w:pStyle w:val="TableParagraph"/>
              <w:spacing w:line="287" w:lineRule="exact"/>
              <w:ind w:right="98"/>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535"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0"/>
              <w:jc w:val="right"/>
              <w:rPr>
                <w:rFonts w:ascii="Arial" w:hAnsi="Arial" w:cs="Arial" w:eastAsia="Arial" w:hint="default"/>
                <w:sz w:val="24"/>
                <w:szCs w:val="24"/>
              </w:rPr>
            </w:pPr>
            <w:r>
              <w:rPr>
                <w:rFonts w:ascii="Arial"/>
                <w:spacing w:val="-1"/>
                <w:sz w:val="24"/>
              </w:rPr>
              <w:t>30,901,056</w:t>
            </w:r>
            <w:r>
              <w:rPr>
                <w:rFonts w:ascii="Arial"/>
                <w:sz w:val="24"/>
              </w:rPr>
            </w:r>
          </w:p>
        </w:tc>
        <w:tc>
          <w:tcPr>
            <w:tcW w:w="583"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sz w:val="24"/>
              </w:rPr>
              <w:t>17,133,135</w:t>
            </w:r>
            <w:r>
              <w:rPr>
                <w:rFonts w:ascii="Arial"/>
                <w:sz w:val="24"/>
              </w:rPr>
            </w:r>
          </w:p>
        </w:tc>
      </w:tr>
      <w:tr>
        <w:trPr>
          <w:trHeight w:val="321" w:hRule="exact"/>
        </w:trPr>
        <w:tc>
          <w:tcPr>
            <w:tcW w:w="535"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254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sz w:val="24"/>
              </w:rPr>
              <w:t>294,623</w:t>
            </w:r>
            <w:r>
              <w:rPr>
                <w:rFonts w:ascii="Arial"/>
                <w:sz w:val="24"/>
              </w:rPr>
            </w:r>
          </w:p>
        </w:tc>
        <w:tc>
          <w:tcPr>
            <w:tcW w:w="583"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sz w:val="24"/>
              </w:rPr>
              <w:t>228,225</w:t>
            </w:r>
            <w:r>
              <w:rPr>
                <w:rFonts w:ascii="Arial"/>
                <w:sz w:val="24"/>
              </w:rPr>
            </w:r>
          </w:p>
        </w:tc>
      </w:tr>
      <w:tr>
        <w:trPr>
          <w:trHeight w:val="296" w:hRule="exact"/>
        </w:trPr>
        <w:tc>
          <w:tcPr>
            <w:tcW w:w="535"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
        </w:tc>
        <w:tc>
          <w:tcPr>
            <w:tcW w:w="2545"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0"/>
              <w:jc w:val="right"/>
              <w:rPr>
                <w:rFonts w:ascii="Arial" w:hAnsi="Arial" w:cs="Arial" w:eastAsia="Arial" w:hint="default"/>
                <w:sz w:val="24"/>
                <w:szCs w:val="24"/>
              </w:rPr>
            </w:pPr>
            <w:r>
              <w:rPr>
                <w:rFonts w:ascii="Arial"/>
                <w:spacing w:val="-1"/>
                <w:sz w:val="24"/>
              </w:rPr>
              <w:t>31,195,679</w:t>
            </w:r>
            <w:r>
              <w:rPr>
                <w:rFonts w:ascii="Arial"/>
                <w:sz w:val="24"/>
              </w:rPr>
            </w:r>
          </w:p>
        </w:tc>
        <w:tc>
          <w:tcPr>
            <w:tcW w:w="583" w:type="dxa"/>
            <w:tcBorders>
              <w:top w:val="nil" w:sz="6" w:space="0" w:color="auto"/>
              <w:left w:val="nil" w:sz="6" w:space="0" w:color="auto"/>
              <w:bottom w:val="nil" w:sz="6" w:space="0" w:color="auto"/>
              <w:right w:val="nil" w:sz="6" w:space="0" w:color="auto"/>
            </w:tcBorders>
          </w:tcPr>
          <w:p>
            <w:pPr/>
          </w:p>
        </w:tc>
        <w:tc>
          <w:tcPr>
            <w:tcW w:w="267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sz w:val="24"/>
              </w:rPr>
              <w:t>17,361,360</w:t>
            </w:r>
            <w:r>
              <w:rPr>
                <w:rFonts w:ascii="Arial"/>
                <w:sz w:val="24"/>
              </w:rPr>
            </w:r>
          </w:p>
        </w:tc>
      </w:tr>
      <w:tr>
        <w:trPr>
          <w:trHeight w:val="599" w:hRule="exact"/>
        </w:trPr>
        <w:tc>
          <w:tcPr>
            <w:tcW w:w="535"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2545"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Arial" w:hAnsi="Arial" w:cs="Arial" w:eastAsia="Arial" w:hint="default"/>
                <w:sz w:val="24"/>
                <w:szCs w:val="24"/>
              </w:rPr>
            </w:pPr>
            <w:r>
              <w:rPr>
                <w:rFonts w:ascii="Arial"/>
                <w:spacing w:val="-1"/>
                <w:sz w:val="24"/>
              </w:rPr>
              <w:t>29,291,217</w:t>
            </w:r>
            <w:r>
              <w:rPr>
                <w:rFonts w:ascii="Arial"/>
                <w:sz w:val="24"/>
              </w:rPr>
            </w:r>
          </w:p>
        </w:tc>
        <w:tc>
          <w:tcPr>
            <w:tcW w:w="583" w:type="dxa"/>
            <w:tcBorders>
              <w:top w:val="nil" w:sz="6" w:space="0" w:color="auto"/>
              <w:left w:val="nil" w:sz="6" w:space="0" w:color="auto"/>
              <w:bottom w:val="nil" w:sz="6" w:space="0" w:color="auto"/>
              <w:right w:val="nil" w:sz="6" w:space="0" w:color="auto"/>
            </w:tcBorders>
          </w:tcPr>
          <w:p>
            <w:pPr/>
          </w:p>
        </w:tc>
        <w:tc>
          <w:tcPr>
            <w:tcW w:w="267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Arial" w:hAnsi="Arial" w:cs="Arial" w:eastAsia="Arial" w:hint="default"/>
                <w:sz w:val="24"/>
                <w:szCs w:val="24"/>
              </w:rPr>
            </w:pPr>
            <w:r>
              <w:rPr>
                <w:rFonts w:ascii="Arial"/>
                <w:spacing w:val="-1"/>
                <w:sz w:val="24"/>
              </w:rPr>
              <w:t>16,383,958</w:t>
            </w:r>
            <w:r>
              <w:rPr>
                <w:rFonts w:ascii="Arial"/>
                <w:sz w:val="24"/>
              </w:rPr>
            </w:r>
          </w:p>
        </w:tc>
      </w:tr>
      <w:tr>
        <w:trPr>
          <w:trHeight w:val="321" w:hRule="exact"/>
        </w:trPr>
        <w:tc>
          <w:tcPr>
            <w:tcW w:w="535"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254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1,055</w:t>
            </w:r>
            <w:r>
              <w:rPr>
                <w:rFonts w:ascii="Arial"/>
                <w:w w:val="95"/>
                <w:sz w:val="24"/>
              </w:rPr>
            </w:r>
          </w:p>
        </w:tc>
        <w:tc>
          <w:tcPr>
            <w:tcW w:w="583"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721</w:t>
            </w:r>
            <w:r>
              <w:rPr>
                <w:rFonts w:ascii="Arial"/>
                <w:w w:val="95"/>
                <w:sz w:val="24"/>
              </w:rPr>
            </w:r>
          </w:p>
        </w:tc>
      </w:tr>
      <w:tr>
        <w:trPr>
          <w:trHeight w:val="296" w:hRule="exact"/>
        </w:trPr>
        <w:tc>
          <w:tcPr>
            <w:tcW w:w="535"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
        </w:tc>
        <w:tc>
          <w:tcPr>
            <w:tcW w:w="2545"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0"/>
              <w:jc w:val="right"/>
              <w:rPr>
                <w:rFonts w:ascii="Arial" w:hAnsi="Arial" w:cs="Arial" w:eastAsia="Arial" w:hint="default"/>
                <w:sz w:val="24"/>
                <w:szCs w:val="24"/>
              </w:rPr>
            </w:pPr>
            <w:r>
              <w:rPr>
                <w:rFonts w:ascii="Arial"/>
                <w:spacing w:val="-1"/>
                <w:sz w:val="24"/>
              </w:rPr>
              <w:t>29,292,272</w:t>
            </w:r>
            <w:r>
              <w:rPr>
                <w:rFonts w:ascii="Arial"/>
                <w:sz w:val="24"/>
              </w:rPr>
            </w:r>
          </w:p>
        </w:tc>
        <w:tc>
          <w:tcPr>
            <w:tcW w:w="583" w:type="dxa"/>
            <w:tcBorders>
              <w:top w:val="nil" w:sz="6" w:space="0" w:color="auto"/>
              <w:left w:val="nil" w:sz="6" w:space="0" w:color="auto"/>
              <w:bottom w:val="nil" w:sz="6" w:space="0" w:color="auto"/>
              <w:right w:val="nil" w:sz="6" w:space="0" w:color="auto"/>
            </w:tcBorders>
          </w:tcPr>
          <w:p>
            <w:pPr/>
          </w:p>
        </w:tc>
        <w:tc>
          <w:tcPr>
            <w:tcW w:w="267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sz w:val="24"/>
              </w:rPr>
              <w:t>16,384,679</w:t>
            </w:r>
            <w:r>
              <w:rPr>
                <w:rFonts w:ascii="Arial"/>
                <w:sz w:val="24"/>
              </w:rPr>
            </w:r>
          </w:p>
        </w:tc>
      </w:tr>
    </w:tbl>
    <w:p>
      <w:pPr>
        <w:spacing w:after="0" w:line="274" w:lineRule="exact"/>
        <w:jc w:val="right"/>
        <w:rPr>
          <w:rFonts w:ascii="Arial" w:hAnsi="Arial" w:cs="Arial" w:eastAsia="Arial" w:hint="default"/>
          <w:sz w:val="24"/>
          <w:szCs w:val="24"/>
        </w:rPr>
        <w:sectPr>
          <w:pgSz w:w="11910" w:h="16840"/>
          <w:pgMar w:header="748" w:footer="708" w:top="980" w:bottom="900" w:left="98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tabs>
          <w:tab w:pos="814" w:val="left" w:leader="none"/>
        </w:tabs>
        <w:spacing w:line="240" w:lineRule="auto" w:before="193"/>
        <w:ind w:right="0"/>
        <w:jc w:val="left"/>
        <w:rPr>
          <w:rFonts w:ascii="Arial" w:hAnsi="Arial" w:cs="Arial" w:eastAsia="Arial" w:hint="default"/>
          <w:b w:val="0"/>
          <w:bCs w:val="0"/>
        </w:rPr>
      </w:pPr>
      <w:r>
        <w:rPr>
          <w:w w:val="95"/>
        </w:rPr>
        <w:t>十</w:t>
        <w:tab/>
      </w:r>
      <w:r>
        <w:rPr/>
        <w:t>母公司财务报表主要项目附注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4" w:val="left" w:leader="none"/>
        </w:tabs>
        <w:spacing w:before="0"/>
        <w:ind w:left="107" w:right="0" w:firstLine="0"/>
        <w:jc w:val="left"/>
        <w:rPr>
          <w:rFonts w:ascii="Arial" w:hAnsi="Arial" w:cs="Arial" w:eastAsia="Arial" w:hint="default"/>
          <w:sz w:val="24"/>
          <w:szCs w:val="24"/>
        </w:rPr>
      </w:pPr>
      <w:r>
        <w:rPr>
          <w:rFonts w:ascii="Arial" w:hAnsi="Arial" w:cs="Arial" w:eastAsia="Arial" w:hint="default"/>
          <w:position w:val="2"/>
          <w:sz w:val="24"/>
          <w:szCs w:val="24"/>
        </w:rPr>
        <w:t>(3)</w:t>
        <w:tab/>
      </w:r>
      <w:r>
        <w:rPr>
          <w:rFonts w:ascii="宋体" w:hAnsi="宋体" w:cs="宋体" w:eastAsia="宋体" w:hint="default"/>
          <w:b/>
          <w:bCs/>
          <w:sz w:val="24"/>
          <w:szCs w:val="24"/>
        </w:rPr>
        <w:t>营业收入和营业成本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4" w:val="left" w:leader="none"/>
        </w:tabs>
        <w:spacing w:line="240" w:lineRule="auto"/>
        <w:ind w:left="108" w:right="0"/>
        <w:jc w:val="left"/>
      </w:pPr>
      <w:r>
        <w:rPr>
          <w:rFonts w:ascii="Arial" w:hAnsi="Arial" w:cs="Arial" w:eastAsia="Arial" w:hint="default"/>
          <w:position w:val="2"/>
        </w:rPr>
        <w:t>(a)</w:t>
        <w:tab/>
      </w:r>
      <w:r>
        <w:rPr/>
        <w:t>主营业务收入和主营业务成本</w:t>
      </w:r>
    </w:p>
    <w:p>
      <w:pPr>
        <w:spacing w:line="240" w:lineRule="auto" w:before="12"/>
        <w:rPr>
          <w:rFonts w:ascii="宋体" w:hAnsi="宋体" w:cs="宋体" w:eastAsia="宋体" w:hint="default"/>
          <w:sz w:val="18"/>
          <w:szCs w:val="18"/>
        </w:rPr>
      </w:pPr>
    </w:p>
    <w:p>
      <w:pPr>
        <w:pStyle w:val="BodyText"/>
        <w:tabs>
          <w:tab w:pos="8030" w:val="left" w:leader="none"/>
        </w:tabs>
        <w:spacing w:line="240" w:lineRule="auto" w:before="26"/>
        <w:ind w:left="4381" w:right="0"/>
        <w:jc w:val="left"/>
      </w:pPr>
      <w:r>
        <w:rPr>
          <w:rFonts w:ascii="Arial" w:hAnsi="Arial" w:cs="Arial" w:eastAsia="Arial" w:hint="default"/>
        </w:rPr>
        <w:t>2007</w:t>
      </w:r>
      <w:r>
        <w:rPr>
          <w:rFonts w:ascii="Arial" w:hAnsi="Arial" w:cs="Arial" w:eastAsia="Arial" w:hint="default"/>
          <w:spacing w:val="-10"/>
        </w:rPr>
        <w:t> </w:t>
      </w:r>
      <w:r>
        <w:rPr/>
        <w:t>年度</w:t>
        <w:tab/>
      </w:r>
      <w:r>
        <w:rPr>
          <w:rFonts w:ascii="Arial" w:hAnsi="Arial" w:cs="Arial" w:eastAsia="Arial" w:hint="default"/>
        </w:rPr>
        <w:t>2006</w:t>
      </w:r>
      <w:r>
        <w:rPr>
          <w:rFonts w:ascii="Arial" w:hAnsi="Arial" w:cs="Arial" w:eastAsia="Arial" w:hint="default"/>
          <w:spacing w:val="-10"/>
        </w:rPr>
        <w:t> </w:t>
      </w:r>
      <w:r>
        <w:rPr/>
        <w:t>年度</w:t>
      </w:r>
    </w:p>
    <w:p>
      <w:pPr>
        <w:spacing w:line="240" w:lineRule="auto" w:before="8"/>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2604"/>
        <w:gridCol w:w="1606"/>
        <w:gridCol w:w="1819"/>
        <w:gridCol w:w="1816"/>
        <w:gridCol w:w="1603"/>
      </w:tblGrid>
      <w:tr>
        <w:trPr>
          <w:trHeight w:val="260" w:hRule="exact"/>
        </w:trPr>
        <w:tc>
          <w:tcPr>
            <w:tcW w:w="4210"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2639"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819" w:type="dxa"/>
            <w:tcBorders>
              <w:top w:val="nil" w:sz="6" w:space="0" w:color="auto"/>
              <w:left w:val="nil" w:sz="6" w:space="0" w:color="auto"/>
              <w:bottom w:val="nil" w:sz="6" w:space="0" w:color="auto"/>
              <w:right w:val="nil" w:sz="6" w:space="0" w:color="auto"/>
            </w:tcBorders>
          </w:tcPr>
          <w:p>
            <w:pPr>
              <w:pStyle w:val="TableParagraph"/>
              <w:spacing w:line="260" w:lineRule="exact"/>
              <w:ind w:right="245"/>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816" w:type="dxa"/>
            <w:tcBorders>
              <w:top w:val="nil" w:sz="6" w:space="0" w:color="auto"/>
              <w:left w:val="nil" w:sz="6" w:space="0" w:color="auto"/>
              <w:bottom w:val="nil" w:sz="6" w:space="0" w:color="auto"/>
              <w:right w:val="nil" w:sz="6" w:space="0" w:color="auto"/>
            </w:tcBorders>
          </w:tcPr>
          <w:p>
            <w:pPr>
              <w:pStyle w:val="TableParagraph"/>
              <w:spacing w:line="260" w:lineRule="exact"/>
              <w:ind w:right="125"/>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603" w:type="dxa"/>
            <w:tcBorders>
              <w:top w:val="nil" w:sz="6" w:space="0" w:color="auto"/>
              <w:left w:val="nil" w:sz="6" w:space="0" w:color="auto"/>
              <w:bottom w:val="nil" w:sz="6" w:space="0" w:color="auto"/>
              <w:right w:val="nil" w:sz="6" w:space="0" w:color="auto"/>
            </w:tcBorders>
          </w:tcPr>
          <w:p>
            <w:pPr>
              <w:pStyle w:val="TableParagraph"/>
              <w:spacing w:line="260" w:lineRule="exact"/>
              <w:ind w:right="33"/>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89" w:hRule="exact"/>
        </w:trPr>
        <w:tc>
          <w:tcPr>
            <w:tcW w:w="9447" w:type="dxa"/>
            <w:gridSpan w:val="5"/>
            <w:tcBorders>
              <w:top w:val="nil" w:sz="6" w:space="0" w:color="auto"/>
              <w:left w:val="nil" w:sz="6" w:space="0" w:color="auto"/>
              <w:bottom w:val="nil" w:sz="6" w:space="0" w:color="auto"/>
              <w:right w:val="nil" w:sz="6" w:space="0" w:color="auto"/>
            </w:tcBorders>
          </w:tcPr>
          <w:p>
            <w:pPr>
              <w:pStyle w:val="TableParagraph"/>
              <w:spacing w:line="329" w:lineRule="exact"/>
              <w:ind w:left="5274"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68"/>
              <w:jc w:val="right"/>
              <w:rPr>
                <w:rFonts w:ascii="Arial" w:hAnsi="Arial" w:cs="Arial" w:eastAsia="Arial" w:hint="default"/>
                <w:sz w:val="24"/>
                <w:szCs w:val="24"/>
              </w:rPr>
            </w:pPr>
            <w:r>
              <w:rPr>
                <w:rFonts w:ascii="Arial"/>
                <w:spacing w:val="-1"/>
                <w:sz w:val="24"/>
              </w:rPr>
              <w:t>9,691,877</w:t>
            </w:r>
            <w:r>
              <w:rPr>
                <w:rFonts w:ascii="Arial"/>
                <w:sz w:val="24"/>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82"/>
              <w:jc w:val="right"/>
              <w:rPr>
                <w:rFonts w:ascii="Arial" w:hAnsi="Arial" w:cs="Arial" w:eastAsia="Arial" w:hint="default"/>
                <w:sz w:val="24"/>
                <w:szCs w:val="24"/>
              </w:rPr>
            </w:pPr>
            <w:r>
              <w:rPr>
                <w:rFonts w:ascii="Arial"/>
                <w:spacing w:val="-1"/>
                <w:sz w:val="24"/>
              </w:rPr>
              <w:t>9,016,631</w:t>
            </w:r>
            <w:r>
              <w:rPr>
                <w:rFonts w:ascii="Arial"/>
                <w:sz w:val="24"/>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7"/>
              <w:jc w:val="right"/>
              <w:rPr>
                <w:rFonts w:ascii="Arial" w:hAnsi="Arial" w:cs="Arial" w:eastAsia="Arial" w:hint="default"/>
                <w:sz w:val="24"/>
                <w:szCs w:val="24"/>
              </w:rPr>
            </w:pPr>
            <w:r>
              <w:rPr>
                <w:rFonts w:ascii="Arial"/>
                <w:spacing w:val="-1"/>
                <w:sz w:val="24"/>
              </w:rPr>
              <w:t>4,682,637</w:t>
            </w:r>
            <w:r>
              <w:rPr>
                <w:rFonts w:ascii="Arial"/>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4"/>
              <w:jc w:val="right"/>
              <w:rPr>
                <w:rFonts w:ascii="Arial" w:hAnsi="Arial" w:cs="Arial" w:eastAsia="Arial" w:hint="default"/>
                <w:sz w:val="24"/>
                <w:szCs w:val="24"/>
              </w:rPr>
            </w:pPr>
            <w:r>
              <w:rPr>
                <w:rFonts w:ascii="Arial"/>
                <w:spacing w:val="-1"/>
                <w:sz w:val="24"/>
              </w:rPr>
              <w:t>4,476,696</w:t>
            </w:r>
            <w:r>
              <w:rPr>
                <w:rFonts w:ascii="Arial"/>
                <w:sz w:val="24"/>
              </w:rPr>
            </w:r>
          </w:p>
        </w:tc>
      </w:tr>
      <w:tr>
        <w:trPr>
          <w:trHeight w:val="312"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8"/>
              <w:jc w:val="right"/>
              <w:rPr>
                <w:rFonts w:ascii="Arial" w:hAnsi="Arial" w:cs="Arial" w:eastAsia="Arial" w:hint="default"/>
                <w:sz w:val="24"/>
                <w:szCs w:val="24"/>
              </w:rPr>
            </w:pPr>
            <w:r>
              <w:rPr>
                <w:rFonts w:ascii="Arial"/>
                <w:spacing w:val="-1"/>
                <w:sz w:val="24"/>
              </w:rPr>
              <w:t>5,953,474</w:t>
            </w:r>
            <w:r>
              <w:rPr>
                <w:rFonts w:ascii="Arial"/>
                <w:sz w:val="24"/>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2"/>
              <w:jc w:val="right"/>
              <w:rPr>
                <w:rFonts w:ascii="Arial" w:hAnsi="Arial" w:cs="Arial" w:eastAsia="Arial" w:hint="default"/>
                <w:sz w:val="24"/>
                <w:szCs w:val="24"/>
              </w:rPr>
            </w:pPr>
            <w:r>
              <w:rPr>
                <w:rFonts w:ascii="Arial"/>
                <w:spacing w:val="-3"/>
                <w:sz w:val="24"/>
              </w:rPr>
              <w:t>5,678,114</w:t>
            </w:r>
          </w:p>
        </w:tc>
        <w:tc>
          <w:tcPr>
            <w:tcW w:w="1816" w:type="dxa"/>
            <w:tcBorders>
              <w:top w:val="nil" w:sz="6" w:space="0" w:color="auto"/>
              <w:left w:val="nil" w:sz="6" w:space="0" w:color="auto"/>
              <w:bottom w:val="nil" w:sz="6" w:space="0" w:color="auto"/>
              <w:right w:val="nil" w:sz="6" w:space="0" w:color="auto"/>
            </w:tcBorders>
          </w:tcPr>
          <w:p>
            <w:pPr>
              <w:pStyle w:val="TableParagraph"/>
              <w:spacing w:line="263" w:lineRule="exact"/>
              <w:ind w:right="127"/>
              <w:jc w:val="right"/>
              <w:rPr>
                <w:rFonts w:ascii="Arial" w:hAnsi="Arial" w:cs="Arial" w:eastAsia="Arial" w:hint="default"/>
                <w:sz w:val="24"/>
                <w:szCs w:val="24"/>
              </w:rPr>
            </w:pPr>
            <w:r>
              <w:rPr>
                <w:rFonts w:ascii="Arial"/>
                <w:spacing w:val="-1"/>
                <w:sz w:val="24"/>
              </w:rPr>
              <w:t>2,952,547</w:t>
            </w:r>
            <w:r>
              <w:rPr>
                <w:rFonts w:ascii="Arial"/>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3" w:lineRule="exact"/>
              <w:ind w:right="34"/>
              <w:jc w:val="right"/>
              <w:rPr>
                <w:rFonts w:ascii="Arial" w:hAnsi="Arial" w:cs="Arial" w:eastAsia="Arial" w:hint="default"/>
                <w:sz w:val="24"/>
                <w:szCs w:val="24"/>
              </w:rPr>
            </w:pPr>
            <w:r>
              <w:rPr>
                <w:rFonts w:ascii="Arial"/>
                <w:spacing w:val="-1"/>
                <w:sz w:val="24"/>
              </w:rPr>
              <w:t>2,882,754</w:t>
            </w:r>
            <w:r>
              <w:rPr>
                <w:rFonts w:ascii="Arial"/>
                <w:sz w:val="24"/>
              </w:rPr>
            </w:r>
          </w:p>
        </w:tc>
      </w:tr>
      <w:tr>
        <w:trPr>
          <w:trHeight w:val="312"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8"/>
              <w:jc w:val="right"/>
              <w:rPr>
                <w:rFonts w:ascii="Arial" w:hAnsi="Arial" w:cs="Arial" w:eastAsia="Arial" w:hint="default"/>
                <w:sz w:val="24"/>
                <w:szCs w:val="24"/>
              </w:rPr>
            </w:pPr>
            <w:r>
              <w:rPr>
                <w:rFonts w:ascii="Arial"/>
                <w:spacing w:val="-1"/>
                <w:sz w:val="24"/>
              </w:rPr>
              <w:t>5,138,326</w:t>
            </w:r>
            <w:r>
              <w:rPr>
                <w:rFonts w:ascii="Arial"/>
                <w:sz w:val="24"/>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2"/>
              <w:jc w:val="right"/>
              <w:rPr>
                <w:rFonts w:ascii="Arial" w:hAnsi="Arial" w:cs="Arial" w:eastAsia="Arial" w:hint="default"/>
                <w:sz w:val="24"/>
                <w:szCs w:val="24"/>
              </w:rPr>
            </w:pPr>
            <w:r>
              <w:rPr>
                <w:rFonts w:ascii="Arial"/>
                <w:spacing w:val="-1"/>
                <w:sz w:val="24"/>
              </w:rPr>
              <w:t>4,906,584</w:t>
            </w:r>
            <w:r>
              <w:rPr>
                <w:rFonts w:ascii="Arial"/>
                <w:sz w:val="24"/>
              </w:rPr>
            </w:r>
          </w:p>
        </w:tc>
        <w:tc>
          <w:tcPr>
            <w:tcW w:w="1816" w:type="dxa"/>
            <w:tcBorders>
              <w:top w:val="nil" w:sz="6" w:space="0" w:color="auto"/>
              <w:left w:val="nil" w:sz="6" w:space="0" w:color="auto"/>
              <w:bottom w:val="nil" w:sz="6" w:space="0" w:color="auto"/>
              <w:right w:val="nil" w:sz="6" w:space="0" w:color="auto"/>
            </w:tcBorders>
          </w:tcPr>
          <w:p>
            <w:pPr>
              <w:pStyle w:val="TableParagraph"/>
              <w:spacing w:line="263" w:lineRule="exact"/>
              <w:ind w:right="127"/>
              <w:jc w:val="right"/>
              <w:rPr>
                <w:rFonts w:ascii="Arial" w:hAnsi="Arial" w:cs="Arial" w:eastAsia="Arial" w:hint="default"/>
                <w:sz w:val="24"/>
                <w:szCs w:val="24"/>
              </w:rPr>
            </w:pPr>
            <w:r>
              <w:rPr>
                <w:rFonts w:ascii="Arial"/>
                <w:spacing w:val="-1"/>
                <w:sz w:val="24"/>
              </w:rPr>
              <w:t>3,054,492</w:t>
            </w:r>
            <w:r>
              <w:rPr>
                <w:rFonts w:ascii="Arial"/>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3" w:lineRule="exact"/>
              <w:ind w:right="34"/>
              <w:jc w:val="right"/>
              <w:rPr>
                <w:rFonts w:ascii="Arial" w:hAnsi="Arial" w:cs="Arial" w:eastAsia="Arial" w:hint="default"/>
                <w:sz w:val="24"/>
                <w:szCs w:val="24"/>
              </w:rPr>
            </w:pPr>
            <w:r>
              <w:rPr>
                <w:rFonts w:ascii="Arial"/>
                <w:spacing w:val="-1"/>
                <w:sz w:val="24"/>
              </w:rPr>
              <w:t>2,929,765</w:t>
            </w:r>
            <w:r>
              <w:rPr>
                <w:rFonts w:ascii="Arial"/>
                <w:sz w:val="24"/>
              </w:rPr>
            </w:r>
          </w:p>
        </w:tc>
      </w:tr>
      <w:tr>
        <w:trPr>
          <w:trHeight w:val="312"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8"/>
              <w:jc w:val="right"/>
              <w:rPr>
                <w:rFonts w:ascii="Arial" w:hAnsi="Arial" w:cs="Arial" w:eastAsia="Arial" w:hint="default"/>
                <w:sz w:val="24"/>
                <w:szCs w:val="24"/>
              </w:rPr>
            </w:pPr>
            <w:r>
              <w:rPr>
                <w:rFonts w:ascii="Arial"/>
                <w:spacing w:val="-1"/>
                <w:sz w:val="24"/>
              </w:rPr>
              <w:t>4,918,956</w:t>
            </w:r>
            <w:r>
              <w:rPr>
                <w:rFonts w:ascii="Arial"/>
                <w:sz w:val="24"/>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2"/>
              <w:jc w:val="right"/>
              <w:rPr>
                <w:rFonts w:ascii="Arial" w:hAnsi="Arial" w:cs="Arial" w:eastAsia="Arial" w:hint="default"/>
                <w:sz w:val="24"/>
                <w:szCs w:val="24"/>
              </w:rPr>
            </w:pPr>
            <w:r>
              <w:rPr>
                <w:rFonts w:ascii="Arial"/>
                <w:spacing w:val="-1"/>
                <w:sz w:val="24"/>
              </w:rPr>
              <w:t>4,732,530</w:t>
            </w:r>
            <w:r>
              <w:rPr>
                <w:rFonts w:ascii="Arial"/>
                <w:sz w:val="24"/>
              </w:rPr>
            </w:r>
          </w:p>
        </w:tc>
        <w:tc>
          <w:tcPr>
            <w:tcW w:w="1816" w:type="dxa"/>
            <w:tcBorders>
              <w:top w:val="nil" w:sz="6" w:space="0" w:color="auto"/>
              <w:left w:val="nil" w:sz="6" w:space="0" w:color="auto"/>
              <w:bottom w:val="nil" w:sz="6" w:space="0" w:color="auto"/>
              <w:right w:val="nil" w:sz="6" w:space="0" w:color="auto"/>
            </w:tcBorders>
          </w:tcPr>
          <w:p>
            <w:pPr>
              <w:pStyle w:val="TableParagraph"/>
              <w:spacing w:line="263" w:lineRule="exact"/>
              <w:ind w:right="127"/>
              <w:jc w:val="right"/>
              <w:rPr>
                <w:rFonts w:ascii="Arial" w:hAnsi="Arial" w:cs="Arial" w:eastAsia="Arial" w:hint="default"/>
                <w:sz w:val="24"/>
                <w:szCs w:val="24"/>
              </w:rPr>
            </w:pPr>
            <w:r>
              <w:rPr>
                <w:rFonts w:ascii="Arial"/>
                <w:spacing w:val="-1"/>
                <w:sz w:val="24"/>
              </w:rPr>
              <w:t>3,926,827</w:t>
            </w:r>
            <w:r>
              <w:rPr>
                <w:rFonts w:ascii="Arial"/>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3" w:lineRule="exact"/>
              <w:ind w:right="34"/>
              <w:jc w:val="right"/>
              <w:rPr>
                <w:rFonts w:ascii="Arial" w:hAnsi="Arial" w:cs="Arial" w:eastAsia="Arial" w:hint="default"/>
                <w:sz w:val="24"/>
                <w:szCs w:val="24"/>
              </w:rPr>
            </w:pPr>
            <w:r>
              <w:rPr>
                <w:rFonts w:ascii="Arial"/>
                <w:spacing w:val="-1"/>
                <w:sz w:val="24"/>
              </w:rPr>
              <w:t>3,741,618</w:t>
            </w:r>
            <w:r>
              <w:rPr>
                <w:rFonts w:ascii="Arial"/>
                <w:sz w:val="24"/>
              </w:rPr>
            </w:r>
          </w:p>
        </w:tc>
      </w:tr>
      <w:tr>
        <w:trPr>
          <w:trHeight w:val="312"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8"/>
              <w:jc w:val="right"/>
              <w:rPr>
                <w:rFonts w:ascii="Arial" w:hAnsi="Arial" w:cs="Arial" w:eastAsia="Arial" w:hint="default"/>
                <w:sz w:val="24"/>
                <w:szCs w:val="24"/>
              </w:rPr>
            </w:pPr>
            <w:r>
              <w:rPr>
                <w:rFonts w:ascii="Arial"/>
                <w:spacing w:val="-1"/>
                <w:sz w:val="24"/>
              </w:rPr>
              <w:t>3,823,630</w:t>
            </w:r>
            <w:r>
              <w:rPr>
                <w:rFonts w:ascii="Arial"/>
                <w:sz w:val="24"/>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2"/>
              <w:jc w:val="right"/>
              <w:rPr>
                <w:rFonts w:ascii="Arial" w:hAnsi="Arial" w:cs="Arial" w:eastAsia="Arial" w:hint="default"/>
                <w:sz w:val="24"/>
                <w:szCs w:val="24"/>
              </w:rPr>
            </w:pPr>
            <w:r>
              <w:rPr>
                <w:rFonts w:ascii="Arial"/>
                <w:spacing w:val="-1"/>
                <w:sz w:val="24"/>
              </w:rPr>
              <w:t>3,748,398</w:t>
            </w:r>
            <w:r>
              <w:rPr>
                <w:rFonts w:ascii="Arial"/>
                <w:sz w:val="24"/>
              </w:rPr>
            </w:r>
          </w:p>
        </w:tc>
        <w:tc>
          <w:tcPr>
            <w:tcW w:w="1816" w:type="dxa"/>
            <w:tcBorders>
              <w:top w:val="nil" w:sz="6" w:space="0" w:color="auto"/>
              <w:left w:val="nil" w:sz="6" w:space="0" w:color="auto"/>
              <w:bottom w:val="nil" w:sz="6" w:space="0" w:color="auto"/>
              <w:right w:val="nil" w:sz="6" w:space="0" w:color="auto"/>
            </w:tcBorders>
          </w:tcPr>
          <w:p>
            <w:pPr>
              <w:pStyle w:val="TableParagraph"/>
              <w:spacing w:line="263" w:lineRule="exact"/>
              <w:ind w:right="127"/>
              <w:jc w:val="right"/>
              <w:rPr>
                <w:rFonts w:ascii="Arial" w:hAnsi="Arial" w:cs="Arial" w:eastAsia="Arial" w:hint="default"/>
                <w:sz w:val="24"/>
                <w:szCs w:val="24"/>
              </w:rPr>
            </w:pPr>
            <w:r>
              <w:rPr>
                <w:rFonts w:ascii="Arial"/>
                <w:spacing w:val="-1"/>
                <w:sz w:val="24"/>
              </w:rPr>
              <w:t>1,693,685</w:t>
            </w:r>
            <w:r>
              <w:rPr>
                <w:rFonts w:ascii="Arial"/>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3" w:lineRule="exact"/>
              <w:ind w:right="34"/>
              <w:jc w:val="right"/>
              <w:rPr>
                <w:rFonts w:ascii="Arial" w:hAnsi="Arial" w:cs="Arial" w:eastAsia="Arial" w:hint="default"/>
                <w:sz w:val="24"/>
                <w:szCs w:val="24"/>
              </w:rPr>
            </w:pPr>
            <w:r>
              <w:rPr>
                <w:rFonts w:ascii="Arial"/>
                <w:spacing w:val="-1"/>
                <w:sz w:val="24"/>
              </w:rPr>
              <w:t>1,610,832</w:t>
            </w:r>
            <w:r>
              <w:rPr>
                <w:rFonts w:ascii="Arial"/>
                <w:sz w:val="24"/>
              </w:rPr>
            </w:r>
          </w:p>
        </w:tc>
      </w:tr>
      <w:tr>
        <w:trPr>
          <w:trHeight w:val="312"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小家电产品</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8"/>
              <w:jc w:val="right"/>
              <w:rPr>
                <w:rFonts w:ascii="Arial" w:hAnsi="Arial" w:cs="Arial" w:eastAsia="Arial" w:hint="default"/>
                <w:sz w:val="24"/>
                <w:szCs w:val="24"/>
              </w:rPr>
            </w:pPr>
            <w:r>
              <w:rPr>
                <w:rFonts w:ascii="Arial"/>
                <w:spacing w:val="-1"/>
                <w:sz w:val="24"/>
              </w:rPr>
              <w:t>1,323,237</w:t>
            </w:r>
            <w:r>
              <w:rPr>
                <w:rFonts w:ascii="Arial"/>
                <w:sz w:val="24"/>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2"/>
              <w:jc w:val="right"/>
              <w:rPr>
                <w:rFonts w:ascii="Arial" w:hAnsi="Arial" w:cs="Arial" w:eastAsia="Arial" w:hint="default"/>
                <w:sz w:val="24"/>
                <w:szCs w:val="24"/>
              </w:rPr>
            </w:pPr>
            <w:r>
              <w:rPr>
                <w:rFonts w:ascii="Arial"/>
                <w:spacing w:val="-1"/>
                <w:sz w:val="24"/>
              </w:rPr>
              <w:t>1,196,751</w:t>
            </w:r>
            <w:r>
              <w:rPr>
                <w:rFonts w:ascii="Arial"/>
                <w:sz w:val="24"/>
              </w:rPr>
            </w:r>
          </w:p>
        </w:tc>
        <w:tc>
          <w:tcPr>
            <w:tcW w:w="1816" w:type="dxa"/>
            <w:tcBorders>
              <w:top w:val="nil" w:sz="6" w:space="0" w:color="auto"/>
              <w:left w:val="nil" w:sz="6" w:space="0" w:color="auto"/>
              <w:bottom w:val="nil" w:sz="6" w:space="0" w:color="auto"/>
              <w:right w:val="nil" w:sz="6" w:space="0" w:color="auto"/>
            </w:tcBorders>
          </w:tcPr>
          <w:p>
            <w:pPr>
              <w:pStyle w:val="TableParagraph"/>
              <w:spacing w:line="263" w:lineRule="exact"/>
              <w:ind w:right="126"/>
              <w:jc w:val="right"/>
              <w:rPr>
                <w:rFonts w:ascii="Arial" w:hAnsi="Arial" w:cs="Arial" w:eastAsia="Arial" w:hint="default"/>
                <w:sz w:val="24"/>
                <w:szCs w:val="24"/>
              </w:rPr>
            </w:pPr>
            <w:r>
              <w:rPr>
                <w:rFonts w:ascii="Arial"/>
                <w:spacing w:val="-1"/>
                <w:sz w:val="24"/>
              </w:rPr>
              <w:t>777,809</w:t>
            </w:r>
            <w:r>
              <w:rPr>
                <w:rFonts w:ascii="Arial"/>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Arial" w:hAnsi="Arial" w:cs="Arial" w:eastAsia="Arial" w:hint="default"/>
                <w:sz w:val="24"/>
                <w:szCs w:val="24"/>
              </w:rPr>
            </w:pPr>
            <w:r>
              <w:rPr>
                <w:rFonts w:ascii="Arial"/>
                <w:spacing w:val="-1"/>
                <w:sz w:val="24"/>
              </w:rPr>
              <w:t>730,834</w:t>
            </w:r>
            <w:r>
              <w:rPr>
                <w:rFonts w:ascii="Arial"/>
                <w:sz w:val="24"/>
              </w:rPr>
            </w:r>
          </w:p>
        </w:tc>
      </w:tr>
      <w:tr>
        <w:trPr>
          <w:trHeight w:val="294"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7"/>
              <w:jc w:val="right"/>
              <w:rPr>
                <w:rFonts w:ascii="Arial" w:hAnsi="Arial" w:cs="Arial" w:eastAsia="Arial" w:hint="default"/>
                <w:sz w:val="24"/>
                <w:szCs w:val="24"/>
              </w:rPr>
            </w:pPr>
            <w:r>
              <w:rPr>
                <w:rFonts w:ascii="Arial"/>
                <w:spacing w:val="-1"/>
                <w:sz w:val="24"/>
              </w:rPr>
              <w:t>48,355</w:t>
            </w:r>
            <w:r>
              <w:rPr>
                <w:rFonts w:ascii="Arial"/>
                <w:sz w:val="24"/>
              </w:rPr>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1"/>
              <w:jc w:val="right"/>
              <w:rPr>
                <w:rFonts w:ascii="Arial" w:hAnsi="Arial" w:cs="Arial" w:eastAsia="Arial" w:hint="default"/>
                <w:sz w:val="24"/>
                <w:szCs w:val="24"/>
              </w:rPr>
            </w:pPr>
            <w:r>
              <w:rPr>
                <w:rFonts w:ascii="Arial"/>
                <w:spacing w:val="-1"/>
                <w:sz w:val="24"/>
              </w:rPr>
              <w:t>12,209</w:t>
            </w:r>
            <w:r>
              <w:rPr>
                <w:rFonts w:ascii="Arial"/>
                <w:sz w:val="24"/>
              </w:rPr>
            </w:r>
          </w:p>
        </w:tc>
        <w:tc>
          <w:tcPr>
            <w:tcW w:w="1816" w:type="dxa"/>
            <w:tcBorders>
              <w:top w:val="nil" w:sz="6" w:space="0" w:color="auto"/>
              <w:left w:val="nil" w:sz="6" w:space="0" w:color="auto"/>
              <w:bottom w:val="nil" w:sz="6" w:space="0" w:color="auto"/>
              <w:right w:val="nil" w:sz="6" w:space="0" w:color="auto"/>
            </w:tcBorders>
          </w:tcPr>
          <w:p>
            <w:pPr>
              <w:pStyle w:val="TableParagraph"/>
              <w:spacing w:line="263" w:lineRule="exact"/>
              <w:ind w:right="126"/>
              <w:jc w:val="right"/>
              <w:rPr>
                <w:rFonts w:ascii="Arial" w:hAnsi="Arial" w:cs="Arial" w:eastAsia="Arial" w:hint="default"/>
                <w:sz w:val="24"/>
                <w:szCs w:val="24"/>
              </w:rPr>
            </w:pPr>
            <w:r>
              <w:rPr>
                <w:rFonts w:ascii="Arial"/>
                <w:spacing w:val="-1"/>
                <w:sz w:val="24"/>
              </w:rPr>
              <w:t>44,462</w:t>
            </w:r>
            <w:r>
              <w:rPr>
                <w:rFonts w:ascii="Arial"/>
                <w:sz w:val="24"/>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Arial" w:hAnsi="Arial" w:cs="Arial" w:eastAsia="Arial" w:hint="default"/>
                <w:sz w:val="24"/>
                <w:szCs w:val="24"/>
              </w:rPr>
            </w:pPr>
            <w:r>
              <w:rPr>
                <w:rFonts w:ascii="Arial"/>
                <w:spacing w:val="-4"/>
                <w:sz w:val="24"/>
              </w:rPr>
              <w:t>11,459</w:t>
            </w:r>
            <w:r>
              <w:rPr>
                <w:rFonts w:ascii="Arial"/>
                <w:sz w:val="24"/>
              </w:rPr>
            </w:r>
          </w:p>
        </w:tc>
      </w:tr>
      <w:tr>
        <w:trPr>
          <w:trHeight w:val="313" w:hRule="exact"/>
        </w:trPr>
        <w:tc>
          <w:tcPr>
            <w:tcW w:w="9447" w:type="dxa"/>
            <w:gridSpan w:val="5"/>
            <w:tcBorders>
              <w:top w:val="nil" w:sz="6" w:space="0" w:color="auto"/>
              <w:left w:val="nil" w:sz="6" w:space="0" w:color="auto"/>
              <w:bottom w:val="nil" w:sz="6" w:space="0" w:color="auto"/>
              <w:right w:val="nil" w:sz="6" w:space="0" w:color="auto"/>
            </w:tcBorders>
          </w:tcPr>
          <w:p>
            <w:pPr>
              <w:pStyle w:val="TableParagraph"/>
              <w:tabs>
                <w:tab w:pos="2382" w:val="left" w:leader="none"/>
                <w:tab w:pos="3440" w:val="left" w:leader="none"/>
                <w:tab w:pos="5664" w:val="left" w:leader="none"/>
                <w:tab w:pos="7316" w:val="left" w:leader="none"/>
                <w:tab w:pos="9331" w:val="left" w:leader="none"/>
              </w:tabs>
              <w:spacing w:line="317" w:lineRule="exact"/>
              <w:ind w:left="35" w:right="0"/>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sz w:val="24"/>
                <w:szCs w:val="24"/>
              </w:rPr>
            </w:r>
            <w:r>
              <w:rPr>
                <w:rFonts w:ascii="Arial" w:hAnsi="Arial" w:cs="Arial" w:eastAsia="Arial" w:hint="default"/>
                <w:sz w:val="24"/>
                <w:szCs w:val="24"/>
                <w:u w:val="single" w:color="000000"/>
              </w:rPr>
              <w:t> </w:t>
              <w:tab/>
            </w:r>
            <w:r>
              <w:rPr>
                <w:rFonts w:ascii="Arial" w:hAnsi="Arial" w:cs="Arial" w:eastAsia="Arial" w:hint="default"/>
                <w:spacing w:val="-1"/>
                <w:sz w:val="24"/>
                <w:szCs w:val="24"/>
                <w:u w:val="single" w:color="000000"/>
              </w:rPr>
              <w:t>3,201</w:t>
              <w:tab/>
            </w:r>
            <w:r>
              <w:rPr>
                <w:rFonts w:ascii="Arial" w:hAnsi="Arial" w:cs="Arial" w:eastAsia="Arial" w:hint="default"/>
                <w:sz w:val="24"/>
                <w:szCs w:val="24"/>
                <w:u w:val="single" w:color="000000"/>
              </w:rPr>
              <w:t>-</w:t>
            </w:r>
            <w:r>
              <w:rPr>
                <w:rFonts w:ascii="Arial" w:hAnsi="Arial" w:cs="Arial" w:eastAsia="Arial" w:hint="default"/>
                <w:sz w:val="24"/>
                <w:szCs w:val="24"/>
              </w:rPr>
              <w:tab/>
            </w:r>
            <w:r>
              <w:rPr>
                <w:rFonts w:ascii="Arial" w:hAnsi="Arial" w:cs="Arial" w:eastAsia="Arial" w:hint="default"/>
                <w:spacing w:val="-1"/>
                <w:position w:val="4"/>
                <w:sz w:val="24"/>
                <w:szCs w:val="24"/>
              </w:rPr>
              <w:t>676</w:t>
              <w:tab/>
            </w:r>
            <w:r>
              <w:rPr>
                <w:rFonts w:ascii="Arial" w:hAnsi="Arial" w:cs="Arial" w:eastAsia="Arial" w:hint="default"/>
                <w:position w:val="4"/>
                <w:sz w:val="24"/>
                <w:szCs w:val="24"/>
              </w:rPr>
              <w:t>-</w:t>
            </w:r>
            <w:r>
              <w:rPr>
                <w:rFonts w:ascii="Arial" w:hAnsi="Arial" w:cs="Arial" w:eastAsia="Arial" w:hint="default"/>
                <w:sz w:val="24"/>
                <w:szCs w:val="24"/>
              </w:rPr>
            </w:r>
          </w:p>
        </w:tc>
      </w:tr>
    </w:tbl>
    <w:p>
      <w:pPr>
        <w:spacing w:line="20" w:lineRule="exact"/>
        <w:ind w:left="6937" w:right="0" w:firstLine="0"/>
        <w:rPr>
          <w:rFonts w:ascii="宋体" w:hAnsi="宋体" w:cs="宋体" w:eastAsia="宋体" w:hint="default"/>
          <w:sz w:val="2"/>
          <w:szCs w:val="2"/>
        </w:rPr>
      </w:pPr>
      <w:r>
        <w:rPr>
          <w:rFonts w:ascii="宋体" w:hAnsi="宋体" w:cs="宋体" w:eastAsia="宋体" w:hint="default"/>
          <w:sz w:val="2"/>
          <w:szCs w:val="2"/>
        </w:rPr>
        <w:pict>
          <v:group style="width:167.95pt;height:.25pt;mso-position-horizontal-relative:char;mso-position-vertical-relative:line" coordorigin="0,0" coordsize="3359,5">
            <v:group style="position:absolute;left:2;top:2;width:3354;height:2" coordorigin="2,2" coordsize="3354,2">
              <v:shape style="position:absolute;left:2;top:2;width:3354;height:2" coordorigin="2,2" coordsize="3354,0" path="m2,2l3356,2e" filled="false" stroked="true" strokeweight=".23999pt" strokecolor="#000000">
                <v:path arrowok="t"/>
              </v:shape>
            </v:group>
          </v:group>
        </w:pict>
      </w:r>
      <w:r>
        <w:rPr>
          <w:rFonts w:ascii="宋体" w:hAnsi="宋体" w:cs="宋体" w:eastAsia="宋体" w:hint="default"/>
          <w:sz w:val="2"/>
          <w:szCs w:val="2"/>
        </w:rPr>
      </w:r>
    </w:p>
    <w:p>
      <w:pPr>
        <w:pStyle w:val="BodyText"/>
        <w:tabs>
          <w:tab w:pos="5324" w:val="left" w:leader="none"/>
          <w:tab w:pos="7294" w:val="left" w:leader="none"/>
          <w:tab w:pos="8989" w:val="left" w:leader="none"/>
        </w:tabs>
        <w:spacing w:line="265" w:lineRule="exact"/>
        <w:ind w:left="3619" w:right="0"/>
        <w:jc w:val="left"/>
        <w:rPr>
          <w:rFonts w:ascii="Arial" w:hAnsi="Arial" w:cs="Arial" w:eastAsia="Arial" w:hint="default"/>
        </w:rPr>
      </w:pPr>
      <w:r>
        <w:rPr>
          <w:rFonts w:ascii="Arial"/>
          <w:spacing w:val="-1"/>
        </w:rPr>
        <w:t>30,901,056</w:t>
        <w:tab/>
        <w:t>29,291,217</w:t>
        <w:tab/>
        <w:t>17,133,135</w:t>
        <w:tab/>
        <w:t>16,383,958</w:t>
      </w:r>
      <w:r>
        <w:rPr>
          <w:rFonts w:ascii="Arial"/>
        </w:rPr>
      </w:r>
    </w:p>
    <w:p>
      <w:pPr>
        <w:tabs>
          <w:tab w:pos="6924" w:val="left" w:leader="none"/>
        </w:tabs>
        <w:spacing w:line="30" w:lineRule="exact"/>
        <w:ind w:left="3147" w:right="0" w:firstLine="0"/>
        <w:rPr>
          <w:rFonts w:ascii="Arial" w:hAnsi="Arial" w:cs="Arial" w:eastAsia="Arial" w:hint="default"/>
          <w:sz w:val="3"/>
          <w:szCs w:val="3"/>
        </w:rPr>
      </w:pPr>
      <w:r>
        <w:rPr>
          <w:rFonts w:ascii="Arial"/>
          <w:position w:val="0"/>
          <w:sz w:val="3"/>
        </w:rPr>
        <w:pict>
          <v:group style="width:176.4pt;height:1.5pt;mso-position-horizontal-relative:char;mso-position-vertical-relative:line" coordorigin="0,0" coordsize="3528,30">
            <v:group style="position:absolute;left:15;top:15;width:3498;height:2" coordorigin="15,15" coordsize="3498,2">
              <v:shape style="position:absolute;left:15;top:15;width:3498;height:2" coordorigin="15,15" coordsize="3498,0" path="m15,15l3513,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69.2pt;height:1.5pt;mso-position-horizontal-relative:char;mso-position-vertical-relative:line" coordorigin="0,0" coordsize="3384,30">
            <v:group style="position:absolute;left:15;top:15;width:3354;height:2" coordorigin="15,15" coordsize="3354,2">
              <v:shape style="position:absolute;left:15;top:15;width:3354;height:2" coordorigin="15,15" coordsize="3354,0" path="m15,15l3369,15e" filled="false" stroked="true" strokeweight="1.5pt" strokecolor="#000000">
                <v:path arrowok="t"/>
              </v:shape>
            </v:group>
          </v:group>
        </w:pict>
      </w:r>
      <w:r>
        <w:rPr>
          <w:rFonts w:ascii="Arial"/>
          <w:position w:val="0"/>
          <w:sz w:val="3"/>
        </w:rPr>
      </w:r>
    </w:p>
    <w:p>
      <w:pPr>
        <w:spacing w:line="240" w:lineRule="auto" w:before="4"/>
        <w:rPr>
          <w:rFonts w:ascii="Arial" w:hAnsi="Arial" w:cs="Arial" w:eastAsia="Arial" w:hint="default"/>
          <w:sz w:val="18"/>
          <w:szCs w:val="18"/>
        </w:rPr>
      </w:pPr>
    </w:p>
    <w:p>
      <w:pPr>
        <w:pStyle w:val="BodyText"/>
        <w:spacing w:line="322" w:lineRule="exact" w:before="26"/>
        <w:ind w:left="814" w:right="0"/>
        <w:jc w:val="left"/>
      </w:pPr>
      <w:r>
        <w:rPr/>
        <w:t>于</w:t>
      </w:r>
      <w:r>
        <w:rPr>
          <w:spacing w:val="-58"/>
        </w:rPr>
        <w:t> </w:t>
      </w:r>
      <w:r>
        <w:rPr>
          <w:rFonts w:ascii="Arial" w:hAnsi="Arial" w:cs="Arial" w:eastAsia="Arial" w:hint="default"/>
        </w:rPr>
        <w:t>2007</w:t>
      </w:r>
      <w:r>
        <w:rPr>
          <w:rFonts w:ascii="Arial" w:hAnsi="Arial" w:cs="Arial" w:eastAsia="Arial" w:hint="default"/>
          <w:spacing w:val="-4"/>
        </w:rPr>
        <w:t> </w:t>
      </w:r>
      <w:r>
        <w:rPr/>
        <w:t>年度，本公司前五名客户销售的收入总额约为人民币</w:t>
      </w:r>
      <w:r>
        <w:rPr>
          <w:spacing w:val="-58"/>
        </w:rPr>
        <w:t> </w:t>
      </w:r>
      <w:r>
        <w:rPr>
          <w:rFonts w:ascii="Arial" w:hAnsi="Arial" w:cs="Arial" w:eastAsia="Arial" w:hint="default"/>
        </w:rPr>
        <w:t>89.9</w:t>
      </w:r>
      <w:r>
        <w:rPr>
          <w:rFonts w:ascii="Arial" w:hAnsi="Arial" w:cs="Arial" w:eastAsia="Arial" w:hint="default"/>
          <w:spacing w:val="-4"/>
        </w:rPr>
        <w:t> </w:t>
      </w:r>
      <w:r>
        <w:rPr/>
        <w:t>亿元</w:t>
      </w:r>
      <w:r>
        <w:rPr>
          <w:rFonts w:ascii="Arial" w:hAnsi="Arial" w:cs="Arial" w:eastAsia="Arial" w:hint="default"/>
        </w:rPr>
        <w:t>(2006</w:t>
      </w:r>
      <w:r>
        <w:rPr>
          <w:rFonts w:ascii="Arial" w:hAnsi="Arial" w:cs="Arial" w:eastAsia="Arial" w:hint="default"/>
          <w:spacing w:val="-4"/>
        </w:rPr>
        <w:t> </w:t>
      </w:r>
      <w:r>
        <w:rPr/>
        <w:t>年度：约人</w:t>
      </w:r>
    </w:p>
    <w:p>
      <w:pPr>
        <w:pStyle w:val="BodyText"/>
        <w:spacing w:line="322" w:lineRule="exact"/>
        <w:ind w:left="814" w:right="0"/>
        <w:jc w:val="left"/>
      </w:pPr>
      <w:r>
        <w:rPr/>
        <w:t>民币</w:t>
      </w:r>
      <w:r>
        <w:rPr>
          <w:spacing w:val="-63"/>
        </w:rPr>
        <w:t> </w:t>
      </w:r>
      <w:r>
        <w:rPr>
          <w:rFonts w:ascii="Arial" w:hAnsi="Arial" w:cs="Arial" w:eastAsia="Arial" w:hint="default"/>
        </w:rPr>
        <w:t>51.4</w:t>
      </w:r>
      <w:r>
        <w:rPr>
          <w:rFonts w:ascii="Arial" w:hAnsi="Arial" w:cs="Arial" w:eastAsia="Arial" w:hint="default"/>
          <w:spacing w:val="-10"/>
        </w:rPr>
        <w:t> </w:t>
      </w:r>
      <w:r>
        <w:rPr/>
        <w:t>亿元</w:t>
      </w:r>
      <w:r>
        <w:rPr>
          <w:rFonts w:ascii="Arial" w:hAnsi="Arial" w:cs="Arial" w:eastAsia="Arial" w:hint="default"/>
        </w:rPr>
        <w:t>)</w:t>
      </w:r>
      <w:r>
        <w:rPr/>
        <w:t>，占本公司全部销售收入的</w:t>
      </w:r>
      <w:r>
        <w:rPr>
          <w:spacing w:val="-63"/>
        </w:rPr>
        <w:t> </w:t>
      </w:r>
      <w:r>
        <w:rPr>
          <w:rFonts w:ascii="Arial" w:hAnsi="Arial" w:cs="Arial" w:eastAsia="Arial" w:hint="default"/>
        </w:rPr>
        <w:t>29%(2006</w:t>
      </w:r>
      <w:r>
        <w:rPr>
          <w:rFonts w:ascii="Arial" w:hAnsi="Arial" w:cs="Arial" w:eastAsia="Arial" w:hint="default"/>
          <w:spacing w:val="-10"/>
        </w:rPr>
        <w:t> </w:t>
      </w:r>
      <w:r>
        <w:rPr/>
        <w:t>年度：</w:t>
      </w:r>
      <w:r>
        <w:rPr>
          <w:rFonts w:ascii="Arial" w:hAnsi="Arial" w:cs="Arial" w:eastAsia="Arial" w:hint="default"/>
        </w:rPr>
        <w:t>29.8%)</w:t>
      </w:r>
      <w:r>
        <w:rPr/>
        <w:t>。</w:t>
      </w:r>
    </w:p>
    <w:p>
      <w:pPr>
        <w:spacing w:line="240" w:lineRule="auto" w:before="8"/>
        <w:rPr>
          <w:rFonts w:ascii="宋体" w:hAnsi="宋体" w:cs="宋体" w:eastAsia="宋体" w:hint="default"/>
          <w:sz w:val="19"/>
          <w:szCs w:val="19"/>
        </w:rPr>
      </w:pPr>
    </w:p>
    <w:p>
      <w:pPr>
        <w:pStyle w:val="BodyText"/>
        <w:tabs>
          <w:tab w:pos="796" w:val="left" w:leader="none"/>
        </w:tabs>
        <w:spacing w:line="240" w:lineRule="auto"/>
        <w:ind w:left="108" w:right="0"/>
        <w:jc w:val="left"/>
      </w:pPr>
      <w:r>
        <w:rPr>
          <w:rFonts w:ascii="Arial" w:hAnsi="Arial" w:cs="Arial" w:eastAsia="Arial" w:hint="default"/>
          <w:position w:val="2"/>
        </w:rPr>
        <w:t>(b)</w:t>
        <w:tab/>
      </w:r>
      <w:r>
        <w:rPr/>
        <w:t>其他业务收入和其他业务成本</w:t>
      </w:r>
    </w:p>
    <w:p>
      <w:pPr>
        <w:spacing w:line="240" w:lineRule="auto" w:before="12"/>
        <w:rPr>
          <w:rFonts w:ascii="宋体" w:hAnsi="宋体" w:cs="宋体" w:eastAsia="宋体" w:hint="default"/>
          <w:sz w:val="20"/>
          <w:szCs w:val="20"/>
        </w:rPr>
      </w:pPr>
    </w:p>
    <w:p>
      <w:pPr>
        <w:pStyle w:val="BodyText"/>
        <w:tabs>
          <w:tab w:pos="6629" w:val="left" w:leader="none"/>
        </w:tabs>
        <w:spacing w:line="322" w:lineRule="exact"/>
        <w:ind w:left="2779" w:right="0"/>
        <w:jc w:val="center"/>
      </w:pPr>
      <w:r>
        <w:rPr>
          <w:rFonts w:ascii="Arial" w:hAnsi="Arial" w:cs="Arial" w:eastAsia="Arial" w:hint="default"/>
        </w:rPr>
        <w:t>2007</w:t>
      </w:r>
      <w:r>
        <w:rPr>
          <w:rFonts w:ascii="Arial" w:hAnsi="Arial" w:cs="Arial" w:eastAsia="Arial" w:hint="default"/>
          <w:spacing w:val="-10"/>
        </w:rPr>
        <w:t> </w:t>
      </w:r>
      <w:r>
        <w:rPr/>
        <w:t>年度</w:t>
        <w:tab/>
      </w:r>
      <w:r>
        <w:rPr>
          <w:rFonts w:ascii="Arial" w:hAnsi="Arial" w:cs="Arial" w:eastAsia="Arial" w:hint="default"/>
        </w:rPr>
        <w:t>2006</w:t>
      </w:r>
      <w:r>
        <w:rPr>
          <w:rFonts w:ascii="Arial" w:hAnsi="Arial" w:cs="Arial" w:eastAsia="Arial" w:hint="default"/>
          <w:spacing w:val="-10"/>
        </w:rPr>
        <w:t> </w:t>
      </w:r>
      <w:r>
        <w:rPr/>
        <w:t>年度</w:t>
      </w:r>
    </w:p>
    <w:p>
      <w:pPr>
        <w:pStyle w:val="BodyText"/>
        <w:tabs>
          <w:tab w:pos="4738" w:val="left" w:leader="none"/>
          <w:tab w:pos="6679" w:val="left" w:leader="none"/>
          <w:tab w:pos="8521" w:val="left" w:leader="none"/>
        </w:tabs>
        <w:spacing w:line="303" w:lineRule="exact"/>
        <w:ind w:left="2938" w:right="0"/>
        <w:jc w:val="center"/>
      </w:pPr>
      <w:r>
        <w:rPr/>
        <w:t>其他业务收入</w:t>
        <w:tab/>
        <w:t>其他业务成本</w:t>
        <w:tab/>
        <w:t>其他业务收入</w:t>
        <w:tab/>
        <w:t>其他业务成本</w:t>
      </w:r>
    </w:p>
    <w:p>
      <w:pPr>
        <w:pStyle w:val="BodyText"/>
        <w:spacing w:line="330" w:lineRule="exact"/>
        <w:ind w:left="2712" w:right="0"/>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1"/>
        <w:rPr>
          <w:rFonts w:ascii="Arial" w:hAnsi="Arial" w:cs="Arial" w:eastAsia="Arial" w:hint="default"/>
          <w:sz w:val="20"/>
          <w:szCs w:val="20"/>
        </w:rPr>
      </w:pPr>
    </w:p>
    <w:tbl>
      <w:tblPr>
        <w:tblW w:w="0" w:type="auto"/>
        <w:jc w:val="left"/>
        <w:tblInd w:w="779" w:type="dxa"/>
        <w:tblLayout w:type="fixed"/>
        <w:tblCellMar>
          <w:top w:w="0" w:type="dxa"/>
          <w:left w:w="0" w:type="dxa"/>
          <w:bottom w:w="0" w:type="dxa"/>
          <w:right w:w="0" w:type="dxa"/>
        </w:tblCellMar>
        <w:tblLook w:val="01E0"/>
      </w:tblPr>
      <w:tblGrid>
        <w:gridCol w:w="2050"/>
        <w:gridCol w:w="2381"/>
        <w:gridCol w:w="1301"/>
        <w:gridCol w:w="236"/>
        <w:gridCol w:w="2331"/>
        <w:gridCol w:w="1215"/>
      </w:tblGrid>
      <w:tr>
        <w:trPr>
          <w:trHeight w:val="391"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连锁店服务收入</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98"/>
              <w:jc w:val="right"/>
              <w:rPr>
                <w:rFonts w:ascii="Arial" w:hAnsi="Arial" w:cs="Arial" w:eastAsia="Arial" w:hint="default"/>
                <w:sz w:val="24"/>
                <w:szCs w:val="24"/>
              </w:rPr>
            </w:pPr>
            <w:r>
              <w:rPr>
                <w:rFonts w:ascii="Arial"/>
                <w:spacing w:val="-1"/>
                <w:sz w:val="24"/>
              </w:rPr>
              <w:t>207,716</w:t>
            </w:r>
            <w:r>
              <w:rPr>
                <w:rFonts w:ascii="Arial"/>
                <w:sz w:val="2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9"/>
              <w:jc w:val="right"/>
              <w:rPr>
                <w:rFonts w:ascii="Arial" w:hAnsi="Arial" w:cs="Arial" w:eastAsia="Arial" w:hint="default"/>
                <w:sz w:val="24"/>
                <w:szCs w:val="24"/>
              </w:rPr>
            </w:pPr>
            <w:r>
              <w:rPr>
                <w:rFonts w:ascii="Arial"/>
                <w:sz w:val="24"/>
              </w:rPr>
              <w:t>-</w:t>
            </w:r>
          </w:p>
        </w:tc>
        <w:tc>
          <w:tcPr>
            <w:tcW w:w="236"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26"/>
              <w:jc w:val="right"/>
              <w:rPr>
                <w:rFonts w:ascii="Arial" w:hAnsi="Arial" w:cs="Arial" w:eastAsia="Arial" w:hint="default"/>
                <w:sz w:val="24"/>
                <w:szCs w:val="24"/>
              </w:rPr>
            </w:pPr>
            <w:r>
              <w:rPr>
                <w:rFonts w:ascii="Arial"/>
                <w:spacing w:val="-1"/>
                <w:sz w:val="24"/>
              </w:rPr>
              <w:t>193,320</w:t>
            </w:r>
            <w:r>
              <w:rPr>
                <w:rFonts w:ascii="Arial"/>
                <w:sz w:val="24"/>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9"/>
              <w:jc w:val="right"/>
              <w:rPr>
                <w:rFonts w:ascii="Arial" w:hAnsi="Arial" w:cs="Arial" w:eastAsia="Arial" w:hint="default"/>
                <w:sz w:val="24"/>
                <w:szCs w:val="24"/>
              </w:rPr>
            </w:pPr>
            <w:r>
              <w:rPr>
                <w:rFonts w:ascii="Arial"/>
                <w:sz w:val="24"/>
              </w:rPr>
              <w:t>-</w:t>
            </w:r>
          </w:p>
        </w:tc>
      </w:tr>
      <w:tr>
        <w:trPr>
          <w:trHeight w:val="312"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代理费收入</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9"/>
              <w:jc w:val="right"/>
              <w:rPr>
                <w:rFonts w:ascii="Arial" w:hAnsi="Arial" w:cs="Arial" w:eastAsia="Arial" w:hint="default"/>
                <w:sz w:val="24"/>
                <w:szCs w:val="24"/>
              </w:rPr>
            </w:pPr>
            <w:r>
              <w:rPr>
                <w:rFonts w:ascii="Arial"/>
                <w:spacing w:val="-1"/>
                <w:sz w:val="24"/>
              </w:rPr>
              <w:t>61,178</w:t>
            </w:r>
            <w:r>
              <w:rPr>
                <w:rFonts w:ascii="Arial"/>
                <w:sz w:val="2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Arial" w:hAnsi="Arial" w:cs="Arial" w:eastAsia="Arial" w:hint="default"/>
                <w:sz w:val="24"/>
                <w:szCs w:val="24"/>
              </w:rPr>
            </w:pPr>
            <w:r>
              <w:rPr>
                <w:rFonts w:ascii="Arial"/>
                <w:sz w:val="24"/>
              </w:rPr>
              <w:t>-</w:t>
            </w:r>
          </w:p>
        </w:tc>
        <w:tc>
          <w:tcPr>
            <w:tcW w:w="236"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11"/>
              <w:jc w:val="right"/>
              <w:rPr>
                <w:rFonts w:ascii="Arial" w:hAnsi="Arial" w:cs="Arial" w:eastAsia="Arial" w:hint="default"/>
                <w:sz w:val="24"/>
                <w:szCs w:val="24"/>
              </w:rPr>
            </w:pPr>
            <w:r>
              <w:rPr>
                <w:rFonts w:ascii="Arial"/>
                <w:spacing w:val="-1"/>
                <w:w w:val="95"/>
                <w:sz w:val="24"/>
              </w:rPr>
              <w:t>4,292</w:t>
            </w:r>
            <w:r>
              <w:rPr>
                <w:rFonts w:ascii="Arial"/>
                <w:w w:val="95"/>
                <w:sz w:val="24"/>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4"/>
              <w:jc w:val="right"/>
              <w:rPr>
                <w:rFonts w:ascii="Arial" w:hAnsi="Arial" w:cs="Arial" w:eastAsia="Arial" w:hint="default"/>
                <w:sz w:val="24"/>
                <w:szCs w:val="24"/>
              </w:rPr>
            </w:pPr>
            <w:r>
              <w:rPr>
                <w:rFonts w:ascii="Arial"/>
                <w:sz w:val="24"/>
              </w:rPr>
              <w:t>-</w:t>
            </w:r>
          </w:p>
        </w:tc>
      </w:tr>
      <w:tr>
        <w:trPr>
          <w:trHeight w:val="309"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广告位使用费收入</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8"/>
              <w:jc w:val="right"/>
              <w:rPr>
                <w:rFonts w:ascii="Arial" w:hAnsi="Arial" w:cs="Arial" w:eastAsia="Arial" w:hint="default"/>
                <w:sz w:val="24"/>
                <w:szCs w:val="24"/>
              </w:rPr>
            </w:pPr>
            <w:r>
              <w:rPr>
                <w:rFonts w:ascii="Arial"/>
                <w:spacing w:val="-1"/>
                <w:sz w:val="24"/>
              </w:rPr>
              <w:t>16,620</w:t>
            </w:r>
            <w:r>
              <w:rPr>
                <w:rFonts w:ascii="Arial"/>
                <w:sz w:val="2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Arial" w:hAnsi="Arial" w:cs="Arial" w:eastAsia="Arial" w:hint="default"/>
                <w:sz w:val="24"/>
                <w:szCs w:val="24"/>
              </w:rPr>
            </w:pPr>
            <w:r>
              <w:rPr>
                <w:rFonts w:ascii="Arial"/>
                <w:sz w:val="24"/>
              </w:rPr>
              <w:t>-</w:t>
            </w:r>
          </w:p>
        </w:tc>
        <w:tc>
          <w:tcPr>
            <w:tcW w:w="236"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12"/>
              <w:jc w:val="right"/>
              <w:rPr>
                <w:rFonts w:ascii="Arial" w:hAnsi="Arial" w:cs="Arial" w:eastAsia="Arial" w:hint="default"/>
                <w:sz w:val="24"/>
                <w:szCs w:val="24"/>
              </w:rPr>
            </w:pPr>
            <w:r>
              <w:rPr>
                <w:rFonts w:ascii="Arial"/>
                <w:spacing w:val="-1"/>
                <w:sz w:val="24"/>
              </w:rPr>
              <w:t>20,767</w:t>
            </w:r>
            <w:r>
              <w:rPr>
                <w:rFonts w:ascii="Arial"/>
                <w:sz w:val="24"/>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4"/>
              <w:jc w:val="right"/>
              <w:rPr>
                <w:rFonts w:ascii="Arial" w:hAnsi="Arial" w:cs="Arial" w:eastAsia="Arial" w:hint="default"/>
                <w:sz w:val="24"/>
                <w:szCs w:val="24"/>
              </w:rPr>
            </w:pPr>
            <w:r>
              <w:rPr>
                <w:rFonts w:ascii="Arial"/>
                <w:sz w:val="24"/>
              </w:rPr>
              <w:t>-</w:t>
            </w:r>
          </w:p>
        </w:tc>
      </w:tr>
      <w:tr>
        <w:trPr>
          <w:trHeight w:val="297"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租赁收入</w:t>
            </w:r>
          </w:p>
        </w:tc>
        <w:tc>
          <w:tcPr>
            <w:tcW w:w="2381" w:type="dxa"/>
            <w:tcBorders>
              <w:top w:val="nil" w:sz="6" w:space="0" w:color="auto"/>
              <w:left w:val="nil" w:sz="6" w:space="0" w:color="auto"/>
              <w:bottom w:val="nil" w:sz="6" w:space="0" w:color="auto"/>
              <w:right w:val="nil" w:sz="6" w:space="0" w:color="auto"/>
            </w:tcBorders>
          </w:tcPr>
          <w:p>
            <w:pPr>
              <w:pStyle w:val="TableParagraph"/>
              <w:spacing w:line="263" w:lineRule="exact"/>
              <w:ind w:right="598"/>
              <w:jc w:val="right"/>
              <w:rPr>
                <w:rFonts w:ascii="Arial" w:hAnsi="Arial" w:cs="Arial" w:eastAsia="Arial" w:hint="default"/>
                <w:sz w:val="24"/>
                <w:szCs w:val="24"/>
              </w:rPr>
            </w:pPr>
            <w:r>
              <w:rPr>
                <w:rFonts w:ascii="Arial"/>
                <w:spacing w:val="-1"/>
                <w:w w:val="95"/>
                <w:sz w:val="24"/>
              </w:rPr>
              <w:t>5,001</w:t>
            </w:r>
            <w:r>
              <w:rPr>
                <w:rFonts w:ascii="Arial"/>
                <w:w w:val="95"/>
                <w:sz w:val="2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63" w:lineRule="exact"/>
              <w:ind w:right="99"/>
              <w:jc w:val="right"/>
              <w:rPr>
                <w:rFonts w:ascii="Arial" w:hAnsi="Arial" w:cs="Arial" w:eastAsia="Arial" w:hint="default"/>
                <w:sz w:val="24"/>
                <w:szCs w:val="24"/>
              </w:rPr>
            </w:pPr>
            <w:r>
              <w:rPr>
                <w:rFonts w:ascii="Arial"/>
                <w:spacing w:val="-1"/>
                <w:w w:val="95"/>
                <w:sz w:val="24"/>
              </w:rPr>
              <w:t>1,055</w:t>
            </w:r>
            <w:r>
              <w:rPr>
                <w:rFonts w:ascii="Arial"/>
                <w:w w:val="95"/>
                <w:sz w:val="24"/>
              </w:rPr>
            </w:r>
          </w:p>
        </w:tc>
        <w:tc>
          <w:tcPr>
            <w:tcW w:w="236"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nil" w:sz="6" w:space="0" w:color="auto"/>
              <w:right w:val="nil" w:sz="6" w:space="0" w:color="auto"/>
            </w:tcBorders>
          </w:tcPr>
          <w:p>
            <w:pPr>
              <w:pStyle w:val="TableParagraph"/>
              <w:spacing w:line="263" w:lineRule="exact"/>
              <w:ind w:right="727"/>
              <w:jc w:val="right"/>
              <w:rPr>
                <w:rFonts w:ascii="Arial" w:hAnsi="Arial" w:cs="Arial" w:eastAsia="Arial" w:hint="default"/>
                <w:sz w:val="24"/>
                <w:szCs w:val="24"/>
              </w:rPr>
            </w:pPr>
            <w:r>
              <w:rPr>
                <w:rFonts w:ascii="Arial"/>
                <w:spacing w:val="-1"/>
                <w:w w:val="95"/>
                <w:sz w:val="24"/>
              </w:rPr>
              <w:t>2,443</w:t>
            </w:r>
            <w:r>
              <w:rPr>
                <w:rFonts w:ascii="Arial"/>
                <w:w w:val="95"/>
                <w:sz w:val="24"/>
              </w:rPr>
            </w:r>
          </w:p>
        </w:tc>
        <w:tc>
          <w:tcPr>
            <w:tcW w:w="1215" w:type="dxa"/>
            <w:tcBorders>
              <w:top w:val="nil" w:sz="6" w:space="0" w:color="auto"/>
              <w:left w:val="nil" w:sz="6" w:space="0" w:color="auto"/>
              <w:bottom w:val="nil" w:sz="6" w:space="0" w:color="auto"/>
              <w:right w:val="nil" w:sz="6" w:space="0" w:color="auto"/>
            </w:tcBorders>
          </w:tcPr>
          <w:p>
            <w:pPr>
              <w:pStyle w:val="TableParagraph"/>
              <w:spacing w:line="263" w:lineRule="exact"/>
              <w:ind w:right="99"/>
              <w:jc w:val="right"/>
              <w:rPr>
                <w:rFonts w:ascii="Arial" w:hAnsi="Arial" w:cs="Arial" w:eastAsia="Arial" w:hint="default"/>
                <w:sz w:val="24"/>
                <w:szCs w:val="24"/>
              </w:rPr>
            </w:pPr>
            <w:r>
              <w:rPr>
                <w:rFonts w:ascii="Arial"/>
                <w:spacing w:val="-1"/>
                <w:w w:val="95"/>
                <w:sz w:val="24"/>
              </w:rPr>
              <w:t>721</w:t>
            </w:r>
            <w:r>
              <w:rPr>
                <w:rFonts w:ascii="Arial"/>
                <w:w w:val="95"/>
                <w:sz w:val="24"/>
              </w:rPr>
            </w:r>
          </w:p>
        </w:tc>
      </w:tr>
      <w:tr>
        <w:trPr>
          <w:trHeight w:val="312"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加盟费收入</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97"/>
              <w:jc w:val="right"/>
              <w:rPr>
                <w:rFonts w:ascii="Arial" w:hAnsi="Arial" w:cs="Arial" w:eastAsia="Arial" w:hint="default"/>
                <w:sz w:val="24"/>
                <w:szCs w:val="24"/>
              </w:rPr>
            </w:pPr>
            <w:r>
              <w:rPr>
                <w:rFonts w:ascii="Arial"/>
                <w:spacing w:val="-1"/>
                <w:w w:val="95"/>
                <w:sz w:val="24"/>
              </w:rPr>
              <w:t>3,881</w:t>
            </w:r>
            <w:r>
              <w:rPr>
                <w:rFonts w:ascii="Arial"/>
                <w:w w:val="95"/>
                <w:sz w:val="2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z w:val="24"/>
              </w:rPr>
              <w:t>-</w:t>
            </w:r>
          </w:p>
        </w:tc>
        <w:tc>
          <w:tcPr>
            <w:tcW w:w="236"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25"/>
              <w:jc w:val="right"/>
              <w:rPr>
                <w:rFonts w:ascii="Arial" w:hAnsi="Arial" w:cs="Arial" w:eastAsia="Arial" w:hint="default"/>
                <w:sz w:val="24"/>
                <w:szCs w:val="24"/>
              </w:rPr>
            </w:pPr>
            <w:r>
              <w:rPr>
                <w:rFonts w:ascii="Arial"/>
                <w:spacing w:val="-1"/>
                <w:sz w:val="24"/>
              </w:rPr>
              <w:t>7,290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z w:val="24"/>
              </w:rPr>
              <w:t>-</w:t>
            </w:r>
          </w:p>
        </w:tc>
      </w:tr>
      <w:tr>
        <w:trPr>
          <w:trHeight w:val="319"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培训费收入</w:t>
            </w:r>
          </w:p>
        </w:tc>
        <w:tc>
          <w:tcPr>
            <w:tcW w:w="2381"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597"/>
              <w:jc w:val="right"/>
              <w:rPr>
                <w:rFonts w:ascii="Arial" w:hAnsi="Arial" w:cs="Arial" w:eastAsia="Arial" w:hint="default"/>
                <w:sz w:val="24"/>
                <w:szCs w:val="24"/>
              </w:rPr>
            </w:pPr>
            <w:r>
              <w:rPr>
                <w:rFonts w:ascii="Arial"/>
                <w:spacing w:val="-1"/>
                <w:w w:val="95"/>
                <w:sz w:val="24"/>
              </w:rPr>
              <w:t>227</w:t>
            </w:r>
            <w:r>
              <w:rPr>
                <w:rFonts w:ascii="Arial"/>
                <w:w w:val="95"/>
                <w:sz w:val="24"/>
              </w:rPr>
            </w:r>
          </w:p>
        </w:tc>
        <w:tc>
          <w:tcPr>
            <w:tcW w:w="1301"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z w:val="24"/>
              </w:rPr>
              <w:t>-</w:t>
            </w:r>
          </w:p>
        </w:tc>
        <w:tc>
          <w:tcPr>
            <w:tcW w:w="236"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726"/>
              <w:jc w:val="right"/>
              <w:rPr>
                <w:rFonts w:ascii="Arial" w:hAnsi="Arial" w:cs="Arial" w:eastAsia="Arial" w:hint="default"/>
                <w:sz w:val="24"/>
                <w:szCs w:val="24"/>
              </w:rPr>
            </w:pPr>
            <w:r>
              <w:rPr>
                <w:rFonts w:ascii="Arial"/>
                <w:spacing w:val="-7"/>
                <w:sz w:val="24"/>
              </w:rPr>
              <w:t>113</w:t>
            </w:r>
            <w:r>
              <w:rPr>
                <w:rFonts w:ascii="Arial"/>
                <w:sz w:val="24"/>
              </w:rPr>
            </w:r>
          </w:p>
        </w:tc>
        <w:tc>
          <w:tcPr>
            <w:tcW w:w="1215"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z w:val="24"/>
              </w:rPr>
              <w:t>-</w:t>
            </w:r>
          </w:p>
        </w:tc>
      </w:tr>
      <w:tr>
        <w:trPr>
          <w:trHeight w:val="293" w:hRule="exact"/>
        </w:trPr>
        <w:tc>
          <w:tcPr>
            <w:tcW w:w="2050" w:type="dxa"/>
            <w:tcBorders>
              <w:top w:val="nil" w:sz="6" w:space="0" w:color="auto"/>
              <w:left w:val="nil" w:sz="6" w:space="0" w:color="auto"/>
              <w:bottom w:val="nil" w:sz="6" w:space="0" w:color="auto"/>
              <w:right w:val="nil" w:sz="6" w:space="0" w:color="auto"/>
            </w:tcBorders>
          </w:tcPr>
          <w:p>
            <w:pPr/>
          </w:p>
        </w:tc>
        <w:tc>
          <w:tcPr>
            <w:tcW w:w="2381"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597"/>
              <w:jc w:val="right"/>
              <w:rPr>
                <w:rFonts w:ascii="Arial" w:hAnsi="Arial" w:cs="Arial" w:eastAsia="Arial" w:hint="default"/>
                <w:sz w:val="24"/>
                <w:szCs w:val="24"/>
              </w:rPr>
            </w:pPr>
            <w:r>
              <w:rPr>
                <w:rFonts w:ascii="Arial"/>
                <w:spacing w:val="-1"/>
                <w:sz w:val="24"/>
              </w:rPr>
              <w:t>294,623</w:t>
            </w:r>
            <w:r>
              <w:rPr>
                <w:rFonts w:ascii="Arial"/>
                <w:sz w:val="24"/>
              </w:rPr>
            </w:r>
          </w:p>
        </w:tc>
        <w:tc>
          <w:tcPr>
            <w:tcW w:w="1301"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1,055</w:t>
            </w:r>
            <w:r>
              <w:rPr>
                <w:rFonts w:ascii="Arial"/>
                <w:w w:val="95"/>
                <w:sz w:val="24"/>
              </w:rPr>
            </w:r>
          </w:p>
        </w:tc>
        <w:tc>
          <w:tcPr>
            <w:tcW w:w="236" w:type="dxa"/>
            <w:tcBorders>
              <w:top w:val="nil" w:sz="6" w:space="0" w:color="auto"/>
              <w:left w:val="nil" w:sz="6" w:space="0" w:color="auto"/>
              <w:bottom w:val="nil" w:sz="6" w:space="0" w:color="auto"/>
              <w:right w:val="nil" w:sz="6" w:space="0" w:color="auto"/>
            </w:tcBorders>
          </w:tcPr>
          <w:p>
            <w:pPr/>
          </w:p>
        </w:tc>
        <w:tc>
          <w:tcPr>
            <w:tcW w:w="2331"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727"/>
              <w:jc w:val="right"/>
              <w:rPr>
                <w:rFonts w:ascii="Arial" w:hAnsi="Arial" w:cs="Arial" w:eastAsia="Arial" w:hint="default"/>
                <w:sz w:val="24"/>
                <w:szCs w:val="24"/>
              </w:rPr>
            </w:pPr>
            <w:r>
              <w:rPr>
                <w:rFonts w:ascii="Arial"/>
                <w:spacing w:val="-1"/>
                <w:sz w:val="24"/>
              </w:rPr>
              <w:t>228,225</w:t>
            </w:r>
            <w:r>
              <w:rPr>
                <w:rFonts w:ascii="Arial"/>
                <w:sz w:val="24"/>
              </w:rPr>
            </w:r>
          </w:p>
        </w:tc>
        <w:tc>
          <w:tcPr>
            <w:tcW w:w="1215"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721</w:t>
            </w:r>
            <w:r>
              <w:rPr>
                <w:rFonts w:ascii="Arial"/>
                <w:w w:val="95"/>
                <w:sz w:val="24"/>
              </w:rPr>
            </w:r>
          </w:p>
        </w:tc>
      </w:tr>
    </w:tbl>
    <w:p>
      <w:pPr>
        <w:spacing w:after="0" w:line="274" w:lineRule="exact"/>
        <w:jc w:val="right"/>
        <w:rPr>
          <w:rFonts w:ascii="Arial" w:hAnsi="Arial" w:cs="Arial" w:eastAsia="Arial" w:hint="default"/>
          <w:sz w:val="24"/>
          <w:szCs w:val="24"/>
        </w:rPr>
        <w:sectPr>
          <w:pgSz w:w="11910" w:h="16840"/>
          <w:pgMar w:header="748" w:footer="708" w:top="980" w:bottom="900" w:left="1020" w:right="46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706"/>
        <w:gridCol w:w="2784"/>
        <w:gridCol w:w="1564"/>
        <w:gridCol w:w="1316"/>
        <w:gridCol w:w="2051"/>
        <w:gridCol w:w="1514"/>
      </w:tblGrid>
      <w:tr>
        <w:trPr>
          <w:trHeight w:val="1102"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sz w:val="24"/>
                <w:szCs w:val="24"/>
              </w:rPr>
            </w:r>
          </w:p>
          <w:p>
            <w:pPr>
              <w:pStyle w:val="TableParagraph"/>
              <w:spacing w:line="240" w:lineRule="auto" w:before="1"/>
              <w:ind w:right="0"/>
              <w:jc w:val="left"/>
              <w:rPr>
                <w:rFonts w:ascii="Arial" w:hAnsi="Arial" w:cs="Arial" w:eastAsia="Arial"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(1)</w:t>
            </w:r>
          </w:p>
        </w:tc>
        <w:tc>
          <w:tcPr>
            <w:tcW w:w="56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left="36" w:right="0"/>
              <w:jc w:val="left"/>
              <w:rPr>
                <w:rFonts w:ascii="宋体" w:hAnsi="宋体" w:cs="宋体" w:eastAsia="宋体" w:hint="default"/>
                <w:sz w:val="24"/>
                <w:szCs w:val="24"/>
              </w:rPr>
            </w:pPr>
            <w:r>
              <w:rPr>
                <w:rFonts w:ascii="宋体" w:hAnsi="宋体" w:cs="宋体" w:eastAsia="宋体" w:hint="default"/>
                <w:b/>
                <w:bCs/>
                <w:sz w:val="24"/>
                <w:szCs w:val="24"/>
              </w:rPr>
              <w:t>关联方关系及其交易</w:t>
            </w:r>
            <w:r>
              <w:rPr>
                <w:rFonts w:ascii="宋体" w:hAnsi="宋体" w:cs="宋体" w:eastAsia="宋体" w:hint="default"/>
                <w:sz w:val="24"/>
                <w:szCs w:val="24"/>
              </w:rPr>
            </w:r>
          </w:p>
          <w:p>
            <w:pPr>
              <w:pStyle w:val="TableParagraph"/>
              <w:spacing w:line="240" w:lineRule="auto" w:before="9"/>
              <w:ind w:right="0"/>
              <w:jc w:val="left"/>
              <w:rPr>
                <w:rFonts w:ascii="Arial" w:hAnsi="Arial" w:cs="Arial" w:eastAsia="Arial" w:hint="default"/>
                <w:sz w:val="23"/>
                <w:szCs w:val="23"/>
              </w:rPr>
            </w:pPr>
          </w:p>
          <w:p>
            <w:pPr>
              <w:pStyle w:val="TableParagraph"/>
              <w:spacing w:line="240" w:lineRule="auto"/>
              <w:ind w:left="36" w:right="0"/>
              <w:jc w:val="left"/>
              <w:rPr>
                <w:rFonts w:ascii="宋体" w:hAnsi="宋体" w:cs="宋体" w:eastAsia="宋体" w:hint="default"/>
                <w:sz w:val="24"/>
                <w:szCs w:val="24"/>
              </w:rPr>
            </w:pPr>
            <w:r>
              <w:rPr>
                <w:rFonts w:ascii="宋体" w:hAnsi="宋体" w:cs="宋体" w:eastAsia="宋体" w:hint="default"/>
                <w:b/>
                <w:bCs/>
                <w:sz w:val="24"/>
                <w:szCs w:val="24"/>
              </w:rPr>
              <w:t>存在控制关系的关联方</w:t>
            </w:r>
            <w:r>
              <w:rPr>
                <w:rFonts w:ascii="宋体" w:hAnsi="宋体" w:cs="宋体" w:eastAsia="宋体" w:hint="default"/>
                <w:sz w:val="24"/>
                <w:szCs w:val="24"/>
              </w:rPr>
            </w:r>
          </w:p>
        </w:tc>
        <w:tc>
          <w:tcPr>
            <w:tcW w:w="3565" w:type="dxa"/>
            <w:gridSpan w:val="2"/>
            <w:vMerge w:val="restart"/>
            <w:tcBorders>
              <w:top w:val="nil" w:sz="6" w:space="0" w:color="auto"/>
              <w:left w:val="nil" w:sz="6" w:space="0" w:color="auto"/>
              <w:right w:val="nil" w:sz="6" w:space="0" w:color="auto"/>
            </w:tcBorders>
          </w:tcPr>
          <w:p>
            <w:pPr/>
          </w:p>
        </w:tc>
      </w:tr>
      <w:tr>
        <w:trPr>
          <w:trHeight w:val="585" w:hRule="exact"/>
        </w:trPr>
        <w:tc>
          <w:tcPr>
            <w:tcW w:w="706" w:type="dxa"/>
            <w:tcBorders>
              <w:top w:val="nil" w:sz="6" w:space="0" w:color="auto"/>
              <w:left w:val="nil" w:sz="6" w:space="0" w:color="auto"/>
              <w:bottom w:val="nil" w:sz="6" w:space="0" w:color="auto"/>
              <w:right w:val="nil" w:sz="6" w:space="0" w:color="auto"/>
            </w:tcBorders>
          </w:tcPr>
          <w:p>
            <w:pPr/>
          </w:p>
        </w:tc>
        <w:tc>
          <w:tcPr>
            <w:tcW w:w="56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36" w:right="0"/>
              <w:jc w:val="left"/>
              <w:rPr>
                <w:rFonts w:ascii="宋体" w:hAnsi="宋体" w:cs="宋体" w:eastAsia="宋体" w:hint="default"/>
                <w:sz w:val="24"/>
                <w:szCs w:val="24"/>
              </w:rPr>
            </w:pPr>
            <w:r>
              <w:rPr>
                <w:rFonts w:ascii="宋体" w:hAnsi="宋体" w:cs="宋体" w:eastAsia="宋体" w:hint="default"/>
                <w:sz w:val="24"/>
                <w:szCs w:val="24"/>
              </w:rPr>
              <w:t>主要子公司的基本情况及相关信息见附注七。</w:t>
            </w:r>
          </w:p>
        </w:tc>
        <w:tc>
          <w:tcPr>
            <w:tcW w:w="3565" w:type="dxa"/>
            <w:gridSpan w:val="2"/>
            <w:vMerge/>
            <w:tcBorders>
              <w:left w:val="nil" w:sz="6" w:space="0" w:color="auto"/>
              <w:right w:val="nil" w:sz="6" w:space="0" w:color="auto"/>
            </w:tcBorders>
          </w:tcPr>
          <w:p>
            <w:pPr/>
          </w:p>
        </w:tc>
      </w:tr>
      <w:tr>
        <w:trPr>
          <w:trHeight w:val="453"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56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36" w:right="0"/>
              <w:jc w:val="left"/>
              <w:rPr>
                <w:rFonts w:ascii="宋体" w:hAnsi="宋体" w:cs="宋体" w:eastAsia="宋体" w:hint="default"/>
                <w:sz w:val="24"/>
                <w:szCs w:val="24"/>
              </w:rPr>
            </w:pPr>
            <w:r>
              <w:rPr>
                <w:rFonts w:ascii="宋体" w:hAnsi="宋体" w:cs="宋体" w:eastAsia="宋体" w:hint="default"/>
                <w:sz w:val="24"/>
                <w:szCs w:val="24"/>
              </w:rPr>
              <w:t>本公司控股股东的基本情况</w:t>
            </w:r>
          </w:p>
        </w:tc>
        <w:tc>
          <w:tcPr>
            <w:tcW w:w="3565" w:type="dxa"/>
            <w:gridSpan w:val="2"/>
            <w:vMerge/>
            <w:tcBorders>
              <w:left w:val="nil" w:sz="6" w:space="0" w:color="auto"/>
              <w:bottom w:val="nil" w:sz="6" w:space="0" w:color="auto"/>
              <w:right w:val="nil" w:sz="6" w:space="0" w:color="auto"/>
            </w:tcBorders>
          </w:tcPr>
          <w:p>
            <w:pPr/>
          </w:p>
        </w:tc>
      </w:tr>
      <w:tr>
        <w:trPr>
          <w:trHeight w:val="450" w:hRule="exact"/>
        </w:trPr>
        <w:tc>
          <w:tcPr>
            <w:tcW w:w="706" w:type="dxa"/>
            <w:tcBorders>
              <w:top w:val="nil" w:sz="6" w:space="0" w:color="auto"/>
              <w:left w:val="nil" w:sz="6" w:space="0" w:color="auto"/>
              <w:bottom w:val="nil" w:sz="6" w:space="0" w:color="auto"/>
              <w:right w:val="nil" w:sz="6" w:space="0" w:color="auto"/>
            </w:tcBorders>
          </w:tcPr>
          <w:p>
            <w:pPr/>
          </w:p>
        </w:tc>
        <w:tc>
          <w:tcPr>
            <w:tcW w:w="5664" w:type="dxa"/>
            <w:gridSpan w:val="3"/>
            <w:tcBorders>
              <w:top w:val="nil" w:sz="6" w:space="0" w:color="auto"/>
              <w:left w:val="nil" w:sz="6" w:space="0" w:color="auto"/>
              <w:bottom w:val="nil" w:sz="6" w:space="0" w:color="auto"/>
              <w:right w:val="nil" w:sz="6" w:space="0" w:color="auto"/>
            </w:tcBorders>
          </w:tcPr>
          <w:p>
            <w:pPr>
              <w:pStyle w:val="TableParagraph"/>
              <w:spacing w:line="276" w:lineRule="exact"/>
              <w:ind w:right="168"/>
              <w:jc w:val="right"/>
              <w:rPr>
                <w:rFonts w:ascii="宋体" w:hAnsi="宋体" w:cs="宋体" w:eastAsia="宋体" w:hint="default"/>
                <w:sz w:val="24"/>
                <w:szCs w:val="24"/>
              </w:rPr>
            </w:pPr>
            <w:r>
              <w:rPr>
                <w:rFonts w:ascii="宋体" w:hAnsi="宋体" w:cs="宋体" w:eastAsia="宋体" w:hint="default"/>
                <w:sz w:val="24"/>
                <w:szCs w:val="24"/>
              </w:rPr>
              <w:t>注册地</w:t>
            </w:r>
          </w:p>
        </w:tc>
        <w:tc>
          <w:tcPr>
            <w:tcW w:w="3565" w:type="dxa"/>
            <w:gridSpan w:val="2"/>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hAnsi="宋体" w:cs="宋体" w:eastAsia="宋体" w:hint="default"/>
                <w:sz w:val="24"/>
                <w:szCs w:val="24"/>
              </w:rPr>
              <w:t>业务性质</w:t>
            </w:r>
          </w:p>
        </w:tc>
      </w:tr>
      <w:tr>
        <w:trPr>
          <w:trHeight w:val="450" w:hRule="exact"/>
        </w:trPr>
        <w:tc>
          <w:tcPr>
            <w:tcW w:w="706" w:type="dxa"/>
            <w:tcBorders>
              <w:top w:val="nil" w:sz="6" w:space="0" w:color="auto"/>
              <w:left w:val="nil" w:sz="6" w:space="0" w:color="auto"/>
              <w:bottom w:val="nil" w:sz="6" w:space="0" w:color="auto"/>
              <w:right w:val="nil" w:sz="6" w:space="0" w:color="auto"/>
            </w:tcBorders>
          </w:tcPr>
          <w:p>
            <w:pPr/>
          </w:p>
        </w:tc>
        <w:tc>
          <w:tcPr>
            <w:tcW w:w="5664" w:type="dxa"/>
            <w:gridSpan w:val="3"/>
            <w:tcBorders>
              <w:top w:val="nil" w:sz="6" w:space="0" w:color="auto"/>
              <w:left w:val="nil" w:sz="6" w:space="0" w:color="auto"/>
              <w:bottom w:val="nil" w:sz="6" w:space="0" w:color="auto"/>
              <w:right w:val="nil" w:sz="6" w:space="0" w:color="auto"/>
            </w:tcBorders>
          </w:tcPr>
          <w:p>
            <w:pPr>
              <w:pStyle w:val="TableParagraph"/>
              <w:tabs>
                <w:tab w:pos="4773" w:val="left" w:leader="none"/>
              </w:tabs>
              <w:spacing w:line="240" w:lineRule="auto" w:before="100"/>
              <w:ind w:left="36" w:right="0"/>
              <w:jc w:val="left"/>
              <w:rPr>
                <w:rFonts w:ascii="宋体" w:hAnsi="宋体" w:cs="宋体" w:eastAsia="宋体" w:hint="default"/>
                <w:sz w:val="24"/>
                <w:szCs w:val="24"/>
              </w:rPr>
            </w:pPr>
            <w:r>
              <w:rPr>
                <w:rFonts w:ascii="宋体" w:hAnsi="宋体" w:cs="宋体" w:eastAsia="宋体" w:hint="default"/>
                <w:sz w:val="24"/>
                <w:szCs w:val="24"/>
              </w:rPr>
              <w:t>张近东先生</w:t>
              <w:tab/>
              <w:t>不适用</w:t>
            </w:r>
          </w:p>
        </w:tc>
        <w:tc>
          <w:tcPr>
            <w:tcW w:w="35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4"/>
                <w:szCs w:val="24"/>
              </w:rPr>
            </w:pPr>
            <w:r>
              <w:rPr>
                <w:rFonts w:ascii="宋体" w:hAnsi="宋体" w:cs="宋体" w:eastAsia="宋体" w:hint="default"/>
                <w:sz w:val="24"/>
                <w:szCs w:val="24"/>
              </w:rPr>
              <w:t>不适用</w:t>
            </w:r>
          </w:p>
        </w:tc>
      </w:tr>
      <w:tr>
        <w:trPr>
          <w:trHeight w:val="429" w:hRule="exact"/>
        </w:trPr>
        <w:tc>
          <w:tcPr>
            <w:tcW w:w="706" w:type="dxa"/>
            <w:tcBorders>
              <w:top w:val="nil" w:sz="6" w:space="0" w:color="auto"/>
              <w:left w:val="nil" w:sz="6" w:space="0" w:color="auto"/>
              <w:bottom w:val="nil" w:sz="6" w:space="0" w:color="auto"/>
              <w:right w:val="nil" w:sz="6" w:space="0" w:color="auto"/>
            </w:tcBorders>
          </w:tcPr>
          <w:p>
            <w:pPr/>
          </w:p>
        </w:tc>
        <w:tc>
          <w:tcPr>
            <w:tcW w:w="5664" w:type="dxa"/>
            <w:gridSpan w:val="3"/>
            <w:tcBorders>
              <w:top w:val="nil" w:sz="6" w:space="0" w:color="auto"/>
              <w:left w:val="nil" w:sz="6" w:space="0" w:color="auto"/>
              <w:bottom w:val="nil" w:sz="6" w:space="0" w:color="auto"/>
              <w:right w:val="nil" w:sz="6" w:space="0" w:color="auto"/>
            </w:tcBorders>
          </w:tcPr>
          <w:p>
            <w:pPr>
              <w:pStyle w:val="TableParagraph"/>
              <w:tabs>
                <w:tab w:pos="4773" w:val="left" w:leader="none"/>
              </w:tabs>
              <w:spacing w:line="276" w:lineRule="exact"/>
              <w:ind w:left="36" w:right="0"/>
              <w:jc w:val="left"/>
              <w:rPr>
                <w:rFonts w:ascii="宋体" w:hAnsi="宋体" w:cs="宋体" w:eastAsia="宋体" w:hint="default"/>
                <w:sz w:val="24"/>
                <w:szCs w:val="24"/>
              </w:rPr>
            </w:pPr>
            <w:r>
              <w:rPr>
                <w:rFonts w:ascii="宋体" w:hAnsi="宋体" w:cs="宋体" w:eastAsia="宋体" w:hint="default"/>
                <w:sz w:val="24"/>
                <w:szCs w:val="24"/>
              </w:rPr>
              <w:t>江苏苏宁电器有限公司</w:t>
              <w:tab/>
              <w:t>南京市</w:t>
            </w:r>
          </w:p>
        </w:tc>
        <w:tc>
          <w:tcPr>
            <w:tcW w:w="3565" w:type="dxa"/>
            <w:gridSpan w:val="2"/>
            <w:tcBorders>
              <w:top w:val="nil" w:sz="6" w:space="0" w:color="auto"/>
              <w:left w:val="nil" w:sz="6" w:space="0" w:color="auto"/>
              <w:bottom w:val="nil" w:sz="6" w:space="0" w:color="auto"/>
              <w:right w:val="nil" w:sz="6" w:space="0" w:color="auto"/>
            </w:tcBorders>
          </w:tcPr>
          <w:p>
            <w:pPr>
              <w:pStyle w:val="TableParagraph"/>
              <w:spacing w:line="276" w:lineRule="exact"/>
              <w:ind w:left="170" w:right="0"/>
              <w:jc w:val="left"/>
              <w:rPr>
                <w:rFonts w:ascii="宋体" w:hAnsi="宋体" w:cs="宋体" w:eastAsia="宋体" w:hint="default"/>
                <w:sz w:val="24"/>
                <w:szCs w:val="24"/>
              </w:rPr>
            </w:pPr>
            <w:r>
              <w:rPr>
                <w:rFonts w:ascii="宋体" w:hAnsi="宋体" w:cs="宋体" w:eastAsia="宋体" w:hint="default"/>
                <w:sz w:val="24"/>
                <w:szCs w:val="24"/>
              </w:rPr>
              <w:t>电脑数码、移动通讯、家用电器</w:t>
            </w:r>
          </w:p>
        </w:tc>
      </w:tr>
      <w:tr>
        <w:trPr>
          <w:trHeight w:val="574"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4"/>
                <w:szCs w:val="24"/>
              </w:rPr>
            </w:pPr>
            <w:r>
              <w:rPr>
                <w:rFonts w:ascii="Arial"/>
                <w:sz w:val="24"/>
              </w:rPr>
              <w:t>(b)</w:t>
            </w:r>
          </w:p>
        </w:tc>
        <w:tc>
          <w:tcPr>
            <w:tcW w:w="56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4"/>
                <w:szCs w:val="24"/>
              </w:rPr>
            </w:pPr>
            <w:r>
              <w:rPr>
                <w:rFonts w:ascii="宋体" w:hAnsi="宋体" w:cs="宋体" w:eastAsia="宋体" w:hint="default"/>
                <w:sz w:val="24"/>
                <w:szCs w:val="24"/>
              </w:rPr>
              <w:t>本公司控股股东的注册资本及其变化</w:t>
            </w:r>
          </w:p>
        </w:tc>
        <w:tc>
          <w:tcPr>
            <w:tcW w:w="3565" w:type="dxa"/>
            <w:gridSpan w:val="2"/>
            <w:tcBorders>
              <w:top w:val="nil" w:sz="6" w:space="0" w:color="auto"/>
              <w:left w:val="nil" w:sz="6" w:space="0" w:color="auto"/>
              <w:bottom w:val="nil" w:sz="6" w:space="0" w:color="auto"/>
              <w:right w:val="nil" w:sz="6" w:space="0" w:color="auto"/>
            </w:tcBorders>
          </w:tcPr>
          <w:p>
            <w:pPr/>
          </w:p>
        </w:tc>
      </w:tr>
      <w:tr>
        <w:trPr>
          <w:trHeight w:val="1062" w:hRule="exact"/>
        </w:trPr>
        <w:tc>
          <w:tcPr>
            <w:tcW w:w="706" w:type="dxa"/>
            <w:tcBorders>
              <w:top w:val="nil" w:sz="6" w:space="0" w:color="auto"/>
              <w:left w:val="nil" w:sz="6" w:space="0" w:color="auto"/>
              <w:bottom w:val="nil" w:sz="6" w:space="0" w:color="auto"/>
              <w:right w:val="nil" w:sz="6" w:space="0" w:color="auto"/>
            </w:tcBorders>
          </w:tcPr>
          <w:p>
            <w:pPr/>
          </w:p>
        </w:tc>
        <w:tc>
          <w:tcPr>
            <w:tcW w:w="9230" w:type="dxa"/>
            <w:gridSpan w:val="5"/>
            <w:tcBorders>
              <w:top w:val="nil" w:sz="6" w:space="0" w:color="auto"/>
              <w:left w:val="nil" w:sz="6" w:space="0" w:color="auto"/>
              <w:bottom w:val="nil" w:sz="6" w:space="0" w:color="auto"/>
              <w:right w:val="nil" w:sz="6" w:space="0" w:color="auto"/>
            </w:tcBorders>
          </w:tcPr>
          <w:p>
            <w:pPr>
              <w:pStyle w:val="TableParagraph"/>
              <w:tabs>
                <w:tab w:pos="8346" w:val="left" w:leader="none"/>
              </w:tabs>
              <w:spacing w:line="322" w:lineRule="exact" w:before="100"/>
              <w:ind w:left="3167"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w:t>
              <w:tab/>
            </w: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w:t>
            </w:r>
          </w:p>
          <w:p>
            <w:pPr>
              <w:pStyle w:val="TableParagraph"/>
              <w:tabs>
                <w:tab w:pos="4405" w:val="left" w:leader="none"/>
                <w:tab w:pos="6106" w:val="left" w:leader="none"/>
                <w:tab w:pos="7933" w:val="left" w:leader="none"/>
              </w:tabs>
              <w:spacing w:line="312" w:lineRule="exact"/>
              <w:ind w:left="2754" w:right="0"/>
              <w:jc w:val="center"/>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tab/>
              <w:t>本年增加</w:t>
              <w:tab/>
              <w:t>本年减少</w:t>
              <w:tab/>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p>
            <w:pPr>
              <w:pStyle w:val="TableParagraph"/>
              <w:spacing w:line="322" w:lineRule="exact"/>
              <w:ind w:left="2631" w:right="0"/>
              <w:jc w:val="center"/>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597" w:hRule="exact"/>
        </w:trPr>
        <w:tc>
          <w:tcPr>
            <w:tcW w:w="3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left="740" w:right="0"/>
              <w:jc w:val="left"/>
              <w:rPr>
                <w:rFonts w:ascii="宋体" w:hAnsi="宋体" w:cs="宋体" w:eastAsia="宋体" w:hint="default"/>
                <w:sz w:val="24"/>
                <w:szCs w:val="24"/>
              </w:rPr>
            </w:pPr>
            <w:r>
              <w:rPr>
                <w:rFonts w:ascii="宋体" w:hAnsi="宋体" w:cs="宋体" w:eastAsia="宋体" w:hint="default"/>
                <w:sz w:val="24"/>
                <w:szCs w:val="24"/>
              </w:rPr>
              <w:t>张近东先生</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left="147"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right="245"/>
              <w:jc w:val="right"/>
              <w:rPr>
                <w:rFonts w:ascii="宋体" w:hAnsi="宋体" w:cs="宋体" w:eastAsia="宋体" w:hint="default"/>
                <w:sz w:val="24"/>
                <w:szCs w:val="24"/>
              </w:rPr>
            </w:pPr>
            <w:r>
              <w:rPr>
                <w:rFonts w:ascii="宋体" w:hAnsi="宋体" w:cs="宋体" w:eastAsia="宋体" w:hint="default"/>
                <w:sz w:val="24"/>
                <w:szCs w:val="24"/>
              </w:rPr>
              <w:t>不适用</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right="594"/>
              <w:jc w:val="right"/>
              <w:rPr>
                <w:rFonts w:ascii="宋体" w:hAnsi="宋体" w:cs="宋体" w:eastAsia="宋体" w:hint="default"/>
                <w:sz w:val="24"/>
                <w:szCs w:val="24"/>
              </w:rPr>
            </w:pPr>
            <w:r>
              <w:rPr>
                <w:rFonts w:ascii="宋体" w:hAnsi="宋体" w:cs="宋体" w:eastAsia="宋体" w:hint="default"/>
                <w:sz w:val="24"/>
                <w:szCs w:val="24"/>
              </w:rPr>
              <w:t>不适用</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p>
          <w:p>
            <w:pPr>
              <w:pStyle w:val="TableParagraph"/>
              <w:spacing w:line="240" w:lineRule="auto"/>
              <w:ind w:right="48"/>
              <w:jc w:val="right"/>
              <w:rPr>
                <w:rFonts w:ascii="宋体" w:hAnsi="宋体" w:cs="宋体" w:eastAsia="宋体" w:hint="default"/>
                <w:sz w:val="24"/>
                <w:szCs w:val="24"/>
              </w:rPr>
            </w:pPr>
            <w:r>
              <w:rPr>
                <w:rFonts w:ascii="宋体" w:hAnsi="宋体" w:cs="宋体" w:eastAsia="宋体" w:hint="default"/>
                <w:sz w:val="24"/>
                <w:szCs w:val="24"/>
              </w:rPr>
              <w:t>不适用</w:t>
            </w:r>
          </w:p>
        </w:tc>
      </w:tr>
      <w:tr>
        <w:trPr>
          <w:trHeight w:val="379" w:hRule="exact"/>
        </w:trPr>
        <w:tc>
          <w:tcPr>
            <w:tcW w:w="3490" w:type="dxa"/>
            <w:gridSpan w:val="2"/>
            <w:tcBorders>
              <w:top w:val="nil" w:sz="6" w:space="0" w:color="auto"/>
              <w:left w:val="nil" w:sz="6" w:space="0" w:color="auto"/>
              <w:bottom w:val="nil" w:sz="6" w:space="0" w:color="auto"/>
              <w:right w:val="nil" w:sz="6" w:space="0" w:color="auto"/>
            </w:tcBorders>
          </w:tcPr>
          <w:p>
            <w:pPr>
              <w:pStyle w:val="TableParagraph"/>
              <w:spacing w:line="279" w:lineRule="exact"/>
              <w:ind w:left="740" w:right="0"/>
              <w:jc w:val="left"/>
              <w:rPr>
                <w:rFonts w:ascii="宋体" w:hAnsi="宋体" w:cs="宋体" w:eastAsia="宋体" w:hint="default"/>
                <w:sz w:val="24"/>
                <w:szCs w:val="24"/>
              </w:rPr>
            </w:pPr>
            <w:r>
              <w:rPr>
                <w:rFonts w:ascii="宋体" w:hAnsi="宋体" w:cs="宋体" w:eastAsia="宋体" w:hint="default"/>
                <w:sz w:val="24"/>
                <w:szCs w:val="24"/>
              </w:rPr>
              <w:t>江苏苏宁电器有限公司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Arial" w:hAnsi="Arial" w:cs="Arial" w:eastAsia="Arial" w:hint="default"/>
                <w:sz w:val="24"/>
                <w:szCs w:val="24"/>
              </w:rPr>
            </w:pPr>
            <w:r>
              <w:rPr>
                <w:rFonts w:ascii="Arial"/>
                <w:sz w:val="24"/>
              </w:rPr>
              <w:t>200,000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46"/>
              <w:jc w:val="right"/>
              <w:rPr>
                <w:rFonts w:ascii="Arial" w:hAnsi="Arial" w:cs="Arial" w:eastAsia="Arial" w:hint="default"/>
                <w:sz w:val="24"/>
                <w:szCs w:val="24"/>
              </w:rPr>
            </w:pPr>
            <w:r>
              <w:rPr>
                <w:rFonts w:ascii="Arial"/>
                <w:sz w:val="24"/>
              </w:rPr>
              <w:t>-</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95"/>
              <w:jc w:val="right"/>
              <w:rPr>
                <w:rFonts w:ascii="Arial" w:hAnsi="Arial" w:cs="Arial" w:eastAsia="Arial" w:hint="default"/>
                <w:sz w:val="24"/>
                <w:szCs w:val="24"/>
              </w:rPr>
            </w:pPr>
            <w:r>
              <w:rPr>
                <w:rFonts w:ascii="Arial"/>
                <w:sz w:val="24"/>
              </w:rPr>
              <w:t>-</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Arial" w:hAnsi="Arial" w:cs="Arial" w:eastAsia="Arial" w:hint="default"/>
                <w:sz w:val="24"/>
                <w:szCs w:val="24"/>
              </w:rPr>
            </w:pPr>
            <w:r>
              <w:rPr>
                <w:rFonts w:ascii="Arial"/>
                <w:spacing w:val="-1"/>
                <w:sz w:val="24"/>
              </w:rPr>
              <w:t>200,000</w:t>
            </w:r>
            <w:r>
              <w:rPr>
                <w:rFonts w:ascii="Arial"/>
                <w:sz w:val="24"/>
              </w:rPr>
            </w:r>
          </w:p>
        </w:tc>
      </w:tr>
    </w:tbl>
    <w:p>
      <w:pPr>
        <w:spacing w:line="240" w:lineRule="auto" w:before="4"/>
        <w:rPr>
          <w:rFonts w:ascii="Arial" w:hAnsi="Arial" w:cs="Arial" w:eastAsia="Arial" w:hint="default"/>
          <w:sz w:val="12"/>
          <w:szCs w:val="12"/>
        </w:rPr>
      </w:pPr>
    </w:p>
    <w:p>
      <w:pPr>
        <w:pStyle w:val="BodyText"/>
        <w:tabs>
          <w:tab w:pos="853" w:val="left" w:leader="none"/>
        </w:tabs>
        <w:spacing w:line="240" w:lineRule="auto" w:before="32"/>
        <w:ind w:left="147" w:right="0"/>
        <w:jc w:val="left"/>
      </w:pPr>
      <w:r>
        <w:rPr>
          <w:rFonts w:ascii="Arial" w:hAnsi="Arial" w:cs="Arial" w:eastAsia="Arial" w:hint="default"/>
          <w:position w:val="2"/>
        </w:rPr>
        <w:t>(c)</w:t>
        <w:tab/>
      </w:r>
      <w:r>
        <w:rPr/>
        <w:t>本公司控股股东对本公司的持股比例和表决权比例</w:t>
      </w:r>
    </w:p>
    <w:p>
      <w:pPr>
        <w:spacing w:line="240" w:lineRule="auto" w:before="4"/>
        <w:rPr>
          <w:rFonts w:ascii="宋体" w:hAnsi="宋体" w:cs="宋体" w:eastAsia="宋体" w:hint="default"/>
          <w:sz w:val="21"/>
          <w:szCs w:val="21"/>
        </w:rPr>
      </w:pPr>
    </w:p>
    <w:p>
      <w:pPr>
        <w:tabs>
          <w:tab w:pos="7788" w:val="left" w:leader="none"/>
        </w:tabs>
        <w:spacing w:before="0"/>
        <w:ind w:left="4871" w:right="0" w:firstLine="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tab/>
      </w: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40"/>
          <w:pgMar w:header="748" w:footer="708" w:top="980" w:bottom="900" w:left="980" w:right="760"/>
        </w:sectPr>
      </w:pPr>
    </w:p>
    <w:p>
      <w:pPr>
        <w:tabs>
          <w:tab w:pos="998" w:val="left" w:leader="none"/>
        </w:tabs>
        <w:spacing w:line="260"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持股</w:t>
        <w:tab/>
        <w:t>表决权</w:t>
      </w:r>
    </w:p>
    <w:p>
      <w:pPr>
        <w:tabs>
          <w:tab w:pos="1102" w:val="left" w:leader="none"/>
        </w:tabs>
        <w:spacing w:line="274" w:lineRule="exact" w:before="0"/>
        <w:ind w:left="0" w:right="103" w:firstLine="0"/>
        <w:jc w:val="right"/>
        <w:rPr>
          <w:rFonts w:ascii="宋体" w:hAnsi="宋体" w:cs="宋体" w:eastAsia="宋体" w:hint="default"/>
          <w:sz w:val="21"/>
          <w:szCs w:val="21"/>
        </w:rPr>
      </w:pPr>
      <w:r>
        <w:rPr>
          <w:rFonts w:ascii="宋体" w:hAnsi="宋体" w:cs="宋体" w:eastAsia="宋体" w:hint="default"/>
          <w:sz w:val="21"/>
          <w:szCs w:val="21"/>
        </w:rPr>
        <w:t>比例</w:t>
        <w:tab/>
        <w:t>比例</w:t>
      </w:r>
    </w:p>
    <w:p>
      <w:pPr>
        <w:tabs>
          <w:tab w:pos="2289" w:val="left" w:leader="none"/>
        </w:tabs>
        <w:spacing w:line="260" w:lineRule="exact" w:before="0"/>
        <w:ind w:left="99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持股</w:t>
        <w:tab/>
        <w:t>表决权</w:t>
      </w:r>
    </w:p>
    <w:p>
      <w:pPr>
        <w:tabs>
          <w:tab w:pos="2393" w:val="left" w:leader="none"/>
        </w:tabs>
        <w:spacing w:line="274" w:lineRule="exact" w:before="0"/>
        <w:ind w:left="990" w:right="0" w:firstLine="0"/>
        <w:jc w:val="left"/>
        <w:rPr>
          <w:rFonts w:ascii="宋体" w:hAnsi="宋体" w:cs="宋体" w:eastAsia="宋体" w:hint="default"/>
          <w:sz w:val="21"/>
          <w:szCs w:val="21"/>
        </w:rPr>
      </w:pPr>
      <w:r>
        <w:rPr>
          <w:rFonts w:ascii="宋体" w:hAnsi="宋体" w:cs="宋体" w:eastAsia="宋体" w:hint="default"/>
          <w:sz w:val="21"/>
          <w:szCs w:val="21"/>
        </w:rPr>
        <w:t>比例</w:t>
        <w:tab/>
        <w:t>比例</w:t>
      </w:r>
    </w:p>
    <w:p>
      <w:pPr>
        <w:spacing w:after="0" w:line="274" w:lineRule="exact"/>
        <w:jc w:val="left"/>
        <w:rPr>
          <w:rFonts w:ascii="宋体" w:hAnsi="宋体" w:cs="宋体" w:eastAsia="宋体" w:hint="default"/>
          <w:sz w:val="21"/>
          <w:szCs w:val="21"/>
        </w:rPr>
        <w:sectPr>
          <w:type w:val="continuous"/>
          <w:pgSz w:w="11910" w:h="16840"/>
          <w:pgMar w:top="1600" w:bottom="280" w:left="980" w:right="760"/>
          <w:cols w:num="2" w:equalWidth="0">
            <w:col w:w="6660" w:space="40"/>
            <w:col w:w="3470"/>
          </w:cols>
        </w:sectPr>
      </w:pPr>
    </w:p>
    <w:p>
      <w:pPr>
        <w:spacing w:line="240" w:lineRule="auto" w:before="7"/>
        <w:rPr>
          <w:rFonts w:ascii="宋体" w:hAnsi="宋体" w:cs="宋体" w:eastAsia="宋体" w:hint="default"/>
          <w:sz w:val="18"/>
          <w:szCs w:val="18"/>
        </w:rPr>
      </w:pPr>
    </w:p>
    <w:p>
      <w:pPr>
        <w:tabs>
          <w:tab w:pos="4884" w:val="left" w:leader="none"/>
          <w:tab w:pos="5987" w:val="left" w:leader="none"/>
          <w:tab w:pos="7544" w:val="left" w:leader="none"/>
          <w:tab w:pos="8947" w:val="left" w:leader="none"/>
        </w:tabs>
        <w:spacing w:line="333" w:lineRule="exact" w:before="22"/>
        <w:ind w:left="853" w:right="0" w:firstLine="0"/>
        <w:jc w:val="left"/>
        <w:rPr>
          <w:rFonts w:ascii="Arial" w:hAnsi="Arial" w:cs="Arial" w:eastAsia="Arial" w:hint="default"/>
          <w:sz w:val="21"/>
          <w:szCs w:val="21"/>
        </w:rPr>
      </w:pPr>
      <w:r>
        <w:rPr>
          <w:rFonts w:ascii="宋体" w:hAnsi="宋体" w:cs="宋体" w:eastAsia="宋体" w:hint="default"/>
          <w:position w:val="3"/>
          <w:sz w:val="24"/>
          <w:szCs w:val="24"/>
        </w:rPr>
        <w:t>张近东先生</w:t>
      </w:r>
      <w:r>
        <w:rPr>
          <w:rFonts w:ascii="Arial" w:hAnsi="Arial" w:cs="Arial" w:eastAsia="Arial" w:hint="default"/>
          <w:position w:val="3"/>
          <w:sz w:val="24"/>
          <w:szCs w:val="24"/>
        </w:rPr>
        <w:t>(</w:t>
      </w:r>
      <w:r>
        <w:rPr>
          <w:rFonts w:ascii="宋体" w:hAnsi="宋体" w:cs="宋体" w:eastAsia="宋体" w:hint="default"/>
          <w:position w:val="3"/>
          <w:sz w:val="24"/>
          <w:szCs w:val="24"/>
        </w:rPr>
        <w:t>注</w:t>
      </w:r>
      <w:r>
        <w:rPr>
          <w:rFonts w:ascii="Arial" w:hAnsi="Arial" w:cs="Arial" w:eastAsia="Arial" w:hint="default"/>
          <w:position w:val="3"/>
          <w:sz w:val="24"/>
          <w:szCs w:val="24"/>
        </w:rPr>
        <w:t>)</w:t>
        <w:tab/>
      </w:r>
      <w:r>
        <w:rPr>
          <w:rFonts w:ascii="Arial" w:hAnsi="Arial" w:cs="Arial" w:eastAsia="Arial" w:hint="default"/>
          <w:spacing w:val="-1"/>
          <w:sz w:val="21"/>
          <w:szCs w:val="21"/>
        </w:rPr>
        <w:t>29.69%</w:t>
        <w:tab/>
        <w:t>29.69%</w:t>
        <w:tab/>
        <w:t>29.69%</w:t>
        <w:tab/>
        <w:t>29.69%</w:t>
      </w:r>
      <w:r>
        <w:rPr>
          <w:rFonts w:ascii="Arial" w:hAnsi="Arial" w:cs="Arial" w:eastAsia="Arial" w:hint="default"/>
          <w:sz w:val="21"/>
          <w:szCs w:val="21"/>
        </w:rPr>
      </w:r>
    </w:p>
    <w:p>
      <w:pPr>
        <w:tabs>
          <w:tab w:pos="4880" w:val="left" w:leader="none"/>
          <w:tab w:pos="5987" w:val="left" w:leader="none"/>
          <w:tab w:pos="7544" w:val="left" w:leader="none"/>
          <w:tab w:pos="8947" w:val="left" w:leader="none"/>
        </w:tabs>
        <w:spacing w:line="333" w:lineRule="exact" w:before="0"/>
        <w:ind w:left="853" w:right="0" w:firstLine="0"/>
        <w:jc w:val="left"/>
        <w:rPr>
          <w:rFonts w:ascii="Arial" w:hAnsi="Arial" w:cs="Arial" w:eastAsia="Arial" w:hint="default"/>
          <w:sz w:val="21"/>
          <w:szCs w:val="21"/>
        </w:rPr>
      </w:pPr>
      <w:r>
        <w:rPr>
          <w:rFonts w:ascii="宋体" w:hAnsi="宋体" w:cs="宋体" w:eastAsia="宋体" w:hint="default"/>
          <w:position w:val="3"/>
          <w:sz w:val="24"/>
          <w:szCs w:val="24"/>
        </w:rPr>
        <w:t>江苏苏宁电器有限公司</w:t>
        <w:tab/>
      </w:r>
      <w:r>
        <w:rPr>
          <w:rFonts w:ascii="Arial" w:hAnsi="Arial" w:cs="Arial" w:eastAsia="Arial" w:hint="default"/>
          <w:spacing w:val="-1"/>
          <w:sz w:val="21"/>
          <w:szCs w:val="21"/>
        </w:rPr>
        <w:t>15.46%</w:t>
        <w:tab/>
        <w:t>15.46%</w:t>
        <w:tab/>
        <w:t>15.17%</w:t>
        <w:tab/>
        <w:t>15.17%</w:t>
      </w:r>
      <w:r>
        <w:rPr>
          <w:rFonts w:ascii="Arial" w:hAnsi="Arial" w:cs="Arial" w:eastAsia="Arial" w:hint="default"/>
          <w:sz w:val="21"/>
          <w:szCs w:val="21"/>
        </w:rPr>
      </w:r>
    </w:p>
    <w:p>
      <w:pPr>
        <w:spacing w:line="240" w:lineRule="auto" w:before="7"/>
        <w:rPr>
          <w:rFonts w:ascii="Arial" w:hAnsi="Arial" w:cs="Arial" w:eastAsia="Arial" w:hint="default"/>
          <w:sz w:val="20"/>
          <w:szCs w:val="20"/>
        </w:rPr>
      </w:pPr>
    </w:p>
    <w:p>
      <w:pPr>
        <w:pStyle w:val="BodyText"/>
        <w:spacing w:line="322" w:lineRule="exact"/>
        <w:ind w:left="853" w:right="0"/>
        <w:jc w:val="left"/>
        <w:rPr>
          <w:rFonts w:ascii="Arial" w:hAnsi="Arial" w:cs="Arial" w:eastAsia="Arial" w:hint="default"/>
        </w:rPr>
      </w:pPr>
      <w:r>
        <w:rPr/>
        <w:t>注：张近东先生直接持有本公司 </w:t>
      </w:r>
      <w:r>
        <w:rPr>
          <w:rFonts w:ascii="Arial" w:hAnsi="Arial" w:cs="Arial" w:eastAsia="Arial" w:hint="default"/>
        </w:rPr>
        <w:t>29.69%</w:t>
      </w:r>
      <w:r>
        <w:rPr/>
        <w:t>的股份，同时持有江苏苏宁电器有限公司</w:t>
      </w:r>
      <w:r>
        <w:rPr>
          <w:spacing w:val="-78"/>
        </w:rPr>
        <w:t> </w:t>
      </w:r>
      <w:r>
        <w:rPr>
          <w:rFonts w:ascii="Arial" w:hAnsi="Arial" w:cs="Arial" w:eastAsia="Arial" w:hint="default"/>
        </w:rPr>
        <w:t>28%</w:t>
      </w:r>
    </w:p>
    <w:p>
      <w:pPr>
        <w:pStyle w:val="BodyText"/>
        <w:spacing w:line="304" w:lineRule="exact"/>
        <w:ind w:left="853" w:right="0"/>
        <w:jc w:val="left"/>
      </w:pPr>
      <w:r>
        <w:rPr/>
        <w:t>的股权。</w:t>
      </w:r>
    </w:p>
    <w:p>
      <w:pPr>
        <w:spacing w:line="240" w:lineRule="auto" w:before="6"/>
        <w:rPr>
          <w:rFonts w:ascii="宋体" w:hAnsi="宋体" w:cs="宋体" w:eastAsia="宋体" w:hint="default"/>
          <w:sz w:val="18"/>
          <w:szCs w:val="18"/>
        </w:rPr>
      </w:pPr>
    </w:p>
    <w:p>
      <w:pPr>
        <w:tabs>
          <w:tab w:pos="853" w:val="left" w:leader="none"/>
        </w:tabs>
        <w:spacing w:line="313" w:lineRule="exact" w:before="32"/>
        <w:ind w:left="147" w:right="0" w:firstLine="0"/>
        <w:jc w:val="left"/>
        <w:rPr>
          <w:rFonts w:ascii="宋体" w:hAnsi="宋体" w:cs="宋体" w:eastAsia="宋体" w:hint="default"/>
          <w:sz w:val="24"/>
          <w:szCs w:val="24"/>
        </w:rPr>
      </w:pPr>
      <w:r>
        <w:rPr>
          <w:rFonts w:ascii="Arial" w:hAnsi="Arial" w:cs="Arial" w:eastAsia="Arial" w:hint="default"/>
          <w:position w:val="2"/>
          <w:sz w:val="24"/>
          <w:szCs w:val="24"/>
        </w:rPr>
        <w:t>(2)</w:t>
        <w:tab/>
      </w:r>
      <w:r>
        <w:rPr>
          <w:rFonts w:ascii="宋体" w:hAnsi="宋体" w:cs="宋体" w:eastAsia="宋体" w:hint="default"/>
          <w:b/>
          <w:bCs/>
          <w:sz w:val="24"/>
          <w:szCs w:val="24"/>
        </w:rPr>
        <w:t>不存在控制关系的关联方的性质</w:t>
      </w:r>
      <w:r>
        <w:rPr>
          <w:rFonts w:ascii="宋体" w:hAnsi="宋体" w:cs="宋体" w:eastAsia="宋体" w:hint="default"/>
          <w:sz w:val="24"/>
          <w:szCs w:val="24"/>
        </w:rPr>
      </w:r>
    </w:p>
    <w:p>
      <w:pPr>
        <w:pStyle w:val="BodyText"/>
        <w:spacing w:line="313" w:lineRule="exact"/>
        <w:ind w:left="0" w:right="137"/>
        <w:jc w:val="right"/>
      </w:pPr>
      <w:r>
        <w:rPr/>
      </w:r>
      <w:r>
        <w:rPr>
          <w:u w:val="single" w:color="000000"/>
        </w:rPr>
        <w:t>与本集团的关系</w:t>
      </w:r>
      <w:r>
        <w:rPr/>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600" w:bottom="280" w:left="980" w:right="760"/>
        </w:sectPr>
      </w:pPr>
    </w:p>
    <w:p>
      <w:pPr>
        <w:pStyle w:val="BodyText"/>
        <w:spacing w:line="313" w:lineRule="exact" w:before="26"/>
        <w:ind w:left="853" w:right="-19"/>
        <w:jc w:val="left"/>
      </w:pPr>
      <w:r>
        <w:rPr/>
        <w:t>江苏苏宁环球集团有限公司</w:t>
      </w:r>
    </w:p>
    <w:p>
      <w:pPr>
        <w:pStyle w:val="BodyText"/>
        <w:spacing w:line="321" w:lineRule="exact"/>
        <w:ind w:left="1033" w:right="-19"/>
        <w:jc w:val="left"/>
        <w:rPr>
          <w:rFonts w:ascii="Arial" w:hAnsi="Arial" w:cs="Arial" w:eastAsia="Arial" w:hint="default"/>
        </w:rPr>
      </w:pPr>
      <w:r>
        <w:rPr>
          <w:rFonts w:ascii="Arial" w:hAnsi="Arial" w:cs="Arial" w:eastAsia="Arial" w:hint="default"/>
        </w:rPr>
        <w:t>(“</w:t>
      </w:r>
      <w:r>
        <w:rPr/>
        <w:t>环球集团</w:t>
      </w:r>
      <w:r>
        <w:rPr>
          <w:rFonts w:ascii="Arial" w:hAnsi="Arial" w:cs="Arial" w:eastAsia="Arial" w:hint="default"/>
        </w:rPr>
        <w:t>”)</w:t>
      </w:r>
    </w:p>
    <w:p>
      <w:pPr>
        <w:pStyle w:val="BodyText"/>
        <w:spacing w:line="312" w:lineRule="exact" w:before="21"/>
        <w:ind w:left="1033" w:right="-19" w:hanging="180"/>
        <w:jc w:val="left"/>
        <w:rPr>
          <w:rFonts w:ascii="Arial" w:hAnsi="Arial" w:cs="Arial" w:eastAsia="Arial" w:hint="default"/>
        </w:rPr>
      </w:pPr>
      <w:r>
        <w:rPr>
          <w:spacing w:val="11"/>
        </w:rPr>
        <w:t>江苏苏宁银河国际购物广场有限公 </w:t>
      </w:r>
      <w:r>
        <w:rPr/>
        <w:t>司</w:t>
      </w:r>
      <w:r>
        <w:rPr>
          <w:rFonts w:ascii="Arial" w:hAnsi="Arial" w:cs="Arial" w:eastAsia="Arial" w:hint="default"/>
        </w:rPr>
        <w:t>(“</w:t>
      </w:r>
      <w:r>
        <w:rPr/>
        <w:t>银河国际</w:t>
      </w:r>
      <w:r>
        <w:rPr>
          <w:rFonts w:ascii="Arial" w:hAnsi="Arial" w:cs="Arial" w:eastAsia="Arial" w:hint="default"/>
        </w:rPr>
        <w:t>”)</w:t>
      </w:r>
    </w:p>
    <w:p>
      <w:pPr>
        <w:pStyle w:val="BodyText"/>
        <w:spacing w:line="282" w:lineRule="exact"/>
        <w:ind w:left="853" w:right="-19"/>
        <w:jc w:val="left"/>
      </w:pPr>
      <w:r>
        <w:rPr/>
        <w:t>江苏苏宁银河酒店管理有限公司</w:t>
      </w:r>
    </w:p>
    <w:p>
      <w:pPr>
        <w:pStyle w:val="BodyText"/>
        <w:spacing w:line="330" w:lineRule="exact"/>
        <w:ind w:left="1042" w:right="-19"/>
        <w:jc w:val="left"/>
        <w:rPr>
          <w:rFonts w:ascii="Arial" w:hAnsi="Arial" w:cs="Arial" w:eastAsia="Arial" w:hint="default"/>
        </w:rPr>
      </w:pPr>
      <w:r>
        <w:rPr>
          <w:rFonts w:ascii="Arial" w:hAnsi="Arial" w:cs="Arial" w:eastAsia="Arial" w:hint="default"/>
        </w:rPr>
        <w:t>(“</w:t>
      </w:r>
      <w:r>
        <w:rPr/>
        <w:t>银河酒店管理</w:t>
      </w:r>
      <w:r>
        <w:rPr>
          <w:rFonts w:ascii="Arial" w:hAnsi="Arial" w:cs="Arial" w:eastAsia="Arial" w:hint="default"/>
        </w:rPr>
        <w:t>”)</w:t>
      </w:r>
    </w:p>
    <w:p>
      <w:pPr>
        <w:pStyle w:val="BodyText"/>
        <w:spacing w:line="465" w:lineRule="auto" w:before="26"/>
        <w:ind w:left="246" w:right="137" w:firstLine="1520"/>
        <w:jc w:val="both"/>
      </w:pPr>
      <w:r>
        <w:rPr/>
        <w:br w:type="column"/>
      </w:r>
      <w:r>
        <w:rPr/>
        <w:t>法定代表人系张近东先生家庭成员 本公司控股股东</w:t>
      </w:r>
      <w:r>
        <w:rPr>
          <w:rFonts w:ascii="Arial" w:hAnsi="Arial" w:cs="Arial" w:eastAsia="Arial" w:hint="default"/>
        </w:rPr>
        <w:t>-</w:t>
      </w:r>
      <w:r>
        <w:rPr/>
        <w:t>江苏苏宁电器有限公司的子公司 本公司控股股东</w:t>
      </w:r>
      <w:r>
        <w:rPr>
          <w:rFonts w:ascii="Arial" w:hAnsi="Arial" w:cs="Arial" w:eastAsia="Arial" w:hint="default"/>
        </w:rPr>
        <w:t>-</w:t>
      </w:r>
      <w:r>
        <w:rPr/>
        <w:t>江苏苏宁电器有限公司的子公司</w:t>
      </w:r>
    </w:p>
    <w:p>
      <w:pPr>
        <w:spacing w:after="0" w:line="465" w:lineRule="auto"/>
        <w:jc w:val="both"/>
        <w:sectPr>
          <w:type w:val="continuous"/>
          <w:pgSz w:w="11910" w:h="16840"/>
          <w:pgMar w:top="1600" w:bottom="280" w:left="980" w:right="760"/>
          <w:cols w:num="2" w:equalWidth="0">
            <w:col w:w="4620" w:space="40"/>
            <w:col w:w="5510"/>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17" w:val="left" w:leader="none"/>
        </w:tabs>
        <w:spacing w:line="240" w:lineRule="auto"/>
        <w:ind w:right="94"/>
        <w:jc w:val="left"/>
        <w:rPr>
          <w:rFonts w:ascii="Arial" w:hAnsi="Arial" w:cs="Arial" w:eastAsia="Arial" w:hint="default"/>
          <w:b w:val="0"/>
          <w:bCs w:val="0"/>
        </w:rPr>
      </w:pPr>
      <w:r>
        <w:rPr>
          <w:w w:val="95"/>
        </w:rPr>
        <w:t>十一</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94" w:firstLine="0"/>
        <w:jc w:val="left"/>
        <w:rPr>
          <w:rFonts w:ascii="宋体" w:hAnsi="宋体" w:cs="宋体" w:eastAsia="宋体" w:hint="default"/>
          <w:sz w:val="24"/>
          <w:szCs w:val="24"/>
        </w:rPr>
      </w:pPr>
      <w:r>
        <w:rPr>
          <w:rFonts w:ascii="Arial" w:hAnsi="Arial" w:cs="Arial" w:eastAsia="Arial" w:hint="default"/>
          <w:position w:val="2"/>
          <w:sz w:val="24"/>
          <w:szCs w:val="24"/>
        </w:rPr>
        <w:t>(3)</w:t>
        <w:tab/>
      </w:r>
      <w:r>
        <w:rPr>
          <w:rFonts w:ascii="宋体" w:hAnsi="宋体" w:cs="宋体" w:eastAsia="宋体" w:hint="default"/>
          <w:b/>
          <w:bCs/>
          <w:sz w:val="24"/>
          <w:szCs w:val="24"/>
        </w:rPr>
        <w:t>关联交易</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tabs>
          <w:tab w:pos="817" w:val="left" w:leader="none"/>
        </w:tabs>
        <w:spacing w:line="240" w:lineRule="auto"/>
        <w:ind w:left="108" w:right="94"/>
        <w:jc w:val="left"/>
      </w:pPr>
      <w:r>
        <w:rPr>
          <w:rFonts w:ascii="Arial" w:hAnsi="Arial" w:cs="Arial" w:eastAsia="Arial" w:hint="default"/>
        </w:rPr>
        <w:t>(a)</w:t>
        <w:tab/>
      </w:r>
      <w:r>
        <w:rPr>
          <w:position w:val="2"/>
        </w:rPr>
        <w:t>租赁协议</w:t>
      </w:r>
      <w:r>
        <w:rPr/>
      </w:r>
    </w:p>
    <w:p>
      <w:pPr>
        <w:spacing w:line="240" w:lineRule="auto" w:before="3"/>
        <w:rPr>
          <w:rFonts w:ascii="宋体" w:hAnsi="宋体" w:cs="宋体" w:eastAsia="宋体" w:hint="default"/>
          <w:sz w:val="18"/>
          <w:szCs w:val="18"/>
        </w:rPr>
      </w:pPr>
    </w:p>
    <w:p>
      <w:pPr>
        <w:pStyle w:val="BodyText"/>
        <w:spacing w:line="322" w:lineRule="exact"/>
        <w:ind w:left="817" w:right="94"/>
        <w:jc w:val="left"/>
      </w:pPr>
      <w:r>
        <w:rPr>
          <w:rFonts w:ascii="Arial" w:hAnsi="Arial" w:cs="Arial" w:eastAsia="Arial" w:hint="default"/>
        </w:rPr>
        <w:t>(1) </w:t>
      </w:r>
      <w:r>
        <w:rPr>
          <w:rFonts w:ascii="Arial" w:hAnsi="Arial" w:cs="Arial" w:eastAsia="Arial" w:hint="default"/>
          <w:spacing w:val="-14"/>
        </w:rPr>
        <w:t> </w:t>
      </w:r>
      <w:r>
        <w:rPr/>
        <w:t>于</w:t>
      </w:r>
      <w:r>
        <w:rPr>
          <w:spacing w:val="-41"/>
        </w:rPr>
        <w:t> </w:t>
      </w:r>
      <w:r>
        <w:rPr>
          <w:rFonts w:ascii="Arial" w:hAnsi="Arial" w:cs="Arial" w:eastAsia="Arial" w:hint="default"/>
          <w:spacing w:val="-1"/>
        </w:rPr>
        <w:t>200</w:t>
      </w:r>
      <w:r>
        <w:rPr>
          <w:rFonts w:ascii="Arial" w:hAnsi="Arial" w:cs="Arial" w:eastAsia="Arial" w:hint="default"/>
        </w:rPr>
        <w:t>2</w:t>
      </w:r>
      <w:r>
        <w:rPr>
          <w:rFonts w:ascii="Arial" w:hAnsi="Arial" w:cs="Arial" w:eastAsia="Arial" w:hint="default"/>
          <w:spacing w:val="12"/>
        </w:rPr>
        <w:t> </w:t>
      </w:r>
      <w:r>
        <w:rPr/>
        <w:t>年</w:t>
      </w:r>
      <w:r>
        <w:rPr>
          <w:spacing w:val="-41"/>
        </w:rPr>
        <w:t> </w:t>
      </w:r>
      <w:r>
        <w:rPr>
          <w:rFonts w:ascii="Arial" w:hAnsi="Arial" w:cs="Arial" w:eastAsia="Arial" w:hint="default"/>
        </w:rPr>
        <w:t>3</w:t>
      </w:r>
      <w:r>
        <w:rPr>
          <w:rFonts w:ascii="Arial" w:hAnsi="Arial" w:cs="Arial" w:eastAsia="Arial" w:hint="default"/>
          <w:spacing w:val="12"/>
        </w:rPr>
        <w:t> </w:t>
      </w:r>
      <w:r>
        <w:rPr/>
        <w:t>月</w:t>
      </w:r>
      <w:r>
        <w:rPr>
          <w:spacing w:val="-41"/>
        </w:rPr>
        <w:t> </w:t>
      </w:r>
      <w:r>
        <w:rPr>
          <w:rFonts w:ascii="Arial" w:hAnsi="Arial" w:cs="Arial" w:eastAsia="Arial" w:hint="default"/>
          <w:spacing w:val="-2"/>
        </w:rPr>
        <w:t>2</w:t>
      </w:r>
      <w:r>
        <w:rPr>
          <w:rFonts w:ascii="Arial" w:hAnsi="Arial" w:cs="Arial" w:eastAsia="Arial" w:hint="default"/>
        </w:rPr>
        <w:t>8</w:t>
      </w:r>
      <w:r>
        <w:rPr>
          <w:rFonts w:ascii="Arial" w:hAnsi="Arial" w:cs="Arial" w:eastAsia="Arial" w:hint="default"/>
          <w:spacing w:val="12"/>
        </w:rPr>
        <w:t> </w:t>
      </w:r>
      <w:r>
        <w:rPr/>
        <w:t>日，本公司签署《房屋租赁合同</w:t>
      </w:r>
      <w:r>
        <w:rPr>
          <w:spacing w:val="-120"/>
        </w:rPr>
        <w:t>》</w:t>
      </w:r>
      <w:r>
        <w:rPr/>
        <w:t>，承租江苏苏宁电器有限公司</w:t>
      </w:r>
    </w:p>
    <w:p>
      <w:pPr>
        <w:pStyle w:val="BodyText"/>
        <w:spacing w:line="312" w:lineRule="exact"/>
        <w:ind w:left="817" w:right="94"/>
        <w:jc w:val="left"/>
      </w:pPr>
      <w:r>
        <w:rPr/>
        <w:t>位于南京市淮海路</w:t>
      </w:r>
      <w:r>
        <w:rPr>
          <w:spacing w:val="-67"/>
        </w:rPr>
        <w:t> </w:t>
      </w:r>
      <w:r>
        <w:rPr>
          <w:rFonts w:ascii="Arial" w:hAnsi="Arial" w:cs="Arial" w:eastAsia="Arial" w:hint="default"/>
        </w:rPr>
        <w:t>68</w:t>
      </w:r>
      <w:r>
        <w:rPr>
          <w:rFonts w:ascii="Arial" w:hAnsi="Arial" w:cs="Arial" w:eastAsia="Arial" w:hint="default"/>
          <w:spacing w:val="-14"/>
        </w:rPr>
        <w:t> </w:t>
      </w:r>
      <w:r>
        <w:rPr/>
        <w:t>号的苏宁电器大厦，租赁面积约为</w:t>
      </w:r>
      <w:r>
        <w:rPr>
          <w:spacing w:val="-67"/>
        </w:rPr>
        <w:t> </w:t>
      </w:r>
      <w:r>
        <w:rPr>
          <w:rFonts w:ascii="Arial" w:hAnsi="Arial" w:cs="Arial" w:eastAsia="Arial" w:hint="default"/>
        </w:rPr>
        <w:t>12,000</w:t>
      </w:r>
      <w:r>
        <w:rPr>
          <w:rFonts w:ascii="Arial" w:hAnsi="Arial" w:cs="Arial" w:eastAsia="Arial" w:hint="default"/>
          <w:spacing w:val="-13"/>
        </w:rPr>
        <w:t> </w:t>
      </w:r>
      <w:r>
        <w:rPr/>
        <w:t>平方米做为商场和办公</w:t>
      </w:r>
    </w:p>
    <w:p>
      <w:pPr>
        <w:pStyle w:val="BodyText"/>
        <w:spacing w:line="312" w:lineRule="exact"/>
        <w:ind w:left="817" w:right="94"/>
        <w:jc w:val="left"/>
        <w:rPr>
          <w:rFonts w:ascii="Arial" w:hAnsi="Arial" w:cs="Arial" w:eastAsia="Arial" w:hint="default"/>
        </w:rPr>
      </w:pPr>
      <w:r>
        <w:rPr/>
        <w:t>用房</w:t>
      </w:r>
      <w:r>
        <w:rPr>
          <w:spacing w:val="-120"/>
        </w:rPr>
        <w:t>，</w:t>
      </w:r>
      <w:r>
        <w:rPr/>
        <w:t>租赁期自</w:t>
      </w:r>
      <w:r>
        <w:rPr>
          <w:spacing w:val="-68"/>
        </w:rPr>
        <w:t> </w:t>
      </w:r>
      <w:r>
        <w:rPr>
          <w:rFonts w:ascii="Arial" w:hAnsi="Arial" w:cs="Arial" w:eastAsia="Arial" w:hint="default"/>
          <w:spacing w:val="-1"/>
        </w:rPr>
        <w:t>200</w:t>
      </w:r>
      <w:r>
        <w:rPr>
          <w:rFonts w:ascii="Arial" w:hAnsi="Arial" w:cs="Arial" w:eastAsia="Arial" w:hint="default"/>
        </w:rPr>
        <w:t>2</w:t>
      </w:r>
      <w:r>
        <w:rPr>
          <w:rFonts w:ascii="Arial" w:hAnsi="Arial" w:cs="Arial" w:eastAsia="Arial" w:hint="default"/>
          <w:spacing w:val="-13"/>
        </w:rPr>
        <w:t> </w:t>
      </w:r>
      <w:r>
        <w:rPr/>
        <w:t>年</w:t>
      </w:r>
      <w:r>
        <w:rPr>
          <w:spacing w:val="-68"/>
        </w:rPr>
        <w:t> </w:t>
      </w:r>
      <w:r>
        <w:rPr>
          <w:rFonts w:ascii="Arial" w:hAnsi="Arial" w:cs="Arial" w:eastAsia="Arial" w:hint="default"/>
        </w:rPr>
        <w:t>1</w:t>
      </w:r>
      <w:r>
        <w:rPr>
          <w:rFonts w:ascii="Arial" w:hAnsi="Arial" w:cs="Arial" w:eastAsia="Arial" w:hint="default"/>
          <w:spacing w:val="-15"/>
        </w:rPr>
        <w:t> </w:t>
      </w:r>
      <w:r>
        <w:rPr/>
        <w:t>月</w:t>
      </w:r>
      <w:r>
        <w:rPr>
          <w:spacing w:val="-68"/>
        </w:rPr>
        <w:t> </w:t>
      </w:r>
      <w:r>
        <w:rPr>
          <w:rFonts w:ascii="Arial" w:hAnsi="Arial" w:cs="Arial" w:eastAsia="Arial" w:hint="default"/>
        </w:rPr>
        <w:t>1</w:t>
      </w:r>
      <w:r>
        <w:rPr>
          <w:rFonts w:ascii="Arial" w:hAnsi="Arial" w:cs="Arial" w:eastAsia="Arial" w:hint="default"/>
          <w:spacing w:val="-15"/>
        </w:rPr>
        <w:t> </w:t>
      </w:r>
      <w:r>
        <w:rPr/>
        <w:t>日起至</w:t>
      </w:r>
      <w:r>
        <w:rPr>
          <w:spacing w:val="-68"/>
        </w:rPr>
        <w:t> </w:t>
      </w:r>
      <w:r>
        <w:rPr>
          <w:rFonts w:ascii="Arial" w:hAnsi="Arial" w:cs="Arial" w:eastAsia="Arial" w:hint="default"/>
          <w:spacing w:val="-1"/>
        </w:rPr>
        <w:t>20</w:t>
      </w:r>
      <w:r>
        <w:rPr>
          <w:rFonts w:ascii="Arial" w:hAnsi="Arial" w:cs="Arial" w:eastAsia="Arial" w:hint="default"/>
          <w:spacing w:val="-19"/>
        </w:rPr>
        <w:t>1</w:t>
      </w:r>
      <w:r>
        <w:rPr>
          <w:rFonts w:ascii="Arial" w:hAnsi="Arial" w:cs="Arial" w:eastAsia="Arial" w:hint="default"/>
        </w:rPr>
        <w:t>1</w:t>
      </w:r>
      <w:r>
        <w:rPr>
          <w:rFonts w:ascii="Arial" w:hAnsi="Arial" w:cs="Arial" w:eastAsia="Arial" w:hint="default"/>
          <w:spacing w:val="-13"/>
        </w:rPr>
        <w:t> </w:t>
      </w:r>
      <w:r>
        <w:rPr/>
        <w:t>年</w:t>
      </w:r>
      <w:r>
        <w:rPr>
          <w:spacing w:val="-68"/>
        </w:rPr>
        <w:t> </w:t>
      </w:r>
      <w:r>
        <w:rPr>
          <w:rFonts w:ascii="Arial" w:hAnsi="Arial" w:cs="Arial" w:eastAsia="Arial" w:hint="default"/>
          <w:spacing w:val="-1"/>
        </w:rPr>
        <w:t>1</w:t>
      </w:r>
      <w:r>
        <w:rPr>
          <w:rFonts w:ascii="Arial" w:hAnsi="Arial" w:cs="Arial" w:eastAsia="Arial" w:hint="default"/>
        </w:rPr>
        <w:t>2</w:t>
      </w:r>
      <w:r>
        <w:rPr>
          <w:rFonts w:ascii="Arial" w:hAnsi="Arial" w:cs="Arial" w:eastAsia="Arial" w:hint="default"/>
          <w:spacing w:val="-15"/>
        </w:rPr>
        <w:t> </w:t>
      </w:r>
      <w:r>
        <w:rPr/>
        <w:t>月</w:t>
      </w:r>
      <w:r>
        <w:rPr>
          <w:spacing w:val="-68"/>
        </w:rPr>
        <w:t> </w:t>
      </w:r>
      <w:r>
        <w:rPr>
          <w:rFonts w:ascii="Arial" w:hAnsi="Arial" w:cs="Arial" w:eastAsia="Arial" w:hint="default"/>
          <w:spacing w:val="-1"/>
        </w:rPr>
        <w:t>3</w:t>
      </w:r>
      <w:r>
        <w:rPr>
          <w:rFonts w:ascii="Arial" w:hAnsi="Arial" w:cs="Arial" w:eastAsia="Arial" w:hint="default"/>
        </w:rPr>
        <w:t>1</w:t>
      </w:r>
      <w:r>
        <w:rPr>
          <w:rFonts w:ascii="Arial" w:hAnsi="Arial" w:cs="Arial" w:eastAsia="Arial" w:hint="default"/>
          <w:spacing w:val="-13"/>
        </w:rPr>
        <w:t> </w:t>
      </w:r>
      <w:r>
        <w:rPr/>
        <w:t>日止</w:t>
      </w:r>
      <w:r>
        <w:rPr>
          <w:spacing w:val="-120"/>
        </w:rPr>
        <w:t>，</w:t>
      </w:r>
      <w:r>
        <w:rPr/>
        <w:t>第一年租金为人民币</w:t>
      </w:r>
      <w:r>
        <w:rPr>
          <w:spacing w:val="-68"/>
        </w:rPr>
        <w:t> </w:t>
      </w:r>
      <w:r>
        <w:rPr>
          <w:rFonts w:ascii="Arial" w:hAnsi="Arial" w:cs="Arial" w:eastAsia="Arial" w:hint="default"/>
          <w:spacing w:val="-1"/>
        </w:rPr>
        <w:t>1,200</w:t>
      </w:r>
      <w:r>
        <w:rPr>
          <w:rFonts w:ascii="Arial" w:hAnsi="Arial" w:cs="Arial" w:eastAsia="Arial" w:hint="default"/>
        </w:rPr>
      </w:r>
    </w:p>
    <w:p>
      <w:pPr>
        <w:pStyle w:val="BodyText"/>
        <w:spacing w:line="322" w:lineRule="exact"/>
        <w:ind w:left="817" w:right="94"/>
        <w:jc w:val="left"/>
      </w:pPr>
      <w:r>
        <w:rPr/>
        <w:t>万元，以后每年递增</w:t>
      </w:r>
      <w:r>
        <w:rPr>
          <w:spacing w:val="-61"/>
        </w:rPr>
        <w:t> </w:t>
      </w:r>
      <w:r>
        <w:rPr>
          <w:rFonts w:ascii="Arial" w:hAnsi="Arial" w:cs="Arial" w:eastAsia="Arial" w:hint="default"/>
        </w:rPr>
        <w:t>2%</w:t>
      </w:r>
      <w:r>
        <w:rPr/>
        <w:t>。</w:t>
      </w:r>
    </w:p>
    <w:p>
      <w:pPr>
        <w:spacing w:line="240" w:lineRule="auto" w:before="8"/>
        <w:rPr>
          <w:rFonts w:ascii="宋体" w:hAnsi="宋体" w:cs="宋体" w:eastAsia="宋体" w:hint="default"/>
          <w:sz w:val="19"/>
          <w:szCs w:val="19"/>
        </w:rPr>
      </w:pPr>
    </w:p>
    <w:p>
      <w:pPr>
        <w:pStyle w:val="BodyText"/>
        <w:spacing w:line="322" w:lineRule="exact"/>
        <w:ind w:left="817" w:right="0"/>
        <w:jc w:val="left"/>
      </w:pPr>
      <w:r>
        <w:rPr>
          <w:rFonts w:ascii="Arial" w:hAnsi="Arial" w:cs="Arial" w:eastAsia="Arial" w:hint="default"/>
        </w:rPr>
        <w:t>(2) </w:t>
      </w:r>
      <w:r>
        <w:rPr>
          <w:rFonts w:ascii="Arial" w:hAnsi="Arial" w:cs="Arial" w:eastAsia="Arial" w:hint="default"/>
          <w:spacing w:val="-20"/>
        </w:rPr>
        <w:t> </w:t>
      </w:r>
      <w:r>
        <w:rPr/>
        <w:t>于</w:t>
      </w:r>
      <w:r>
        <w:rPr>
          <w:spacing w:val="-60"/>
        </w:rPr>
        <w:t> </w:t>
      </w:r>
      <w:r>
        <w:rPr>
          <w:rFonts w:ascii="Arial" w:hAnsi="Arial" w:cs="Arial" w:eastAsia="Arial" w:hint="default"/>
          <w:spacing w:val="-1"/>
        </w:rPr>
        <w:t>200</w:t>
      </w:r>
      <w:r>
        <w:rPr>
          <w:rFonts w:ascii="Arial" w:hAnsi="Arial" w:cs="Arial" w:eastAsia="Arial" w:hint="default"/>
        </w:rPr>
        <w:t>4</w:t>
      </w:r>
      <w:r>
        <w:rPr>
          <w:rFonts w:ascii="Arial" w:hAnsi="Arial" w:cs="Arial" w:eastAsia="Arial" w:hint="default"/>
          <w:spacing w:val="-7"/>
        </w:rPr>
        <w:t> </w:t>
      </w:r>
      <w:r>
        <w:rPr/>
        <w:t>年</w:t>
      </w:r>
      <w:r>
        <w:rPr>
          <w:spacing w:val="-60"/>
        </w:rPr>
        <w:t> </w:t>
      </w:r>
      <w:r>
        <w:rPr>
          <w:rFonts w:ascii="Arial" w:hAnsi="Arial" w:cs="Arial" w:eastAsia="Arial" w:hint="default"/>
        </w:rPr>
        <w:t>8</w:t>
      </w:r>
      <w:r>
        <w:rPr>
          <w:rFonts w:ascii="Arial" w:hAnsi="Arial" w:cs="Arial" w:eastAsia="Arial" w:hint="default"/>
          <w:spacing w:val="-7"/>
        </w:rPr>
        <w:t> </w:t>
      </w:r>
      <w:r>
        <w:rPr/>
        <w:t>月</w:t>
      </w:r>
      <w:r>
        <w:rPr>
          <w:spacing w:val="-60"/>
        </w:rPr>
        <w:t> </w:t>
      </w:r>
      <w:r>
        <w:rPr>
          <w:rFonts w:ascii="Arial" w:hAnsi="Arial" w:cs="Arial" w:eastAsia="Arial" w:hint="default"/>
        </w:rPr>
        <w:t>2</w:t>
      </w:r>
      <w:r>
        <w:rPr>
          <w:rFonts w:ascii="Arial" w:hAnsi="Arial" w:cs="Arial" w:eastAsia="Arial" w:hint="default"/>
          <w:spacing w:val="-6"/>
        </w:rPr>
        <w:t> </w:t>
      </w:r>
      <w:r>
        <w:rPr/>
        <w:t>日</w:t>
      </w:r>
      <w:r>
        <w:rPr>
          <w:spacing w:val="-54"/>
        </w:rPr>
        <w:t>，</w:t>
      </w:r>
      <w:r>
        <w:rPr/>
        <w:t>本公司与江苏苏宁电器有限公司签订</w:t>
      </w:r>
      <w:r>
        <w:rPr>
          <w:spacing w:val="-54"/>
        </w:rPr>
        <w:t>了</w:t>
      </w:r>
      <w:r>
        <w:rPr/>
        <w:t>《房屋租赁补充协议</w:t>
      </w:r>
      <w:r>
        <w:rPr>
          <w:spacing w:val="-120"/>
        </w:rPr>
        <w:t>》</w:t>
      </w:r>
      <w:r>
        <w:rPr/>
        <w:t>，</w:t>
      </w:r>
    </w:p>
    <w:p>
      <w:pPr>
        <w:pStyle w:val="BodyText"/>
        <w:spacing w:line="312" w:lineRule="exact"/>
        <w:ind w:left="817" w:right="94"/>
        <w:jc w:val="left"/>
        <w:rPr>
          <w:rFonts w:ascii="Arial" w:hAnsi="Arial" w:cs="Arial" w:eastAsia="Arial" w:hint="default"/>
        </w:rPr>
      </w:pPr>
      <w:r>
        <w:rPr/>
        <w:t>增租苏宁电器大厦共计约</w:t>
      </w:r>
      <w:r>
        <w:rPr>
          <w:spacing w:val="-78"/>
        </w:rPr>
        <w:t> </w:t>
      </w:r>
      <w:r>
        <w:rPr>
          <w:rFonts w:ascii="Arial" w:hAnsi="Arial" w:cs="Arial" w:eastAsia="Arial" w:hint="default"/>
          <w:spacing w:val="-1"/>
        </w:rPr>
        <w:t>4,40</w:t>
      </w:r>
      <w:r>
        <w:rPr>
          <w:rFonts w:ascii="Arial" w:hAnsi="Arial" w:cs="Arial" w:eastAsia="Arial" w:hint="default"/>
        </w:rPr>
        <w:t>0</w:t>
      </w:r>
      <w:r>
        <w:rPr>
          <w:rFonts w:ascii="Arial" w:hAnsi="Arial" w:cs="Arial" w:eastAsia="Arial" w:hint="default"/>
          <w:spacing w:val="-25"/>
        </w:rPr>
        <w:t> </w:t>
      </w:r>
      <w:r>
        <w:rPr/>
        <w:t>平方米的建筑面积</w:t>
      </w:r>
      <w:r>
        <w:rPr>
          <w:spacing w:val="-120"/>
        </w:rPr>
        <w:t>，</w:t>
      </w:r>
      <w:r>
        <w:rPr/>
        <w:t>租赁期自</w:t>
      </w:r>
      <w:r>
        <w:rPr>
          <w:spacing w:val="-78"/>
        </w:rPr>
        <w:t> </w:t>
      </w:r>
      <w:r>
        <w:rPr>
          <w:rFonts w:ascii="Arial" w:hAnsi="Arial" w:cs="Arial" w:eastAsia="Arial" w:hint="default"/>
        </w:rPr>
        <w:t>2004</w:t>
      </w:r>
      <w:r>
        <w:rPr>
          <w:rFonts w:ascii="Arial" w:hAnsi="Arial" w:cs="Arial" w:eastAsia="Arial" w:hint="default"/>
          <w:spacing w:val="-24"/>
        </w:rPr>
        <w:t> </w:t>
      </w:r>
      <w:r>
        <w:rPr/>
        <w:t>年</w:t>
      </w:r>
      <w:r>
        <w:rPr>
          <w:spacing w:val="-78"/>
        </w:rPr>
        <w:t> </w:t>
      </w:r>
      <w:r>
        <w:rPr>
          <w:rFonts w:ascii="Arial" w:hAnsi="Arial" w:cs="Arial" w:eastAsia="Arial" w:hint="default"/>
        </w:rPr>
        <w:t>9</w:t>
      </w:r>
      <w:r>
        <w:rPr>
          <w:rFonts w:ascii="Arial" w:hAnsi="Arial" w:cs="Arial" w:eastAsia="Arial" w:hint="default"/>
          <w:spacing w:val="-24"/>
        </w:rPr>
        <w:t> </w:t>
      </w:r>
      <w:r>
        <w:rPr/>
        <w:t>月</w:t>
      </w:r>
      <w:r>
        <w:rPr>
          <w:spacing w:val="-78"/>
        </w:rPr>
        <w:t> </w:t>
      </w:r>
      <w:r>
        <w:rPr>
          <w:rFonts w:ascii="Arial" w:hAnsi="Arial" w:cs="Arial" w:eastAsia="Arial" w:hint="default"/>
        </w:rPr>
        <w:t>1</w:t>
      </w:r>
      <w:r>
        <w:rPr>
          <w:rFonts w:ascii="Arial" w:hAnsi="Arial" w:cs="Arial" w:eastAsia="Arial" w:hint="default"/>
          <w:spacing w:val="-25"/>
        </w:rPr>
        <w:t> </w:t>
      </w:r>
      <w:r>
        <w:rPr/>
        <w:t>日起至</w:t>
      </w:r>
      <w:r>
        <w:rPr>
          <w:spacing w:val="-78"/>
        </w:rPr>
        <w:t> </w:t>
      </w:r>
      <w:r>
        <w:rPr>
          <w:rFonts w:ascii="Arial" w:hAnsi="Arial" w:cs="Arial" w:eastAsia="Arial" w:hint="default"/>
          <w:spacing w:val="-1"/>
        </w:rPr>
        <w:t>20</w:t>
      </w:r>
      <w:r>
        <w:rPr>
          <w:rFonts w:ascii="Arial" w:hAnsi="Arial" w:cs="Arial" w:eastAsia="Arial" w:hint="default"/>
          <w:spacing w:val="-19"/>
        </w:rPr>
        <w:t>1</w:t>
      </w:r>
      <w:r>
        <w:rPr>
          <w:rFonts w:ascii="Arial" w:hAnsi="Arial" w:cs="Arial" w:eastAsia="Arial" w:hint="default"/>
        </w:rPr>
        <w:t>1</w:t>
      </w:r>
    </w:p>
    <w:p>
      <w:pPr>
        <w:pStyle w:val="BodyText"/>
        <w:spacing w:line="322" w:lineRule="exact"/>
        <w:ind w:left="817" w:right="94"/>
        <w:jc w:val="left"/>
      </w:pP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日止，第一年租金总额人民币</w:t>
      </w:r>
      <w:r>
        <w:rPr>
          <w:spacing w:val="-61"/>
        </w:rPr>
        <w:t> </w:t>
      </w:r>
      <w:r>
        <w:rPr>
          <w:rFonts w:ascii="Arial" w:hAnsi="Arial" w:cs="Arial" w:eastAsia="Arial" w:hint="default"/>
        </w:rPr>
        <w:t>320</w:t>
      </w:r>
      <w:r>
        <w:rPr>
          <w:rFonts w:ascii="Arial" w:hAnsi="Arial" w:cs="Arial" w:eastAsia="Arial" w:hint="default"/>
          <w:spacing w:val="-8"/>
        </w:rPr>
        <w:t> </w:t>
      </w:r>
      <w:r>
        <w:rPr/>
        <w:t>万元，以后每年递增</w:t>
      </w:r>
      <w:r>
        <w:rPr>
          <w:spacing w:val="-61"/>
        </w:rPr>
        <w:t> </w:t>
      </w:r>
      <w:r>
        <w:rPr>
          <w:rFonts w:ascii="Arial" w:hAnsi="Arial" w:cs="Arial" w:eastAsia="Arial" w:hint="default"/>
        </w:rPr>
        <w:t>2%</w:t>
      </w:r>
      <w:r>
        <w:rPr/>
        <w:t>。</w:t>
      </w:r>
    </w:p>
    <w:p>
      <w:pPr>
        <w:spacing w:line="240" w:lineRule="auto" w:before="8"/>
        <w:rPr>
          <w:rFonts w:ascii="宋体" w:hAnsi="宋体" w:cs="宋体" w:eastAsia="宋体" w:hint="default"/>
          <w:sz w:val="19"/>
          <w:szCs w:val="19"/>
        </w:rPr>
      </w:pPr>
    </w:p>
    <w:p>
      <w:pPr>
        <w:pStyle w:val="BodyText"/>
        <w:spacing w:line="322" w:lineRule="exact"/>
        <w:ind w:left="817" w:right="94"/>
        <w:jc w:val="left"/>
      </w:pPr>
      <w:r>
        <w:rPr>
          <w:rFonts w:ascii="Arial" w:hAnsi="Arial" w:cs="Arial" w:eastAsia="Arial" w:hint="default"/>
        </w:rPr>
        <w:t>(3) </w:t>
      </w:r>
      <w:r>
        <w:rPr>
          <w:rFonts w:ascii="Arial" w:hAnsi="Arial" w:cs="Arial" w:eastAsia="Arial" w:hint="default"/>
          <w:spacing w:val="-14"/>
        </w:rPr>
        <w:t> </w:t>
      </w:r>
      <w:r>
        <w:rPr/>
        <w:t>于</w:t>
      </w:r>
      <w:r>
        <w:rPr>
          <w:spacing w:val="-41"/>
        </w:rPr>
        <w:t> </w:t>
      </w:r>
      <w:r>
        <w:rPr>
          <w:rFonts w:ascii="Arial" w:hAnsi="Arial" w:cs="Arial" w:eastAsia="Arial" w:hint="default"/>
          <w:spacing w:val="-1"/>
        </w:rPr>
        <w:t>200</w:t>
      </w:r>
      <w:r>
        <w:rPr>
          <w:rFonts w:ascii="Arial" w:hAnsi="Arial" w:cs="Arial" w:eastAsia="Arial" w:hint="default"/>
        </w:rPr>
        <w:t>7</w:t>
      </w:r>
      <w:r>
        <w:rPr>
          <w:rFonts w:ascii="Arial" w:hAnsi="Arial" w:cs="Arial" w:eastAsia="Arial" w:hint="default"/>
          <w:spacing w:val="12"/>
        </w:rPr>
        <w:t> </w:t>
      </w:r>
      <w:r>
        <w:rPr/>
        <w:t>年</w:t>
      </w:r>
      <w:r>
        <w:rPr>
          <w:spacing w:val="-41"/>
        </w:rPr>
        <w:t> </w:t>
      </w:r>
      <w:r>
        <w:rPr>
          <w:rFonts w:ascii="Arial" w:hAnsi="Arial" w:cs="Arial" w:eastAsia="Arial" w:hint="default"/>
        </w:rPr>
        <w:t>4</w:t>
      </w:r>
      <w:r>
        <w:rPr>
          <w:rFonts w:ascii="Arial" w:hAnsi="Arial" w:cs="Arial" w:eastAsia="Arial" w:hint="default"/>
          <w:spacing w:val="12"/>
        </w:rPr>
        <w:t> </w:t>
      </w:r>
      <w:r>
        <w:rPr/>
        <w:t>月</w:t>
      </w:r>
      <w:r>
        <w:rPr>
          <w:spacing w:val="-41"/>
        </w:rPr>
        <w:t> </w:t>
      </w:r>
      <w:r>
        <w:rPr>
          <w:rFonts w:ascii="Arial" w:hAnsi="Arial" w:cs="Arial" w:eastAsia="Arial" w:hint="default"/>
          <w:spacing w:val="-2"/>
        </w:rPr>
        <w:t>1</w:t>
      </w:r>
      <w:r>
        <w:rPr>
          <w:rFonts w:ascii="Arial" w:hAnsi="Arial" w:cs="Arial" w:eastAsia="Arial" w:hint="default"/>
        </w:rPr>
        <w:t>8</w:t>
      </w:r>
      <w:r>
        <w:rPr>
          <w:rFonts w:ascii="Arial" w:hAnsi="Arial" w:cs="Arial" w:eastAsia="Arial" w:hint="default"/>
          <w:spacing w:val="12"/>
        </w:rPr>
        <w:t> </w:t>
      </w:r>
      <w:r>
        <w:rPr/>
        <w:t>日，本公司与银河国际签订《房屋租赁合同</w:t>
      </w:r>
      <w:r>
        <w:rPr>
          <w:spacing w:val="-120"/>
        </w:rPr>
        <w:t>》</w:t>
      </w:r>
      <w:r>
        <w:rPr/>
        <w:t>，承租银河国际位</w:t>
      </w:r>
    </w:p>
    <w:p>
      <w:pPr>
        <w:pStyle w:val="BodyText"/>
        <w:spacing w:line="312" w:lineRule="exact"/>
        <w:ind w:left="817" w:right="94"/>
        <w:jc w:val="left"/>
      </w:pPr>
      <w:r>
        <w:rPr/>
        <w:t>于南京市中山南路 </w:t>
      </w:r>
      <w:r>
        <w:rPr>
          <w:rFonts w:ascii="Arial" w:hAnsi="Arial" w:cs="Arial" w:eastAsia="Arial" w:hint="default"/>
        </w:rPr>
        <w:t>49 </w:t>
      </w:r>
      <w:r>
        <w:rPr/>
        <w:t>号商茂世纪大厦地下一层以及地上一层，共约 </w:t>
      </w:r>
      <w:r>
        <w:rPr>
          <w:rFonts w:ascii="Arial" w:hAnsi="Arial" w:cs="Arial" w:eastAsia="Arial" w:hint="default"/>
        </w:rPr>
        <w:t>2,000</w:t>
      </w:r>
      <w:r>
        <w:rPr>
          <w:rFonts w:ascii="Arial" w:hAnsi="Arial" w:cs="Arial" w:eastAsia="Arial" w:hint="default"/>
          <w:spacing w:val="-29"/>
        </w:rPr>
        <w:t> </w:t>
      </w:r>
      <w:r>
        <w:rPr/>
        <w:t>平方米的面</w:t>
      </w:r>
    </w:p>
    <w:p>
      <w:pPr>
        <w:pStyle w:val="BodyText"/>
        <w:spacing w:line="312" w:lineRule="exact"/>
        <w:ind w:left="817" w:right="94"/>
        <w:jc w:val="left"/>
      </w:pPr>
      <w:r>
        <w:rPr/>
        <w:t>积，租赁期限自</w:t>
      </w:r>
      <w:r>
        <w:rPr>
          <w:spacing w:val="-55"/>
        </w:rPr>
        <w:t> </w:t>
      </w:r>
      <w:r>
        <w:rPr>
          <w:rFonts w:ascii="Arial" w:hAnsi="Arial" w:cs="Arial" w:eastAsia="Arial" w:hint="default"/>
        </w:rPr>
        <w:t>2007</w:t>
      </w:r>
      <w:r>
        <w:rPr>
          <w:rFonts w:ascii="Arial" w:hAnsi="Arial" w:cs="Arial" w:eastAsia="Arial" w:hint="default"/>
          <w:spacing w:val="-1"/>
        </w:rPr>
        <w:t> </w:t>
      </w:r>
      <w:r>
        <w:rPr/>
        <w:t>年</w:t>
      </w:r>
      <w:r>
        <w:rPr>
          <w:spacing w:val="-55"/>
        </w:rPr>
        <w:t> </w:t>
      </w:r>
      <w:r>
        <w:rPr>
          <w:rFonts w:ascii="Arial" w:hAnsi="Arial" w:cs="Arial" w:eastAsia="Arial" w:hint="default"/>
        </w:rPr>
        <w:t>4</w:t>
      </w:r>
      <w:r>
        <w:rPr>
          <w:rFonts w:ascii="Arial" w:hAnsi="Arial" w:cs="Arial" w:eastAsia="Arial" w:hint="default"/>
          <w:spacing w:val="-2"/>
        </w:rPr>
        <w:t> </w:t>
      </w:r>
      <w:r>
        <w:rPr/>
        <w:t>月</w:t>
      </w:r>
      <w:r>
        <w:rPr>
          <w:spacing w:val="-55"/>
        </w:rPr>
        <w:t> </w:t>
      </w:r>
      <w:r>
        <w:rPr>
          <w:rFonts w:ascii="Arial" w:hAnsi="Arial" w:cs="Arial" w:eastAsia="Arial" w:hint="default"/>
        </w:rPr>
        <w:t>1</w:t>
      </w:r>
      <w:r>
        <w:rPr>
          <w:rFonts w:ascii="Arial" w:hAnsi="Arial" w:cs="Arial" w:eastAsia="Arial" w:hint="default"/>
          <w:spacing w:val="-2"/>
        </w:rPr>
        <w:t> </w:t>
      </w:r>
      <w:r>
        <w:rPr/>
        <w:t>日起至</w:t>
      </w:r>
      <w:r>
        <w:rPr>
          <w:spacing w:val="-55"/>
        </w:rPr>
        <w:t> </w:t>
      </w:r>
      <w:r>
        <w:rPr>
          <w:rFonts w:ascii="Arial" w:hAnsi="Arial" w:cs="Arial" w:eastAsia="Arial" w:hint="default"/>
        </w:rPr>
        <w:t>2016</w:t>
      </w:r>
      <w:r>
        <w:rPr>
          <w:rFonts w:ascii="Arial" w:hAnsi="Arial" w:cs="Arial" w:eastAsia="Arial" w:hint="default"/>
          <w:spacing w:val="-2"/>
        </w:rPr>
        <w:t> </w:t>
      </w:r>
      <w:r>
        <w:rPr/>
        <w:t>年</w:t>
      </w:r>
      <w:r>
        <w:rPr>
          <w:spacing w:val="-55"/>
        </w:rPr>
        <w:t> </w:t>
      </w:r>
      <w:r>
        <w:rPr>
          <w:rFonts w:ascii="Arial" w:hAnsi="Arial" w:cs="Arial" w:eastAsia="Arial" w:hint="default"/>
        </w:rPr>
        <w:t>12</w:t>
      </w:r>
      <w:r>
        <w:rPr>
          <w:rFonts w:ascii="Arial" w:hAnsi="Arial" w:cs="Arial" w:eastAsia="Arial" w:hint="default"/>
          <w:spacing w:val="-2"/>
        </w:rPr>
        <w:t> </w:t>
      </w:r>
      <w:r>
        <w:rPr/>
        <w:t>月</w:t>
      </w:r>
      <w:r>
        <w:rPr>
          <w:spacing w:val="-54"/>
        </w:rPr>
        <w:t> </w:t>
      </w:r>
      <w:r>
        <w:rPr>
          <w:rFonts w:ascii="Arial" w:hAnsi="Arial" w:cs="Arial" w:eastAsia="Arial" w:hint="default"/>
        </w:rPr>
        <w:t>22</w:t>
      </w:r>
      <w:r>
        <w:rPr>
          <w:rFonts w:ascii="Arial" w:hAnsi="Arial" w:cs="Arial" w:eastAsia="Arial" w:hint="default"/>
          <w:spacing w:val="-2"/>
        </w:rPr>
        <w:t> </w:t>
      </w:r>
      <w:r>
        <w:rPr/>
        <w:t>日止，租赁费用为前三年单价</w:t>
      </w:r>
    </w:p>
    <w:p>
      <w:pPr>
        <w:pStyle w:val="BodyText"/>
        <w:spacing w:line="312" w:lineRule="exact" w:before="21"/>
        <w:ind w:left="817" w:right="224"/>
        <w:jc w:val="left"/>
      </w:pPr>
      <w:r>
        <w:rPr/>
        <w:t>人民币</w:t>
      </w:r>
      <w:r>
        <w:rPr>
          <w:spacing w:val="-57"/>
        </w:rPr>
        <w:t> </w:t>
      </w:r>
      <w:r>
        <w:rPr>
          <w:rFonts w:ascii="Arial" w:hAnsi="Arial" w:cs="Arial" w:eastAsia="Arial" w:hint="default"/>
        </w:rPr>
        <w:t>85</w:t>
      </w:r>
      <w:r>
        <w:rPr>
          <w:rFonts w:ascii="Arial" w:hAnsi="Arial" w:cs="Arial" w:eastAsia="Arial" w:hint="default"/>
          <w:spacing w:val="-6"/>
        </w:rPr>
        <w:t> </w:t>
      </w:r>
      <w:r>
        <w:rPr/>
        <w:t>元</w:t>
      </w:r>
      <w:r>
        <w:rPr>
          <w:rFonts w:ascii="Arial" w:hAnsi="Arial" w:cs="Arial" w:eastAsia="Arial" w:hint="default"/>
        </w:rPr>
        <w:t>/</w:t>
      </w:r>
      <w:r>
        <w:rPr/>
        <w:t>平方米</w:t>
      </w:r>
      <w:r>
        <w:rPr>
          <w:rFonts w:ascii="Arial" w:hAnsi="Arial" w:cs="Arial" w:eastAsia="Arial" w:hint="default"/>
        </w:rPr>
        <w:t>/</w:t>
      </w:r>
      <w:r>
        <w:rPr/>
        <w:t>月至人民币</w:t>
      </w:r>
      <w:r>
        <w:rPr>
          <w:spacing w:val="-57"/>
        </w:rPr>
        <w:t> </w:t>
      </w:r>
      <w:r>
        <w:rPr>
          <w:rFonts w:ascii="Arial" w:hAnsi="Arial" w:cs="Arial" w:eastAsia="Arial" w:hint="default"/>
        </w:rPr>
        <w:t>300</w:t>
      </w:r>
      <w:r>
        <w:rPr>
          <w:rFonts w:ascii="Arial" w:hAnsi="Arial" w:cs="Arial" w:eastAsia="Arial" w:hint="default"/>
          <w:spacing w:val="-4"/>
        </w:rPr>
        <w:t> </w:t>
      </w:r>
      <w:r>
        <w:rPr/>
        <w:t>元</w:t>
      </w:r>
      <w:r>
        <w:rPr>
          <w:rFonts w:ascii="Arial" w:hAnsi="Arial" w:cs="Arial" w:eastAsia="Arial" w:hint="default"/>
        </w:rPr>
        <w:t>/</w:t>
      </w:r>
      <w:r>
        <w:rPr/>
        <w:t>平方米</w:t>
      </w:r>
      <w:r>
        <w:rPr>
          <w:rFonts w:ascii="Arial" w:hAnsi="Arial" w:cs="Arial" w:eastAsia="Arial" w:hint="default"/>
        </w:rPr>
        <w:t>/</w:t>
      </w:r>
      <w:r>
        <w:rPr/>
        <w:t>月不等，自第</w:t>
      </w:r>
      <w:r>
        <w:rPr>
          <w:spacing w:val="-57"/>
        </w:rPr>
        <w:t> </w:t>
      </w:r>
      <w:r>
        <w:rPr>
          <w:rFonts w:ascii="Arial" w:hAnsi="Arial" w:cs="Arial" w:eastAsia="Arial" w:hint="default"/>
        </w:rPr>
        <w:t>4</w:t>
      </w:r>
      <w:r>
        <w:rPr>
          <w:rFonts w:ascii="Arial" w:hAnsi="Arial" w:cs="Arial" w:eastAsia="Arial" w:hint="default"/>
          <w:spacing w:val="-4"/>
        </w:rPr>
        <w:t> </w:t>
      </w:r>
      <w:r>
        <w:rPr/>
        <w:t>年起每三年在前一个租</w:t>
      </w:r>
      <w:r>
        <w:rPr>
          <w:spacing w:val="-1"/>
        </w:rPr>
        <w:t> </w:t>
      </w:r>
      <w:r>
        <w:rPr/>
        <w:t>赁年度租金基础上递增</w:t>
      </w:r>
      <w:r>
        <w:rPr>
          <w:spacing w:val="-61"/>
        </w:rPr>
        <w:t> </w:t>
      </w:r>
      <w:r>
        <w:rPr>
          <w:rFonts w:ascii="Arial" w:hAnsi="Arial" w:cs="Arial" w:eastAsia="Arial" w:hint="default"/>
        </w:rPr>
        <w:t>5%</w:t>
      </w:r>
      <w:r>
        <w:rPr/>
        <w:t>。</w:t>
      </w:r>
    </w:p>
    <w:p>
      <w:pPr>
        <w:spacing w:line="240" w:lineRule="auto" w:before="10"/>
        <w:rPr>
          <w:rFonts w:ascii="宋体" w:hAnsi="宋体" w:cs="宋体" w:eastAsia="宋体" w:hint="default"/>
          <w:sz w:val="18"/>
          <w:szCs w:val="18"/>
        </w:rPr>
      </w:pPr>
    </w:p>
    <w:p>
      <w:pPr>
        <w:pStyle w:val="BodyText"/>
        <w:spacing w:line="322" w:lineRule="exact"/>
        <w:ind w:left="817" w:right="94"/>
        <w:jc w:val="left"/>
      </w:pPr>
      <w:r>
        <w:rPr>
          <w:rFonts w:ascii="Arial" w:hAnsi="Arial" w:cs="Arial" w:eastAsia="Arial" w:hint="default"/>
        </w:rPr>
        <w:t>(4) </w:t>
      </w:r>
      <w:r>
        <w:rPr>
          <w:rFonts w:ascii="Arial" w:hAnsi="Arial" w:cs="Arial" w:eastAsia="Arial" w:hint="default"/>
          <w:spacing w:val="-14"/>
        </w:rPr>
        <w:t> </w:t>
      </w:r>
      <w:r>
        <w:rPr/>
        <w:t>于</w:t>
      </w:r>
      <w:r>
        <w:rPr>
          <w:spacing w:val="-41"/>
        </w:rPr>
        <w:t> </w:t>
      </w:r>
      <w:r>
        <w:rPr>
          <w:rFonts w:ascii="Arial" w:hAnsi="Arial" w:cs="Arial" w:eastAsia="Arial" w:hint="default"/>
          <w:spacing w:val="-1"/>
        </w:rPr>
        <w:t>200</w:t>
      </w:r>
      <w:r>
        <w:rPr>
          <w:rFonts w:ascii="Arial" w:hAnsi="Arial" w:cs="Arial" w:eastAsia="Arial" w:hint="default"/>
        </w:rPr>
        <w:t>7</w:t>
      </w:r>
      <w:r>
        <w:rPr>
          <w:rFonts w:ascii="Arial" w:hAnsi="Arial" w:cs="Arial" w:eastAsia="Arial" w:hint="default"/>
          <w:spacing w:val="12"/>
        </w:rPr>
        <w:t> </w:t>
      </w:r>
      <w:r>
        <w:rPr/>
        <w:t>年</w:t>
      </w:r>
      <w:r>
        <w:rPr>
          <w:spacing w:val="-41"/>
        </w:rPr>
        <w:t> </w:t>
      </w:r>
      <w:r>
        <w:rPr>
          <w:rFonts w:ascii="Arial" w:hAnsi="Arial" w:cs="Arial" w:eastAsia="Arial" w:hint="default"/>
          <w:spacing w:val="-1"/>
        </w:rPr>
        <w:t>1</w:t>
      </w:r>
      <w:r>
        <w:rPr>
          <w:rFonts w:ascii="Arial" w:hAnsi="Arial" w:cs="Arial" w:eastAsia="Arial" w:hint="default"/>
        </w:rPr>
        <w:t>2</w:t>
      </w:r>
      <w:r>
        <w:rPr>
          <w:rFonts w:ascii="Arial" w:hAnsi="Arial" w:cs="Arial" w:eastAsia="Arial" w:hint="default"/>
          <w:spacing w:val="12"/>
        </w:rPr>
        <w:t> </w:t>
      </w:r>
      <w:r>
        <w:rPr/>
        <w:t>月</w:t>
      </w:r>
      <w:r>
        <w:rPr>
          <w:spacing w:val="-42"/>
        </w:rPr>
        <w:t> </w:t>
      </w:r>
      <w:r>
        <w:rPr>
          <w:rFonts w:ascii="Arial" w:hAnsi="Arial" w:cs="Arial" w:eastAsia="Arial" w:hint="default"/>
        </w:rPr>
        <w:t>4</w:t>
      </w:r>
      <w:r>
        <w:rPr>
          <w:rFonts w:ascii="Arial" w:hAnsi="Arial" w:cs="Arial" w:eastAsia="Arial" w:hint="default"/>
          <w:spacing w:val="12"/>
        </w:rPr>
        <w:t> </w:t>
      </w:r>
      <w:r>
        <w:rPr/>
        <w:t>日，本公司与银河国际签订《备忘录</w:t>
      </w:r>
      <w:r>
        <w:rPr>
          <w:spacing w:val="-120"/>
        </w:rPr>
        <w:t>》</w:t>
      </w:r>
      <w:r>
        <w:rPr/>
        <w:t>，一致同意因经营需要提</w:t>
      </w:r>
    </w:p>
    <w:p>
      <w:pPr>
        <w:pStyle w:val="BodyText"/>
        <w:spacing w:line="312" w:lineRule="exact"/>
        <w:ind w:left="817" w:right="94"/>
        <w:jc w:val="left"/>
      </w:pPr>
      <w:r>
        <w:rPr/>
        <w:t>前解除</w:t>
      </w:r>
      <w:r>
        <w:rPr>
          <w:spacing w:val="-53"/>
        </w:rPr>
        <w:t> </w:t>
      </w:r>
      <w:r>
        <w:rPr>
          <w:rFonts w:ascii="Arial" w:hAnsi="Arial" w:cs="Arial" w:eastAsia="Arial" w:hint="default"/>
        </w:rPr>
        <w:t>2007 </w:t>
      </w:r>
      <w:r>
        <w:rPr/>
        <w:t>年</w:t>
      </w:r>
      <w:r>
        <w:rPr>
          <w:spacing w:val="-52"/>
        </w:rPr>
        <w:t> </w:t>
      </w:r>
      <w:r>
        <w:rPr>
          <w:rFonts w:ascii="Arial" w:hAnsi="Arial" w:cs="Arial" w:eastAsia="Arial" w:hint="default"/>
        </w:rPr>
        <w:t>4 </w:t>
      </w:r>
      <w:r>
        <w:rPr/>
        <w:t>月</w:t>
      </w:r>
      <w:r>
        <w:rPr>
          <w:spacing w:val="-53"/>
        </w:rPr>
        <w:t> </w:t>
      </w:r>
      <w:r>
        <w:rPr>
          <w:rFonts w:ascii="Arial" w:hAnsi="Arial" w:cs="Arial" w:eastAsia="Arial" w:hint="default"/>
        </w:rPr>
        <w:t>18 </w:t>
      </w:r>
      <w:r>
        <w:rPr/>
        <w:t>日签订的《房屋租赁合同</w:t>
      </w:r>
      <w:r>
        <w:rPr>
          <w:spacing w:val="-120"/>
        </w:rPr>
        <w:t>》</w:t>
      </w:r>
      <w:r>
        <w:rPr/>
        <w:t>。此外，双方另行签订了新的《房屋</w:t>
      </w:r>
    </w:p>
    <w:p>
      <w:pPr>
        <w:pStyle w:val="BodyText"/>
        <w:spacing w:line="312" w:lineRule="exact"/>
        <w:ind w:left="817" w:right="94"/>
        <w:jc w:val="left"/>
      </w:pPr>
      <w:r>
        <w:rPr>
          <w:spacing w:val="3"/>
        </w:rPr>
        <w:t>租赁合同</w:t>
      </w:r>
      <w:r>
        <w:rPr>
          <w:spacing w:val="-118"/>
        </w:rPr>
        <w:t>》</w:t>
      </w:r>
      <w:r>
        <w:rPr>
          <w:spacing w:val="3"/>
        </w:rPr>
        <w:t>，承租银河国际位于南京市中山南</w:t>
      </w:r>
      <w:r>
        <w:rPr/>
        <w:t>路</w:t>
      </w:r>
      <w:r>
        <w:rPr>
          <w:spacing w:val="3"/>
        </w:rPr>
        <w:t> </w:t>
      </w:r>
      <w:r>
        <w:rPr>
          <w:rFonts w:ascii="Arial" w:hAnsi="Arial" w:cs="Arial" w:eastAsia="Arial" w:hint="default"/>
          <w:spacing w:val="-1"/>
        </w:rPr>
        <w:t>4</w:t>
      </w:r>
      <w:r>
        <w:rPr>
          <w:rFonts w:ascii="Arial" w:hAnsi="Arial" w:cs="Arial" w:eastAsia="Arial" w:hint="default"/>
        </w:rPr>
        <w:t>9 </w:t>
      </w:r>
      <w:r>
        <w:rPr>
          <w:rFonts w:ascii="Arial" w:hAnsi="Arial" w:cs="Arial" w:eastAsia="Arial" w:hint="default"/>
          <w:spacing w:val="-10"/>
        </w:rPr>
        <w:t> </w:t>
      </w:r>
      <w:r>
        <w:rPr>
          <w:spacing w:val="3"/>
        </w:rPr>
        <w:t>号商茂世纪大厦一层至五层，共约</w:t>
      </w:r>
      <w:r>
        <w:rPr/>
      </w:r>
    </w:p>
    <w:p>
      <w:pPr>
        <w:pStyle w:val="BodyText"/>
        <w:spacing w:line="312" w:lineRule="exact"/>
        <w:ind w:left="817" w:right="94"/>
        <w:jc w:val="left"/>
      </w:pPr>
      <w:r>
        <w:rPr>
          <w:rFonts w:ascii="Arial" w:hAnsi="Arial" w:cs="Arial" w:eastAsia="Arial" w:hint="default"/>
        </w:rPr>
        <w:t>17,600</w:t>
      </w:r>
      <w:r>
        <w:rPr>
          <w:rFonts w:ascii="Arial" w:hAnsi="Arial" w:cs="Arial" w:eastAsia="Arial" w:hint="default"/>
          <w:spacing w:val="-10"/>
        </w:rPr>
        <w:t> </w:t>
      </w:r>
      <w:r>
        <w:rPr/>
        <w:t>平方米的面积，租赁期限自</w:t>
      </w:r>
      <w:r>
        <w:rPr>
          <w:spacing w:val="-63"/>
        </w:rPr>
        <w:t> </w:t>
      </w:r>
      <w:r>
        <w:rPr>
          <w:rFonts w:ascii="Arial" w:hAnsi="Arial" w:cs="Arial" w:eastAsia="Arial" w:hint="default"/>
        </w:rPr>
        <w:t>2007</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23</w:t>
      </w:r>
      <w:r>
        <w:rPr>
          <w:rFonts w:ascii="Arial" w:hAnsi="Arial" w:cs="Arial" w:eastAsia="Arial" w:hint="default"/>
          <w:spacing w:val="-10"/>
        </w:rPr>
        <w:t> </w:t>
      </w:r>
      <w:r>
        <w:rPr/>
        <w:t>日起至</w:t>
      </w:r>
      <w:r>
        <w:rPr>
          <w:spacing w:val="-63"/>
        </w:rPr>
        <w:t> </w:t>
      </w:r>
      <w:r>
        <w:rPr>
          <w:rFonts w:ascii="Arial" w:hAnsi="Arial" w:cs="Arial" w:eastAsia="Arial" w:hint="default"/>
        </w:rPr>
        <w:t>2013</w:t>
      </w:r>
      <w:r>
        <w:rPr>
          <w:rFonts w:ascii="Arial" w:hAnsi="Arial" w:cs="Arial" w:eastAsia="Arial" w:hint="default"/>
          <w:spacing w:val="-9"/>
        </w:rPr>
        <w:t> </w:t>
      </w:r>
      <w:r>
        <w:rPr/>
        <w:t>年</w:t>
      </w:r>
      <w:r>
        <w:rPr>
          <w:spacing w:val="-63"/>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22</w:t>
      </w:r>
      <w:r>
        <w:rPr>
          <w:rFonts w:ascii="Arial" w:hAnsi="Arial" w:cs="Arial" w:eastAsia="Arial" w:hint="default"/>
          <w:spacing w:val="-10"/>
        </w:rPr>
        <w:t> </w:t>
      </w:r>
      <w:r>
        <w:rPr>
          <w:spacing w:val="-4"/>
        </w:rPr>
        <w:t>日止，租</w:t>
      </w:r>
    </w:p>
    <w:p>
      <w:pPr>
        <w:pStyle w:val="BodyText"/>
        <w:spacing w:line="322" w:lineRule="exact"/>
        <w:ind w:left="817" w:right="0"/>
        <w:jc w:val="left"/>
      </w:pPr>
      <w:r>
        <w:rPr/>
        <w:t>赁费用为首年单价人民币</w:t>
      </w:r>
      <w:r>
        <w:rPr>
          <w:spacing w:val="-59"/>
        </w:rPr>
        <w:t> </w:t>
      </w:r>
      <w:r>
        <w:rPr>
          <w:rFonts w:ascii="Arial" w:hAnsi="Arial" w:cs="Arial" w:eastAsia="Arial" w:hint="default"/>
          <w:spacing w:val="-5"/>
        </w:rPr>
        <w:t>3.11</w:t>
      </w:r>
      <w:r>
        <w:rPr>
          <w:rFonts w:ascii="Arial" w:hAnsi="Arial" w:cs="Arial" w:eastAsia="Arial" w:hint="default"/>
          <w:spacing w:val="-6"/>
        </w:rPr>
        <w:t> </w:t>
      </w:r>
      <w:r>
        <w:rPr>
          <w:spacing w:val="-5"/>
        </w:rPr>
        <w:t>元</w:t>
      </w:r>
      <w:r>
        <w:rPr>
          <w:rFonts w:ascii="Arial" w:hAnsi="Arial" w:cs="Arial" w:eastAsia="Arial" w:hint="default"/>
          <w:spacing w:val="-5"/>
        </w:rPr>
        <w:t>/</w:t>
      </w:r>
      <w:r>
        <w:rPr>
          <w:spacing w:val="-5"/>
        </w:rPr>
        <w:t>平米</w:t>
      </w:r>
      <w:r>
        <w:rPr>
          <w:rFonts w:ascii="Arial" w:hAnsi="Arial" w:cs="Arial" w:eastAsia="Arial" w:hint="default"/>
          <w:spacing w:val="-5"/>
        </w:rPr>
        <w:t>/</w:t>
      </w:r>
      <w:r>
        <w:rPr>
          <w:spacing w:val="-5"/>
        </w:rPr>
        <w:t>天，自第</w:t>
      </w:r>
      <w:r>
        <w:rPr>
          <w:spacing w:val="-59"/>
        </w:rPr>
        <w:t> </w:t>
      </w:r>
      <w:r>
        <w:rPr>
          <w:rFonts w:ascii="Arial" w:hAnsi="Arial" w:cs="Arial" w:eastAsia="Arial" w:hint="default"/>
        </w:rPr>
        <w:t>2</w:t>
      </w:r>
      <w:r>
        <w:rPr>
          <w:rFonts w:ascii="Arial" w:hAnsi="Arial" w:cs="Arial" w:eastAsia="Arial" w:hint="default"/>
          <w:spacing w:val="-6"/>
        </w:rPr>
        <w:t> </w:t>
      </w:r>
      <w:r>
        <w:rPr/>
        <w:t>年起每</w:t>
      </w:r>
      <w:r>
        <w:rPr>
          <w:spacing w:val="-59"/>
        </w:rPr>
        <w:t> </w:t>
      </w:r>
      <w:r>
        <w:rPr>
          <w:rFonts w:ascii="Arial" w:hAnsi="Arial" w:cs="Arial" w:eastAsia="Arial" w:hint="default"/>
        </w:rPr>
        <w:t>3</w:t>
      </w:r>
      <w:r>
        <w:rPr>
          <w:rFonts w:ascii="Arial" w:hAnsi="Arial" w:cs="Arial" w:eastAsia="Arial" w:hint="default"/>
          <w:spacing w:val="-6"/>
        </w:rPr>
        <w:t> </w:t>
      </w:r>
      <w:r>
        <w:rPr/>
        <w:t>年在上一年基础上递增</w:t>
      </w:r>
      <w:r>
        <w:rPr>
          <w:spacing w:val="-59"/>
        </w:rPr>
        <w:t> </w:t>
      </w:r>
      <w:r>
        <w:rPr>
          <w:rFonts w:ascii="Arial" w:hAnsi="Arial" w:cs="Arial" w:eastAsia="Arial" w:hint="default"/>
        </w:rPr>
        <w:t>5%</w:t>
      </w:r>
      <w:r>
        <w:rPr/>
        <w:t>。</w:t>
      </w:r>
    </w:p>
    <w:p>
      <w:pPr>
        <w:spacing w:line="240" w:lineRule="auto" w:before="8"/>
        <w:rPr>
          <w:rFonts w:ascii="宋体" w:hAnsi="宋体" w:cs="宋体" w:eastAsia="宋体" w:hint="default"/>
          <w:sz w:val="19"/>
          <w:szCs w:val="19"/>
        </w:rPr>
      </w:pPr>
    </w:p>
    <w:p>
      <w:pPr>
        <w:pStyle w:val="BodyText"/>
        <w:spacing w:line="240" w:lineRule="auto"/>
        <w:ind w:left="817" w:right="94"/>
        <w:jc w:val="left"/>
      </w:pPr>
      <w:r>
        <w:rPr>
          <w:rFonts w:ascii="Arial" w:hAnsi="Arial" w:cs="Arial" w:eastAsia="Arial" w:hint="default"/>
        </w:rPr>
        <w:t>(5)</w:t>
      </w:r>
      <w:r>
        <w:rPr>
          <w:rFonts w:ascii="Arial" w:hAnsi="Arial" w:cs="Arial" w:eastAsia="Arial" w:hint="default"/>
          <w:spacing w:val="19"/>
        </w:rPr>
        <w:t> </w:t>
      </w:r>
      <w:r>
        <w:rPr/>
        <w:t>根据上述租赁协议，本集团向关联方支付的租赁费、物业管理费情况如下：</w:t>
      </w:r>
    </w:p>
    <w:p>
      <w:pPr>
        <w:spacing w:line="240" w:lineRule="auto" w:before="8"/>
        <w:rPr>
          <w:rFonts w:ascii="宋体" w:hAnsi="宋体" w:cs="宋体" w:eastAsia="宋体" w:hint="default"/>
          <w:sz w:val="17"/>
          <w:szCs w:val="17"/>
        </w:rPr>
      </w:pPr>
    </w:p>
    <w:tbl>
      <w:tblPr>
        <w:tblW w:w="0" w:type="auto"/>
        <w:jc w:val="left"/>
        <w:tblInd w:w="782" w:type="dxa"/>
        <w:tblLayout w:type="fixed"/>
        <w:tblCellMar>
          <w:top w:w="0" w:type="dxa"/>
          <w:left w:w="0" w:type="dxa"/>
          <w:bottom w:w="0" w:type="dxa"/>
          <w:right w:w="0" w:type="dxa"/>
        </w:tblCellMar>
        <w:tblLook w:val="01E0"/>
      </w:tblPr>
      <w:tblGrid>
        <w:gridCol w:w="4037"/>
        <w:gridCol w:w="2262"/>
        <w:gridCol w:w="539"/>
        <w:gridCol w:w="2438"/>
      </w:tblGrid>
      <w:tr>
        <w:trPr>
          <w:trHeight w:val="829" w:hRule="exact"/>
        </w:trPr>
        <w:tc>
          <w:tcPr>
            <w:tcW w:w="40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1087"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p>
            <w:pPr>
              <w:pStyle w:val="TableParagraph"/>
              <w:spacing w:line="322" w:lineRule="exact"/>
              <w:ind w:left="800"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1263"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p>
            <w:pPr>
              <w:pStyle w:val="TableParagraph"/>
              <w:spacing w:line="322" w:lineRule="exact"/>
              <w:ind w:left="976"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4"/>
                <w:szCs w:val="24"/>
              </w:rPr>
            </w:pPr>
            <w:r>
              <w:rPr>
                <w:rFonts w:ascii="宋体" w:hAnsi="宋体" w:cs="宋体" w:eastAsia="宋体" w:hint="default"/>
                <w:sz w:val="24"/>
                <w:szCs w:val="24"/>
              </w:rPr>
              <w:t>江苏苏宁电器有限公司</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sz w:val="24"/>
              </w:rPr>
              <w:t>16,549</w:t>
            </w:r>
            <w:r>
              <w:rPr>
                <w:rFonts w:ascii="Arial"/>
                <w:sz w:val="24"/>
              </w:rPr>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sz w:val="24"/>
              </w:rPr>
              <w:t>17,061</w:t>
            </w:r>
            <w:r>
              <w:rPr>
                <w:rFonts w:ascii="Arial"/>
                <w:sz w:val="24"/>
              </w:rPr>
            </w:r>
          </w:p>
        </w:tc>
      </w:tr>
      <w:tr>
        <w:trPr>
          <w:trHeight w:val="321"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银河国际</w:t>
            </w:r>
          </w:p>
        </w:tc>
        <w:tc>
          <w:tcPr>
            <w:tcW w:w="226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w w:val="95"/>
                <w:sz w:val="24"/>
              </w:rPr>
              <w:t>6,683</w:t>
            </w:r>
            <w:r>
              <w:rPr>
                <w:rFonts w:ascii="Arial"/>
                <w:w w:val="95"/>
                <w:sz w:val="24"/>
              </w:rPr>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z w:val="24"/>
              </w:rPr>
              <w:t>-</w:t>
            </w:r>
          </w:p>
        </w:tc>
      </w:tr>
      <w:tr>
        <w:trPr>
          <w:trHeight w:val="297" w:hRule="exact"/>
        </w:trPr>
        <w:tc>
          <w:tcPr>
            <w:tcW w:w="4037" w:type="dxa"/>
            <w:tcBorders>
              <w:top w:val="nil" w:sz="6" w:space="0" w:color="auto"/>
              <w:left w:val="nil" w:sz="6" w:space="0" w:color="auto"/>
              <w:bottom w:val="nil" w:sz="6" w:space="0" w:color="auto"/>
              <w:right w:val="nil" w:sz="6" w:space="0" w:color="auto"/>
            </w:tcBorders>
          </w:tcPr>
          <w:p>
            <w:pPr/>
          </w:p>
        </w:tc>
        <w:tc>
          <w:tcPr>
            <w:tcW w:w="226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sz w:val="24"/>
              </w:rPr>
              <w:t>23,232</w:t>
            </w:r>
            <w:r>
              <w:rPr>
                <w:rFonts w:ascii="Arial"/>
                <w:sz w:val="24"/>
              </w:rPr>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sz w:val="24"/>
              </w:rPr>
              <w:t>17,061</w:t>
            </w:r>
            <w:r>
              <w:rPr>
                <w:rFonts w:ascii="Arial"/>
                <w:sz w:val="24"/>
              </w:rPr>
            </w:r>
          </w:p>
        </w:tc>
      </w:tr>
    </w:tbl>
    <w:p>
      <w:pPr>
        <w:spacing w:line="240" w:lineRule="auto" w:before="13"/>
        <w:rPr>
          <w:rFonts w:ascii="宋体" w:hAnsi="宋体" w:cs="宋体" w:eastAsia="宋体" w:hint="default"/>
          <w:sz w:val="14"/>
          <w:szCs w:val="14"/>
        </w:rPr>
      </w:pPr>
    </w:p>
    <w:p>
      <w:pPr>
        <w:pStyle w:val="BodyText"/>
        <w:spacing w:line="240" w:lineRule="auto" w:before="26"/>
        <w:ind w:left="817" w:right="94"/>
        <w:jc w:val="left"/>
      </w:pPr>
      <w:r>
        <w:rPr>
          <w:rFonts w:ascii="Arial" w:hAnsi="Arial" w:cs="Arial" w:eastAsia="Arial" w:hint="default"/>
        </w:rPr>
        <w:t>2007</w:t>
      </w:r>
      <w:r>
        <w:rPr>
          <w:rFonts w:ascii="Arial" w:hAnsi="Arial" w:cs="Arial" w:eastAsia="Arial" w:hint="default"/>
          <w:spacing w:val="-13"/>
        </w:rPr>
        <w:t> </w:t>
      </w:r>
      <w:r>
        <w:rPr/>
        <w:t>年度本集团向关联方支付租赁费占租赁费总额的</w:t>
      </w:r>
      <w:r>
        <w:rPr>
          <w:spacing w:val="-66"/>
        </w:rPr>
        <w:t> </w:t>
      </w:r>
      <w:r>
        <w:rPr>
          <w:rFonts w:ascii="Arial" w:hAnsi="Arial" w:cs="Arial" w:eastAsia="Arial" w:hint="default"/>
        </w:rPr>
        <w:t>2.26%(2006</w:t>
      </w:r>
      <w:r>
        <w:rPr>
          <w:rFonts w:ascii="Arial" w:hAnsi="Arial" w:cs="Arial" w:eastAsia="Arial" w:hint="default"/>
          <w:spacing w:val="-12"/>
        </w:rPr>
        <w:t> </w:t>
      </w:r>
      <w:r>
        <w:rPr/>
        <w:t>年度：</w:t>
      </w:r>
      <w:r>
        <w:rPr>
          <w:rFonts w:ascii="Arial" w:hAnsi="Arial" w:cs="Arial" w:eastAsia="Arial" w:hint="default"/>
        </w:rPr>
        <w:t>2.51%)</w:t>
      </w:r>
      <w:r>
        <w:rPr/>
        <w:t>。</w:t>
      </w:r>
    </w:p>
    <w:p>
      <w:pPr>
        <w:spacing w:after="0" w:line="240" w:lineRule="auto"/>
        <w:jc w:val="left"/>
        <w:sectPr>
          <w:pgSz w:w="11910" w:h="16840"/>
          <w:pgMar w:header="748" w:footer="708" w:top="980" w:bottom="900" w:left="102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17" w:val="left" w:leader="none"/>
        </w:tabs>
        <w:spacing w:line="240" w:lineRule="auto"/>
        <w:ind w:right="97"/>
        <w:jc w:val="left"/>
        <w:rPr>
          <w:rFonts w:ascii="Arial" w:hAnsi="Arial" w:cs="Arial" w:eastAsia="Arial" w:hint="default"/>
          <w:b w:val="0"/>
          <w:bCs w:val="0"/>
        </w:rPr>
      </w:pPr>
      <w:r>
        <w:rPr>
          <w:w w:val="95"/>
        </w:rPr>
        <w:t>十一</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97" w:firstLine="0"/>
        <w:jc w:val="left"/>
        <w:rPr>
          <w:rFonts w:ascii="Arial" w:hAnsi="Arial" w:cs="Arial" w:eastAsia="Arial" w:hint="default"/>
          <w:sz w:val="24"/>
          <w:szCs w:val="24"/>
        </w:rPr>
      </w:pPr>
      <w:r>
        <w:rPr>
          <w:rFonts w:ascii="Arial" w:hAnsi="Arial" w:cs="Arial" w:eastAsia="Arial" w:hint="default"/>
          <w:position w:val="2"/>
          <w:sz w:val="24"/>
          <w:szCs w:val="24"/>
        </w:rPr>
        <w:t>(3)</w:t>
        <w:tab/>
      </w: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2"/>
        <w:rPr>
          <w:rFonts w:ascii="Arial" w:hAnsi="Arial" w:cs="Arial" w:eastAsia="Arial" w:hint="default"/>
          <w:b/>
          <w:bCs/>
          <w:sz w:val="22"/>
          <w:szCs w:val="22"/>
        </w:rPr>
      </w:pPr>
    </w:p>
    <w:p>
      <w:pPr>
        <w:pStyle w:val="BodyText"/>
        <w:tabs>
          <w:tab w:pos="817" w:val="left" w:leader="none"/>
        </w:tabs>
        <w:spacing w:line="240" w:lineRule="auto"/>
        <w:ind w:left="108" w:right="97"/>
        <w:jc w:val="left"/>
      </w:pPr>
      <w:r>
        <w:rPr>
          <w:rFonts w:ascii="Arial" w:hAnsi="Arial" w:cs="Arial" w:eastAsia="Arial" w:hint="default"/>
        </w:rPr>
        <w:t>(b)</w:t>
        <w:tab/>
      </w:r>
      <w:r>
        <w:rPr>
          <w:position w:val="2"/>
        </w:rPr>
        <w:t>合作协议</w:t>
      </w:r>
      <w:r>
        <w:rPr/>
      </w:r>
    </w:p>
    <w:p>
      <w:pPr>
        <w:spacing w:line="240" w:lineRule="auto" w:before="8"/>
        <w:rPr>
          <w:rFonts w:ascii="宋体" w:hAnsi="宋体" w:cs="宋体" w:eastAsia="宋体" w:hint="default"/>
          <w:sz w:val="20"/>
          <w:szCs w:val="20"/>
        </w:rPr>
      </w:pPr>
    </w:p>
    <w:p>
      <w:pPr>
        <w:pStyle w:val="BodyText"/>
        <w:spacing w:line="312" w:lineRule="exact"/>
        <w:ind w:left="817" w:right="222"/>
        <w:jc w:val="both"/>
      </w:pPr>
      <w:r>
        <w:rPr>
          <w:spacing w:val="-4"/>
        </w:rPr>
        <w:t>根据本公司与银河国际签订的《合作协议》，本公司组织南京地区连锁店联合银河国际共</w:t>
      </w:r>
      <w:r>
        <w:rPr>
          <w:spacing w:val="-84"/>
        </w:rPr>
        <w:t> </w:t>
      </w:r>
      <w:r>
        <w:rPr>
          <w:spacing w:val="-84"/>
        </w:rPr>
      </w:r>
      <w:r>
        <w:rPr>
          <w:spacing w:val="-1"/>
        </w:rPr>
        <w:t>同举办</w:t>
      </w:r>
      <w:r>
        <w:rPr>
          <w:rFonts w:ascii="Arial" w:hAnsi="Arial" w:cs="Arial" w:eastAsia="Arial" w:hint="default"/>
          <w:spacing w:val="-1"/>
        </w:rPr>
        <w:t>“</w:t>
      </w:r>
      <w:r>
        <w:rPr>
          <w:spacing w:val="-1"/>
        </w:rPr>
        <w:t>满就送购物券</w:t>
      </w:r>
      <w:r>
        <w:rPr>
          <w:rFonts w:ascii="Arial" w:hAnsi="Arial" w:cs="Arial" w:eastAsia="Arial" w:hint="default"/>
          <w:spacing w:val="-1"/>
        </w:rPr>
        <w:t>”</w:t>
      </w:r>
      <w:r>
        <w:rPr>
          <w:spacing w:val="-1"/>
        </w:rPr>
        <w:t>的促销活动，顾客在双方购物所获赠的购物券均可充当同等金额的</w:t>
      </w:r>
      <w:r>
        <w:rPr/>
        <w:t> 现金，可在本公司南京地区各连锁店及银河国际消费时通用，双方于每月</w:t>
      </w:r>
      <w:r>
        <w:rPr>
          <w:spacing w:val="-74"/>
        </w:rPr>
        <w:t> </w:t>
      </w:r>
      <w:r>
        <w:rPr>
          <w:rFonts w:ascii="Arial" w:hAnsi="Arial" w:cs="Arial" w:eastAsia="Arial" w:hint="default"/>
        </w:rPr>
        <w:t>25</w:t>
      </w:r>
      <w:r>
        <w:rPr>
          <w:rFonts w:ascii="Arial" w:hAnsi="Arial" w:cs="Arial" w:eastAsia="Arial" w:hint="default"/>
          <w:spacing w:val="-20"/>
        </w:rPr>
        <w:t> </w:t>
      </w:r>
      <w:r>
        <w:rPr/>
        <w:t>日定期进行 购物券的核对结算并开具相应票据。</w:t>
      </w:r>
    </w:p>
    <w:p>
      <w:pPr>
        <w:spacing w:line="240" w:lineRule="auto" w:before="10"/>
        <w:rPr>
          <w:rFonts w:ascii="宋体" w:hAnsi="宋体" w:cs="宋体" w:eastAsia="宋体" w:hint="default"/>
          <w:sz w:val="18"/>
          <w:szCs w:val="18"/>
        </w:rPr>
      </w:pPr>
    </w:p>
    <w:p>
      <w:pPr>
        <w:pStyle w:val="BodyText"/>
        <w:spacing w:line="322" w:lineRule="exact"/>
        <w:ind w:left="817" w:right="97"/>
        <w:jc w:val="left"/>
        <w:rPr>
          <w:rFonts w:ascii="Arial" w:hAnsi="Arial" w:cs="Arial" w:eastAsia="Arial" w:hint="default"/>
        </w:rPr>
      </w:pPr>
      <w:r>
        <w:rPr/>
        <w:t>于</w:t>
      </w:r>
      <w:r>
        <w:rPr>
          <w:spacing w:val="-55"/>
        </w:rPr>
        <w:t> </w:t>
      </w:r>
      <w:r>
        <w:rPr>
          <w:rFonts w:ascii="Arial" w:hAnsi="Arial" w:cs="Arial" w:eastAsia="Arial" w:hint="default"/>
        </w:rPr>
        <w:t>2007</w:t>
      </w:r>
      <w:r>
        <w:rPr>
          <w:rFonts w:ascii="Arial" w:hAnsi="Arial" w:cs="Arial" w:eastAsia="Arial" w:hint="default"/>
          <w:spacing w:val="-2"/>
        </w:rPr>
        <w:t> </w:t>
      </w:r>
      <w:r>
        <w:rPr/>
        <w:t>年度，顾客所持本公司购物券在银河国际使用的金额约为人民币</w:t>
      </w:r>
      <w:r>
        <w:rPr>
          <w:spacing w:val="-55"/>
        </w:rPr>
        <w:t> </w:t>
      </w:r>
      <w:r>
        <w:rPr>
          <w:rFonts w:ascii="Arial" w:hAnsi="Arial" w:cs="Arial" w:eastAsia="Arial" w:hint="default"/>
        </w:rPr>
        <w:t>26</w:t>
      </w:r>
      <w:r>
        <w:rPr>
          <w:rFonts w:ascii="Arial" w:hAnsi="Arial" w:cs="Arial" w:eastAsia="Arial" w:hint="default"/>
          <w:spacing w:val="-2"/>
        </w:rPr>
        <w:t> </w:t>
      </w:r>
      <w:r>
        <w:rPr/>
        <w:t>万元</w:t>
      </w:r>
      <w:r>
        <w:rPr>
          <w:spacing w:val="-4"/>
        </w:rPr>
        <w:t> </w:t>
      </w:r>
      <w:r>
        <w:rPr>
          <w:rFonts w:ascii="Arial" w:hAnsi="Arial" w:cs="Arial" w:eastAsia="Arial" w:hint="default"/>
        </w:rPr>
        <w:t>(2006</w:t>
      </w:r>
    </w:p>
    <w:p>
      <w:pPr>
        <w:pStyle w:val="BodyText"/>
        <w:spacing w:line="322" w:lineRule="exact"/>
        <w:ind w:left="817" w:right="97"/>
        <w:jc w:val="left"/>
      </w:pPr>
      <w:r>
        <w:rPr/>
        <w:t>年度：约人民币</w:t>
      </w:r>
      <w:r>
        <w:rPr>
          <w:spacing w:val="-61"/>
        </w:rPr>
        <w:t> </w:t>
      </w:r>
      <w:r>
        <w:rPr>
          <w:rFonts w:ascii="Arial" w:hAnsi="Arial" w:cs="Arial" w:eastAsia="Arial" w:hint="default"/>
        </w:rPr>
        <w:t>100</w:t>
      </w:r>
      <w:r>
        <w:rPr>
          <w:rFonts w:ascii="Arial" w:hAnsi="Arial" w:cs="Arial" w:eastAsia="Arial" w:hint="default"/>
          <w:spacing w:val="-7"/>
        </w:rPr>
        <w:t> </w:t>
      </w:r>
      <w:r>
        <w:rPr/>
        <w:t>万元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tabs>
          <w:tab w:pos="817" w:val="left" w:leader="none"/>
        </w:tabs>
        <w:spacing w:line="240" w:lineRule="auto"/>
        <w:ind w:left="108" w:right="97"/>
        <w:jc w:val="left"/>
      </w:pPr>
      <w:r>
        <w:rPr>
          <w:rFonts w:ascii="Arial" w:hAnsi="Arial" w:cs="Arial" w:eastAsia="Arial" w:hint="default"/>
          <w:position w:val="2"/>
        </w:rPr>
        <w:t>(c)</w:t>
        <w:tab/>
      </w:r>
      <w:r>
        <w:rPr/>
        <w:t>商标使用许可协议</w:t>
      </w:r>
    </w:p>
    <w:p>
      <w:pPr>
        <w:spacing w:line="240" w:lineRule="auto" w:before="4"/>
        <w:rPr>
          <w:rFonts w:ascii="宋体" w:hAnsi="宋体" w:cs="宋体" w:eastAsia="宋体" w:hint="default"/>
          <w:sz w:val="23"/>
          <w:szCs w:val="23"/>
        </w:rPr>
      </w:pPr>
    </w:p>
    <w:p>
      <w:pPr>
        <w:pStyle w:val="BodyText"/>
        <w:spacing w:line="312" w:lineRule="exact"/>
        <w:ind w:left="817" w:right="97"/>
        <w:jc w:val="left"/>
      </w:pPr>
      <w:r>
        <w:rPr>
          <w:rFonts w:ascii="Arial" w:hAnsi="Arial" w:cs="Arial" w:eastAsia="Arial" w:hint="default"/>
        </w:rPr>
        <w:t>(1)</w:t>
      </w:r>
      <w:r>
        <w:rPr>
          <w:rFonts w:ascii="Arial" w:hAnsi="Arial" w:cs="Arial" w:eastAsia="Arial" w:hint="default"/>
          <w:spacing w:val="49"/>
        </w:rPr>
        <w:t> </w:t>
      </w:r>
      <w:r>
        <w:rPr/>
        <w:t>于</w:t>
      </w:r>
      <w:r>
        <w:rPr>
          <w:spacing w:val="-59"/>
        </w:rPr>
        <w:t> </w:t>
      </w:r>
      <w:r>
        <w:rPr>
          <w:rFonts w:ascii="Arial" w:hAnsi="Arial" w:cs="Arial" w:eastAsia="Arial" w:hint="default"/>
          <w:spacing w:val="-1"/>
        </w:rPr>
        <w:t>2002</w:t>
      </w:r>
      <w:r>
        <w:rPr>
          <w:rFonts w:ascii="Arial" w:hAnsi="Arial" w:cs="Arial" w:eastAsia="Arial" w:hint="default"/>
          <w:spacing w:val="-6"/>
        </w:rPr>
        <w:t> </w:t>
      </w:r>
      <w:r>
        <w:rPr/>
        <w:t>年</w:t>
      </w:r>
      <w:r>
        <w:rPr>
          <w:spacing w:val="-59"/>
        </w:rPr>
        <w:t> </w:t>
      </w:r>
      <w:r>
        <w:rPr>
          <w:rFonts w:ascii="Arial" w:hAnsi="Arial" w:cs="Arial" w:eastAsia="Arial" w:hint="default"/>
        </w:rPr>
        <w:t>4</w:t>
      </w:r>
      <w:r>
        <w:rPr>
          <w:rFonts w:ascii="Arial" w:hAnsi="Arial" w:cs="Arial" w:eastAsia="Arial" w:hint="default"/>
          <w:spacing w:val="-6"/>
        </w:rPr>
        <w:t> </w:t>
      </w:r>
      <w:r>
        <w:rPr/>
        <w:t>月</w:t>
      </w:r>
      <w:r>
        <w:rPr>
          <w:spacing w:val="-59"/>
        </w:rPr>
        <w:t> </w:t>
      </w:r>
      <w:r>
        <w:rPr>
          <w:rFonts w:ascii="Arial" w:hAnsi="Arial" w:cs="Arial" w:eastAsia="Arial" w:hint="default"/>
        </w:rPr>
        <w:t>20</w:t>
      </w:r>
      <w:r>
        <w:rPr>
          <w:rFonts w:ascii="Arial" w:hAnsi="Arial" w:cs="Arial" w:eastAsia="Arial" w:hint="default"/>
          <w:spacing w:val="-6"/>
        </w:rPr>
        <w:t> </w:t>
      </w:r>
      <w:r>
        <w:rPr>
          <w:spacing w:val="-17"/>
        </w:rPr>
        <w:t>日，经本公司</w:t>
      </w:r>
      <w:r>
        <w:rPr>
          <w:spacing w:val="-59"/>
        </w:rPr>
        <w:t> </w:t>
      </w:r>
      <w:r>
        <w:rPr>
          <w:rFonts w:ascii="Arial" w:hAnsi="Arial" w:cs="Arial" w:eastAsia="Arial" w:hint="default"/>
          <w:spacing w:val="-1"/>
        </w:rPr>
        <w:t>2001</w:t>
      </w:r>
      <w:r>
        <w:rPr>
          <w:rFonts w:ascii="Arial" w:hAnsi="Arial" w:cs="Arial" w:eastAsia="Arial" w:hint="default"/>
          <w:spacing w:val="-5"/>
        </w:rPr>
        <w:t> </w:t>
      </w:r>
      <w:r>
        <w:rPr>
          <w:spacing w:val="-5"/>
        </w:rPr>
        <w:t>年年度股东大会批准，同意环球集团及其全资、</w:t>
      </w:r>
      <w:r>
        <w:rPr/>
        <w:t> 控股公司和具有实际控制权的公司在规定的投资行业中，无偿使用</w:t>
      </w:r>
      <w:r>
        <w:rPr>
          <w:rFonts w:ascii="Arial" w:hAnsi="Arial" w:cs="Arial" w:eastAsia="Arial" w:hint="default"/>
        </w:rPr>
        <w:t>“</w:t>
      </w:r>
      <w:r>
        <w:rPr/>
        <w:t>蘇寧</w:t>
      </w:r>
      <w:r>
        <w:rPr>
          <w:rFonts w:ascii="Arial" w:hAnsi="Arial" w:cs="Arial" w:eastAsia="Arial" w:hint="default"/>
        </w:rPr>
        <w:t>”</w:t>
      </w:r>
      <w:r>
        <w:rPr/>
        <w:t>、</w:t>
      </w:r>
      <w:r>
        <w:rPr>
          <w:rFonts w:ascii="Arial" w:hAnsi="Arial" w:cs="Arial" w:eastAsia="Arial" w:hint="default"/>
        </w:rPr>
        <w:t>“</w:t>
      </w:r>
      <w:r>
        <w:rPr/>
        <w:t>苏宁</w:t>
      </w:r>
      <w:r>
        <w:rPr>
          <w:rFonts w:ascii="Arial" w:hAnsi="Arial" w:cs="Arial" w:eastAsia="Arial" w:hint="default"/>
        </w:rPr>
        <w:t>”</w:t>
      </w:r>
      <w:r>
        <w:rPr/>
        <w:t>及</w:t>
      </w:r>
      <w:r>
        <w:rPr>
          <w:rFonts w:ascii="Arial" w:hAnsi="Arial" w:cs="Arial" w:eastAsia="Arial" w:hint="default"/>
        </w:rPr>
        <w:t>“NS”</w:t>
      </w:r>
      <w:r>
        <w:rPr>
          <w:rFonts w:ascii="Arial" w:hAnsi="Arial" w:cs="Arial" w:eastAsia="Arial" w:hint="default"/>
          <w:spacing w:val="-1"/>
        </w:rPr>
        <w:t> </w:t>
      </w:r>
      <w:r>
        <w:rPr/>
        <w:t>组合的系列注册商标。</w:t>
      </w:r>
    </w:p>
    <w:p>
      <w:pPr>
        <w:spacing w:line="240" w:lineRule="auto" w:before="10"/>
        <w:rPr>
          <w:rFonts w:ascii="宋体" w:hAnsi="宋体" w:cs="宋体" w:eastAsia="宋体" w:hint="default"/>
          <w:sz w:val="18"/>
          <w:szCs w:val="18"/>
        </w:rPr>
      </w:pPr>
    </w:p>
    <w:p>
      <w:pPr>
        <w:pStyle w:val="BodyText"/>
        <w:tabs>
          <w:tab w:pos="817" w:val="left" w:leader="none"/>
        </w:tabs>
        <w:spacing w:line="448" w:lineRule="auto"/>
        <w:ind w:left="817" w:right="4425" w:hanging="710"/>
        <w:jc w:val="left"/>
      </w:pPr>
      <w:r>
        <w:rPr>
          <w:rFonts w:ascii="Arial" w:hAnsi="Arial" w:cs="Arial" w:eastAsia="Arial" w:hint="default"/>
          <w:position w:val="2"/>
        </w:rPr>
        <w:t>(d)</w:t>
        <w:tab/>
      </w:r>
      <w:r>
        <w:rPr/>
        <w:t>担保事项 江苏苏宁电器有限公司为本集团提供如下担保：</w:t>
      </w:r>
    </w:p>
    <w:p>
      <w:pPr>
        <w:spacing w:line="240" w:lineRule="auto" w:before="13"/>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3815"/>
        <w:gridCol w:w="2484"/>
        <w:gridCol w:w="535"/>
        <w:gridCol w:w="2543"/>
      </w:tblGrid>
      <w:tr>
        <w:trPr>
          <w:trHeight w:val="829" w:hRule="exact"/>
        </w:trPr>
        <w:tc>
          <w:tcPr>
            <w:tcW w:w="3815"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296"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p>
            <w:pPr>
              <w:pStyle w:val="TableParagraph"/>
              <w:spacing w:line="322" w:lineRule="exact"/>
              <w:ind w:left="102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35" w:type="dxa"/>
            <w:tcBorders>
              <w:top w:val="nil" w:sz="6" w:space="0" w:color="auto"/>
              <w:left w:val="nil" w:sz="6" w:space="0" w:color="auto"/>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355"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p>
            <w:pPr>
              <w:pStyle w:val="TableParagraph"/>
              <w:spacing w:line="322" w:lineRule="exact"/>
              <w:ind w:left="108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0" w:hRule="exact"/>
        </w:trPr>
        <w:tc>
          <w:tcPr>
            <w:tcW w:w="38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Arial" w:hAnsi="Arial" w:cs="Arial" w:eastAsia="Arial" w:hint="default"/>
                <w:sz w:val="24"/>
                <w:szCs w:val="24"/>
              </w:rPr>
            </w:pPr>
            <w:r>
              <w:rPr>
                <w:rFonts w:ascii="宋体" w:hAnsi="宋体" w:cs="宋体" w:eastAsia="宋体" w:hint="default"/>
                <w:sz w:val="24"/>
                <w:szCs w:val="24"/>
              </w:rPr>
              <w:t>短期借款</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(12))</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sz w:val="24"/>
              </w:rPr>
              <w:t>80,000</w:t>
            </w:r>
            <w:r>
              <w:rPr>
                <w:rFonts w:ascii="Arial"/>
                <w:sz w:val="24"/>
              </w:rPr>
            </w:r>
          </w:p>
        </w:tc>
        <w:tc>
          <w:tcPr>
            <w:tcW w:w="535" w:type="dxa"/>
            <w:tcBorders>
              <w:top w:val="nil" w:sz="6" w:space="0" w:color="auto"/>
              <w:left w:val="nil" w:sz="6" w:space="0" w:color="auto"/>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sz w:val="24"/>
              </w:rPr>
              <w:t>60,000</w:t>
            </w:r>
            <w:r>
              <w:rPr>
                <w:rFonts w:ascii="Arial"/>
                <w:sz w:val="24"/>
              </w:rPr>
            </w:r>
          </w:p>
        </w:tc>
      </w:tr>
      <w:tr>
        <w:trPr>
          <w:trHeight w:val="315" w:hRule="exact"/>
        </w:trPr>
        <w:tc>
          <w:tcPr>
            <w:tcW w:w="3815"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Arial" w:hAnsi="Arial" w:cs="Arial" w:eastAsia="Arial" w:hint="default"/>
                <w:sz w:val="24"/>
                <w:szCs w:val="24"/>
              </w:rPr>
            </w:pPr>
            <w:r>
              <w:rPr>
                <w:rFonts w:ascii="宋体" w:hAnsi="宋体" w:cs="宋体" w:eastAsia="宋体" w:hint="default"/>
                <w:sz w:val="24"/>
                <w:szCs w:val="24"/>
              </w:rPr>
              <w:t>应付票据</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(13))</w:t>
            </w:r>
          </w:p>
        </w:tc>
        <w:tc>
          <w:tcPr>
            <w:tcW w:w="2484" w:type="dxa"/>
            <w:tcBorders>
              <w:top w:val="nil" w:sz="6" w:space="0" w:color="auto"/>
              <w:left w:val="nil" w:sz="6" w:space="0" w:color="auto"/>
              <w:bottom w:val="single" w:sz="4" w:space="0" w:color="000000"/>
              <w:right w:val="nil" w:sz="6" w:space="0" w:color="auto"/>
            </w:tcBorders>
          </w:tcPr>
          <w:p>
            <w:pPr>
              <w:pStyle w:val="TableParagraph"/>
              <w:spacing w:line="272" w:lineRule="exact"/>
              <w:ind w:right="99"/>
              <w:jc w:val="right"/>
              <w:rPr>
                <w:rFonts w:ascii="Arial" w:hAnsi="Arial" w:cs="Arial" w:eastAsia="Arial" w:hint="default"/>
                <w:sz w:val="24"/>
                <w:szCs w:val="24"/>
              </w:rPr>
            </w:pPr>
            <w:r>
              <w:rPr>
                <w:rFonts w:ascii="Arial"/>
                <w:spacing w:val="-1"/>
                <w:sz w:val="24"/>
              </w:rPr>
              <w:t>135,700</w:t>
            </w:r>
            <w:r>
              <w:rPr>
                <w:rFonts w:ascii="Arial"/>
                <w:sz w:val="24"/>
              </w:rPr>
            </w:r>
          </w:p>
        </w:tc>
        <w:tc>
          <w:tcPr>
            <w:tcW w:w="535" w:type="dxa"/>
            <w:tcBorders>
              <w:top w:val="nil" w:sz="6" w:space="0" w:color="auto"/>
              <w:left w:val="nil" w:sz="6" w:space="0" w:color="auto"/>
              <w:bottom w:val="nil" w:sz="6" w:space="0" w:color="auto"/>
              <w:right w:val="nil" w:sz="6" w:space="0" w:color="auto"/>
            </w:tcBorders>
          </w:tcPr>
          <w:p>
            <w:pPr/>
          </w:p>
        </w:tc>
        <w:tc>
          <w:tcPr>
            <w:tcW w:w="2543" w:type="dxa"/>
            <w:tcBorders>
              <w:top w:val="nil" w:sz="6" w:space="0" w:color="auto"/>
              <w:left w:val="nil" w:sz="6" w:space="0" w:color="auto"/>
              <w:bottom w:val="single" w:sz="4" w:space="0" w:color="000000"/>
              <w:right w:val="nil" w:sz="6" w:space="0" w:color="auto"/>
            </w:tcBorders>
          </w:tcPr>
          <w:p>
            <w:pPr>
              <w:pStyle w:val="TableParagraph"/>
              <w:spacing w:line="272" w:lineRule="exact"/>
              <w:ind w:right="99"/>
              <w:jc w:val="right"/>
              <w:rPr>
                <w:rFonts w:ascii="Arial" w:hAnsi="Arial" w:cs="Arial" w:eastAsia="Arial" w:hint="default"/>
                <w:sz w:val="24"/>
                <w:szCs w:val="24"/>
              </w:rPr>
            </w:pPr>
            <w:r>
              <w:rPr>
                <w:rFonts w:ascii="Arial"/>
                <w:spacing w:val="-1"/>
                <w:sz w:val="24"/>
              </w:rPr>
              <w:t>50,000</w:t>
            </w:r>
            <w:r>
              <w:rPr>
                <w:rFonts w:ascii="Arial"/>
                <w:sz w:val="24"/>
              </w:rPr>
            </w:r>
          </w:p>
        </w:tc>
      </w:tr>
      <w:tr>
        <w:trPr>
          <w:trHeight w:val="297" w:hRule="exact"/>
        </w:trPr>
        <w:tc>
          <w:tcPr>
            <w:tcW w:w="3815" w:type="dxa"/>
            <w:tcBorders>
              <w:top w:val="nil" w:sz="6" w:space="0" w:color="auto"/>
              <w:left w:val="nil" w:sz="6" w:space="0" w:color="auto"/>
              <w:bottom w:val="nil" w:sz="6" w:space="0" w:color="auto"/>
              <w:right w:val="nil" w:sz="6" w:space="0" w:color="auto"/>
            </w:tcBorders>
          </w:tcPr>
          <w:p>
            <w:pPr/>
          </w:p>
        </w:tc>
        <w:tc>
          <w:tcPr>
            <w:tcW w:w="248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sz w:val="24"/>
              </w:rPr>
              <w:t>215,700</w:t>
            </w:r>
            <w:r>
              <w:rPr>
                <w:rFonts w:ascii="Arial"/>
                <w:sz w:val="24"/>
              </w:rPr>
            </w:r>
          </w:p>
        </w:tc>
        <w:tc>
          <w:tcPr>
            <w:tcW w:w="535" w:type="dxa"/>
            <w:tcBorders>
              <w:top w:val="nil" w:sz="6" w:space="0" w:color="auto"/>
              <w:left w:val="nil" w:sz="6" w:space="0" w:color="auto"/>
              <w:bottom w:val="nil" w:sz="6" w:space="0" w:color="auto"/>
              <w:right w:val="nil" w:sz="6" w:space="0" w:color="auto"/>
            </w:tcBorders>
          </w:tcPr>
          <w:p>
            <w:pPr/>
          </w:p>
        </w:tc>
        <w:tc>
          <w:tcPr>
            <w:tcW w:w="2543"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4"/>
                <w:sz w:val="24"/>
              </w:rPr>
              <w:t>110,000</w:t>
            </w:r>
            <w:r>
              <w:rPr>
                <w:rFonts w:ascii="Arial"/>
                <w:sz w:val="24"/>
              </w:rPr>
            </w:r>
          </w:p>
        </w:tc>
      </w:tr>
    </w:tbl>
    <w:p>
      <w:pPr>
        <w:spacing w:after="0" w:line="274" w:lineRule="exact"/>
        <w:jc w:val="right"/>
        <w:rPr>
          <w:rFonts w:ascii="Arial" w:hAnsi="Arial" w:cs="Arial" w:eastAsia="Arial" w:hint="default"/>
          <w:sz w:val="24"/>
          <w:szCs w:val="24"/>
        </w:rPr>
        <w:sectPr>
          <w:pgSz w:w="11910" w:h="16840"/>
          <w:pgMar w:header="748" w:footer="708" w:top="980" w:bottom="900" w:left="1020" w:right="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30"/>
        <w:gridCol w:w="6379"/>
        <w:gridCol w:w="539"/>
        <w:gridCol w:w="2438"/>
      </w:tblGrid>
      <w:tr>
        <w:trPr>
          <w:trHeight w:val="1690"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(3)</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(e)</w:t>
            </w:r>
          </w:p>
        </w:tc>
        <w:tc>
          <w:tcPr>
            <w:tcW w:w="6379"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14" w:right="3699"/>
              <w:jc w:val="left"/>
              <w:rPr>
                <w:rFonts w:ascii="Arial" w:hAnsi="Arial" w:cs="Arial" w:eastAsia="Arial" w:hint="default"/>
                <w:sz w:val="24"/>
                <w:szCs w:val="24"/>
              </w:rPr>
            </w:pPr>
            <w:r>
              <w:rPr>
                <w:rFonts w:ascii="宋体" w:hAnsi="宋体" w:cs="宋体" w:eastAsia="宋体" w:hint="default"/>
                <w:b/>
                <w:bCs/>
                <w:w w:val="95"/>
                <w:sz w:val="24"/>
                <w:szCs w:val="24"/>
              </w:rPr>
              <w:t>关联方关系及其交易</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55"/>
                <w:w w:val="95"/>
                <w:sz w:val="24"/>
                <w:szCs w:val="24"/>
              </w:rPr>
              <w:t> </w:t>
            </w: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7"/>
              <w:ind w:left="114"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2977" w:type="dxa"/>
            <w:gridSpan w:val="2"/>
            <w:tcBorders>
              <w:top w:val="nil" w:sz="6" w:space="0" w:color="auto"/>
              <w:left w:val="nil" w:sz="6" w:space="0" w:color="auto"/>
              <w:bottom w:val="nil" w:sz="6" w:space="0" w:color="auto"/>
              <w:right w:val="nil" w:sz="6" w:space="0" w:color="auto"/>
            </w:tcBorders>
          </w:tcPr>
          <w:p>
            <w:pPr/>
          </w:p>
        </w:tc>
      </w:tr>
      <w:tr>
        <w:trPr>
          <w:trHeight w:val="512" w:hRule="exact"/>
        </w:trPr>
        <w:tc>
          <w:tcPr>
            <w:tcW w:w="630" w:type="dxa"/>
            <w:tcBorders>
              <w:top w:val="nil" w:sz="6" w:space="0" w:color="auto"/>
              <w:left w:val="nil" w:sz="6" w:space="0" w:color="auto"/>
              <w:bottom w:val="nil" w:sz="6" w:space="0" w:color="auto"/>
              <w:right w:val="nil" w:sz="6" w:space="0" w:color="auto"/>
            </w:tcBorders>
          </w:tcPr>
          <w:p>
            <w:pPr/>
          </w:p>
        </w:tc>
        <w:tc>
          <w:tcPr>
            <w:tcW w:w="637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tc>
      </w:tr>
      <w:tr>
        <w:trPr>
          <w:trHeight w:val="503" w:hRule="exact"/>
        </w:trPr>
        <w:tc>
          <w:tcPr>
            <w:tcW w:w="630" w:type="dxa"/>
            <w:tcBorders>
              <w:top w:val="nil" w:sz="6" w:space="0" w:color="auto"/>
              <w:left w:val="nil" w:sz="6" w:space="0" w:color="auto"/>
              <w:bottom w:val="nil" w:sz="6" w:space="0" w:color="auto"/>
              <w:right w:val="nil" w:sz="6" w:space="0" w:color="auto"/>
            </w:tcBorders>
          </w:tcPr>
          <w:p>
            <w:pPr/>
          </w:p>
        </w:tc>
        <w:tc>
          <w:tcPr>
            <w:tcW w:w="63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63" w:hRule="exact"/>
        </w:trPr>
        <w:tc>
          <w:tcPr>
            <w:tcW w:w="630" w:type="dxa"/>
            <w:tcBorders>
              <w:top w:val="nil" w:sz="6" w:space="0" w:color="auto"/>
              <w:left w:val="nil" w:sz="6" w:space="0" w:color="auto"/>
              <w:bottom w:val="nil" w:sz="6" w:space="0" w:color="auto"/>
              <w:right w:val="nil" w:sz="6" w:space="0" w:color="auto"/>
            </w:tcBorders>
          </w:tcPr>
          <w:p>
            <w:pPr/>
          </w:p>
        </w:tc>
        <w:tc>
          <w:tcPr>
            <w:tcW w:w="6379" w:type="dxa"/>
            <w:tcBorders>
              <w:top w:val="nil" w:sz="6" w:space="0" w:color="auto"/>
              <w:left w:val="nil" w:sz="6" w:space="0" w:color="auto"/>
              <w:bottom w:val="single" w:sz="12" w:space="0" w:color="000000"/>
              <w:right w:val="nil" w:sz="6" w:space="0" w:color="auto"/>
            </w:tcBorders>
          </w:tcPr>
          <w:p>
            <w:pPr>
              <w:pStyle w:val="TableParagraph"/>
              <w:tabs>
                <w:tab w:pos="6277" w:val="right" w:leader="none"/>
              </w:tabs>
              <w:spacing w:line="240" w:lineRule="auto" w:before="97"/>
              <w:ind w:left="114" w:right="0"/>
              <w:jc w:val="left"/>
              <w:rPr>
                <w:rFonts w:ascii="Arial" w:hAnsi="Arial" w:cs="Arial" w:eastAsia="Arial" w:hint="default"/>
                <w:sz w:val="24"/>
                <w:szCs w:val="24"/>
              </w:rPr>
            </w:pPr>
            <w:r>
              <w:rPr>
                <w:rFonts w:ascii="宋体" w:hAnsi="宋体" w:cs="宋体" w:eastAsia="宋体" w:hint="default"/>
                <w:sz w:val="24"/>
                <w:szCs w:val="24"/>
              </w:rPr>
              <w:t>银河酒店管理</w:t>
            </w:r>
            <w:r>
              <w:rPr>
                <w:rFonts w:ascii="Arial" w:hAnsi="Arial" w:cs="Arial" w:eastAsia="Arial" w:hint="default"/>
                <w:position w:val="2"/>
                <w:sz w:val="24"/>
                <w:szCs w:val="24"/>
              </w:rPr>
              <w:tab/>
              <w:t>907</w:t>
            </w:r>
            <w:r>
              <w:rPr>
                <w:rFonts w:ascii="Arial" w:hAnsi="Arial" w:cs="Arial" w:eastAsia="Arial" w:hint="default"/>
                <w:sz w:val="24"/>
                <w:szCs w:val="24"/>
              </w:rPr>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z w:val="24"/>
              </w:rPr>
              <w:t>-</w:t>
            </w:r>
          </w:p>
        </w:tc>
      </w:tr>
      <w:tr>
        <w:trPr>
          <w:trHeight w:val="737" w:hRule="exact"/>
        </w:trPr>
        <w:tc>
          <w:tcPr>
            <w:tcW w:w="630" w:type="dxa"/>
            <w:tcBorders>
              <w:top w:val="nil" w:sz="6" w:space="0" w:color="auto"/>
              <w:left w:val="nil" w:sz="6" w:space="0" w:color="auto"/>
              <w:bottom w:val="nil" w:sz="6" w:space="0" w:color="auto"/>
              <w:right w:val="nil" w:sz="6" w:space="0" w:color="auto"/>
            </w:tcBorders>
          </w:tcPr>
          <w:p>
            <w:pPr/>
          </w:p>
        </w:tc>
        <w:tc>
          <w:tcPr>
            <w:tcW w:w="6379"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4" w:right="0"/>
              <w:jc w:val="left"/>
              <w:rPr>
                <w:rFonts w:ascii="宋体" w:hAnsi="宋体" w:cs="宋体" w:eastAsia="宋体" w:hint="default"/>
                <w:sz w:val="24"/>
                <w:szCs w:val="24"/>
              </w:rPr>
            </w:pPr>
            <w:r>
              <w:rPr>
                <w:rFonts w:ascii="宋体" w:hAnsi="宋体" w:cs="宋体" w:eastAsia="宋体" w:hint="default"/>
                <w:sz w:val="24"/>
                <w:szCs w:val="24"/>
              </w:rPr>
              <w:t>银河酒店管理主要为本集团提供餐饮会务服务。</w:t>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single" w:sz="12" w:space="0" w:color="000000"/>
              <w:left w:val="nil" w:sz="6" w:space="0" w:color="auto"/>
              <w:bottom w:val="nil" w:sz="6" w:space="0" w:color="auto"/>
              <w:right w:val="nil" w:sz="6" w:space="0" w:color="auto"/>
            </w:tcBorders>
          </w:tcPr>
          <w:p>
            <w:pPr/>
          </w:p>
        </w:tc>
      </w:tr>
      <w:tr>
        <w:trPr>
          <w:trHeight w:val="591"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(f)</w:t>
            </w:r>
          </w:p>
        </w:tc>
        <w:tc>
          <w:tcPr>
            <w:tcW w:w="6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4"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
        </w:tc>
      </w:tr>
      <w:tr>
        <w:trPr>
          <w:trHeight w:val="903" w:hRule="exact"/>
        </w:trPr>
        <w:tc>
          <w:tcPr>
            <w:tcW w:w="630" w:type="dxa"/>
            <w:tcBorders>
              <w:top w:val="nil" w:sz="6" w:space="0" w:color="auto"/>
              <w:left w:val="nil" w:sz="6" w:space="0" w:color="auto"/>
              <w:bottom w:val="nil" w:sz="6" w:space="0" w:color="auto"/>
              <w:right w:val="nil" w:sz="6" w:space="0" w:color="auto"/>
            </w:tcBorders>
          </w:tcPr>
          <w:p>
            <w:pPr/>
          </w:p>
        </w:tc>
        <w:tc>
          <w:tcPr>
            <w:tcW w:w="6379" w:type="dxa"/>
            <w:tcBorders>
              <w:top w:val="nil" w:sz="6" w:space="0" w:color="auto"/>
              <w:left w:val="nil" w:sz="6" w:space="0" w:color="auto"/>
              <w:bottom w:val="nil" w:sz="6" w:space="0" w:color="auto"/>
              <w:right w:val="nil" w:sz="6" w:space="0" w:color="auto"/>
            </w:tcBorders>
          </w:tcPr>
          <w:p>
            <w:pPr>
              <w:pStyle w:val="TableParagraph"/>
              <w:spacing w:line="322" w:lineRule="exact" w:before="100"/>
              <w:ind w:right="101"/>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年度</w:t>
            </w:r>
          </w:p>
          <w:p>
            <w:pPr>
              <w:pStyle w:val="TableParagraph"/>
              <w:spacing w:line="322" w:lineRule="exact"/>
              <w:ind w:right="99"/>
              <w:jc w:val="righ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1263"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10"/>
                <w:sz w:val="24"/>
                <w:szCs w:val="24"/>
              </w:rPr>
              <w:t> </w:t>
            </w:r>
            <w:r>
              <w:rPr>
                <w:rFonts w:ascii="宋体" w:hAnsi="宋体" w:cs="宋体" w:eastAsia="宋体" w:hint="default"/>
                <w:sz w:val="24"/>
                <w:szCs w:val="24"/>
              </w:rPr>
              <w:t>年度</w:t>
            </w:r>
          </w:p>
          <w:p>
            <w:pPr>
              <w:pStyle w:val="TableParagraph"/>
              <w:spacing w:line="322" w:lineRule="exact"/>
              <w:ind w:left="976"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63" w:hRule="exact"/>
        </w:trPr>
        <w:tc>
          <w:tcPr>
            <w:tcW w:w="630" w:type="dxa"/>
            <w:tcBorders>
              <w:top w:val="nil" w:sz="6" w:space="0" w:color="auto"/>
              <w:left w:val="nil" w:sz="6" w:space="0" w:color="auto"/>
              <w:bottom w:val="nil" w:sz="6" w:space="0" w:color="auto"/>
              <w:right w:val="nil" w:sz="6" w:space="0" w:color="auto"/>
            </w:tcBorders>
          </w:tcPr>
          <w:p>
            <w:pPr/>
          </w:p>
        </w:tc>
        <w:tc>
          <w:tcPr>
            <w:tcW w:w="6379" w:type="dxa"/>
            <w:tcBorders>
              <w:top w:val="nil" w:sz="6" w:space="0" w:color="auto"/>
              <w:left w:val="nil" w:sz="6" w:space="0" w:color="auto"/>
              <w:bottom w:val="single" w:sz="12" w:space="0" w:color="000000"/>
              <w:right w:val="nil" w:sz="6" w:space="0" w:color="auto"/>
            </w:tcBorders>
          </w:tcPr>
          <w:p>
            <w:pPr>
              <w:pStyle w:val="TableParagraph"/>
              <w:tabs>
                <w:tab w:pos="5677" w:val="left" w:leader="none"/>
              </w:tabs>
              <w:spacing w:line="240" w:lineRule="auto" w:before="97"/>
              <w:ind w:left="114" w:right="0"/>
              <w:jc w:val="left"/>
              <w:rPr>
                <w:rFonts w:ascii="Arial" w:hAnsi="Arial" w:cs="Arial" w:eastAsia="Arial" w:hint="default"/>
                <w:sz w:val="24"/>
                <w:szCs w:val="24"/>
              </w:rPr>
            </w:pPr>
            <w:r>
              <w:rPr>
                <w:rFonts w:ascii="宋体" w:hAnsi="宋体" w:cs="宋体" w:eastAsia="宋体" w:hint="default"/>
                <w:sz w:val="24"/>
                <w:szCs w:val="24"/>
              </w:rPr>
              <w:t>关键管理人员薪酬</w:t>
              <w:tab/>
            </w:r>
            <w:r>
              <w:rPr>
                <w:rFonts w:ascii="Arial" w:hAnsi="Arial" w:cs="Arial" w:eastAsia="Arial" w:hint="default"/>
                <w:position w:val="2"/>
                <w:sz w:val="24"/>
                <w:szCs w:val="24"/>
              </w:rPr>
              <w:t>4,374</w:t>
            </w:r>
            <w:r>
              <w:rPr>
                <w:rFonts w:ascii="Arial" w:hAnsi="Arial" w:cs="Arial" w:eastAsia="Arial" w:hint="default"/>
                <w:sz w:val="24"/>
                <w:szCs w:val="24"/>
              </w:rPr>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w w:val="95"/>
                <w:sz w:val="24"/>
              </w:rPr>
              <w:t>4,710</w:t>
            </w:r>
            <w:r>
              <w:rPr>
                <w:rFonts w:ascii="Arial"/>
                <w:w w:val="95"/>
                <w:sz w:val="24"/>
              </w:rPr>
            </w:r>
          </w:p>
        </w:tc>
      </w:tr>
      <w:tr>
        <w:trPr>
          <w:trHeight w:val="94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 w:right="0"/>
              <w:jc w:val="left"/>
              <w:rPr>
                <w:rFonts w:ascii="Arial" w:hAnsi="Arial" w:cs="Arial" w:eastAsia="Arial" w:hint="default"/>
                <w:sz w:val="24"/>
                <w:szCs w:val="24"/>
              </w:rPr>
            </w:pPr>
            <w:r>
              <w:rPr>
                <w:rFonts w:ascii="Arial"/>
                <w:sz w:val="24"/>
              </w:rPr>
              <w:t>(4)</w:t>
            </w:r>
          </w:p>
        </w:tc>
        <w:tc>
          <w:tcPr>
            <w:tcW w:w="637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9"/>
              <w:ind w:left="114" w:right="0"/>
              <w:jc w:val="left"/>
              <w:rPr>
                <w:rFonts w:ascii="宋体" w:hAnsi="宋体" w:cs="宋体" w:eastAsia="宋体" w:hint="default"/>
                <w:sz w:val="24"/>
                <w:szCs w:val="24"/>
              </w:rPr>
            </w:pPr>
            <w:r>
              <w:rPr>
                <w:rFonts w:ascii="宋体" w:hAnsi="宋体" w:cs="宋体" w:eastAsia="宋体" w:hint="default"/>
                <w:b/>
                <w:bCs/>
                <w:sz w:val="24"/>
                <w:szCs w:val="24"/>
              </w:rPr>
              <w:t>关联方应收、应付款项余额</w:t>
            </w:r>
            <w:r>
              <w:rPr>
                <w:rFonts w:ascii="宋体" w:hAnsi="宋体" w:cs="宋体" w:eastAsia="宋体" w:hint="default"/>
                <w:sz w:val="24"/>
                <w:szCs w:val="24"/>
              </w:rPr>
            </w:r>
          </w:p>
        </w:tc>
        <w:tc>
          <w:tcPr>
            <w:tcW w:w="539" w:type="dxa"/>
            <w:tcBorders>
              <w:top w:val="nil" w:sz="6" w:space="0" w:color="auto"/>
              <w:left w:val="nil" w:sz="6" w:space="0" w:color="auto"/>
              <w:bottom w:val="nil" w:sz="6" w:space="0" w:color="auto"/>
              <w:right w:val="nil" w:sz="6" w:space="0" w:color="auto"/>
            </w:tcBorders>
          </w:tcPr>
          <w:p>
            <w:pPr/>
          </w:p>
        </w:tc>
        <w:tc>
          <w:tcPr>
            <w:tcW w:w="2438" w:type="dxa"/>
            <w:tcBorders>
              <w:top w:val="single" w:sz="12" w:space="0" w:color="000000"/>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1"/>
          <w:szCs w:val="11"/>
        </w:rPr>
      </w:pPr>
    </w:p>
    <w:p>
      <w:pPr>
        <w:pStyle w:val="BodyText"/>
        <w:spacing w:line="240" w:lineRule="auto" w:before="26"/>
        <w:ind w:left="857" w:right="130"/>
        <w:jc w:val="left"/>
      </w:pPr>
      <w:r>
        <w:rPr/>
        <w:t>于</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2006</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日，无应收或应付关联方款项余额。</w:t>
      </w:r>
    </w:p>
    <w:p>
      <w:pPr>
        <w:spacing w:after="0" w:line="240" w:lineRule="auto"/>
        <w:jc w:val="left"/>
        <w:sectPr>
          <w:pgSz w:w="11910" w:h="16840"/>
          <w:pgMar w:header="748" w:footer="708" w:top="980" w:bottom="900" w:left="980" w:right="7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08" w:val="left" w:leader="none"/>
        </w:tabs>
        <w:spacing w:line="240" w:lineRule="auto"/>
        <w:ind w:right="94"/>
        <w:jc w:val="left"/>
        <w:rPr>
          <w:b w:val="0"/>
          <w:bCs w:val="0"/>
        </w:rPr>
      </w:pPr>
      <w:r>
        <w:rPr>
          <w:w w:val="95"/>
        </w:rPr>
        <w:t>十二</w:t>
        <w:tab/>
      </w:r>
      <w:r>
        <w:rPr/>
        <w:t>承诺事项</w:t>
      </w:r>
      <w:r>
        <w:rPr>
          <w:b w:val="0"/>
          <w:bCs w:val="0"/>
        </w:rPr>
      </w:r>
    </w:p>
    <w:p>
      <w:pPr>
        <w:spacing w:line="240" w:lineRule="auto" w:before="12"/>
        <w:rPr>
          <w:rFonts w:ascii="宋体" w:hAnsi="宋体" w:cs="宋体" w:eastAsia="宋体" w:hint="default"/>
          <w:b/>
          <w:bCs/>
          <w:sz w:val="20"/>
          <w:szCs w:val="20"/>
        </w:rPr>
      </w:pPr>
    </w:p>
    <w:p>
      <w:pPr>
        <w:pStyle w:val="BodyText"/>
        <w:tabs>
          <w:tab w:pos="808" w:val="left" w:leader="none"/>
        </w:tabs>
        <w:spacing w:line="448" w:lineRule="auto"/>
        <w:ind w:left="808" w:right="1213" w:hanging="701"/>
        <w:jc w:val="left"/>
      </w:pPr>
      <w:r>
        <w:rPr>
          <w:rFonts w:ascii="Arial" w:hAnsi="Arial" w:cs="Arial" w:eastAsia="Arial" w:hint="default"/>
          <w:position w:val="2"/>
        </w:rPr>
        <w:t>(1)</w:t>
        <w:tab/>
      </w:r>
      <w:r>
        <w:rPr/>
        <w:t>资本性承诺事项 以下为于资产负债表日，已签约而尚不必在财务报表上确认的资本支出承诺：</w:t>
      </w:r>
    </w:p>
    <w:p>
      <w:pPr>
        <w:pStyle w:val="BodyText"/>
        <w:tabs>
          <w:tab w:pos="7863" w:val="left" w:leader="none"/>
        </w:tabs>
        <w:spacing w:line="322" w:lineRule="exact" w:before="65"/>
        <w:ind w:left="5035" w:right="94"/>
        <w:jc w:val="left"/>
      </w:pP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8589" w:val="left" w:leader="none"/>
        </w:tabs>
        <w:spacing w:line="322" w:lineRule="exact"/>
        <w:ind w:left="5761" w:right="94"/>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6190" w:val="left" w:leader="none"/>
          <w:tab w:pos="9189" w:val="left" w:leader="none"/>
        </w:tabs>
        <w:spacing w:line="240" w:lineRule="auto"/>
        <w:ind w:left="808" w:right="94"/>
        <w:jc w:val="left"/>
        <w:rPr>
          <w:rFonts w:ascii="Arial" w:hAnsi="Arial" w:cs="Arial" w:eastAsia="Arial" w:hint="default"/>
        </w:rPr>
      </w:pPr>
      <w:r>
        <w:rPr/>
        <w:t>房屋、建筑物及机器设备</w:t>
        <w:tab/>
      </w:r>
      <w:r>
        <w:rPr>
          <w:rFonts w:ascii="Arial" w:hAnsi="Arial" w:cs="Arial" w:eastAsia="Arial" w:hint="default"/>
          <w:spacing w:val="-1"/>
          <w:position w:val="2"/>
        </w:rPr>
        <w:t>262,709</w:t>
        <w:tab/>
        <w:t>37,254</w:t>
      </w:r>
      <w:r>
        <w:rPr>
          <w:rFonts w:ascii="Arial" w:hAnsi="Arial" w:cs="Arial" w:eastAsia="Arial" w:hint="default"/>
        </w:rPr>
      </w:r>
    </w:p>
    <w:p>
      <w:pPr>
        <w:spacing w:line="240" w:lineRule="auto" w:before="3"/>
        <w:rPr>
          <w:rFonts w:ascii="Arial" w:hAnsi="Arial" w:cs="Arial" w:eastAsia="Arial" w:hint="default"/>
          <w:sz w:val="3"/>
          <w:szCs w:val="3"/>
        </w:rPr>
      </w:pPr>
    </w:p>
    <w:p>
      <w:pPr>
        <w:tabs>
          <w:tab w:pos="7644" w:val="left" w:leader="none"/>
        </w:tabs>
        <w:spacing w:line="30" w:lineRule="exact"/>
        <w:ind w:left="4435" w:right="0" w:firstLine="0"/>
        <w:rPr>
          <w:rFonts w:ascii="Arial" w:hAnsi="Arial" w:cs="Arial" w:eastAsia="Arial" w:hint="default"/>
          <w:sz w:val="3"/>
          <w:szCs w:val="3"/>
        </w:rPr>
      </w:pPr>
      <w:r>
        <w:rPr>
          <w:rFonts w:ascii="Arial"/>
          <w:position w:val="0"/>
          <w:sz w:val="3"/>
        </w:rPr>
        <w:pict>
          <v:group style="width:140.1pt;height:1.5pt;mso-position-horizontal-relative:char;mso-position-vertical-relative:line" coordorigin="0,0" coordsize="2802,30">
            <v:group style="position:absolute;left:15;top:15;width:2772;height:2" coordorigin="15,15" coordsize="2772,2">
              <v:shape style="position:absolute;left:15;top:15;width:2772;height:2" coordorigin="15,15" coordsize="2772,0" path="m15,15l2787,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21.1pt;height:1.5pt;mso-position-horizontal-relative:char;mso-position-vertical-relative:line" coordorigin="0,0" coordsize="2422,30">
            <v:group style="position:absolute;left:15;top:15;width:2392;height:2" coordorigin="15,15" coordsize="2392,2">
              <v:shape style="position:absolute;left:15;top:15;width:2392;height:2" coordorigin="15,15" coordsize="2392,0" path="m15,15l2407,15e" filled="false" stroked="true" strokeweight="1.5pt" strokecolor="#000000">
                <v:path arrowok="t"/>
              </v:shape>
            </v:group>
          </v:group>
        </w:pict>
      </w:r>
      <w:r>
        <w:rPr>
          <w:rFonts w:ascii="Arial"/>
          <w:position w:val="0"/>
          <w:sz w:val="3"/>
        </w:rPr>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1"/>
          <w:szCs w:val="21"/>
        </w:rPr>
      </w:pPr>
    </w:p>
    <w:p>
      <w:pPr>
        <w:pStyle w:val="BodyText"/>
        <w:tabs>
          <w:tab w:pos="808" w:val="left" w:leader="none"/>
        </w:tabs>
        <w:spacing w:line="448" w:lineRule="auto" w:before="32"/>
        <w:ind w:left="808" w:right="1453" w:hanging="701"/>
        <w:jc w:val="left"/>
      </w:pPr>
      <w:r>
        <w:rPr>
          <w:rFonts w:ascii="Arial" w:hAnsi="Arial" w:cs="Arial" w:eastAsia="Arial" w:hint="default"/>
          <w:position w:val="2"/>
        </w:rPr>
        <w:t>(2)</w:t>
        <w:tab/>
      </w:r>
      <w:r>
        <w:rPr/>
        <w:t>经营租赁承诺事项 根据已签订的不可撤消的经营性租赁合同，未来最低应支付租金汇总如下：</w:t>
      </w:r>
    </w:p>
    <w:p>
      <w:pPr>
        <w:spacing w:line="240" w:lineRule="auto" w:before="13"/>
        <w:rPr>
          <w:rFonts w:ascii="宋体" w:hAnsi="宋体" w:cs="宋体" w:eastAsia="宋体" w:hint="default"/>
          <w:sz w:val="2"/>
          <w:szCs w:val="2"/>
        </w:rPr>
      </w:pPr>
    </w:p>
    <w:tbl>
      <w:tblPr>
        <w:tblW w:w="0" w:type="auto"/>
        <w:jc w:val="left"/>
        <w:tblInd w:w="773" w:type="dxa"/>
        <w:tblLayout w:type="fixed"/>
        <w:tblCellMar>
          <w:top w:w="0" w:type="dxa"/>
          <w:left w:w="0" w:type="dxa"/>
          <w:bottom w:w="0" w:type="dxa"/>
          <w:right w:w="0" w:type="dxa"/>
        </w:tblCellMar>
        <w:tblLook w:val="01E0"/>
      </w:tblPr>
      <w:tblGrid>
        <w:gridCol w:w="3685"/>
        <w:gridCol w:w="2764"/>
        <w:gridCol w:w="413"/>
        <w:gridCol w:w="2392"/>
      </w:tblGrid>
      <w:tr>
        <w:trPr>
          <w:trHeight w:val="829" w:hRule="exact"/>
        </w:trPr>
        <w:tc>
          <w:tcPr>
            <w:tcW w:w="3685"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576"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p>
            <w:pPr>
              <w:pStyle w:val="TableParagraph"/>
              <w:spacing w:line="322" w:lineRule="exact"/>
              <w:ind w:left="130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413"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203" w:right="0"/>
              <w:jc w:val="left"/>
              <w:rPr>
                <w:rFonts w:ascii="宋体" w:hAnsi="宋体" w:cs="宋体" w:eastAsia="宋体" w:hint="default"/>
                <w:sz w:val="24"/>
                <w:szCs w:val="24"/>
              </w:rPr>
            </w:pPr>
            <w:r>
              <w:rPr>
                <w:rFonts w:ascii="Arial" w:hAnsi="Arial" w:cs="Arial" w:eastAsia="Arial" w:hint="default"/>
                <w:sz w:val="24"/>
                <w:szCs w:val="24"/>
              </w:rPr>
              <w:t>2006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p>
            <w:pPr>
              <w:pStyle w:val="TableParagraph"/>
              <w:spacing w:line="322" w:lineRule="exact"/>
              <w:ind w:left="930"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0"/>
              <w:jc w:val="right"/>
              <w:rPr>
                <w:rFonts w:ascii="Arial" w:hAnsi="Arial" w:cs="Arial" w:eastAsia="Arial" w:hint="default"/>
                <w:sz w:val="24"/>
                <w:szCs w:val="24"/>
              </w:rPr>
            </w:pPr>
            <w:r>
              <w:rPr>
                <w:rFonts w:ascii="Arial"/>
                <w:spacing w:val="-1"/>
                <w:sz w:val="24"/>
              </w:rPr>
              <w:t>1,559,540</w:t>
            </w:r>
            <w:r>
              <w:rPr>
                <w:rFonts w:ascii="Arial"/>
                <w:sz w:val="24"/>
              </w:rPr>
            </w:r>
          </w:p>
        </w:tc>
        <w:tc>
          <w:tcPr>
            <w:tcW w:w="413"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sz w:val="24"/>
              </w:rPr>
              <w:t>949,180</w:t>
            </w:r>
            <w:r>
              <w:rPr>
                <w:rFonts w:ascii="Arial"/>
                <w:sz w:val="24"/>
              </w:rPr>
            </w:r>
          </w:p>
        </w:tc>
      </w:tr>
      <w:tr>
        <w:trPr>
          <w:trHeight w:val="31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一年至二年以内</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sz w:val="24"/>
              </w:rPr>
              <w:t>1,602,360</w:t>
            </w:r>
            <w:r>
              <w:rPr>
                <w:rFonts w:ascii="Arial"/>
                <w:sz w:val="24"/>
              </w:rPr>
            </w:r>
          </w:p>
        </w:tc>
        <w:tc>
          <w:tcPr>
            <w:tcW w:w="413"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sz w:val="24"/>
              </w:rPr>
              <w:t>1,089,044</w:t>
            </w:r>
            <w:r>
              <w:rPr>
                <w:rFonts w:ascii="Arial"/>
                <w:sz w:val="24"/>
              </w:rPr>
            </w:r>
          </w:p>
        </w:tc>
      </w:tr>
      <w:tr>
        <w:trPr>
          <w:trHeight w:val="31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二年至三年以内</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sz w:val="24"/>
              </w:rPr>
              <w:t>1,639,043</w:t>
            </w:r>
            <w:r>
              <w:rPr>
                <w:rFonts w:ascii="Arial"/>
                <w:sz w:val="24"/>
              </w:rPr>
            </w:r>
          </w:p>
        </w:tc>
        <w:tc>
          <w:tcPr>
            <w:tcW w:w="413"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sz w:val="24"/>
              </w:rPr>
              <w:t>1,107,908</w:t>
            </w:r>
            <w:r>
              <w:rPr>
                <w:rFonts w:ascii="Arial"/>
                <w:sz w:val="24"/>
              </w:rPr>
            </w:r>
          </w:p>
        </w:tc>
      </w:tr>
      <w:tr>
        <w:trPr>
          <w:trHeight w:val="321"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76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sz w:val="24"/>
              </w:rPr>
              <w:t>7,647,255</w:t>
            </w:r>
            <w:r>
              <w:rPr>
                <w:rFonts w:ascii="Arial"/>
                <w:sz w:val="24"/>
              </w:rPr>
            </w:r>
          </w:p>
        </w:tc>
        <w:tc>
          <w:tcPr>
            <w:tcW w:w="413"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sz w:val="24"/>
              </w:rPr>
              <w:t>6,012,483</w:t>
            </w:r>
            <w:r>
              <w:rPr>
                <w:rFonts w:ascii="Arial"/>
                <w:sz w:val="24"/>
              </w:rPr>
            </w:r>
          </w:p>
        </w:tc>
      </w:tr>
      <w:tr>
        <w:trPr>
          <w:trHeight w:val="296" w:hRule="exact"/>
        </w:trPr>
        <w:tc>
          <w:tcPr>
            <w:tcW w:w="3685" w:type="dxa"/>
            <w:tcBorders>
              <w:top w:val="nil" w:sz="6" w:space="0" w:color="auto"/>
              <w:left w:val="nil" w:sz="6" w:space="0" w:color="auto"/>
              <w:bottom w:val="nil" w:sz="6" w:space="0" w:color="auto"/>
              <w:right w:val="nil" w:sz="6" w:space="0" w:color="auto"/>
            </w:tcBorders>
          </w:tcPr>
          <w:p>
            <w:pPr/>
          </w:p>
        </w:tc>
        <w:tc>
          <w:tcPr>
            <w:tcW w:w="276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0"/>
              <w:jc w:val="right"/>
              <w:rPr>
                <w:rFonts w:ascii="Arial" w:hAnsi="Arial" w:cs="Arial" w:eastAsia="Arial" w:hint="default"/>
                <w:sz w:val="24"/>
                <w:szCs w:val="24"/>
              </w:rPr>
            </w:pPr>
            <w:r>
              <w:rPr>
                <w:rFonts w:ascii="Arial"/>
                <w:spacing w:val="-1"/>
                <w:sz w:val="24"/>
              </w:rPr>
              <w:t>12,448,198</w:t>
            </w:r>
            <w:r>
              <w:rPr>
                <w:rFonts w:ascii="Arial"/>
                <w:sz w:val="24"/>
              </w:rPr>
            </w:r>
          </w:p>
        </w:tc>
        <w:tc>
          <w:tcPr>
            <w:tcW w:w="413" w:type="dxa"/>
            <w:tcBorders>
              <w:top w:val="nil" w:sz="6" w:space="0" w:color="auto"/>
              <w:left w:val="nil" w:sz="6" w:space="0" w:color="auto"/>
              <w:bottom w:val="nil" w:sz="6" w:space="0" w:color="auto"/>
              <w:right w:val="nil" w:sz="6" w:space="0" w:color="auto"/>
            </w:tcBorders>
          </w:tcPr>
          <w:p>
            <w:pPr/>
          </w:p>
        </w:tc>
        <w:tc>
          <w:tcPr>
            <w:tcW w:w="239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0"/>
              <w:jc w:val="right"/>
              <w:rPr>
                <w:rFonts w:ascii="Arial" w:hAnsi="Arial" w:cs="Arial" w:eastAsia="Arial" w:hint="default"/>
                <w:sz w:val="24"/>
                <w:szCs w:val="24"/>
              </w:rPr>
            </w:pPr>
            <w:r>
              <w:rPr>
                <w:rFonts w:ascii="Arial"/>
                <w:spacing w:val="-1"/>
                <w:sz w:val="24"/>
              </w:rPr>
              <w:t>9,158,615</w:t>
            </w:r>
            <w:r>
              <w:rPr>
                <w:rFonts w:ascii="Arial"/>
                <w:sz w:val="24"/>
              </w:rPr>
            </w:r>
          </w:p>
        </w:tc>
      </w:tr>
    </w:tbl>
    <w:p>
      <w:pPr>
        <w:spacing w:after="0" w:line="274" w:lineRule="exact"/>
        <w:jc w:val="right"/>
        <w:rPr>
          <w:rFonts w:ascii="Arial" w:hAnsi="Arial" w:cs="Arial" w:eastAsia="Arial" w:hint="default"/>
          <w:sz w:val="24"/>
          <w:szCs w:val="24"/>
        </w:rPr>
        <w:sectPr>
          <w:pgSz w:w="11910" w:h="16840"/>
          <w:pgMar w:header="748" w:footer="708" w:top="980" w:bottom="900" w:left="102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tabs>
          <w:tab w:pos="807" w:val="left" w:leader="none"/>
        </w:tabs>
        <w:spacing w:line="240" w:lineRule="auto"/>
        <w:ind w:right="208"/>
        <w:jc w:val="left"/>
        <w:rPr>
          <w:b w:val="0"/>
          <w:bCs w:val="0"/>
        </w:rPr>
      </w:pPr>
      <w:r>
        <w:rPr>
          <w:w w:val="95"/>
        </w:rPr>
        <w:t>十三</w:t>
        <w:tab/>
      </w:r>
      <w:r>
        <w:rPr/>
        <w:t>首次执行企业会计准则</w:t>
      </w:r>
      <w:r>
        <w:rPr>
          <w:b w:val="0"/>
          <w:bCs w:val="0"/>
        </w:rPr>
      </w:r>
    </w:p>
    <w:p>
      <w:pPr>
        <w:spacing w:line="240" w:lineRule="auto" w:before="4"/>
        <w:rPr>
          <w:rFonts w:ascii="宋体" w:hAnsi="宋体" w:cs="宋体" w:eastAsia="宋体" w:hint="default"/>
          <w:b/>
          <w:bCs/>
          <w:sz w:val="23"/>
          <w:szCs w:val="23"/>
        </w:rPr>
      </w:pPr>
    </w:p>
    <w:p>
      <w:pPr>
        <w:pStyle w:val="BodyText"/>
        <w:spacing w:line="312" w:lineRule="exact"/>
        <w:ind w:left="807" w:right="232"/>
        <w:jc w:val="left"/>
      </w:pPr>
      <w:r>
        <w:rPr/>
        <w:t>按原会计准则和制度列报的</w:t>
      </w:r>
      <w:r>
        <w:rPr>
          <w:spacing w:val="-60"/>
        </w:rPr>
        <w:t> </w:t>
      </w:r>
      <w:r>
        <w:rPr>
          <w:rFonts w:ascii="Arial" w:hAnsi="Arial" w:cs="Arial" w:eastAsia="Arial" w:hint="default"/>
          <w:spacing w:val="-1"/>
        </w:rPr>
        <w:t>2006</w:t>
      </w:r>
      <w:r>
        <w:rPr>
          <w:rFonts w:ascii="Arial" w:hAnsi="Arial" w:cs="Arial" w:eastAsia="Arial" w:hint="default"/>
          <w:spacing w:val="-6"/>
        </w:rPr>
        <w:t> </w:t>
      </w:r>
      <w:r>
        <w:rPr>
          <w:spacing w:val="-7"/>
        </w:rPr>
        <w:t>年年初及年末合并股东权益、</w:t>
      </w:r>
      <w:r>
        <w:rPr>
          <w:rFonts w:ascii="Arial" w:hAnsi="Arial" w:cs="Arial" w:eastAsia="Arial" w:hint="default"/>
          <w:spacing w:val="-7"/>
        </w:rPr>
        <w:t>2006 </w:t>
      </w:r>
      <w:r>
        <w:rPr/>
        <w:t>年度合并净利润调整 为按企业会计准则列报的合并股东权益及合并净利润的调节项目列示如下：</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8" w:footer="708" w:top="980" w:bottom="900" w:left="1020" w:right="540"/>
        </w:sectPr>
      </w:pPr>
    </w:p>
    <w:p>
      <w:pPr>
        <w:spacing w:line="286" w:lineRule="exact" w:before="60"/>
        <w:ind w:left="4696" w:right="0" w:hanging="336"/>
        <w:jc w:val="right"/>
        <w:rPr>
          <w:rFonts w:ascii="宋体" w:hAnsi="宋体" w:cs="宋体" w:eastAsia="宋体" w:hint="default"/>
          <w:sz w:val="22"/>
          <w:szCs w:val="22"/>
        </w:rPr>
      </w:pPr>
      <w:r>
        <w:rPr>
          <w:rFonts w:ascii="Arial" w:hAnsi="Arial" w:cs="Arial" w:eastAsia="Arial" w:hint="default"/>
          <w:sz w:val="22"/>
          <w:szCs w:val="22"/>
        </w:rPr>
        <w:t>2006</w:t>
      </w:r>
      <w:r>
        <w:rPr>
          <w:rFonts w:ascii="Arial" w:hAnsi="Arial" w:cs="Arial" w:eastAsia="Arial"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Arial" w:hAnsi="Arial" w:cs="Arial" w:eastAsia="Arial" w:hint="default"/>
          <w:sz w:val="22"/>
          <w:szCs w:val="22"/>
        </w:rPr>
        <w:t>1</w:t>
      </w:r>
      <w:r>
        <w:rPr>
          <w:rFonts w:ascii="Arial" w:hAnsi="Arial" w:cs="Arial" w:eastAsia="Arial" w:hint="default"/>
          <w:spacing w:val="-11"/>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Arial" w:hAnsi="Arial" w:cs="Arial" w:eastAsia="Arial" w:hint="default"/>
          <w:sz w:val="22"/>
          <w:szCs w:val="22"/>
        </w:rPr>
        <w:t>1</w:t>
      </w:r>
      <w:r>
        <w:rPr>
          <w:rFonts w:ascii="Arial" w:hAnsi="Arial" w:cs="Arial" w:eastAsia="Arial" w:hint="default"/>
          <w:spacing w:val="-10"/>
          <w:sz w:val="22"/>
          <w:szCs w:val="22"/>
        </w:rPr>
        <w:t> </w:t>
      </w:r>
      <w:r>
        <w:rPr>
          <w:rFonts w:ascii="宋体" w:hAnsi="宋体" w:cs="宋体" w:eastAsia="宋体" w:hint="default"/>
          <w:sz w:val="22"/>
          <w:szCs w:val="22"/>
        </w:rPr>
        <w:t>日</w:t>
      </w:r>
      <w:r>
        <w:rPr>
          <w:rFonts w:ascii="宋体" w:hAnsi="宋体" w:cs="宋体" w:eastAsia="宋体" w:hint="default"/>
          <w:w w:val="99"/>
          <w:sz w:val="22"/>
          <w:szCs w:val="22"/>
        </w:rPr>
        <w:t> </w:t>
      </w:r>
      <w:r>
        <w:rPr>
          <w:rFonts w:ascii="宋体" w:hAnsi="宋体" w:cs="宋体" w:eastAsia="宋体" w:hint="default"/>
          <w:w w:val="95"/>
          <w:sz w:val="22"/>
          <w:szCs w:val="22"/>
        </w:rPr>
        <w:t>合并股东权益</w:t>
      </w:r>
      <w:r>
        <w:rPr>
          <w:rFonts w:ascii="宋体" w:hAnsi="宋体" w:cs="宋体" w:eastAsia="宋体" w:hint="default"/>
          <w:sz w:val="22"/>
          <w:szCs w:val="22"/>
        </w:rPr>
      </w:r>
    </w:p>
    <w:p>
      <w:pPr>
        <w:spacing w:line="232" w:lineRule="auto" w:before="39"/>
        <w:ind w:left="533" w:right="-4" w:firstLine="116"/>
        <w:jc w:val="left"/>
        <w:rPr>
          <w:rFonts w:ascii="Arial" w:hAnsi="Arial" w:cs="Arial" w:eastAsia="Arial" w:hint="default"/>
          <w:sz w:val="22"/>
          <w:szCs w:val="22"/>
        </w:rPr>
      </w:pPr>
      <w:r>
        <w:rPr/>
        <w:br w:type="column"/>
      </w:r>
      <w:r>
        <w:rPr>
          <w:rFonts w:ascii="Arial" w:hAnsi="Arial" w:cs="Arial" w:eastAsia="Arial" w:hint="default"/>
          <w:sz w:val="22"/>
          <w:szCs w:val="22"/>
        </w:rPr>
        <w:t>2006</w:t>
      </w:r>
      <w:r>
        <w:rPr>
          <w:rFonts w:ascii="Arial" w:hAnsi="Arial" w:cs="Arial" w:eastAsia="Arial" w:hint="default"/>
          <w:spacing w:val="-7"/>
          <w:sz w:val="22"/>
          <w:szCs w:val="22"/>
        </w:rPr>
        <w:t> </w:t>
      </w:r>
      <w:r>
        <w:rPr>
          <w:rFonts w:ascii="宋体" w:hAnsi="宋体" w:cs="宋体" w:eastAsia="宋体" w:hint="default"/>
          <w:sz w:val="22"/>
          <w:szCs w:val="22"/>
        </w:rPr>
        <w:t>年度</w:t>
      </w:r>
      <w:r>
        <w:rPr>
          <w:rFonts w:ascii="宋体" w:hAnsi="宋体" w:cs="宋体" w:eastAsia="宋体" w:hint="default"/>
          <w:w w:val="99"/>
          <w:sz w:val="22"/>
          <w:szCs w:val="22"/>
        </w:rPr>
        <w:t> </w:t>
      </w:r>
      <w:r>
        <w:rPr>
          <w:rFonts w:ascii="宋体" w:hAnsi="宋体" w:cs="宋体" w:eastAsia="宋体" w:hint="default"/>
          <w:sz w:val="22"/>
          <w:szCs w:val="22"/>
        </w:rPr>
        <w:t>合并净利润</w:t>
      </w:r>
      <w:r>
        <w:rPr>
          <w:rFonts w:ascii="宋体" w:hAnsi="宋体" w:cs="宋体" w:eastAsia="宋体" w:hint="default"/>
          <w:w w:val="99"/>
          <w:sz w:val="22"/>
          <w:szCs w:val="22"/>
        </w:rPr>
        <w:t> </w:t>
      </w:r>
      <w:r>
        <w:rPr>
          <w:rFonts w:ascii="Arial" w:hAnsi="Arial" w:cs="Arial" w:eastAsia="Arial" w:hint="default"/>
          <w:sz w:val="22"/>
          <w:szCs w:val="22"/>
        </w:rPr>
        <w:t>(</w:t>
      </w:r>
      <w:r>
        <w:rPr>
          <w:rFonts w:ascii="宋体" w:hAnsi="宋体" w:cs="宋体" w:eastAsia="宋体" w:hint="default"/>
          <w:sz w:val="22"/>
          <w:szCs w:val="22"/>
        </w:rPr>
        <w:t>人民币千元</w:t>
      </w:r>
      <w:r>
        <w:rPr>
          <w:rFonts w:ascii="Arial" w:hAnsi="Arial" w:cs="Arial" w:eastAsia="Arial" w:hint="default"/>
          <w:sz w:val="22"/>
          <w:szCs w:val="22"/>
        </w:rPr>
        <w:t>)</w:t>
      </w:r>
    </w:p>
    <w:p>
      <w:pPr>
        <w:spacing w:line="295" w:lineRule="exact" w:before="31"/>
        <w:ind w:left="296" w:right="0" w:firstLine="0"/>
        <w:jc w:val="left"/>
        <w:rPr>
          <w:rFonts w:ascii="宋体" w:hAnsi="宋体" w:cs="宋体" w:eastAsia="宋体" w:hint="default"/>
          <w:sz w:val="22"/>
          <w:szCs w:val="22"/>
        </w:rPr>
      </w:pPr>
      <w:r>
        <w:rPr/>
        <w:br w:type="column"/>
      </w:r>
      <w:r>
        <w:rPr>
          <w:rFonts w:ascii="Arial" w:hAnsi="Arial" w:cs="Arial" w:eastAsia="Arial" w:hint="default"/>
          <w:sz w:val="22"/>
          <w:szCs w:val="22"/>
        </w:rPr>
        <w:t>2006</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p>
      <w:pPr>
        <w:spacing w:line="280" w:lineRule="exact" w:before="0"/>
        <w:ind w:left="887" w:right="0" w:firstLine="0"/>
        <w:jc w:val="left"/>
        <w:rPr>
          <w:rFonts w:ascii="宋体" w:hAnsi="宋体" w:cs="宋体" w:eastAsia="宋体" w:hint="default"/>
          <w:sz w:val="22"/>
          <w:szCs w:val="22"/>
        </w:rPr>
      </w:pPr>
      <w:r>
        <w:rPr>
          <w:rFonts w:ascii="宋体" w:hAnsi="宋体" w:cs="宋体" w:eastAsia="宋体" w:hint="default"/>
          <w:sz w:val="22"/>
          <w:szCs w:val="22"/>
        </w:rPr>
        <w:t>合并股东权益</w:t>
      </w:r>
    </w:p>
    <w:p>
      <w:pPr>
        <w:spacing w:after="0" w:line="280" w:lineRule="exact"/>
        <w:jc w:val="left"/>
        <w:rPr>
          <w:rFonts w:ascii="宋体" w:hAnsi="宋体" w:cs="宋体" w:eastAsia="宋体" w:hint="default"/>
          <w:sz w:val="22"/>
          <w:szCs w:val="22"/>
        </w:rPr>
        <w:sectPr>
          <w:type w:val="continuous"/>
          <w:pgSz w:w="11910" w:h="16840"/>
          <w:pgMar w:top="1600" w:bottom="280" w:left="1020" w:right="540"/>
          <w:cols w:num="3" w:equalWidth="0">
            <w:col w:w="6017" w:space="40"/>
            <w:col w:w="1796" w:space="40"/>
            <w:col w:w="2457"/>
          </w:cols>
        </w:sectPr>
      </w:pPr>
    </w:p>
    <w:p>
      <w:pPr>
        <w:spacing w:line="240" w:lineRule="auto" w:before="5"/>
        <w:rPr>
          <w:rFonts w:ascii="宋体" w:hAnsi="宋体" w:cs="宋体" w:eastAsia="宋体" w:hint="default"/>
          <w:sz w:val="17"/>
          <w:szCs w:val="17"/>
        </w:rPr>
      </w:pPr>
    </w:p>
    <w:tbl>
      <w:tblPr>
        <w:tblW w:w="0" w:type="auto"/>
        <w:jc w:val="left"/>
        <w:tblInd w:w="772" w:type="dxa"/>
        <w:tblLayout w:type="fixed"/>
        <w:tblCellMar>
          <w:top w:w="0" w:type="dxa"/>
          <w:left w:w="0" w:type="dxa"/>
          <w:bottom w:w="0" w:type="dxa"/>
          <w:right w:w="0" w:type="dxa"/>
        </w:tblCellMar>
        <w:tblLook w:val="01E0"/>
      </w:tblPr>
      <w:tblGrid>
        <w:gridCol w:w="3290"/>
        <w:gridCol w:w="2188"/>
        <w:gridCol w:w="1682"/>
        <w:gridCol w:w="2311"/>
      </w:tblGrid>
      <w:tr>
        <w:trPr>
          <w:trHeight w:val="366"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按原会计准则和制度列报的金额</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903" w:right="0"/>
              <w:jc w:val="left"/>
              <w:rPr>
                <w:rFonts w:ascii="Arial" w:hAnsi="Arial" w:cs="Arial" w:eastAsia="Arial" w:hint="default"/>
                <w:sz w:val="22"/>
                <w:szCs w:val="22"/>
              </w:rPr>
            </w:pPr>
            <w:r>
              <w:rPr>
                <w:rFonts w:ascii="Arial"/>
                <w:sz w:val="22"/>
              </w:rPr>
              <w:t>1,169,047</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71" w:right="0"/>
              <w:jc w:val="left"/>
              <w:rPr>
                <w:rFonts w:ascii="Arial" w:hAnsi="Arial" w:cs="Arial" w:eastAsia="Arial" w:hint="default"/>
                <w:sz w:val="22"/>
                <w:szCs w:val="22"/>
              </w:rPr>
            </w:pPr>
            <w:r>
              <w:rPr>
                <w:rFonts w:ascii="Arial"/>
                <w:sz w:val="22"/>
              </w:rPr>
              <w:t>720,300</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15" w:right="0"/>
              <w:jc w:val="left"/>
              <w:rPr>
                <w:rFonts w:ascii="Arial" w:hAnsi="Arial" w:cs="Arial" w:eastAsia="Arial" w:hint="default"/>
                <w:sz w:val="22"/>
                <w:szCs w:val="22"/>
              </w:rPr>
            </w:pPr>
            <w:r>
              <w:rPr>
                <w:rFonts w:ascii="Arial"/>
                <w:sz w:val="22"/>
              </w:rPr>
              <w:t>3,084,367</w:t>
            </w:r>
          </w:p>
        </w:tc>
      </w:tr>
      <w:tr>
        <w:trPr>
          <w:trHeight w:val="286"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2"/>
                <w:szCs w:val="22"/>
              </w:rPr>
            </w:pPr>
            <w:r>
              <w:rPr>
                <w:rFonts w:ascii="宋体" w:hAnsi="宋体" w:cs="宋体" w:eastAsia="宋体" w:hint="default"/>
                <w:sz w:val="22"/>
                <w:szCs w:val="22"/>
              </w:rPr>
              <w:t>长期股权投资差额</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58" w:right="0"/>
              <w:jc w:val="left"/>
              <w:rPr>
                <w:rFonts w:ascii="Arial" w:hAnsi="Arial" w:cs="Arial" w:eastAsia="Arial" w:hint="default"/>
                <w:sz w:val="22"/>
                <w:szCs w:val="22"/>
              </w:rPr>
            </w:pPr>
            <w:r>
              <w:rPr>
                <w:rFonts w:ascii="Arial"/>
                <w:sz w:val="22"/>
              </w:rPr>
              <w:t>(4,020)</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16" w:right="0"/>
              <w:jc w:val="left"/>
              <w:rPr>
                <w:rFonts w:ascii="Arial" w:hAnsi="Arial" w:cs="Arial" w:eastAsia="Arial" w:hint="default"/>
                <w:sz w:val="22"/>
                <w:szCs w:val="22"/>
              </w:rPr>
            </w:pPr>
            <w:r>
              <w:rPr>
                <w:rFonts w:ascii="Arial"/>
                <w:sz w:val="22"/>
              </w:rPr>
              <w:t>1,096</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0"/>
              <w:jc w:val="right"/>
              <w:rPr>
                <w:rFonts w:ascii="Arial" w:hAnsi="Arial" w:cs="Arial" w:eastAsia="Arial" w:hint="default"/>
                <w:sz w:val="22"/>
                <w:szCs w:val="22"/>
              </w:rPr>
            </w:pPr>
            <w:r>
              <w:rPr>
                <w:rFonts w:ascii="Arial"/>
                <w:w w:val="95"/>
                <w:sz w:val="22"/>
              </w:rPr>
              <w:t>(2,924)</w:t>
            </w:r>
            <w:r>
              <w:rPr>
                <w:rFonts w:ascii="Arial"/>
                <w:sz w:val="22"/>
              </w:rPr>
            </w:r>
          </w:p>
        </w:tc>
      </w:tr>
      <w:tr>
        <w:trPr>
          <w:trHeight w:val="286"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Arial" w:hAnsi="Arial" w:cs="Arial" w:eastAsia="Arial" w:hint="default"/>
                <w:sz w:val="22"/>
                <w:szCs w:val="22"/>
              </w:rPr>
            </w:pPr>
            <w:r>
              <w:rPr>
                <w:rFonts w:ascii="宋体" w:hAnsi="宋体" w:cs="宋体" w:eastAsia="宋体" w:hint="default"/>
                <w:sz w:val="22"/>
                <w:szCs w:val="22"/>
              </w:rPr>
              <w:t>所得税</w:t>
            </w:r>
            <w:r>
              <w:rPr>
                <w:rFonts w:ascii="Arial" w:hAnsi="Arial" w:cs="Arial" w:eastAsia="Arial" w:hint="default"/>
                <w:sz w:val="22"/>
                <w:szCs w:val="22"/>
              </w:rPr>
              <w:t>(a)</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8" w:right="0"/>
              <w:jc w:val="left"/>
              <w:rPr>
                <w:rFonts w:ascii="Arial" w:hAnsi="Arial" w:cs="Arial" w:eastAsia="Arial" w:hint="default"/>
                <w:sz w:val="22"/>
                <w:szCs w:val="22"/>
              </w:rPr>
            </w:pPr>
            <w:r>
              <w:rPr>
                <w:rFonts w:ascii="Arial"/>
                <w:sz w:val="22"/>
              </w:rPr>
              <w:t>44,007</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93" w:right="0"/>
              <w:jc w:val="left"/>
              <w:rPr>
                <w:rFonts w:ascii="Arial" w:hAnsi="Arial" w:cs="Arial" w:eastAsia="Arial" w:hint="default"/>
                <w:sz w:val="22"/>
                <w:szCs w:val="22"/>
              </w:rPr>
            </w:pPr>
            <w:r>
              <w:rPr>
                <w:rFonts w:ascii="Arial"/>
                <w:sz w:val="22"/>
              </w:rPr>
              <w:t>23,505</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21" w:right="0"/>
              <w:jc w:val="left"/>
              <w:rPr>
                <w:rFonts w:ascii="Arial" w:hAnsi="Arial" w:cs="Arial" w:eastAsia="Arial" w:hint="default"/>
                <w:sz w:val="22"/>
                <w:szCs w:val="22"/>
              </w:rPr>
            </w:pPr>
            <w:r>
              <w:rPr>
                <w:rFonts w:ascii="Arial"/>
                <w:sz w:val="22"/>
              </w:rPr>
              <w:t>67,512</w:t>
            </w:r>
          </w:p>
        </w:tc>
      </w:tr>
      <w:tr>
        <w:trPr>
          <w:trHeight w:val="286"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2"/>
                <w:szCs w:val="22"/>
              </w:rPr>
            </w:pPr>
            <w:r>
              <w:rPr>
                <w:rFonts w:ascii="宋体" w:hAnsi="宋体" w:cs="宋体" w:eastAsia="宋体" w:hint="default"/>
                <w:sz w:val="22"/>
                <w:szCs w:val="22"/>
              </w:rPr>
              <w:t>其中：递延所得税资产</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8" w:right="0"/>
              <w:jc w:val="left"/>
              <w:rPr>
                <w:rFonts w:ascii="Arial" w:hAnsi="Arial" w:cs="Arial" w:eastAsia="Arial" w:hint="default"/>
                <w:sz w:val="22"/>
                <w:szCs w:val="22"/>
              </w:rPr>
            </w:pPr>
            <w:r>
              <w:rPr>
                <w:rFonts w:ascii="Arial"/>
                <w:sz w:val="22"/>
              </w:rPr>
              <w:t>44,007</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93" w:right="0"/>
              <w:jc w:val="left"/>
              <w:rPr>
                <w:rFonts w:ascii="Arial" w:hAnsi="Arial" w:cs="Arial" w:eastAsia="Arial" w:hint="default"/>
                <w:sz w:val="22"/>
                <w:szCs w:val="22"/>
              </w:rPr>
            </w:pPr>
            <w:r>
              <w:rPr>
                <w:rFonts w:ascii="Arial"/>
                <w:sz w:val="22"/>
              </w:rPr>
              <w:t>23,505</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21" w:right="0"/>
              <w:jc w:val="left"/>
              <w:rPr>
                <w:rFonts w:ascii="Arial" w:hAnsi="Arial" w:cs="Arial" w:eastAsia="Arial" w:hint="default"/>
                <w:sz w:val="22"/>
                <w:szCs w:val="22"/>
              </w:rPr>
            </w:pPr>
            <w:r>
              <w:rPr>
                <w:rFonts w:ascii="Arial"/>
                <w:sz w:val="22"/>
              </w:rPr>
              <w:t>67,512</w:t>
            </w:r>
          </w:p>
        </w:tc>
      </w:tr>
      <w:tr>
        <w:trPr>
          <w:trHeight w:val="291"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2"/>
                <w:szCs w:val="22"/>
              </w:rPr>
            </w:pPr>
            <w:r>
              <w:rPr>
                <w:rFonts w:ascii="宋体" w:hAnsi="宋体" w:cs="宋体" w:eastAsia="宋体" w:hint="default"/>
                <w:sz w:val="22"/>
                <w:szCs w:val="22"/>
              </w:rPr>
              <w:t>少数股东权益转入</w:t>
            </w:r>
          </w:p>
        </w:tc>
        <w:tc>
          <w:tcPr>
            <w:tcW w:w="2188" w:type="dxa"/>
            <w:tcBorders>
              <w:top w:val="nil" w:sz="6" w:space="0" w:color="auto"/>
              <w:left w:val="nil" w:sz="6" w:space="0" w:color="auto"/>
              <w:bottom w:val="nil" w:sz="6" w:space="0" w:color="auto"/>
              <w:right w:val="nil" w:sz="6" w:space="0" w:color="auto"/>
            </w:tcBorders>
          </w:tcPr>
          <w:p>
            <w:pPr>
              <w:pStyle w:val="TableParagraph"/>
              <w:tabs>
                <w:tab w:pos="1208" w:val="left" w:leader="none"/>
                <w:tab w:pos="2054" w:val="left" w:leader="none"/>
              </w:tabs>
              <w:spacing w:line="240" w:lineRule="auto" w:before="17"/>
              <w:ind w:left="182"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69,082</w:t>
              <w:tab/>
            </w:r>
            <w:r>
              <w:rPr>
                <w:rFonts w:ascii="Arial"/>
                <w:sz w:val="22"/>
              </w:rPr>
            </w:r>
          </w:p>
        </w:tc>
        <w:tc>
          <w:tcPr>
            <w:tcW w:w="1682" w:type="dxa"/>
            <w:tcBorders>
              <w:top w:val="nil" w:sz="6" w:space="0" w:color="auto"/>
              <w:left w:val="nil" w:sz="6" w:space="0" w:color="auto"/>
              <w:bottom w:val="nil" w:sz="6" w:space="0" w:color="auto"/>
              <w:right w:val="nil" w:sz="6" w:space="0" w:color="auto"/>
            </w:tcBorders>
          </w:tcPr>
          <w:p>
            <w:pPr>
              <w:pStyle w:val="TableParagraph"/>
              <w:tabs>
                <w:tab w:pos="693" w:val="left" w:leader="none"/>
                <w:tab w:pos="1540" w:val="left" w:leader="none"/>
              </w:tabs>
              <w:spacing w:line="240" w:lineRule="auto" w:before="17"/>
              <w:ind w:left="13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35,552</w:t>
              <w:tab/>
            </w:r>
            <w:r>
              <w:rPr>
                <w:rFonts w:ascii="Arial"/>
                <w:sz w:val="22"/>
              </w:rPr>
            </w:r>
          </w:p>
        </w:tc>
        <w:tc>
          <w:tcPr>
            <w:tcW w:w="2311" w:type="dxa"/>
            <w:tcBorders>
              <w:top w:val="nil" w:sz="6" w:space="0" w:color="auto"/>
              <w:left w:val="nil" w:sz="6" w:space="0" w:color="auto"/>
              <w:bottom w:val="nil" w:sz="6" w:space="0" w:color="auto"/>
              <w:right w:val="nil" w:sz="6" w:space="0" w:color="auto"/>
            </w:tcBorders>
          </w:tcPr>
          <w:p>
            <w:pPr>
              <w:pStyle w:val="TableParagraph"/>
              <w:tabs>
                <w:tab w:pos="1157" w:val="left" w:leader="none"/>
                <w:tab w:pos="2127" w:val="left" w:leader="none"/>
              </w:tabs>
              <w:spacing w:line="240" w:lineRule="auto" w:before="17"/>
              <w:ind w:right="4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127,726</w:t>
            </w:r>
            <w:r>
              <w:rPr>
                <w:rFonts w:ascii="Arial"/>
                <w:sz w:val="22"/>
                <w:u w:val="single" w:color="000000"/>
              </w:rPr>
              <w:tab/>
            </w:r>
            <w:r>
              <w:rPr>
                <w:rFonts w:ascii="Arial"/>
                <w:sz w:val="22"/>
              </w:rPr>
            </w:r>
          </w:p>
        </w:tc>
      </w:tr>
      <w:tr>
        <w:trPr>
          <w:trHeight w:val="292"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2"/>
                <w:szCs w:val="22"/>
              </w:rPr>
            </w:pPr>
            <w:r>
              <w:rPr>
                <w:rFonts w:ascii="宋体" w:hAnsi="宋体" w:cs="宋体" w:eastAsia="宋体" w:hint="default"/>
                <w:sz w:val="22"/>
                <w:szCs w:val="22"/>
              </w:rPr>
              <w:t>按企业会计准则列报的金额</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19" w:right="0"/>
              <w:jc w:val="left"/>
              <w:rPr>
                <w:rFonts w:ascii="Arial" w:hAnsi="Arial" w:cs="Arial" w:eastAsia="Arial" w:hint="default"/>
                <w:sz w:val="22"/>
                <w:szCs w:val="22"/>
              </w:rPr>
            </w:pPr>
            <w:r>
              <w:rPr>
                <w:rFonts w:ascii="Arial"/>
                <w:sz w:val="22"/>
              </w:rPr>
              <w:t>1,278,116</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1" w:right="0"/>
              <w:jc w:val="left"/>
              <w:rPr>
                <w:rFonts w:ascii="Arial" w:hAnsi="Arial" w:cs="Arial" w:eastAsia="Arial" w:hint="default"/>
                <w:sz w:val="22"/>
                <w:szCs w:val="22"/>
              </w:rPr>
            </w:pPr>
            <w:r>
              <w:rPr>
                <w:rFonts w:ascii="Arial"/>
                <w:sz w:val="22"/>
              </w:rPr>
              <w:t>780,453</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15" w:right="0"/>
              <w:jc w:val="left"/>
              <w:rPr>
                <w:rFonts w:ascii="Arial" w:hAnsi="Arial" w:cs="Arial" w:eastAsia="Arial" w:hint="default"/>
                <w:sz w:val="22"/>
                <w:szCs w:val="22"/>
              </w:rPr>
            </w:pPr>
            <w:r>
              <w:rPr>
                <w:rFonts w:ascii="Arial"/>
                <w:sz w:val="22"/>
              </w:rPr>
              <w:t>3,276,681</w:t>
            </w:r>
          </w:p>
        </w:tc>
      </w:tr>
      <w:tr>
        <w:trPr>
          <w:trHeight w:val="290"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Arial" w:hAnsi="Arial" w:cs="Arial" w:eastAsia="Arial" w:hint="default"/>
                <w:sz w:val="22"/>
                <w:szCs w:val="22"/>
              </w:rPr>
            </w:pPr>
            <w:r>
              <w:rPr>
                <w:rFonts w:ascii="宋体" w:hAnsi="宋体" w:cs="宋体" w:eastAsia="宋体" w:hint="default"/>
                <w:sz w:val="22"/>
                <w:szCs w:val="22"/>
              </w:rPr>
              <w:t>前期会计调整</w:t>
            </w:r>
            <w:r>
              <w:rPr>
                <w:rFonts w:ascii="Arial" w:hAnsi="Arial" w:cs="Arial" w:eastAsia="Arial" w:hint="default"/>
                <w:sz w:val="22"/>
                <w:szCs w:val="22"/>
              </w:rPr>
              <w:t>(</w:t>
            </w:r>
            <w:r>
              <w:rPr>
                <w:rFonts w:ascii="宋体" w:hAnsi="宋体" w:cs="宋体" w:eastAsia="宋体" w:hint="default"/>
                <w:sz w:val="22"/>
                <w:szCs w:val="22"/>
              </w:rPr>
              <w:t>附注五</w:t>
            </w:r>
            <w:r>
              <w:rPr>
                <w:rFonts w:ascii="Arial" w:hAnsi="Arial" w:cs="Arial" w:eastAsia="Arial" w:hint="default"/>
                <w:sz w:val="22"/>
                <w:szCs w:val="22"/>
              </w:rPr>
              <w:t>)</w:t>
            </w:r>
          </w:p>
        </w:tc>
        <w:tc>
          <w:tcPr>
            <w:tcW w:w="2188" w:type="dxa"/>
            <w:tcBorders>
              <w:top w:val="nil" w:sz="6" w:space="0" w:color="auto"/>
              <w:left w:val="nil" w:sz="6" w:space="0" w:color="auto"/>
              <w:bottom w:val="nil" w:sz="6" w:space="0" w:color="auto"/>
              <w:right w:val="nil" w:sz="6" w:space="0" w:color="auto"/>
            </w:tcBorders>
          </w:tcPr>
          <w:p>
            <w:pPr>
              <w:pStyle w:val="TableParagraph"/>
              <w:tabs>
                <w:tab w:pos="1808" w:val="left" w:leader="none"/>
                <w:tab w:pos="2054" w:val="left" w:leader="none"/>
              </w:tabs>
              <w:spacing w:line="240" w:lineRule="auto" w:before="17"/>
              <w:ind w:left="182"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1682" w:type="dxa"/>
            <w:tcBorders>
              <w:top w:val="nil" w:sz="6" w:space="0" w:color="auto"/>
              <w:left w:val="nil" w:sz="6" w:space="0" w:color="auto"/>
              <w:bottom w:val="nil" w:sz="6" w:space="0" w:color="auto"/>
              <w:right w:val="nil" w:sz="6" w:space="0" w:color="auto"/>
            </w:tcBorders>
          </w:tcPr>
          <w:p>
            <w:pPr>
              <w:pStyle w:val="TableParagraph"/>
              <w:tabs>
                <w:tab w:pos="693" w:val="left" w:leader="none"/>
                <w:tab w:pos="1540" w:val="left" w:leader="none"/>
              </w:tabs>
              <w:spacing w:line="240" w:lineRule="auto" w:before="17"/>
              <w:ind w:left="13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17,083</w:t>
              <w:tab/>
            </w:r>
            <w:r>
              <w:rPr>
                <w:rFonts w:ascii="Arial"/>
                <w:sz w:val="22"/>
              </w:rPr>
            </w:r>
          </w:p>
        </w:tc>
        <w:tc>
          <w:tcPr>
            <w:tcW w:w="2311" w:type="dxa"/>
            <w:tcBorders>
              <w:top w:val="nil" w:sz="6" w:space="0" w:color="auto"/>
              <w:left w:val="nil" w:sz="6" w:space="0" w:color="auto"/>
              <w:bottom w:val="nil" w:sz="6" w:space="0" w:color="auto"/>
              <w:right w:val="nil" w:sz="6" w:space="0" w:color="auto"/>
            </w:tcBorders>
          </w:tcPr>
          <w:p>
            <w:pPr>
              <w:pStyle w:val="TableParagraph"/>
              <w:tabs>
                <w:tab w:pos="1280" w:val="left" w:leader="none"/>
                <w:tab w:pos="2127" w:val="left" w:leader="none"/>
              </w:tabs>
              <w:spacing w:line="240" w:lineRule="auto" w:before="17"/>
              <w:ind w:right="4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17,083</w:t>
            </w:r>
            <w:r>
              <w:rPr>
                <w:rFonts w:ascii="Arial"/>
                <w:sz w:val="22"/>
                <w:u w:val="single" w:color="000000"/>
              </w:rPr>
              <w:tab/>
            </w:r>
            <w:r>
              <w:rPr>
                <w:rFonts w:ascii="Arial"/>
                <w:sz w:val="22"/>
              </w:rPr>
            </w:r>
          </w:p>
        </w:tc>
      </w:tr>
      <w:tr>
        <w:trPr>
          <w:trHeight w:val="371"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2"/>
                <w:szCs w:val="22"/>
              </w:rPr>
            </w:pPr>
            <w:r>
              <w:rPr>
                <w:rFonts w:ascii="宋体" w:hAnsi="宋体" w:cs="宋体" w:eastAsia="宋体" w:hint="default"/>
                <w:sz w:val="22"/>
                <w:szCs w:val="22"/>
              </w:rPr>
              <w:t>按企业会计准则调整后的金额</w:t>
            </w:r>
          </w:p>
        </w:tc>
        <w:tc>
          <w:tcPr>
            <w:tcW w:w="2188" w:type="dxa"/>
            <w:tcBorders>
              <w:top w:val="nil" w:sz="6" w:space="0" w:color="auto"/>
              <w:left w:val="nil" w:sz="6" w:space="0" w:color="auto"/>
              <w:bottom w:val="nil" w:sz="6" w:space="0" w:color="auto"/>
              <w:right w:val="nil" w:sz="6" w:space="0" w:color="auto"/>
            </w:tcBorders>
          </w:tcPr>
          <w:p>
            <w:pPr>
              <w:pStyle w:val="TableParagraph"/>
              <w:tabs>
                <w:tab w:pos="919" w:val="left" w:leader="none"/>
                <w:tab w:pos="2062" w:val="left" w:leader="none"/>
              </w:tabs>
              <w:spacing w:line="240" w:lineRule="auto" w:before="23"/>
              <w:ind w:left="175" w:right="0"/>
              <w:jc w:val="lef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t>1,278,116</w:t>
              <w:tab/>
            </w:r>
            <w:r>
              <w:rPr>
                <w:rFonts w:ascii="Arial"/>
                <w:sz w:val="22"/>
              </w:rPr>
            </w:r>
          </w:p>
        </w:tc>
        <w:tc>
          <w:tcPr>
            <w:tcW w:w="1682" w:type="dxa"/>
            <w:tcBorders>
              <w:top w:val="nil" w:sz="6" w:space="0" w:color="auto"/>
              <w:left w:val="nil" w:sz="6" w:space="0" w:color="auto"/>
              <w:bottom w:val="nil" w:sz="6" w:space="0" w:color="auto"/>
              <w:right w:val="nil" w:sz="6" w:space="0" w:color="auto"/>
            </w:tcBorders>
          </w:tcPr>
          <w:p>
            <w:pPr>
              <w:pStyle w:val="TableParagraph"/>
              <w:tabs>
                <w:tab w:pos="570" w:val="left" w:leader="none"/>
                <w:tab w:pos="1547" w:val="left" w:leader="none"/>
              </w:tabs>
              <w:spacing w:line="240" w:lineRule="auto" w:before="23"/>
              <w:ind w:left="126" w:right="0"/>
              <w:jc w:val="lef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t>797,536</w:t>
              <w:tab/>
            </w:r>
            <w:r>
              <w:rPr>
                <w:rFonts w:ascii="Arial"/>
                <w:sz w:val="22"/>
              </w:rPr>
            </w:r>
          </w:p>
        </w:tc>
        <w:tc>
          <w:tcPr>
            <w:tcW w:w="2311" w:type="dxa"/>
            <w:tcBorders>
              <w:top w:val="nil" w:sz="6" w:space="0" w:color="auto"/>
              <w:left w:val="nil" w:sz="6" w:space="0" w:color="auto"/>
              <w:bottom w:val="nil" w:sz="6" w:space="0" w:color="auto"/>
              <w:right w:val="nil" w:sz="6" w:space="0" w:color="auto"/>
            </w:tcBorders>
          </w:tcPr>
          <w:p>
            <w:pPr>
              <w:pStyle w:val="TableParagraph"/>
              <w:tabs>
                <w:tab w:pos="981" w:val="left" w:leader="none"/>
                <w:tab w:pos="2141" w:val="left" w:leader="none"/>
              </w:tabs>
              <w:spacing w:line="240" w:lineRule="auto" w:before="23"/>
              <w:ind w:right="33"/>
              <w:jc w:val="righ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r>
            <w:r>
              <w:rPr>
                <w:rFonts w:ascii="Arial"/>
                <w:w w:val="95"/>
                <w:sz w:val="22"/>
                <w:u w:val="thick" w:color="000000"/>
              </w:rPr>
              <w:t>3,293,764</w:t>
            </w:r>
            <w:r>
              <w:rPr>
                <w:rFonts w:ascii="Arial"/>
                <w:sz w:val="22"/>
                <w:u w:val="thick" w:color="000000"/>
              </w:rPr>
              <w:tab/>
            </w:r>
            <w:r>
              <w:rPr>
                <w:rFonts w:ascii="Arial"/>
                <w:sz w:val="22"/>
              </w:rPr>
            </w:r>
          </w:p>
        </w:tc>
      </w:tr>
    </w:tbl>
    <w:p>
      <w:pPr>
        <w:spacing w:line="240" w:lineRule="auto" w:before="11"/>
        <w:rPr>
          <w:rFonts w:ascii="宋体" w:hAnsi="宋体" w:cs="宋体" w:eastAsia="宋体" w:hint="default"/>
          <w:sz w:val="10"/>
          <w:szCs w:val="10"/>
        </w:rPr>
      </w:pPr>
    </w:p>
    <w:p>
      <w:pPr>
        <w:pStyle w:val="BodyText"/>
        <w:tabs>
          <w:tab w:pos="807" w:val="left" w:leader="none"/>
        </w:tabs>
        <w:spacing w:line="322" w:lineRule="exact" w:before="32"/>
        <w:ind w:left="107" w:right="208"/>
        <w:jc w:val="left"/>
      </w:pPr>
      <w:r>
        <w:rPr>
          <w:rFonts w:ascii="Arial" w:hAnsi="Arial" w:cs="Arial" w:eastAsia="Arial" w:hint="default"/>
          <w:position w:val="2"/>
        </w:rPr>
        <w:t>(a)</w:t>
        <w:tab/>
      </w:r>
      <w:r>
        <w:rPr/>
        <w:t>本公司于</w:t>
      </w:r>
      <w:r>
        <w:rPr>
          <w:spacing w:val="-57"/>
        </w:rPr>
        <w:t> </w:t>
      </w:r>
      <w:r>
        <w:rPr>
          <w:rFonts w:ascii="Arial" w:hAnsi="Arial" w:cs="Arial" w:eastAsia="Arial" w:hint="default"/>
        </w:rPr>
        <w:t>2007</w:t>
      </w:r>
      <w:r>
        <w:rPr>
          <w:rFonts w:ascii="Arial" w:hAnsi="Arial" w:cs="Arial" w:eastAsia="Arial" w:hint="default"/>
          <w:spacing w:val="-3"/>
        </w:rPr>
        <w:t> </w:t>
      </w:r>
      <w:r>
        <w:rPr/>
        <w:t>年</w:t>
      </w:r>
      <w:r>
        <w:rPr>
          <w:spacing w:val="-57"/>
        </w:rPr>
        <w:t> </w:t>
      </w:r>
      <w:r>
        <w:rPr>
          <w:rFonts w:ascii="Arial" w:hAnsi="Arial" w:cs="Arial" w:eastAsia="Arial" w:hint="default"/>
        </w:rPr>
        <w:t>1</w:t>
      </w:r>
      <w:r>
        <w:rPr>
          <w:rFonts w:ascii="Arial" w:hAnsi="Arial" w:cs="Arial" w:eastAsia="Arial" w:hint="default"/>
          <w:spacing w:val="-2"/>
        </w:rPr>
        <w:t> </w:t>
      </w:r>
      <w:r>
        <w:rPr/>
        <w:t>月</w:t>
      </w:r>
      <w:r>
        <w:rPr>
          <w:spacing w:val="-57"/>
        </w:rPr>
        <w:t> </w:t>
      </w:r>
      <w:r>
        <w:rPr>
          <w:rFonts w:ascii="Arial" w:hAnsi="Arial" w:cs="Arial" w:eastAsia="Arial" w:hint="default"/>
        </w:rPr>
        <w:t>1</w:t>
      </w:r>
      <w:r>
        <w:rPr>
          <w:rFonts w:ascii="Arial" w:hAnsi="Arial" w:cs="Arial" w:eastAsia="Arial" w:hint="default"/>
          <w:spacing w:val="-4"/>
        </w:rPr>
        <w:t> </w:t>
      </w:r>
      <w:r>
        <w:rPr/>
        <w:t>日首次执行企业会计准则，并在</w:t>
      </w:r>
      <w:r>
        <w:rPr>
          <w:spacing w:val="-57"/>
        </w:rPr>
        <w:t> </w:t>
      </w:r>
      <w:r>
        <w:rPr>
          <w:rFonts w:ascii="Arial" w:hAnsi="Arial" w:cs="Arial" w:eastAsia="Arial" w:hint="default"/>
        </w:rPr>
        <w:t>2006</w:t>
      </w:r>
      <w:r>
        <w:rPr>
          <w:rFonts w:ascii="Arial" w:hAnsi="Arial" w:cs="Arial" w:eastAsia="Arial" w:hint="default"/>
          <w:spacing w:val="-3"/>
        </w:rPr>
        <w:t> </w:t>
      </w:r>
      <w:r>
        <w:rPr/>
        <w:t>年年度报告的新旧会计准</w:t>
      </w:r>
    </w:p>
    <w:p>
      <w:pPr>
        <w:pStyle w:val="BodyText"/>
        <w:spacing w:line="312" w:lineRule="exact"/>
        <w:ind w:left="807" w:right="0"/>
        <w:jc w:val="both"/>
      </w:pPr>
      <w:r>
        <w:rPr/>
        <w:t>则合并股东权益差异调节表中披露了按照企业会计准则追溯调整后的</w:t>
      </w:r>
      <w:r>
        <w:rPr>
          <w:spacing w:val="-66"/>
        </w:rPr>
        <w:t> </w:t>
      </w:r>
      <w:r>
        <w:rPr>
          <w:rFonts w:ascii="Arial" w:hAnsi="Arial" w:cs="Arial" w:eastAsia="Arial" w:hint="default"/>
        </w:rPr>
        <w:t>2007</w:t>
      </w:r>
      <w:r>
        <w:rPr>
          <w:rFonts w:ascii="Arial" w:hAnsi="Arial" w:cs="Arial" w:eastAsia="Arial" w:hint="default"/>
          <w:spacing w:val="-13"/>
        </w:rPr>
        <w:t> </w:t>
      </w:r>
      <w:r>
        <w:rPr/>
        <w:t>年</w:t>
      </w:r>
      <w:r>
        <w:rPr>
          <w:spacing w:val="-65"/>
        </w:rPr>
        <w:t> </w:t>
      </w:r>
      <w:r>
        <w:rPr>
          <w:rFonts w:ascii="Arial" w:hAnsi="Arial" w:cs="Arial" w:eastAsia="Arial" w:hint="default"/>
        </w:rPr>
        <w:t>1</w:t>
      </w:r>
      <w:r>
        <w:rPr>
          <w:rFonts w:ascii="Arial" w:hAnsi="Arial" w:cs="Arial" w:eastAsia="Arial" w:hint="default"/>
          <w:spacing w:val="-13"/>
        </w:rPr>
        <w:t> </w:t>
      </w:r>
      <w:r>
        <w:rPr/>
        <w:t>月</w:t>
      </w:r>
      <w:r>
        <w:rPr>
          <w:spacing w:val="-66"/>
        </w:rPr>
        <w:t> </w:t>
      </w:r>
      <w:r>
        <w:rPr>
          <w:rFonts w:ascii="Arial" w:hAnsi="Arial" w:cs="Arial" w:eastAsia="Arial" w:hint="default"/>
        </w:rPr>
        <w:t>1</w:t>
      </w:r>
      <w:r>
        <w:rPr>
          <w:rFonts w:ascii="Arial" w:hAnsi="Arial" w:cs="Arial" w:eastAsia="Arial" w:hint="default"/>
          <w:spacing w:val="-13"/>
        </w:rPr>
        <w:t> </w:t>
      </w:r>
      <w:r>
        <w:rPr/>
        <w:t>日的</w:t>
      </w:r>
    </w:p>
    <w:p>
      <w:pPr>
        <w:pStyle w:val="BodyText"/>
        <w:spacing w:line="312" w:lineRule="exact" w:before="21"/>
        <w:ind w:left="807" w:right="240"/>
        <w:jc w:val="both"/>
      </w:pPr>
      <w:r>
        <w:rPr/>
        <w:t>股东权益。在编制本财务报表时，本公司按照《企业会计准则解释第</w:t>
      </w:r>
      <w:r>
        <w:rPr>
          <w:spacing w:val="-81"/>
        </w:rPr>
        <w:t> </w:t>
      </w:r>
      <w:r>
        <w:rPr>
          <w:rFonts w:ascii="Arial" w:hAnsi="Arial" w:cs="Arial" w:eastAsia="Arial" w:hint="default"/>
        </w:rPr>
        <w:t>1</w:t>
      </w:r>
      <w:r>
        <w:rPr>
          <w:rFonts w:ascii="Arial" w:hAnsi="Arial" w:cs="Arial" w:eastAsia="Arial" w:hint="default"/>
          <w:spacing w:val="-28"/>
        </w:rPr>
        <w:t> </w:t>
      </w:r>
      <w:r>
        <w:rPr>
          <w:spacing w:val="-5"/>
        </w:rPr>
        <w:t>号》的要求，对首</w:t>
      </w:r>
      <w:r>
        <w:rPr>
          <w:spacing w:val="-1"/>
        </w:rPr>
        <w:t> </w:t>
      </w:r>
      <w:r>
        <w:rPr>
          <w:spacing w:val="-2"/>
        </w:rPr>
        <w:t>次执行日有关资产、负债及所有者权益项目的账面余额进行了复核，并修正递延所得税资</w:t>
      </w:r>
      <w:r>
        <w:rPr>
          <w:spacing w:val="-110"/>
        </w:rPr>
        <w:t> </w:t>
      </w:r>
      <w:r>
        <w:rPr>
          <w:spacing w:val="-110"/>
        </w:rPr>
      </w:r>
      <w:r>
        <w:rPr/>
        <w:t>产变动对</w:t>
      </w:r>
      <w:r>
        <w:rPr>
          <w:spacing w:val="-86"/>
        </w:rPr>
        <w:t> </w:t>
      </w:r>
      <w:r>
        <w:rPr>
          <w:rFonts w:ascii="Arial" w:hAnsi="Arial" w:cs="Arial" w:eastAsia="Arial" w:hint="default"/>
        </w:rPr>
        <w:t>2006</w:t>
      </w:r>
      <w:r>
        <w:rPr>
          <w:rFonts w:ascii="Arial" w:hAnsi="Arial" w:cs="Arial" w:eastAsia="Arial" w:hint="default"/>
          <w:spacing w:val="-32"/>
        </w:rPr>
        <w:t> </w:t>
      </w:r>
      <w:r>
        <w:rPr/>
        <w:t>年度的净利润及</w:t>
      </w:r>
      <w:r>
        <w:rPr>
          <w:spacing w:val="-85"/>
        </w:rPr>
        <w:t> </w:t>
      </w:r>
      <w:r>
        <w:rPr>
          <w:rFonts w:ascii="Arial" w:hAnsi="Arial" w:cs="Arial" w:eastAsia="Arial" w:hint="default"/>
        </w:rPr>
        <w:t>2007</w:t>
      </w:r>
      <w:r>
        <w:rPr>
          <w:rFonts w:ascii="Arial" w:hAnsi="Arial" w:cs="Arial" w:eastAsia="Arial" w:hint="default"/>
          <w:spacing w:val="-32"/>
        </w:rPr>
        <w:t> </w:t>
      </w:r>
      <w:r>
        <w:rPr/>
        <w:t>年</w:t>
      </w:r>
      <w:r>
        <w:rPr>
          <w:spacing w:val="-84"/>
        </w:rPr>
        <w:t> </w:t>
      </w:r>
      <w:r>
        <w:rPr>
          <w:rFonts w:ascii="Arial" w:hAnsi="Arial" w:cs="Arial" w:eastAsia="Arial" w:hint="default"/>
        </w:rPr>
        <w:t>1</w:t>
      </w:r>
      <w:r>
        <w:rPr>
          <w:rFonts w:ascii="Arial" w:hAnsi="Arial" w:cs="Arial" w:eastAsia="Arial" w:hint="default"/>
          <w:spacing w:val="-31"/>
        </w:rPr>
        <w:t> </w:t>
      </w:r>
      <w:r>
        <w:rPr/>
        <w:t>月</w:t>
      </w:r>
      <w:r>
        <w:rPr>
          <w:spacing w:val="-84"/>
        </w:rPr>
        <w:t> </w:t>
      </w:r>
      <w:r>
        <w:rPr>
          <w:rFonts w:ascii="Arial" w:hAnsi="Arial" w:cs="Arial" w:eastAsia="Arial" w:hint="default"/>
        </w:rPr>
        <w:t>1</w:t>
      </w:r>
      <w:r>
        <w:rPr>
          <w:rFonts w:ascii="Arial" w:hAnsi="Arial" w:cs="Arial" w:eastAsia="Arial" w:hint="default"/>
          <w:spacing w:val="-33"/>
        </w:rPr>
        <w:t> </w:t>
      </w:r>
      <w:r>
        <w:rPr>
          <w:spacing w:val="-8"/>
        </w:rPr>
        <w:t>日的股东权益的影响，调减约人民币</w:t>
      </w:r>
      <w:r>
        <w:rPr>
          <w:spacing w:val="-86"/>
        </w:rPr>
        <w:t> </w:t>
      </w:r>
      <w:r>
        <w:rPr>
          <w:rFonts w:ascii="Arial" w:hAnsi="Arial" w:cs="Arial" w:eastAsia="Arial" w:hint="default"/>
          <w:spacing w:val="-1"/>
        </w:rPr>
        <w:t>1,085.7 </w:t>
      </w:r>
      <w:r>
        <w:rPr/>
        <w:t>万元，具体如下：</w:t>
      </w: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020" w:right="540"/>
        </w:sectPr>
      </w:pPr>
    </w:p>
    <w:p>
      <w:pPr>
        <w:spacing w:line="240" w:lineRule="auto" w:before="12"/>
        <w:rPr>
          <w:rFonts w:ascii="宋体" w:hAnsi="宋体" w:cs="宋体" w:eastAsia="宋体" w:hint="default"/>
          <w:sz w:val="23"/>
          <w:szCs w:val="23"/>
        </w:rPr>
      </w:pPr>
    </w:p>
    <w:p>
      <w:pPr>
        <w:spacing w:before="0"/>
        <w:ind w:left="0" w:right="0" w:firstLine="0"/>
        <w:jc w:val="right"/>
        <w:rPr>
          <w:rFonts w:ascii="宋体" w:hAnsi="宋体" w:cs="宋体" w:eastAsia="宋体" w:hint="default"/>
          <w:sz w:val="22"/>
          <w:szCs w:val="22"/>
        </w:rPr>
      </w:pPr>
      <w:r>
        <w:rPr>
          <w:rFonts w:ascii="宋体" w:hAnsi="宋体" w:cs="宋体" w:eastAsia="宋体" w:hint="default"/>
          <w:w w:val="95"/>
          <w:sz w:val="22"/>
          <w:szCs w:val="22"/>
        </w:rPr>
        <w:t>项目名称</w:t>
      </w:r>
      <w:r>
        <w:rPr>
          <w:rFonts w:ascii="宋体" w:hAnsi="宋体" w:cs="宋体" w:eastAsia="宋体" w:hint="default"/>
          <w:sz w:val="22"/>
          <w:szCs w:val="22"/>
        </w:rPr>
      </w:r>
    </w:p>
    <w:p>
      <w:pPr>
        <w:spacing w:line="286" w:lineRule="exact" w:before="60"/>
        <w:ind w:left="2307" w:right="-18" w:hanging="164"/>
        <w:jc w:val="left"/>
        <w:rPr>
          <w:rFonts w:ascii="宋体" w:hAnsi="宋体" w:cs="宋体" w:eastAsia="宋体" w:hint="default"/>
          <w:sz w:val="22"/>
          <w:szCs w:val="22"/>
        </w:rPr>
      </w:pPr>
      <w:r>
        <w:rPr/>
        <w:br w:type="column"/>
      </w:r>
      <w:r>
        <w:rPr>
          <w:rFonts w:ascii="Arial" w:hAnsi="Arial" w:cs="Arial" w:eastAsia="Arial" w:hint="default"/>
          <w:sz w:val="22"/>
          <w:szCs w:val="22"/>
        </w:rPr>
        <w:t>2007</w:t>
      </w:r>
      <w:r>
        <w:rPr>
          <w:rFonts w:ascii="Arial" w:hAnsi="Arial" w:cs="Arial" w:eastAsia="Arial" w:hint="default"/>
          <w:spacing w:val="-8"/>
          <w:sz w:val="22"/>
          <w:szCs w:val="22"/>
        </w:rPr>
        <w:t> </w:t>
      </w:r>
      <w:r>
        <w:rPr>
          <w:rFonts w:ascii="宋体" w:hAnsi="宋体" w:cs="宋体" w:eastAsia="宋体" w:hint="default"/>
          <w:sz w:val="22"/>
          <w:szCs w:val="22"/>
        </w:rPr>
        <w:t>年报</w:t>
      </w:r>
      <w:r>
        <w:rPr>
          <w:rFonts w:ascii="宋体" w:hAnsi="宋体" w:cs="宋体" w:eastAsia="宋体" w:hint="default"/>
          <w:w w:val="99"/>
          <w:sz w:val="22"/>
          <w:szCs w:val="22"/>
        </w:rPr>
        <w:t> </w:t>
      </w:r>
      <w:r>
        <w:rPr>
          <w:rFonts w:ascii="宋体" w:hAnsi="宋体" w:cs="宋体" w:eastAsia="宋体" w:hint="default"/>
          <w:sz w:val="22"/>
          <w:szCs w:val="22"/>
        </w:rPr>
        <w:t>披露数</w:t>
      </w:r>
    </w:p>
    <w:p>
      <w:pPr>
        <w:spacing w:line="295" w:lineRule="exact" w:before="31"/>
        <w:ind w:left="790" w:right="0" w:firstLine="0"/>
        <w:jc w:val="left"/>
        <w:rPr>
          <w:rFonts w:ascii="宋体" w:hAnsi="宋体" w:cs="宋体" w:eastAsia="宋体" w:hint="default"/>
          <w:sz w:val="22"/>
          <w:szCs w:val="22"/>
        </w:rPr>
      </w:pPr>
      <w:r>
        <w:rPr/>
        <w:br w:type="column"/>
      </w:r>
      <w:r>
        <w:rPr>
          <w:rFonts w:ascii="Arial" w:hAnsi="Arial" w:cs="Arial" w:eastAsia="Arial" w:hint="default"/>
          <w:sz w:val="22"/>
          <w:szCs w:val="22"/>
        </w:rPr>
        <w:t>2006</w:t>
      </w:r>
      <w:r>
        <w:rPr>
          <w:rFonts w:ascii="Arial" w:hAnsi="Arial" w:cs="Arial" w:eastAsia="Arial" w:hint="default"/>
          <w:spacing w:val="-8"/>
          <w:sz w:val="22"/>
          <w:szCs w:val="22"/>
        </w:rPr>
        <w:t> </w:t>
      </w:r>
      <w:r>
        <w:rPr>
          <w:rFonts w:ascii="宋体" w:hAnsi="宋体" w:cs="宋体" w:eastAsia="宋体" w:hint="default"/>
          <w:sz w:val="22"/>
          <w:szCs w:val="22"/>
        </w:rPr>
        <w:t>年报</w:t>
      </w:r>
    </w:p>
    <w:p>
      <w:pPr>
        <w:tabs>
          <w:tab w:pos="2679" w:val="left" w:leader="none"/>
        </w:tabs>
        <w:spacing w:line="275" w:lineRule="exact" w:before="0"/>
        <w:ind w:left="953" w:right="0" w:firstLine="0"/>
        <w:jc w:val="left"/>
        <w:rPr>
          <w:rFonts w:ascii="宋体" w:hAnsi="宋体" w:cs="宋体" w:eastAsia="宋体" w:hint="default"/>
          <w:sz w:val="22"/>
          <w:szCs w:val="22"/>
        </w:rPr>
      </w:pPr>
      <w:r>
        <w:rPr>
          <w:rFonts w:ascii="宋体" w:hAnsi="宋体" w:cs="宋体" w:eastAsia="宋体" w:hint="default"/>
          <w:w w:val="95"/>
          <w:sz w:val="22"/>
          <w:szCs w:val="22"/>
        </w:rPr>
        <w:t>披露数</w:t>
        <w:tab/>
      </w:r>
      <w:r>
        <w:rPr>
          <w:rFonts w:ascii="宋体" w:hAnsi="宋体" w:cs="宋体" w:eastAsia="宋体" w:hint="default"/>
          <w:sz w:val="22"/>
          <w:szCs w:val="22"/>
        </w:rPr>
        <w:t>差异</w:t>
      </w:r>
    </w:p>
    <w:p>
      <w:pPr>
        <w:spacing w:line="300" w:lineRule="exact" w:before="0"/>
        <w:ind w:left="461" w:right="0" w:firstLine="0"/>
        <w:jc w:val="left"/>
        <w:rPr>
          <w:rFonts w:ascii="Arial" w:hAnsi="Arial" w:cs="Arial" w:eastAsia="Arial" w:hint="default"/>
          <w:sz w:val="22"/>
          <w:szCs w:val="22"/>
        </w:rPr>
      </w:pPr>
      <w:r>
        <w:rPr>
          <w:rFonts w:ascii="Arial" w:hAnsi="Arial" w:cs="Arial" w:eastAsia="Arial" w:hint="default"/>
          <w:sz w:val="22"/>
          <w:szCs w:val="22"/>
        </w:rPr>
        <w:t>(</w:t>
      </w:r>
      <w:r>
        <w:rPr>
          <w:rFonts w:ascii="宋体" w:hAnsi="宋体" w:cs="宋体" w:eastAsia="宋体" w:hint="default"/>
          <w:sz w:val="22"/>
          <w:szCs w:val="22"/>
        </w:rPr>
        <w:t>人民币千元</w:t>
      </w:r>
      <w:r>
        <w:rPr>
          <w:rFonts w:ascii="Arial" w:hAnsi="Arial" w:cs="Arial" w:eastAsia="Arial" w:hint="default"/>
          <w:sz w:val="22"/>
          <w:szCs w:val="22"/>
        </w:rPr>
        <w:t>)</w:t>
      </w:r>
    </w:p>
    <w:p>
      <w:pPr>
        <w:spacing w:after="0" w:line="300" w:lineRule="exact"/>
        <w:jc w:val="left"/>
        <w:rPr>
          <w:rFonts w:ascii="Arial" w:hAnsi="Arial" w:cs="Arial" w:eastAsia="Arial" w:hint="default"/>
          <w:sz w:val="22"/>
          <w:szCs w:val="22"/>
        </w:rPr>
        <w:sectPr>
          <w:type w:val="continuous"/>
          <w:pgSz w:w="11910" w:h="16840"/>
          <w:pgMar w:top="1600" w:bottom="280" w:left="1020" w:right="540"/>
          <w:cols w:num="3" w:equalWidth="0">
            <w:col w:w="3295" w:space="40"/>
            <w:col w:w="3129" w:space="40"/>
            <w:col w:w="3846"/>
          </w:cols>
        </w:sectPr>
      </w:pPr>
    </w:p>
    <w:p>
      <w:pPr>
        <w:spacing w:line="240" w:lineRule="auto" w:before="1"/>
        <w:rPr>
          <w:rFonts w:ascii="Arial" w:hAnsi="Arial" w:cs="Arial" w:eastAsia="Arial" w:hint="default"/>
          <w:sz w:val="3"/>
          <w:szCs w:val="3"/>
        </w:rPr>
      </w:pPr>
    </w:p>
    <w:tbl>
      <w:tblPr>
        <w:tblW w:w="0" w:type="auto"/>
        <w:jc w:val="left"/>
        <w:tblInd w:w="782" w:type="dxa"/>
        <w:tblLayout w:type="fixed"/>
        <w:tblCellMar>
          <w:top w:w="0" w:type="dxa"/>
          <w:left w:w="0" w:type="dxa"/>
          <w:bottom w:w="0" w:type="dxa"/>
          <w:right w:w="0" w:type="dxa"/>
        </w:tblCellMar>
        <w:tblLook w:val="01E0"/>
      </w:tblPr>
      <w:tblGrid>
        <w:gridCol w:w="4138"/>
        <w:gridCol w:w="2231"/>
        <w:gridCol w:w="2038"/>
        <w:gridCol w:w="1019"/>
      </w:tblGrid>
      <w:tr>
        <w:trPr>
          <w:trHeight w:val="277" w:hRule="exact"/>
        </w:trPr>
        <w:tc>
          <w:tcPr>
            <w:tcW w:w="4138"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Arial" w:hAnsi="Arial" w:cs="Arial" w:eastAsia="Arial" w:hint="default"/>
                <w:sz w:val="22"/>
                <w:szCs w:val="22"/>
              </w:rPr>
            </w:pPr>
            <w:r>
              <w:rPr>
                <w:rFonts w:ascii="Arial" w:hAnsi="Arial" w:cs="Arial" w:eastAsia="Arial" w:hint="default"/>
                <w:sz w:val="22"/>
                <w:szCs w:val="22"/>
              </w:rPr>
              <w:t>2006</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w:hAnsi="Arial" w:cs="Arial" w:eastAsia="Arial" w:hint="default"/>
                <w:sz w:val="22"/>
                <w:szCs w:val="22"/>
              </w:rPr>
              <w:t>12</w:t>
            </w:r>
            <w:r>
              <w:rPr>
                <w:rFonts w:ascii="Arial" w:hAnsi="Arial" w:cs="Arial" w:eastAsia="Arial"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31</w:t>
            </w:r>
            <w:r>
              <w:rPr>
                <w:rFonts w:ascii="Arial" w:hAnsi="Arial" w:cs="Arial" w:eastAsia="Arial" w:hint="default"/>
                <w:spacing w:val="-8"/>
                <w:sz w:val="22"/>
                <w:szCs w:val="22"/>
              </w:rPr>
              <w:t> </w:t>
            </w:r>
            <w:r>
              <w:rPr>
                <w:rFonts w:ascii="宋体" w:hAnsi="宋体" w:cs="宋体" w:eastAsia="宋体" w:hint="default"/>
                <w:sz w:val="22"/>
                <w:szCs w:val="22"/>
              </w:rPr>
              <w:t>日股东权益</w:t>
            </w:r>
            <w:r>
              <w:rPr>
                <w:rFonts w:ascii="Arial" w:hAnsi="Arial" w:cs="Arial" w:eastAsia="Arial" w:hint="default"/>
                <w:sz w:val="22"/>
                <w:szCs w:val="22"/>
              </w:rPr>
              <w:t>(</w:t>
            </w:r>
            <w:r>
              <w:rPr>
                <w:rFonts w:ascii="宋体" w:hAnsi="宋体" w:cs="宋体" w:eastAsia="宋体" w:hint="default"/>
                <w:sz w:val="22"/>
                <w:szCs w:val="22"/>
              </w:rPr>
              <w:t>原会计准则</w:t>
            </w:r>
            <w:r>
              <w:rPr>
                <w:rFonts w:ascii="Arial" w:hAnsi="Arial" w:cs="Arial" w:eastAsia="Arial" w:hint="default"/>
                <w:sz w:val="22"/>
                <w:szCs w:val="22"/>
              </w:rPr>
              <w:t>)</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9"/>
              <w:jc w:val="right"/>
              <w:rPr>
                <w:rFonts w:ascii="Arial" w:hAnsi="Arial" w:cs="Arial" w:eastAsia="Arial" w:hint="default"/>
                <w:sz w:val="22"/>
                <w:szCs w:val="22"/>
              </w:rPr>
            </w:pPr>
            <w:r>
              <w:rPr>
                <w:rFonts w:ascii="Arial"/>
                <w:w w:val="95"/>
                <w:sz w:val="22"/>
              </w:rPr>
              <w:t>3,084,367</w:t>
            </w:r>
            <w:r>
              <w:rPr>
                <w:rFonts w:ascii="Arial"/>
                <w:sz w:val="22"/>
              </w:rPr>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9" w:right="0"/>
              <w:jc w:val="left"/>
              <w:rPr>
                <w:rFonts w:ascii="Arial" w:hAnsi="Arial" w:cs="Arial" w:eastAsia="Arial" w:hint="default"/>
                <w:sz w:val="22"/>
                <w:szCs w:val="22"/>
              </w:rPr>
            </w:pPr>
            <w:r>
              <w:rPr>
                <w:rFonts w:ascii="Arial"/>
                <w:sz w:val="22"/>
              </w:rPr>
              <w:t>3,084,367</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74"/>
              <w:jc w:val="right"/>
              <w:rPr>
                <w:rFonts w:ascii="Arial" w:hAnsi="Arial" w:cs="Arial" w:eastAsia="Arial" w:hint="default"/>
                <w:sz w:val="22"/>
                <w:szCs w:val="22"/>
              </w:rPr>
            </w:pPr>
            <w:r>
              <w:rPr>
                <w:rFonts w:ascii="Arial"/>
                <w:w w:val="99"/>
                <w:sz w:val="22"/>
              </w:rPr>
              <w:t>-</w:t>
            </w:r>
            <w:r>
              <w:rPr>
                <w:rFonts w:ascii="Arial"/>
                <w:sz w:val="22"/>
              </w:rPr>
            </w:r>
          </w:p>
        </w:tc>
      </w:tr>
      <w:tr>
        <w:trPr>
          <w:trHeight w:val="427" w:hRule="exact"/>
        </w:trPr>
        <w:tc>
          <w:tcPr>
            <w:tcW w:w="4138"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宋体" w:hAnsi="宋体" w:cs="宋体" w:eastAsia="宋体" w:hint="default"/>
                <w:sz w:val="22"/>
                <w:szCs w:val="22"/>
              </w:rPr>
            </w:pPr>
            <w:r>
              <w:rPr>
                <w:rFonts w:ascii="宋体" w:hAnsi="宋体" w:cs="宋体" w:eastAsia="宋体" w:hint="default"/>
                <w:sz w:val="22"/>
                <w:szCs w:val="22"/>
              </w:rPr>
              <w:t>长期股权投资差额</w:t>
            </w:r>
          </w:p>
          <w:p>
            <w:pPr>
              <w:pStyle w:val="TableParagraph"/>
              <w:spacing w:line="229" w:lineRule="exact"/>
              <w:ind w:left="283" w:right="0"/>
              <w:jc w:val="left"/>
              <w:rPr>
                <w:rFonts w:ascii="宋体" w:hAnsi="宋体" w:cs="宋体" w:eastAsia="宋体" w:hint="default"/>
                <w:sz w:val="22"/>
                <w:szCs w:val="22"/>
              </w:rPr>
            </w:pPr>
            <w:r>
              <w:rPr>
                <w:rFonts w:ascii="宋体" w:hAnsi="宋体" w:cs="宋体" w:eastAsia="宋体" w:hint="default"/>
                <w:spacing w:val="5"/>
                <w:sz w:val="22"/>
                <w:szCs w:val="22"/>
              </w:rPr>
              <w:t>其中：同一控制下企业合并形成的长期</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7"/>
              <w:jc w:val="right"/>
              <w:rPr>
                <w:rFonts w:ascii="Arial" w:hAnsi="Arial" w:cs="Arial" w:eastAsia="Arial" w:hint="default"/>
                <w:sz w:val="22"/>
                <w:szCs w:val="22"/>
              </w:rPr>
            </w:pPr>
            <w:r>
              <w:rPr>
                <w:rFonts w:ascii="Arial"/>
                <w:w w:val="95"/>
                <w:sz w:val="22"/>
              </w:rPr>
              <w:t>(2,924)</w:t>
            </w:r>
            <w:r>
              <w:rPr>
                <w:rFonts w:ascii="Arial"/>
                <w:sz w:val="22"/>
              </w:rPr>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71" w:right="0"/>
              <w:jc w:val="left"/>
              <w:rPr>
                <w:rFonts w:ascii="Arial" w:hAnsi="Arial" w:cs="Arial" w:eastAsia="Arial" w:hint="default"/>
                <w:sz w:val="22"/>
                <w:szCs w:val="22"/>
              </w:rPr>
            </w:pPr>
            <w:r>
              <w:rPr>
                <w:rFonts w:ascii="Arial"/>
                <w:sz w:val="22"/>
              </w:rPr>
              <w:t>(2,924)</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4"/>
              <w:jc w:val="right"/>
              <w:rPr>
                <w:rFonts w:ascii="Arial" w:hAnsi="Arial" w:cs="Arial" w:eastAsia="Arial" w:hint="default"/>
                <w:sz w:val="22"/>
                <w:szCs w:val="22"/>
              </w:rPr>
            </w:pPr>
            <w:r>
              <w:rPr>
                <w:rFonts w:ascii="Arial"/>
                <w:w w:val="99"/>
                <w:sz w:val="22"/>
              </w:rPr>
              <w:t>-</w:t>
            </w:r>
            <w:r>
              <w:rPr>
                <w:rFonts w:ascii="Arial"/>
                <w:sz w:val="22"/>
              </w:rPr>
            </w:r>
          </w:p>
        </w:tc>
      </w:tr>
      <w:tr>
        <w:trPr>
          <w:trHeight w:val="425" w:hRule="exact"/>
        </w:trPr>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27" w:right="0"/>
              <w:jc w:val="left"/>
              <w:rPr>
                <w:rFonts w:ascii="宋体" w:hAnsi="宋体" w:cs="宋体" w:eastAsia="宋体" w:hint="default"/>
                <w:sz w:val="22"/>
                <w:szCs w:val="22"/>
              </w:rPr>
            </w:pPr>
            <w:r>
              <w:rPr>
                <w:rFonts w:ascii="宋体" w:hAnsi="宋体" w:cs="宋体" w:eastAsia="宋体" w:hint="default"/>
                <w:sz w:val="22"/>
                <w:szCs w:val="22"/>
              </w:rPr>
              <w:t>股权投资差额</w:t>
            </w:r>
          </w:p>
        </w:tc>
        <w:tc>
          <w:tcPr>
            <w:tcW w:w="5288" w:type="dxa"/>
            <w:gridSpan w:val="3"/>
            <w:tcBorders>
              <w:top w:val="nil" w:sz="6" w:space="0" w:color="auto"/>
              <w:left w:val="nil" w:sz="6" w:space="0" w:color="auto"/>
              <w:bottom w:val="nil" w:sz="6" w:space="0" w:color="auto"/>
              <w:right w:val="nil" w:sz="6" w:space="0" w:color="auto"/>
            </w:tcBorders>
          </w:tcPr>
          <w:p>
            <w:pPr>
              <w:pStyle w:val="TableParagraph"/>
              <w:tabs>
                <w:tab w:pos="2903" w:val="left" w:leader="none"/>
                <w:tab w:pos="4938" w:val="left" w:leader="none"/>
              </w:tabs>
              <w:spacing w:line="240" w:lineRule="auto" w:before="156"/>
              <w:ind w:left="1215" w:right="0"/>
              <w:jc w:val="left"/>
              <w:rPr>
                <w:rFonts w:ascii="Arial" w:hAnsi="Arial" w:cs="Arial" w:eastAsia="Arial" w:hint="default"/>
                <w:sz w:val="22"/>
                <w:szCs w:val="22"/>
              </w:rPr>
            </w:pPr>
            <w:r>
              <w:rPr>
                <w:rFonts w:ascii="Arial"/>
                <w:w w:val="95"/>
                <w:sz w:val="22"/>
              </w:rPr>
              <w:t>(2,924)</w:t>
              <w:tab/>
              <w:t>(2,924)</w:t>
              <w:tab/>
            </w:r>
            <w:r>
              <w:rPr>
                <w:rFonts w:ascii="Arial"/>
                <w:sz w:val="22"/>
              </w:rPr>
              <w:t>-</w:t>
            </w:r>
          </w:p>
        </w:tc>
      </w:tr>
      <w:tr>
        <w:trPr>
          <w:trHeight w:val="284" w:hRule="exact"/>
        </w:trPr>
        <w:tc>
          <w:tcPr>
            <w:tcW w:w="413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2"/>
                <w:szCs w:val="22"/>
              </w:rPr>
            </w:pPr>
            <w:r>
              <w:rPr>
                <w:rFonts w:ascii="宋体" w:hAnsi="宋体" w:cs="宋体" w:eastAsia="宋体" w:hint="default"/>
                <w:sz w:val="22"/>
                <w:szCs w:val="22"/>
              </w:rPr>
              <w:t>所得税</w:t>
            </w:r>
          </w:p>
        </w:tc>
        <w:tc>
          <w:tcPr>
            <w:tcW w:w="5288" w:type="dxa"/>
            <w:gridSpan w:val="3"/>
            <w:tcBorders>
              <w:top w:val="nil" w:sz="6" w:space="0" w:color="auto"/>
              <w:left w:val="nil" w:sz="6" w:space="0" w:color="auto"/>
              <w:bottom w:val="nil" w:sz="6" w:space="0" w:color="auto"/>
              <w:right w:val="nil" w:sz="6" w:space="0" w:color="auto"/>
            </w:tcBorders>
          </w:tcPr>
          <w:p>
            <w:pPr>
              <w:pStyle w:val="TableParagraph"/>
              <w:tabs>
                <w:tab w:pos="2856" w:val="left" w:leader="none"/>
                <w:tab w:pos="4263" w:val="left" w:leader="none"/>
              </w:tabs>
              <w:spacing w:line="240" w:lineRule="auto" w:before="16"/>
              <w:ind w:left="1167" w:right="0"/>
              <w:jc w:val="left"/>
              <w:rPr>
                <w:rFonts w:ascii="Arial" w:hAnsi="Arial" w:cs="Arial" w:eastAsia="Arial" w:hint="default"/>
                <w:sz w:val="22"/>
                <w:szCs w:val="22"/>
              </w:rPr>
            </w:pPr>
            <w:r>
              <w:rPr>
                <w:rFonts w:ascii="Arial"/>
                <w:w w:val="95"/>
                <w:sz w:val="22"/>
              </w:rPr>
              <w:t>67,512</w:t>
              <w:tab/>
              <w:t>78,369</w:t>
              <w:tab/>
            </w:r>
            <w:r>
              <w:rPr>
                <w:rFonts w:ascii="Arial"/>
                <w:sz w:val="22"/>
              </w:rPr>
              <w:t>(10,857)</w:t>
            </w:r>
          </w:p>
        </w:tc>
      </w:tr>
      <w:tr>
        <w:trPr>
          <w:trHeight w:val="289" w:hRule="exact"/>
        </w:trPr>
        <w:tc>
          <w:tcPr>
            <w:tcW w:w="4138"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5288" w:type="dxa"/>
            <w:gridSpan w:val="3"/>
            <w:tcBorders>
              <w:top w:val="nil" w:sz="6" w:space="0" w:color="auto"/>
              <w:left w:val="nil" w:sz="6" w:space="0" w:color="auto"/>
              <w:bottom w:val="nil" w:sz="6" w:space="0" w:color="auto"/>
              <w:right w:val="nil" w:sz="6" w:space="0" w:color="auto"/>
            </w:tcBorders>
          </w:tcPr>
          <w:p>
            <w:pPr>
              <w:pStyle w:val="TableParagraph"/>
              <w:tabs>
                <w:tab w:pos="1044" w:val="left" w:leader="none"/>
                <w:tab w:pos="2733" w:val="left" w:leader="none"/>
                <w:tab w:pos="4937" w:val="left" w:leader="none"/>
                <w:tab w:pos="5245" w:val="left" w:leader="none"/>
              </w:tabs>
              <w:spacing w:line="240" w:lineRule="auto" w:before="15"/>
              <w:ind w:left="72"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127,726</w:t>
              <w:tab/>
              <w:t>127,726</w:t>
              <w:tab/>
            </w:r>
            <w:r>
              <w:rPr>
                <w:rFonts w:ascii="Arial"/>
                <w:sz w:val="22"/>
                <w:u w:val="single" w:color="000000"/>
              </w:rPr>
              <w:t>-</w:t>
              <w:tab/>
            </w:r>
            <w:r>
              <w:rPr>
                <w:rFonts w:ascii="Arial"/>
                <w:sz w:val="22"/>
              </w:rPr>
            </w:r>
          </w:p>
        </w:tc>
      </w:tr>
      <w:tr>
        <w:trPr>
          <w:trHeight w:val="359" w:hRule="exact"/>
        </w:trPr>
        <w:tc>
          <w:tcPr>
            <w:tcW w:w="41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Arial" w:hAnsi="Arial" w:cs="Arial" w:eastAsia="Arial" w:hint="default"/>
                <w:sz w:val="22"/>
                <w:szCs w:val="22"/>
              </w:rPr>
            </w:pPr>
            <w:r>
              <w:rPr>
                <w:rFonts w:ascii="Arial" w:hAnsi="Arial" w:cs="Arial" w:eastAsia="Arial" w:hint="default"/>
                <w:sz w:val="22"/>
                <w:szCs w:val="22"/>
              </w:rPr>
              <w:t>2007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日股东权益</w:t>
            </w:r>
            <w:r>
              <w:rPr>
                <w:rFonts w:ascii="Arial" w:hAnsi="Arial" w:cs="Arial" w:eastAsia="Arial" w:hint="default"/>
                <w:sz w:val="22"/>
                <w:szCs w:val="22"/>
              </w:rPr>
              <w:t>(</w:t>
            </w:r>
            <w:r>
              <w:rPr>
                <w:rFonts w:ascii="宋体" w:hAnsi="宋体" w:cs="宋体" w:eastAsia="宋体" w:hint="default"/>
                <w:sz w:val="22"/>
                <w:szCs w:val="22"/>
              </w:rPr>
              <w:t>新会计准则</w:t>
            </w:r>
            <w:r>
              <w:rPr>
                <w:rFonts w:ascii="Arial" w:hAnsi="Arial" w:cs="Arial" w:eastAsia="Arial" w:hint="default"/>
                <w:sz w:val="22"/>
                <w:szCs w:val="22"/>
              </w:rPr>
              <w:t>)</w:t>
            </w:r>
          </w:p>
        </w:tc>
        <w:tc>
          <w:tcPr>
            <w:tcW w:w="5288" w:type="dxa"/>
            <w:gridSpan w:val="3"/>
            <w:tcBorders>
              <w:top w:val="nil" w:sz="6" w:space="0" w:color="auto"/>
              <w:left w:val="nil" w:sz="6" w:space="0" w:color="auto"/>
              <w:bottom w:val="nil" w:sz="6" w:space="0" w:color="auto"/>
              <w:right w:val="nil" w:sz="6" w:space="0" w:color="auto"/>
            </w:tcBorders>
          </w:tcPr>
          <w:p>
            <w:pPr>
              <w:pStyle w:val="TableParagraph"/>
              <w:tabs>
                <w:tab w:pos="860" w:val="left" w:leader="none"/>
                <w:tab w:pos="2550" w:val="left" w:leader="none"/>
                <w:tab w:pos="4263" w:val="left" w:leader="none"/>
                <w:tab w:pos="5252" w:val="left" w:leader="none"/>
              </w:tabs>
              <w:spacing w:line="240" w:lineRule="auto" w:before="11"/>
              <w:ind w:left="65" w:right="0"/>
              <w:jc w:val="lef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r>
            <w:r>
              <w:rPr>
                <w:rFonts w:ascii="Arial"/>
                <w:w w:val="95"/>
                <w:sz w:val="22"/>
                <w:u w:val="thick" w:color="000000"/>
              </w:rPr>
              <w:t>3,276,681</w:t>
              <w:tab/>
              <w:t>3,287,538</w:t>
              <w:tab/>
            </w:r>
            <w:r>
              <w:rPr>
                <w:rFonts w:ascii="Arial"/>
                <w:sz w:val="22"/>
                <w:u w:val="thick" w:color="000000"/>
              </w:rPr>
              <w:t>(10,857)</w:t>
              <w:tab/>
            </w:r>
            <w:r>
              <w:rPr>
                <w:rFonts w:ascii="Arial"/>
                <w:sz w:val="22"/>
              </w:rPr>
            </w:r>
          </w:p>
        </w:tc>
      </w:tr>
    </w:tbl>
    <w:p>
      <w:pPr>
        <w:spacing w:after="0" w:line="240" w:lineRule="auto"/>
        <w:jc w:val="left"/>
        <w:rPr>
          <w:rFonts w:ascii="Arial" w:hAnsi="Arial" w:cs="Arial" w:eastAsia="Arial" w:hint="default"/>
          <w:sz w:val="22"/>
          <w:szCs w:val="22"/>
        </w:rPr>
        <w:sectPr>
          <w:type w:val="continuous"/>
          <w:pgSz w:w="11910" w:h="16840"/>
          <w:pgMar w:top="1600" w:bottom="280" w:left="1020" w:right="54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Heading2"/>
        <w:tabs>
          <w:tab w:pos="947" w:val="left" w:leader="none"/>
        </w:tabs>
        <w:spacing w:line="240" w:lineRule="auto" w:before="193"/>
        <w:ind w:left="247" w:right="0"/>
        <w:jc w:val="left"/>
        <w:rPr>
          <w:rFonts w:ascii="Arial" w:hAnsi="Arial" w:cs="Arial" w:eastAsia="Arial" w:hint="default"/>
          <w:b w:val="0"/>
          <w:bCs w:val="0"/>
        </w:rPr>
      </w:pPr>
      <w:r>
        <w:rPr>
          <w:w w:val="95"/>
        </w:rPr>
        <w:t>十三</w:t>
        <w:tab/>
      </w:r>
      <w:r>
        <w:rPr/>
        <w:t>首次执行企业会计准则</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spacing w:line="322" w:lineRule="exact"/>
        <w:ind w:left="947" w:right="0"/>
        <w:jc w:val="left"/>
      </w:pPr>
      <w:r>
        <w:rPr/>
        <w:t>假定</w:t>
      </w:r>
      <w:r>
        <w:rPr>
          <w:spacing w:val="-65"/>
        </w:rPr>
        <w:t> </w:t>
      </w:r>
      <w:r>
        <w:rPr>
          <w:rFonts w:ascii="Arial" w:hAnsi="Arial" w:cs="Arial" w:eastAsia="Arial" w:hint="default"/>
        </w:rPr>
        <w:t>2006</w:t>
      </w:r>
      <w:r>
        <w:rPr>
          <w:rFonts w:ascii="Arial" w:hAnsi="Arial" w:cs="Arial" w:eastAsia="Arial" w:hint="default"/>
          <w:spacing w:val="-11"/>
        </w:rPr>
        <w:t> </w:t>
      </w:r>
      <w:r>
        <w:rPr/>
        <w:t>年</w:t>
      </w:r>
      <w:r>
        <w:rPr>
          <w:spacing w:val="-65"/>
        </w:rPr>
        <w:t> </w:t>
      </w:r>
      <w:r>
        <w:rPr>
          <w:rFonts w:ascii="Arial" w:hAnsi="Arial" w:cs="Arial" w:eastAsia="Arial" w:hint="default"/>
        </w:rPr>
        <w:t>1</w:t>
      </w:r>
      <w:r>
        <w:rPr>
          <w:rFonts w:ascii="Arial" w:hAnsi="Arial" w:cs="Arial" w:eastAsia="Arial" w:hint="default"/>
          <w:spacing w:val="-12"/>
        </w:rPr>
        <w:t> </w:t>
      </w:r>
      <w:r>
        <w:rPr/>
        <w:t>月</w:t>
      </w:r>
      <w:r>
        <w:rPr>
          <w:spacing w:val="-65"/>
        </w:rPr>
        <w:t> </w:t>
      </w:r>
      <w:r>
        <w:rPr>
          <w:rFonts w:ascii="Arial" w:hAnsi="Arial" w:cs="Arial" w:eastAsia="Arial" w:hint="default"/>
        </w:rPr>
        <w:t>1</w:t>
      </w:r>
      <w:r>
        <w:rPr>
          <w:rFonts w:ascii="Arial" w:hAnsi="Arial" w:cs="Arial" w:eastAsia="Arial" w:hint="default"/>
          <w:spacing w:val="-12"/>
        </w:rPr>
        <w:t> </w:t>
      </w:r>
      <w:r>
        <w:rPr/>
        <w:t>日起全面执行企业会计准则，</w:t>
      </w:r>
      <w:r>
        <w:rPr>
          <w:rFonts w:ascii="Arial" w:hAnsi="Arial" w:cs="Arial" w:eastAsia="Arial" w:hint="default"/>
        </w:rPr>
        <w:t>2006</w:t>
      </w:r>
      <w:r>
        <w:rPr>
          <w:rFonts w:ascii="Arial" w:hAnsi="Arial" w:cs="Arial" w:eastAsia="Arial" w:hint="default"/>
          <w:spacing w:val="-11"/>
        </w:rPr>
        <w:t> </w:t>
      </w:r>
      <w:r>
        <w:rPr/>
        <w:t>年度合并净利润的备考信息如下：</w:t>
      </w:r>
    </w:p>
    <w:p>
      <w:pPr>
        <w:pStyle w:val="BodyText"/>
        <w:spacing w:line="312" w:lineRule="exact" w:before="21"/>
        <w:ind w:left="8878" w:right="223" w:firstLine="286"/>
        <w:jc w:val="both"/>
        <w:rPr>
          <w:rFonts w:ascii="Arial" w:hAnsi="Arial" w:cs="Arial" w:eastAsia="Arial" w:hint="default"/>
        </w:rPr>
      </w:pPr>
      <w:r>
        <w:rPr>
          <w:rFonts w:ascii="Arial" w:hAnsi="Arial" w:cs="Arial" w:eastAsia="Arial" w:hint="default"/>
        </w:rPr>
        <w:t>2006</w:t>
      </w:r>
      <w:r>
        <w:rPr>
          <w:rFonts w:ascii="Arial" w:hAnsi="Arial" w:cs="Arial" w:eastAsia="Arial" w:hint="default"/>
          <w:spacing w:val="-10"/>
        </w:rPr>
        <w:t> </w:t>
      </w:r>
      <w:r>
        <w:rPr/>
        <w:t>年度 合并净利润 </w:t>
      </w:r>
      <w:r>
        <w:rPr>
          <w:rFonts w:ascii="Arial" w:hAnsi="Arial" w:cs="Arial" w:eastAsia="Arial" w:hint="default"/>
        </w:rPr>
        <w:t>(</w:t>
      </w:r>
      <w:r>
        <w:rPr/>
        <w:t>人民币千元</w:t>
      </w:r>
      <w:r>
        <w:rPr>
          <w:rFonts w:ascii="Arial" w:hAnsi="Arial" w:cs="Arial" w:eastAsia="Arial" w:hint="default"/>
        </w:rPr>
        <w:t>)</w:t>
      </w:r>
    </w:p>
    <w:p>
      <w:pPr>
        <w:spacing w:line="240" w:lineRule="auto" w:before="2"/>
        <w:rPr>
          <w:rFonts w:ascii="Arial" w:hAnsi="Arial" w:cs="Arial" w:eastAsia="Arial" w:hint="default"/>
          <w:sz w:val="21"/>
          <w:szCs w:val="21"/>
        </w:rPr>
      </w:pPr>
    </w:p>
    <w:p>
      <w:pPr>
        <w:pStyle w:val="BodyText"/>
        <w:tabs>
          <w:tab w:pos="9339" w:val="left" w:leader="none"/>
        </w:tabs>
        <w:spacing w:line="332" w:lineRule="exact"/>
        <w:ind w:left="947" w:right="0"/>
        <w:jc w:val="left"/>
        <w:rPr>
          <w:rFonts w:ascii="Arial" w:hAnsi="Arial" w:cs="Arial" w:eastAsia="Arial" w:hint="default"/>
        </w:rPr>
      </w:pPr>
      <w:r>
        <w:rPr>
          <w:position w:val="2"/>
        </w:rPr>
        <w:t>按企业会计准则列报的金额</w:t>
        <w:tab/>
      </w:r>
      <w:r>
        <w:rPr>
          <w:rFonts w:ascii="Arial" w:hAnsi="Arial" w:cs="Arial" w:eastAsia="Arial" w:hint="default"/>
        </w:rPr>
        <w:t>797,536</w:t>
      </w:r>
    </w:p>
    <w:p>
      <w:pPr>
        <w:pStyle w:val="BodyText"/>
        <w:tabs>
          <w:tab w:pos="7931" w:val="left" w:leader="none"/>
          <w:tab w:pos="9678" w:val="left" w:leader="none"/>
          <w:tab w:pos="10339" w:val="left" w:leader="none"/>
        </w:tabs>
        <w:spacing w:line="317" w:lineRule="exact"/>
        <w:ind w:left="947" w:right="0"/>
        <w:jc w:val="left"/>
        <w:rPr>
          <w:rFonts w:ascii="Arial" w:hAnsi="Arial" w:cs="Arial" w:eastAsia="Arial" w:hint="default"/>
        </w:rPr>
      </w:pPr>
      <w:r>
        <w:rPr>
          <w:position w:val="2"/>
        </w:rPr>
        <w:t>将开办费于发生时即计入损益表</w:t>
        <w:tab/>
      </w:r>
      <w:r>
        <w:rPr>
          <w:rFonts w:ascii="Arial" w:hAnsi="Arial" w:cs="Arial" w:eastAsia="Arial" w:hint="default"/>
        </w:rPr>
      </w:r>
      <w:r>
        <w:rPr>
          <w:rFonts w:ascii="Arial" w:hAnsi="Arial" w:cs="Arial" w:eastAsia="Arial" w:hint="default"/>
          <w:u w:val="single" w:color="000000"/>
        </w:rPr>
        <w:t> </w:t>
        <w:tab/>
        <w:t>(247)</w:t>
        <w:tab/>
      </w:r>
      <w:r>
        <w:rPr>
          <w:rFonts w:ascii="Arial" w:hAnsi="Arial" w:cs="Arial" w:eastAsia="Arial" w:hint="default"/>
        </w:rPr>
      </w:r>
    </w:p>
    <w:p>
      <w:pPr>
        <w:pStyle w:val="BodyText"/>
        <w:tabs>
          <w:tab w:pos="7924" w:val="left" w:leader="none"/>
          <w:tab w:pos="9339" w:val="left" w:leader="none"/>
          <w:tab w:pos="10346" w:val="left" w:leader="none"/>
        </w:tabs>
        <w:spacing w:line="336" w:lineRule="exact"/>
        <w:ind w:left="947" w:right="0"/>
        <w:jc w:val="left"/>
        <w:rPr>
          <w:rFonts w:ascii="Arial" w:hAnsi="Arial" w:cs="Arial" w:eastAsia="Arial" w:hint="default"/>
        </w:rPr>
      </w:pPr>
      <w:r>
        <w:rPr>
          <w:position w:val="2"/>
        </w:rPr>
        <w:t>假定</w:t>
      </w:r>
      <w:r>
        <w:rPr>
          <w:spacing w:val="-61"/>
          <w:position w:val="2"/>
        </w:rPr>
        <w:t> </w:t>
      </w:r>
      <w:r>
        <w:rPr>
          <w:rFonts w:ascii="Arial" w:hAnsi="Arial" w:cs="Arial" w:eastAsia="Arial" w:hint="default"/>
          <w:position w:val="2"/>
        </w:rPr>
        <w:t>2006</w:t>
      </w:r>
      <w:r>
        <w:rPr>
          <w:rFonts w:ascii="Arial" w:hAnsi="Arial" w:cs="Arial" w:eastAsia="Arial" w:hint="default"/>
          <w:spacing w:val="-7"/>
          <w:position w:val="2"/>
        </w:rPr>
        <w:t> </w:t>
      </w:r>
      <w:r>
        <w:rPr>
          <w:position w:val="2"/>
        </w:rPr>
        <w:t>年</w:t>
      </w:r>
      <w:r>
        <w:rPr>
          <w:spacing w:val="-61"/>
          <w:position w:val="2"/>
        </w:rPr>
        <w:t> </w:t>
      </w:r>
      <w:r>
        <w:rPr>
          <w:rFonts w:ascii="Arial" w:hAnsi="Arial" w:cs="Arial" w:eastAsia="Arial" w:hint="default"/>
          <w:position w:val="2"/>
        </w:rPr>
        <w:t>1</w:t>
      </w:r>
      <w:r>
        <w:rPr>
          <w:rFonts w:ascii="Arial" w:hAnsi="Arial" w:cs="Arial" w:eastAsia="Arial" w:hint="default"/>
          <w:spacing w:val="-8"/>
          <w:position w:val="2"/>
        </w:rPr>
        <w:t> </w:t>
      </w:r>
      <w:r>
        <w:rPr>
          <w:position w:val="2"/>
        </w:rPr>
        <w:t>月</w:t>
      </w:r>
      <w:r>
        <w:rPr>
          <w:spacing w:val="-61"/>
          <w:position w:val="2"/>
        </w:rPr>
        <w:t> </w:t>
      </w:r>
      <w:r>
        <w:rPr>
          <w:rFonts w:ascii="Arial" w:hAnsi="Arial" w:cs="Arial" w:eastAsia="Arial" w:hint="default"/>
          <w:position w:val="2"/>
        </w:rPr>
        <w:t>1</w:t>
      </w:r>
      <w:r>
        <w:rPr>
          <w:rFonts w:ascii="Arial" w:hAnsi="Arial" w:cs="Arial" w:eastAsia="Arial" w:hint="default"/>
          <w:spacing w:val="-8"/>
          <w:position w:val="2"/>
        </w:rPr>
        <w:t> </w:t>
      </w:r>
      <w:r>
        <w:rPr>
          <w:position w:val="2"/>
        </w:rPr>
        <w:t>日起全面执行新会计准则的模拟金额</w:t>
        <w:tab/>
      </w:r>
      <w:r>
        <w:rPr>
          <w:rFonts w:ascii="Arial" w:hAnsi="Arial" w:cs="Arial" w:eastAsia="Arial" w:hint="default"/>
        </w:rPr>
      </w:r>
      <w:r>
        <w:rPr>
          <w:rFonts w:ascii="Arial" w:hAnsi="Arial" w:cs="Arial" w:eastAsia="Arial" w:hint="default"/>
          <w:u w:val="thick" w:color="000000"/>
        </w:rPr>
        <w:t> </w:t>
        <w:tab/>
        <w:t>797,289</w:t>
        <w:tab/>
      </w:r>
      <w:r>
        <w:rPr>
          <w:rFonts w:ascii="Arial" w:hAnsi="Arial" w:cs="Arial" w:eastAsia="Arial" w:hint="default"/>
        </w:rPr>
      </w:r>
    </w:p>
    <w:p>
      <w:pPr>
        <w:spacing w:line="240" w:lineRule="auto" w:before="1"/>
        <w:rPr>
          <w:rFonts w:ascii="Arial" w:hAnsi="Arial" w:cs="Arial" w:eastAsia="Arial" w:hint="default"/>
          <w:sz w:val="21"/>
          <w:szCs w:val="21"/>
        </w:rPr>
      </w:pPr>
    </w:p>
    <w:p>
      <w:pPr>
        <w:pStyle w:val="Heading2"/>
        <w:tabs>
          <w:tab w:pos="947" w:val="left" w:leader="none"/>
        </w:tabs>
        <w:spacing w:line="240" w:lineRule="auto"/>
        <w:ind w:left="247" w:right="0"/>
        <w:jc w:val="left"/>
        <w:rPr>
          <w:b w:val="0"/>
          <w:bCs w:val="0"/>
        </w:rPr>
      </w:pPr>
      <w:r>
        <w:rPr>
          <w:w w:val="95"/>
        </w:rPr>
        <w:t>十四</w:t>
        <w:tab/>
      </w:r>
      <w:r>
        <w:rPr/>
        <w:t>扣除非经常性损益后的净利润</w:t>
      </w:r>
      <w:r>
        <w:rPr>
          <w:b w:val="0"/>
          <w:bCs w:val="0"/>
        </w:rPr>
      </w:r>
    </w:p>
    <w:p>
      <w:pPr>
        <w:spacing w:line="240" w:lineRule="auto" w:before="12"/>
        <w:rPr>
          <w:rFonts w:ascii="宋体" w:hAnsi="宋体" w:cs="宋体" w:eastAsia="宋体" w:hint="default"/>
          <w:b/>
          <w:bCs/>
          <w:sz w:val="18"/>
          <w:szCs w:val="18"/>
        </w:rPr>
      </w:pPr>
    </w:p>
    <w:p>
      <w:pPr>
        <w:pStyle w:val="BodyText"/>
        <w:tabs>
          <w:tab w:pos="1841" w:val="left" w:leader="none"/>
        </w:tabs>
        <w:spacing w:line="322" w:lineRule="exact" w:before="26"/>
        <w:ind w:left="0" w:right="208"/>
        <w:jc w:val="right"/>
      </w:pPr>
      <w:r>
        <w:rPr>
          <w:rFonts w:ascii="Arial" w:hAnsi="Arial" w:cs="Arial" w:eastAsia="Arial" w:hint="default"/>
        </w:rPr>
        <w:t>2007</w:t>
      </w:r>
      <w:r>
        <w:rPr>
          <w:rFonts w:ascii="Arial" w:hAnsi="Arial" w:cs="Arial" w:eastAsia="Arial" w:hint="default"/>
          <w:spacing w:val="-10"/>
        </w:rPr>
        <w:t> </w:t>
      </w:r>
      <w:r>
        <w:rPr/>
        <w:t>年度</w:t>
        <w:tab/>
      </w:r>
      <w:r>
        <w:rPr>
          <w:rFonts w:ascii="Arial" w:hAnsi="Arial" w:cs="Arial" w:eastAsia="Arial" w:hint="default"/>
        </w:rPr>
        <w:t>2006</w:t>
      </w:r>
      <w:r>
        <w:rPr>
          <w:rFonts w:ascii="Arial" w:hAnsi="Arial" w:cs="Arial" w:eastAsia="Arial" w:hint="default"/>
          <w:spacing w:val="-10"/>
        </w:rPr>
        <w:t> </w:t>
      </w:r>
      <w:r>
        <w:rPr/>
        <w:t>年度</w:t>
      </w:r>
    </w:p>
    <w:p>
      <w:pPr>
        <w:pStyle w:val="BodyText"/>
        <w:tabs>
          <w:tab w:pos="1841" w:val="left" w:leader="none"/>
        </w:tabs>
        <w:spacing w:line="322" w:lineRule="exact"/>
        <w:ind w:left="0" w:right="208"/>
        <w:jc w:val="righ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tab/>
        <w:t>(</w:t>
      </w:r>
      <w:r>
        <w:rPr/>
        <w:t>人民币千元</w:t>
      </w:r>
      <w:r>
        <w:rPr>
          <w:rFonts w:ascii="Arial" w:hAnsi="Arial" w:cs="Arial" w:eastAsia="Arial" w:hint="default"/>
        </w:rPr>
        <w:t>)</w:t>
      </w:r>
    </w:p>
    <w:p>
      <w:pPr>
        <w:spacing w:line="240" w:lineRule="auto" w:before="2"/>
        <w:rPr>
          <w:rFonts w:ascii="Arial" w:hAnsi="Arial" w:cs="Arial" w:eastAsia="Arial" w:hint="default"/>
          <w:sz w:val="22"/>
          <w:szCs w:val="22"/>
        </w:rPr>
      </w:pPr>
    </w:p>
    <w:p>
      <w:pPr>
        <w:pStyle w:val="BodyText"/>
        <w:tabs>
          <w:tab w:pos="6397" w:val="left" w:leader="none"/>
          <w:tab w:pos="8343" w:val="left" w:leader="none"/>
        </w:tabs>
        <w:spacing w:line="333" w:lineRule="exact"/>
        <w:ind w:left="0" w:right="304"/>
        <w:jc w:val="right"/>
        <w:rPr>
          <w:rFonts w:ascii="Arial" w:hAnsi="Arial" w:cs="Arial" w:eastAsia="Arial" w:hint="default"/>
        </w:rPr>
      </w:pPr>
      <w:r>
        <w:rPr>
          <w:position w:val="2"/>
        </w:rPr>
        <w:t>归属于母公司股东的净利润</w:t>
        <w:tab/>
      </w:r>
      <w:r>
        <w:rPr>
          <w:rFonts w:ascii="Arial" w:hAnsi="Arial" w:cs="Arial" w:eastAsia="Arial" w:hint="default"/>
          <w:spacing w:val="-1"/>
        </w:rPr>
        <w:t>1,465,426</w:t>
        <w:tab/>
        <w:t>757,636</w:t>
      </w:r>
      <w:r>
        <w:rPr>
          <w:rFonts w:ascii="Arial" w:hAnsi="Arial" w:cs="Arial" w:eastAsia="Arial" w:hint="default"/>
        </w:rPr>
      </w:r>
    </w:p>
    <w:p>
      <w:pPr>
        <w:pStyle w:val="BodyText"/>
        <w:spacing w:line="302" w:lineRule="exact"/>
        <w:ind w:left="947" w:right="0"/>
        <w:jc w:val="left"/>
      </w:pPr>
      <w:r>
        <w:rPr/>
        <w:t>加</w:t>
      </w:r>
      <w:r>
        <w:rPr>
          <w:rFonts w:ascii="Arial" w:hAnsi="Arial" w:cs="Arial" w:eastAsia="Arial" w:hint="default"/>
        </w:rPr>
        <w:t>(</w:t>
      </w:r>
      <w:r>
        <w:rPr/>
        <w:t>减</w:t>
      </w:r>
      <w:r>
        <w:rPr>
          <w:rFonts w:ascii="Arial" w:hAnsi="Arial" w:cs="Arial" w:eastAsia="Arial" w:hint="default"/>
        </w:rPr>
        <w:t>)</w:t>
      </w:r>
      <w:r>
        <w:rPr/>
        <w:t>：非经常性损益项目</w:t>
      </w:r>
    </w:p>
    <w:p>
      <w:pPr>
        <w:pStyle w:val="BodyText"/>
        <w:tabs>
          <w:tab w:pos="6099" w:val="left" w:leader="none"/>
          <w:tab w:pos="7978" w:val="left" w:leader="none"/>
        </w:tabs>
        <w:spacing w:line="321" w:lineRule="exact"/>
        <w:ind w:left="0" w:right="223"/>
        <w:jc w:val="right"/>
        <w:rPr>
          <w:rFonts w:ascii="Arial" w:hAnsi="Arial" w:cs="Arial" w:eastAsia="Arial" w:hint="default"/>
        </w:rPr>
      </w:pPr>
      <w:r>
        <w:rPr>
          <w:rFonts w:ascii="Arial" w:hAnsi="Arial" w:cs="Arial" w:eastAsia="Arial" w:hint="default"/>
          <w:position w:val="2"/>
        </w:rPr>
        <w:t>-</w:t>
      </w:r>
      <w:r>
        <w:rPr>
          <w:position w:val="2"/>
        </w:rPr>
        <w:t>非流动资产处置损益</w:t>
        <w:tab/>
      </w:r>
      <w:r>
        <w:rPr>
          <w:rFonts w:ascii="Arial" w:hAnsi="Arial" w:cs="Arial" w:eastAsia="Arial" w:hint="default"/>
          <w:spacing w:val="-1"/>
        </w:rPr>
        <w:t>(109)</w:t>
        <w:tab/>
      </w:r>
      <w:r>
        <w:rPr>
          <w:rFonts w:ascii="Arial" w:hAnsi="Arial" w:cs="Arial" w:eastAsia="Arial" w:hint="default"/>
          <w:spacing w:val="-1"/>
          <w:w w:val="95"/>
        </w:rPr>
        <w:t>(45)</w:t>
      </w:r>
      <w:r>
        <w:rPr>
          <w:rFonts w:ascii="Arial" w:hAnsi="Arial" w:cs="Arial" w:eastAsia="Arial" w:hint="default"/>
          <w:w w:val="95"/>
        </w:rPr>
      </w:r>
    </w:p>
    <w:p>
      <w:pPr>
        <w:pStyle w:val="BodyText"/>
        <w:tabs>
          <w:tab w:pos="5899" w:val="left" w:leader="none"/>
          <w:tab w:pos="7644" w:val="left" w:leader="none"/>
        </w:tabs>
        <w:spacing w:line="312" w:lineRule="exact"/>
        <w:ind w:left="0" w:right="223"/>
        <w:jc w:val="right"/>
        <w:rPr>
          <w:rFonts w:ascii="Arial" w:hAnsi="Arial" w:cs="Arial" w:eastAsia="Arial" w:hint="default"/>
        </w:rPr>
      </w:pPr>
      <w:r>
        <w:rPr>
          <w:rFonts w:ascii="Arial" w:hAnsi="Arial" w:cs="Arial" w:eastAsia="Arial" w:hint="default"/>
          <w:position w:val="2"/>
        </w:rPr>
        <w:t>-</w:t>
      </w:r>
      <w:r>
        <w:rPr>
          <w:rFonts w:ascii="Arial" w:hAnsi="Arial" w:cs="Arial" w:eastAsia="Arial" w:hint="default"/>
          <w:spacing w:val="53"/>
          <w:position w:val="2"/>
        </w:rPr>
        <w:t> </w:t>
      </w:r>
      <w:r>
        <w:rPr>
          <w:position w:val="2"/>
        </w:rPr>
        <w:t>各种形式的政府补贴</w:t>
        <w:tab/>
      </w:r>
      <w:r>
        <w:rPr>
          <w:rFonts w:ascii="Arial" w:hAnsi="Arial" w:cs="Arial" w:eastAsia="Arial" w:hint="default"/>
        </w:rPr>
        <w:t>(8,442)</w:t>
        <w:tab/>
        <w:t>(5,909)</w:t>
      </w:r>
    </w:p>
    <w:p>
      <w:pPr>
        <w:pStyle w:val="BodyText"/>
        <w:tabs>
          <w:tab w:pos="5765" w:val="left" w:leader="none"/>
          <w:tab w:pos="7644" w:val="left" w:leader="none"/>
        </w:tabs>
        <w:spacing w:line="312" w:lineRule="exact"/>
        <w:ind w:left="0" w:right="224"/>
        <w:jc w:val="right"/>
        <w:rPr>
          <w:rFonts w:ascii="Arial" w:hAnsi="Arial" w:cs="Arial" w:eastAsia="Arial" w:hint="default"/>
        </w:rPr>
      </w:pPr>
      <w:r>
        <w:rPr>
          <w:rFonts w:ascii="Arial" w:hAnsi="Arial" w:cs="Arial" w:eastAsia="Arial" w:hint="default"/>
          <w:position w:val="2"/>
        </w:rPr>
        <w:t>-</w:t>
      </w:r>
      <w:r>
        <w:rPr>
          <w:rFonts w:ascii="Arial" w:hAnsi="Arial" w:cs="Arial" w:eastAsia="Arial" w:hint="default"/>
          <w:spacing w:val="53"/>
          <w:position w:val="2"/>
        </w:rPr>
        <w:t> </w:t>
      </w:r>
      <w:r>
        <w:rPr>
          <w:position w:val="2"/>
        </w:rPr>
        <w:t>其他营业外收入</w:t>
        <w:tab/>
      </w:r>
      <w:r>
        <w:rPr>
          <w:rFonts w:ascii="Arial" w:hAnsi="Arial" w:cs="Arial" w:eastAsia="Arial" w:hint="default"/>
          <w:spacing w:val="-1"/>
        </w:rPr>
        <w:t>(26,669)</w:t>
        <w:tab/>
        <w:t>(7,382)</w:t>
      </w:r>
      <w:r>
        <w:rPr>
          <w:rFonts w:ascii="Arial" w:hAnsi="Arial" w:cs="Arial" w:eastAsia="Arial" w:hint="default"/>
        </w:rPr>
      </w:r>
    </w:p>
    <w:p>
      <w:pPr>
        <w:pStyle w:val="BodyText"/>
        <w:tabs>
          <w:tab w:pos="6833" w:val="left" w:leader="none"/>
          <w:tab w:pos="7679" w:val="left" w:leader="none"/>
          <w:tab w:pos="8751" w:val="left" w:leader="none"/>
          <w:tab w:pos="9425" w:val="left" w:leader="none"/>
          <w:tab w:pos="10355" w:val="left" w:leader="none"/>
        </w:tabs>
        <w:spacing w:line="332" w:lineRule="exact"/>
        <w:ind w:left="1833" w:right="0"/>
        <w:jc w:val="left"/>
        <w:rPr>
          <w:rFonts w:ascii="Arial" w:hAnsi="Arial" w:cs="Arial" w:eastAsia="Arial" w:hint="default"/>
        </w:rPr>
      </w:pPr>
      <w:r>
        <w:rPr>
          <w:rFonts w:ascii="Arial" w:hAnsi="Arial" w:cs="Arial" w:eastAsia="Arial" w:hint="default"/>
          <w:position w:val="2"/>
        </w:rPr>
        <w:t>-</w:t>
      </w:r>
      <w:r>
        <w:rPr>
          <w:rFonts w:ascii="Arial" w:hAnsi="Arial" w:cs="Arial" w:eastAsia="Arial" w:hint="default"/>
          <w:spacing w:val="53"/>
          <w:position w:val="2"/>
        </w:rPr>
        <w:t> </w:t>
      </w:r>
      <w:r>
        <w:rPr>
          <w:position w:val="2"/>
        </w:rPr>
        <w:t>其他营业外支出</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43,922</w:t>
      </w:r>
      <w:r>
        <w:rPr>
          <w:rFonts w:ascii="Arial" w:hAnsi="Arial" w:cs="Arial" w:eastAsia="Arial" w:hint="default"/>
          <w:spacing w:val="-1"/>
        </w:rPr>
        <w:tab/>
      </w:r>
      <w:r>
        <w:rPr>
          <w:rFonts w:ascii="Arial" w:hAnsi="Arial" w:cs="Arial" w:eastAsia="Arial" w:hint="default"/>
          <w:spacing w:val="-1"/>
          <w:u w:val="single" w:color="000000"/>
        </w:rPr>
        <w:t> </w:t>
        <w:tab/>
        <w:t>13,020</w:t>
        <w:tab/>
      </w:r>
      <w:r>
        <w:rPr>
          <w:rFonts w:ascii="Arial" w:hAnsi="Arial" w:cs="Arial" w:eastAsia="Arial" w:hint="default"/>
          <w:spacing w:val="-1"/>
        </w:rPr>
      </w:r>
    </w:p>
    <w:p>
      <w:pPr>
        <w:spacing w:line="240" w:lineRule="auto" w:before="5"/>
        <w:rPr>
          <w:rFonts w:ascii="Arial" w:hAnsi="Arial" w:cs="Arial" w:eastAsia="Arial" w:hint="default"/>
          <w:sz w:val="19"/>
          <w:szCs w:val="19"/>
        </w:rPr>
      </w:pPr>
    </w:p>
    <w:p>
      <w:pPr>
        <w:pStyle w:val="BodyText"/>
        <w:spacing w:line="312" w:lineRule="exact" w:before="26"/>
        <w:ind w:left="2001" w:right="0"/>
        <w:jc w:val="left"/>
      </w:pPr>
      <w:r>
        <w:rPr>
          <w:spacing w:val="9"/>
        </w:rPr>
        <w:t>非经常性损益的所得税及少数股东损益影响</w:t>
      </w:r>
      <w:r>
        <w:rPr/>
      </w:r>
    </w:p>
    <w:p>
      <w:pPr>
        <w:pStyle w:val="BodyText"/>
        <w:tabs>
          <w:tab w:pos="6833" w:val="left" w:leader="none"/>
          <w:tab w:pos="7732" w:val="left" w:leader="none"/>
          <w:tab w:pos="8751" w:val="left" w:leader="none"/>
          <w:tab w:pos="9758" w:val="left" w:leader="none"/>
          <w:tab w:pos="10355" w:val="left" w:leader="none"/>
        </w:tabs>
        <w:spacing w:line="349" w:lineRule="exact"/>
        <w:ind w:left="2169" w:right="0"/>
        <w:jc w:val="left"/>
        <w:rPr>
          <w:rFonts w:ascii="Arial" w:hAnsi="Arial" w:cs="Arial" w:eastAsia="Arial" w:hint="default"/>
        </w:rPr>
      </w:pPr>
      <w:r>
        <w:rPr>
          <w:position w:val="2"/>
        </w:rPr>
        <w:t>数</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(8,094)</w:t>
      </w:r>
      <w:r>
        <w:rPr>
          <w:rFonts w:ascii="Arial" w:hAnsi="Arial" w:cs="Arial" w:eastAsia="Arial" w:hint="default"/>
          <w:spacing w:val="-1"/>
        </w:rPr>
        <w:tab/>
      </w:r>
      <w:r>
        <w:rPr>
          <w:rFonts w:ascii="Arial" w:hAnsi="Arial" w:cs="Arial" w:eastAsia="Arial" w:hint="default"/>
          <w:spacing w:val="-1"/>
          <w:u w:val="single" w:color="000000"/>
        </w:rPr>
        <w:t> </w:t>
        <w:tab/>
        <w:t>177</w:t>
        <w:tab/>
      </w:r>
      <w:r>
        <w:rPr>
          <w:rFonts w:ascii="Arial" w:hAnsi="Arial" w:cs="Arial" w:eastAsia="Arial" w:hint="default"/>
          <w:spacing w:val="-1"/>
        </w:rPr>
      </w:r>
    </w:p>
    <w:p>
      <w:pPr>
        <w:spacing w:line="240" w:lineRule="auto" w:before="4"/>
        <w:rPr>
          <w:rFonts w:ascii="Arial" w:hAnsi="Arial" w:cs="Arial" w:eastAsia="Arial" w:hint="default"/>
          <w:sz w:val="19"/>
          <w:szCs w:val="19"/>
        </w:rPr>
      </w:pPr>
    </w:p>
    <w:p>
      <w:pPr>
        <w:pStyle w:val="BodyText"/>
        <w:tabs>
          <w:tab w:pos="6833" w:val="left" w:leader="none"/>
          <w:tab w:pos="7344" w:val="left" w:leader="none"/>
          <w:tab w:pos="8751" w:val="left" w:leader="none"/>
          <w:tab w:pos="9291" w:val="left" w:leader="none"/>
          <w:tab w:pos="10355" w:val="left" w:leader="none"/>
        </w:tabs>
        <w:spacing w:line="240" w:lineRule="auto" w:before="24"/>
        <w:ind w:left="947" w:right="0"/>
        <w:jc w:val="left"/>
        <w:rPr>
          <w:rFonts w:ascii="Arial" w:hAnsi="Arial" w:cs="Arial" w:eastAsia="Arial" w:hint="default"/>
        </w:rPr>
      </w:pPr>
      <w:r>
        <w:rPr>
          <w:position w:val="2"/>
        </w:rPr>
        <w:t>扣除非经常性损益后的净利润</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1,466,034</w:t>
      </w:r>
      <w:r>
        <w:rPr>
          <w:rFonts w:ascii="Arial" w:hAnsi="Arial" w:cs="Arial" w:eastAsia="Arial" w:hint="default"/>
          <w:spacing w:val="-1"/>
        </w:rPr>
        <w:tab/>
      </w:r>
      <w:r>
        <w:rPr>
          <w:rFonts w:ascii="Arial" w:hAnsi="Arial" w:cs="Arial" w:eastAsia="Arial" w:hint="default"/>
          <w:spacing w:val="-1"/>
          <w:u w:val="thick" w:color="000000"/>
        </w:rPr>
        <w:t> </w:t>
        <w:tab/>
        <w:t>757,497</w:t>
        <w:tab/>
      </w:r>
      <w:r>
        <w:rPr>
          <w:rFonts w:ascii="Arial" w:hAnsi="Arial" w:cs="Arial" w:eastAsia="Arial" w:hint="default"/>
          <w:spacing w:val="-1"/>
        </w:rPr>
      </w:r>
    </w:p>
    <w:p>
      <w:pPr>
        <w:spacing w:line="240" w:lineRule="auto" w:before="7"/>
        <w:rPr>
          <w:rFonts w:ascii="Arial" w:hAnsi="Arial" w:cs="Arial" w:eastAsia="Arial" w:hint="default"/>
          <w:sz w:val="20"/>
          <w:szCs w:val="20"/>
        </w:rPr>
      </w:pPr>
    </w:p>
    <w:p>
      <w:pPr>
        <w:pStyle w:val="BodyText"/>
        <w:tabs>
          <w:tab w:pos="947" w:val="left" w:leader="none"/>
        </w:tabs>
        <w:spacing w:line="240" w:lineRule="auto" w:before="32"/>
        <w:ind w:left="247" w:right="0"/>
        <w:jc w:val="left"/>
      </w:pPr>
      <w:r>
        <w:rPr>
          <w:rFonts w:ascii="Arial" w:hAnsi="Arial" w:cs="Arial" w:eastAsia="Arial" w:hint="default"/>
          <w:position w:val="2"/>
        </w:rPr>
        <w:t>(1)</w:t>
        <w:tab/>
      </w:r>
      <w:r>
        <w:rPr/>
        <w:t>非经常性损益明细表编制基础</w:t>
      </w:r>
    </w:p>
    <w:p>
      <w:pPr>
        <w:spacing w:line="240" w:lineRule="auto" w:before="4"/>
        <w:rPr>
          <w:rFonts w:ascii="宋体" w:hAnsi="宋体" w:cs="宋体" w:eastAsia="宋体" w:hint="default"/>
          <w:sz w:val="23"/>
          <w:szCs w:val="23"/>
        </w:rPr>
      </w:pPr>
    </w:p>
    <w:p>
      <w:pPr>
        <w:pStyle w:val="BodyText"/>
        <w:spacing w:line="312" w:lineRule="exact"/>
        <w:ind w:left="947" w:right="205"/>
        <w:jc w:val="both"/>
      </w:pPr>
      <w:r>
        <w:rPr/>
        <w:t>根据《公开发行证券公司信息披露规范问答第</w:t>
      </w:r>
      <w:r>
        <w:rPr>
          <w:spacing w:val="-80"/>
        </w:rPr>
        <w:t> </w:t>
      </w:r>
      <w:r>
        <w:rPr>
          <w:rFonts w:ascii="Arial" w:hAnsi="Arial" w:cs="Arial" w:eastAsia="Arial" w:hint="default"/>
        </w:rPr>
        <w:t>01</w:t>
      </w:r>
      <w:r>
        <w:rPr>
          <w:rFonts w:ascii="Arial" w:hAnsi="Arial" w:cs="Arial" w:eastAsia="Arial" w:hint="default"/>
          <w:spacing w:val="-27"/>
        </w:rPr>
        <w:t> </w:t>
      </w:r>
      <w:r>
        <w:rPr/>
        <w:t>号</w:t>
      </w:r>
      <w:r>
        <w:rPr>
          <w:rFonts w:ascii="Arial" w:hAnsi="Arial" w:cs="Arial" w:eastAsia="Arial" w:hint="default"/>
        </w:rPr>
        <w:t>-</w:t>
      </w:r>
      <w:r>
        <w:rPr/>
        <w:t>非经常性损益》的规定，非经常性损 </w:t>
      </w:r>
      <w:r>
        <w:rPr>
          <w:spacing w:val="-2"/>
        </w:rPr>
        <w:t>益是指公司发生的与经营业务无直接关系，以及虽与经营业务相关，但由于其性质、金额</w:t>
      </w:r>
      <w:r>
        <w:rPr>
          <w:spacing w:val="-93"/>
        </w:rPr>
        <w:t> </w:t>
      </w:r>
      <w:r>
        <w:rPr>
          <w:spacing w:val="-93"/>
        </w:rPr>
      </w:r>
      <w:r>
        <w:rPr/>
        <w:t>或发生频率，影响了正常反映公司经营、盈利能力的各项交易、事项产生的损益。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tabs>
          <w:tab w:pos="815" w:val="left" w:leader="none"/>
        </w:tabs>
        <w:spacing w:line="240" w:lineRule="auto" w:before="214"/>
        <w:ind w:left="115" w:right="0"/>
        <w:jc w:val="left"/>
        <w:rPr>
          <w:b w:val="0"/>
          <w:bCs w:val="0"/>
        </w:rPr>
      </w:pPr>
      <w:r>
        <w:rPr>
          <w:w w:val="95"/>
        </w:rPr>
        <w:t>十五</w:t>
        <w:tab/>
      </w:r>
      <w:r>
        <w:rPr/>
        <w:t>或有事项</w:t>
      </w:r>
      <w:r>
        <w:rPr>
          <w:b w:val="0"/>
          <w:bCs w:val="0"/>
        </w:rPr>
      </w:r>
    </w:p>
    <w:p>
      <w:pPr>
        <w:spacing w:line="240" w:lineRule="auto" w:before="12"/>
        <w:rPr>
          <w:rFonts w:ascii="宋体" w:hAnsi="宋体" w:cs="宋体" w:eastAsia="宋体" w:hint="default"/>
          <w:b/>
          <w:bCs/>
          <w:sz w:val="20"/>
          <w:szCs w:val="20"/>
        </w:rPr>
      </w:pPr>
    </w:p>
    <w:p>
      <w:pPr>
        <w:tabs>
          <w:tab w:pos="815" w:val="left" w:leader="none"/>
        </w:tabs>
        <w:spacing w:line="427" w:lineRule="auto" w:before="0"/>
        <w:ind w:left="115" w:right="4378" w:firstLine="699"/>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2007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日，本集团无重大或有事项。 </w:t>
      </w:r>
      <w:r>
        <w:rPr>
          <w:rFonts w:ascii="宋体" w:hAnsi="宋体" w:cs="宋体" w:eastAsia="宋体" w:hint="default"/>
          <w:b/>
          <w:bCs/>
          <w:w w:val="95"/>
          <w:sz w:val="24"/>
          <w:szCs w:val="24"/>
        </w:rPr>
        <w:t>十六</w:t>
        <w:tab/>
      </w:r>
      <w:r>
        <w:rPr>
          <w:rFonts w:ascii="宋体" w:hAnsi="宋体" w:cs="宋体" w:eastAsia="宋体" w:hint="default"/>
          <w:b/>
          <w:bCs/>
          <w:sz w:val="24"/>
          <w:szCs w:val="24"/>
        </w:rPr>
        <w:t>资产负债表日后事项</w:t>
      </w:r>
      <w:r>
        <w:rPr>
          <w:rFonts w:ascii="宋体" w:hAnsi="宋体" w:cs="宋体" w:eastAsia="宋体" w:hint="default"/>
          <w:sz w:val="24"/>
          <w:szCs w:val="24"/>
        </w:rPr>
      </w:r>
    </w:p>
    <w:p>
      <w:pPr>
        <w:pStyle w:val="BodyText"/>
        <w:spacing w:line="240" w:lineRule="auto" w:before="86"/>
        <w:ind w:left="815" w:right="0"/>
        <w:jc w:val="left"/>
      </w:pPr>
      <w:r>
        <w:rPr/>
        <w:t>截止本财务报表经董事会批准报出之日，本集团无重大资产负债表日后事项。</w:t>
      </w:r>
    </w:p>
    <w:p>
      <w:pPr>
        <w:spacing w:after="0" w:line="240" w:lineRule="auto"/>
        <w:jc w:val="left"/>
        <w:sectPr>
          <w:pgSz w:w="11910" w:h="16840"/>
          <w:pgMar w:header="748" w:footer="708" w:top="980" w:bottom="900" w:left="880" w:right="560"/>
        </w:sectPr>
      </w:pPr>
    </w:p>
    <w:p>
      <w:pPr>
        <w:spacing w:line="240" w:lineRule="auto" w:before="0"/>
        <w:rPr>
          <w:rFonts w:ascii="宋体" w:hAnsi="宋体" w:cs="宋体" w:eastAsia="宋体" w:hint="default"/>
          <w:sz w:val="20"/>
          <w:szCs w:val="20"/>
        </w:rPr>
      </w:pPr>
    </w:p>
    <w:p>
      <w:pPr>
        <w:spacing w:before="132"/>
        <w:ind w:left="1927" w:right="1933" w:firstLine="0"/>
        <w:jc w:val="center"/>
        <w:rPr>
          <w:rFonts w:ascii="宋体" w:hAnsi="宋体" w:cs="宋体" w:eastAsia="宋体" w:hint="default"/>
          <w:sz w:val="36"/>
          <w:szCs w:val="36"/>
        </w:rPr>
      </w:pPr>
      <w:r>
        <w:rPr>
          <w:rFonts w:ascii="宋体" w:hAnsi="宋体" w:cs="宋体" w:eastAsia="宋体" w:hint="default"/>
          <w:b/>
          <w:bCs/>
          <w:sz w:val="36"/>
          <w:szCs w:val="36"/>
        </w:rPr>
        <w:t>苏宁电器股份有限公司</w:t>
      </w:r>
      <w:r>
        <w:rPr>
          <w:rFonts w:ascii="宋体" w:hAnsi="宋体" w:cs="宋体" w:eastAsia="宋体" w:hint="default"/>
          <w:sz w:val="36"/>
          <w:szCs w:val="36"/>
        </w:rPr>
      </w:r>
    </w:p>
    <w:p>
      <w:pPr>
        <w:spacing w:before="1"/>
        <w:ind w:left="1927" w:right="1936" w:firstLine="0"/>
        <w:jc w:val="center"/>
        <w:rPr>
          <w:rFonts w:ascii="宋体" w:hAnsi="宋体" w:cs="宋体" w:eastAsia="宋体" w:hint="default"/>
          <w:sz w:val="32"/>
          <w:szCs w:val="32"/>
        </w:rPr>
      </w:pPr>
      <w:r>
        <w:rPr>
          <w:rFonts w:ascii="宋体" w:hAnsi="宋体" w:cs="宋体" w:eastAsia="宋体" w:hint="default"/>
          <w:b/>
          <w:bCs/>
          <w:sz w:val="32"/>
          <w:szCs w:val="32"/>
        </w:rPr>
        <w:t>二零零七年度管理层提供的补充资料</w:t>
      </w:r>
      <w:r>
        <w:rPr>
          <w:rFonts w:ascii="宋体" w:hAnsi="宋体" w:cs="宋体" w:eastAsia="宋体" w:hint="default"/>
          <w:sz w:val="32"/>
          <w:szCs w:val="32"/>
        </w:rPr>
      </w:r>
    </w:p>
    <w:p>
      <w:pPr>
        <w:pStyle w:val="BodyText"/>
        <w:spacing w:line="240" w:lineRule="auto" w:before="10"/>
        <w:ind w:left="1927" w:right="1932"/>
        <w:jc w:val="center"/>
      </w:pPr>
      <w:r>
        <w:rPr/>
        <w:t>（除特别注明外，金额单位为人民币千元）</w:t>
      </w:r>
    </w:p>
    <w:p>
      <w:pPr>
        <w:pStyle w:val="BodyText"/>
        <w:spacing w:line="240" w:lineRule="auto" w:before="154"/>
        <w:ind w:left="149" w:right="0"/>
        <w:jc w:val="left"/>
      </w:pPr>
      <w:r>
        <w:rPr>
          <w:rFonts w:ascii="Arial" w:hAnsi="Arial" w:cs="Arial" w:eastAsia="Arial" w:hint="default"/>
        </w:rPr>
        <w:t>(1)</w:t>
      </w:r>
      <w:r>
        <w:rPr>
          <w:rFonts w:ascii="Arial" w:hAnsi="Arial" w:cs="Arial" w:eastAsia="Arial" w:hint="default"/>
          <w:spacing w:val="29"/>
        </w:rPr>
        <w:t> </w:t>
      </w:r>
      <w:r>
        <w:rPr/>
        <w:t>全面摊薄和加权平均计算的净资产收益率及每股收益</w:t>
      </w:r>
    </w:p>
    <w:p>
      <w:pPr>
        <w:spacing w:line="240" w:lineRule="auto" w:before="6"/>
        <w:rPr>
          <w:rFonts w:ascii="宋体" w:hAnsi="宋体" w:cs="宋体" w:eastAsia="宋体" w:hint="default"/>
          <w:sz w:val="24"/>
          <w:szCs w:val="24"/>
        </w:rPr>
      </w:pPr>
    </w:p>
    <w:tbl>
      <w:tblPr>
        <w:tblW w:w="0" w:type="auto"/>
        <w:jc w:val="left"/>
        <w:tblInd w:w="144" w:type="dxa"/>
        <w:tblLayout w:type="fixed"/>
        <w:tblCellMar>
          <w:top w:w="0" w:type="dxa"/>
          <w:left w:w="0" w:type="dxa"/>
          <w:bottom w:w="0" w:type="dxa"/>
          <w:right w:w="0" w:type="dxa"/>
        </w:tblCellMar>
        <w:tblLook w:val="01E0"/>
      </w:tblPr>
      <w:tblGrid>
        <w:gridCol w:w="1991"/>
        <w:gridCol w:w="1553"/>
        <w:gridCol w:w="1306"/>
        <w:gridCol w:w="1304"/>
        <w:gridCol w:w="1296"/>
        <w:gridCol w:w="1296"/>
      </w:tblGrid>
      <w:tr>
        <w:trPr>
          <w:trHeight w:val="310" w:hRule="exact"/>
        </w:trPr>
        <w:tc>
          <w:tcPr>
            <w:tcW w:w="1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06" w:right="0"/>
              <w:jc w:val="left"/>
              <w:rPr>
                <w:rFonts w:ascii="Arial" w:hAnsi="Arial" w:cs="Arial" w:eastAsia="Arial" w:hint="default"/>
                <w:sz w:val="21"/>
                <w:szCs w:val="21"/>
              </w:rPr>
            </w:pPr>
            <w:r>
              <w:rPr>
                <w:rFonts w:ascii="宋体" w:hAnsi="宋体" w:cs="宋体" w:eastAsia="宋体" w:hint="default"/>
                <w:sz w:val="21"/>
                <w:szCs w:val="21"/>
              </w:rPr>
              <w:t>净资产收益率</w:t>
            </w:r>
            <w:r>
              <w:rPr>
                <w:rFonts w:ascii="Arial" w:hAnsi="Arial" w:cs="Arial" w:eastAsia="Arial" w:hint="default"/>
                <w:sz w:val="21"/>
                <w:szCs w:val="21"/>
              </w:rPr>
              <w:t>(%)</w:t>
            </w:r>
          </w:p>
        </w:tc>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61" w:right="0"/>
              <w:jc w:val="left"/>
              <w:rPr>
                <w:rFonts w:ascii="Arial" w:hAnsi="Arial" w:cs="Arial" w:eastAsia="Arial" w:hint="default"/>
                <w:sz w:val="21"/>
                <w:szCs w:val="21"/>
              </w:rPr>
            </w:pPr>
            <w:r>
              <w:rPr>
                <w:rFonts w:ascii="宋体" w:hAnsi="宋体" w:cs="宋体" w:eastAsia="宋体" w:hint="default"/>
                <w:sz w:val="21"/>
                <w:szCs w:val="21"/>
              </w:rPr>
              <w:t>每股收益</w:t>
            </w:r>
            <w:r>
              <w:rPr>
                <w:rFonts w:ascii="Arial" w:hAnsi="Arial" w:cs="Arial" w:eastAsia="Arial" w:hint="default"/>
                <w:sz w:val="21"/>
                <w:szCs w:val="21"/>
              </w:rPr>
              <w:t>(</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r>
              <w:rPr>
                <w:rFonts w:ascii="Arial" w:hAnsi="Arial" w:cs="Arial" w:eastAsia="Arial" w:hint="default"/>
                <w:sz w:val="21"/>
                <w:szCs w:val="21"/>
              </w:rPr>
              <w:t>)</w:t>
            </w:r>
          </w:p>
        </w:tc>
      </w:tr>
      <w:tr>
        <w:trPr>
          <w:trHeight w:val="310" w:hRule="exact"/>
        </w:trPr>
        <w:tc>
          <w:tcPr>
            <w:tcW w:w="1991"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6"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6"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3"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1" w:right="0"/>
              <w:jc w:val="left"/>
              <w:rPr>
                <w:rFonts w:ascii="宋体" w:hAnsi="宋体" w:cs="宋体" w:eastAsia="宋体" w:hint="default"/>
                <w:sz w:val="21"/>
                <w:szCs w:val="21"/>
              </w:rPr>
            </w:pPr>
            <w:r>
              <w:rPr>
                <w:rFonts w:ascii="宋体" w:hAnsi="宋体" w:cs="宋体" w:eastAsia="宋体" w:hint="default"/>
                <w:sz w:val="21"/>
                <w:szCs w:val="21"/>
              </w:rPr>
              <w:t>加权平均</w:t>
            </w:r>
          </w:p>
        </w:tc>
      </w:tr>
      <w:tr>
        <w:trPr>
          <w:trHeight w:val="311" w:hRule="exact"/>
        </w:trPr>
        <w:tc>
          <w:tcPr>
            <w:tcW w:w="199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76"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87" w:right="87" w:hanging="185"/>
              <w:jc w:val="left"/>
              <w:rPr>
                <w:rFonts w:ascii="宋体" w:hAnsi="宋体" w:cs="宋体" w:eastAsia="宋体" w:hint="default"/>
                <w:sz w:val="21"/>
                <w:szCs w:val="21"/>
              </w:rPr>
            </w:pPr>
            <w:r>
              <w:rPr>
                <w:rFonts w:ascii="宋体" w:hAnsi="宋体" w:cs="宋体" w:eastAsia="宋体" w:hint="default"/>
                <w:spacing w:val="13"/>
                <w:sz w:val="21"/>
                <w:szCs w:val="21"/>
              </w:rPr>
              <w:t>归属于母公司所有 </w:t>
            </w:r>
            <w:r>
              <w:rPr>
                <w:rFonts w:ascii="宋体" w:hAnsi="宋体" w:cs="宋体" w:eastAsia="宋体" w:hint="default"/>
                <w:sz w:val="21"/>
                <w:szCs w:val="21"/>
              </w:rPr>
              <w:t>者的净利润</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1,465,426</w:t>
            </w:r>
            <w:r>
              <w:rPr>
                <w:rFonts w:ascii="Arial"/>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3"/>
              <w:jc w:val="right"/>
              <w:rPr>
                <w:rFonts w:ascii="Arial" w:hAnsi="Arial" w:cs="Arial" w:eastAsia="Arial" w:hint="default"/>
                <w:sz w:val="21"/>
                <w:szCs w:val="21"/>
              </w:rPr>
            </w:pPr>
            <w:r>
              <w:rPr>
                <w:rFonts w:ascii="Arial"/>
                <w:spacing w:val="-1"/>
                <w:sz w:val="21"/>
              </w:rPr>
              <w:t>31.69%</w:t>
            </w:r>
            <w:r>
              <w:rPr>
                <w:rFonts w:ascii="Arial"/>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Arial" w:hAnsi="Arial" w:cs="Arial" w:eastAsia="Arial" w:hint="default"/>
                <w:sz w:val="21"/>
                <w:szCs w:val="21"/>
              </w:rPr>
            </w:pPr>
            <w:r>
              <w:rPr>
                <w:rFonts w:ascii="Arial"/>
                <w:spacing w:val="-1"/>
                <w:sz w:val="21"/>
              </w:rPr>
              <w:t>37.66%</w:t>
            </w:r>
            <w:r>
              <w:rPr>
                <w:rFonts w:ascii="Arial"/>
                <w:sz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1.02</w:t>
            </w:r>
            <w:r>
              <w:rPr>
                <w:rFonts w:ascii="Arial"/>
                <w:w w:val="95"/>
                <w:sz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1.02</w:t>
            </w:r>
            <w:r>
              <w:rPr>
                <w:rFonts w:ascii="Arial"/>
                <w:w w:val="95"/>
                <w:sz w:val="21"/>
              </w:rPr>
            </w:r>
          </w:p>
        </w:tc>
      </w:tr>
      <w:tr>
        <w:trPr>
          <w:trHeight w:val="611"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87" w:right="407" w:hanging="185"/>
              <w:jc w:val="left"/>
              <w:rPr>
                <w:rFonts w:ascii="宋体" w:hAnsi="宋体" w:cs="宋体" w:eastAsia="宋体" w:hint="default"/>
                <w:sz w:val="21"/>
                <w:szCs w:val="21"/>
              </w:rPr>
            </w:pPr>
            <w:r>
              <w:rPr>
                <w:rFonts w:ascii="宋体" w:hAnsi="宋体" w:cs="宋体" w:eastAsia="宋体" w:hint="default"/>
                <w:sz w:val="21"/>
                <w:szCs w:val="21"/>
              </w:rPr>
              <w:t>扣除非经常性损 益后的净利润</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1,466,034</w:t>
            </w:r>
            <w:r>
              <w:rPr>
                <w:rFonts w:ascii="Arial"/>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3"/>
              <w:jc w:val="right"/>
              <w:rPr>
                <w:rFonts w:ascii="Arial" w:hAnsi="Arial" w:cs="Arial" w:eastAsia="Arial" w:hint="default"/>
                <w:sz w:val="21"/>
                <w:szCs w:val="21"/>
              </w:rPr>
            </w:pPr>
            <w:r>
              <w:rPr>
                <w:rFonts w:ascii="Arial"/>
                <w:spacing w:val="-1"/>
                <w:sz w:val="21"/>
              </w:rPr>
              <w:t>31.71%</w:t>
            </w:r>
            <w:r>
              <w:rPr>
                <w:rFonts w:ascii="Arial"/>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Arial" w:hAnsi="Arial" w:cs="Arial" w:eastAsia="Arial" w:hint="default"/>
                <w:sz w:val="21"/>
                <w:szCs w:val="21"/>
              </w:rPr>
            </w:pPr>
            <w:r>
              <w:rPr>
                <w:rFonts w:ascii="Arial"/>
                <w:spacing w:val="-1"/>
                <w:sz w:val="21"/>
              </w:rPr>
              <w:t>37.68%</w:t>
            </w:r>
            <w:r>
              <w:rPr>
                <w:rFonts w:ascii="Arial"/>
                <w:sz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1.02</w:t>
            </w:r>
            <w:r>
              <w:rPr>
                <w:rFonts w:ascii="Arial"/>
                <w:w w:val="95"/>
                <w:sz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1.02</w:t>
            </w:r>
            <w:r>
              <w:rPr>
                <w:rFonts w:ascii="Arial"/>
                <w:w w:val="95"/>
                <w:sz w:val="21"/>
              </w:rPr>
            </w:r>
          </w:p>
        </w:tc>
      </w:tr>
    </w:tbl>
    <w:p>
      <w:pPr>
        <w:spacing w:line="240" w:lineRule="auto" w:before="0"/>
        <w:rPr>
          <w:rFonts w:ascii="宋体" w:hAnsi="宋体" w:cs="宋体" w:eastAsia="宋体" w:hint="default"/>
          <w:sz w:val="20"/>
          <w:szCs w:val="20"/>
        </w:rPr>
      </w:pPr>
    </w:p>
    <w:p>
      <w:pPr>
        <w:spacing w:line="424" w:lineRule="auto" w:before="181"/>
        <w:ind w:left="149" w:right="677" w:firstLine="0"/>
        <w:jc w:val="left"/>
        <w:rPr>
          <w:rFonts w:ascii="Arial" w:hAnsi="Arial" w:cs="Arial" w:eastAsia="Arial" w:hint="default"/>
          <w:sz w:val="24"/>
          <w:szCs w:val="24"/>
        </w:rPr>
      </w:pPr>
      <w:r>
        <w:rPr>
          <w:rFonts w:ascii="宋体" w:hAnsi="宋体" w:cs="宋体" w:eastAsia="宋体" w:hint="default"/>
          <w:b/>
          <w:bCs/>
          <w:sz w:val="24"/>
          <w:szCs w:val="24"/>
        </w:rPr>
        <w:t>上述财务指标的计算方法：</w:t>
      </w:r>
      <w:r>
        <w:rPr>
          <w:rFonts w:ascii="宋体" w:hAnsi="宋体" w:cs="宋体" w:eastAsia="宋体" w:hint="default"/>
          <w:b/>
          <w:bCs/>
          <w:w w:val="99"/>
          <w:sz w:val="24"/>
          <w:szCs w:val="24"/>
        </w:rPr>
        <w:t> </w:t>
      </w:r>
      <w:r>
        <w:rPr>
          <w:rFonts w:ascii="宋体" w:hAnsi="宋体" w:cs="宋体" w:eastAsia="宋体" w:hint="default"/>
          <w:sz w:val="24"/>
          <w:szCs w:val="24"/>
        </w:rPr>
        <w:t>全面摊薄净资产收益率和每股收益的计算公式如下</w:t>
      </w:r>
      <w:r>
        <w:rPr>
          <w:rFonts w:ascii="Arial" w:hAnsi="Arial" w:cs="Arial" w:eastAsia="Arial" w:hint="default"/>
          <w:sz w:val="24"/>
          <w:szCs w:val="24"/>
        </w:rPr>
        <w:t>: </w:t>
      </w:r>
      <w:r>
        <w:rPr>
          <w:rFonts w:ascii="宋体" w:hAnsi="宋体" w:cs="宋体" w:eastAsia="宋体" w:hint="default"/>
          <w:sz w:val="24"/>
          <w:szCs w:val="24"/>
        </w:rPr>
        <w:t>全面摊薄净资产收益率</w:t>
      </w:r>
      <w:r>
        <w:rPr>
          <w:rFonts w:ascii="Arial" w:hAnsi="Arial" w:cs="Arial" w:eastAsia="Arial" w:hint="default"/>
          <w:sz w:val="24"/>
          <w:szCs w:val="24"/>
        </w:rPr>
        <w:t>=P</w:t>
      </w:r>
      <w:r>
        <w:rPr>
          <w:rFonts w:ascii="宋体" w:hAnsi="宋体" w:cs="宋体" w:eastAsia="宋体" w:hint="default"/>
          <w:sz w:val="24"/>
          <w:szCs w:val="24"/>
        </w:rPr>
        <w:t>÷</w:t>
      </w:r>
      <w:r>
        <w:rPr>
          <w:rFonts w:ascii="Arial" w:hAnsi="Arial" w:cs="Arial" w:eastAsia="Arial" w:hint="default"/>
          <w:sz w:val="24"/>
          <w:szCs w:val="24"/>
        </w:rPr>
        <w:t>E</w:t>
      </w:r>
    </w:p>
    <w:p>
      <w:pPr>
        <w:pStyle w:val="BodyText"/>
        <w:spacing w:line="312" w:lineRule="exact" w:before="81"/>
        <w:ind w:left="149" w:right="0"/>
        <w:jc w:val="left"/>
      </w:pPr>
      <w:r>
        <w:rPr/>
        <w:t>其中：</w:t>
      </w:r>
      <w:r>
        <w:rPr>
          <w:rFonts w:ascii="Arial" w:hAnsi="Arial" w:cs="Arial" w:eastAsia="Arial" w:hint="default"/>
        </w:rPr>
        <w:t>P </w:t>
      </w:r>
      <w:r>
        <w:rPr/>
        <w:t>为归属于公司普通股股东的净利润或扣除非经常性损益后归属于公司普通</w:t>
      </w:r>
      <w:r>
        <w:rPr>
          <w:spacing w:val="-97"/>
        </w:rPr>
        <w:t> </w:t>
      </w:r>
      <w:r>
        <w:rPr/>
        <w:t>股股东的净利润；</w:t>
      </w:r>
      <w:r>
        <w:rPr>
          <w:rFonts w:ascii="Arial" w:hAnsi="Arial" w:cs="Arial" w:eastAsia="Arial" w:hint="default"/>
        </w:rPr>
        <w:t>E</w:t>
      </w:r>
      <w:r>
        <w:rPr>
          <w:rFonts w:ascii="Arial" w:hAnsi="Arial" w:cs="Arial" w:eastAsia="Arial" w:hint="default"/>
          <w:spacing w:val="-8"/>
        </w:rPr>
        <w:t> </w:t>
      </w:r>
      <w:r>
        <w:rPr/>
        <w:t>为归属于公司普通股股东的期末净资产。</w:t>
      </w:r>
    </w:p>
    <w:p>
      <w:pPr>
        <w:spacing w:line="240" w:lineRule="auto" w:before="10"/>
        <w:rPr>
          <w:rFonts w:ascii="宋体" w:hAnsi="宋体" w:cs="宋体" w:eastAsia="宋体" w:hint="default"/>
          <w:sz w:val="18"/>
          <w:szCs w:val="18"/>
        </w:rPr>
      </w:pPr>
    </w:p>
    <w:p>
      <w:pPr>
        <w:pStyle w:val="BodyText"/>
        <w:spacing w:line="240" w:lineRule="auto"/>
        <w:ind w:left="149" w:right="0"/>
        <w:jc w:val="left"/>
        <w:rPr>
          <w:rFonts w:ascii="Arial" w:hAnsi="Arial" w:cs="Arial" w:eastAsia="Arial" w:hint="default"/>
        </w:rPr>
      </w:pPr>
      <w:r>
        <w:rPr/>
        <w:t>加权平均净资产收益率</w:t>
      </w:r>
      <w:r>
        <w:rPr>
          <w:rFonts w:ascii="Arial" w:hAnsi="Arial" w:cs="Arial" w:eastAsia="Arial" w:hint="default"/>
        </w:rPr>
        <w:t>(ROE)</w:t>
      </w:r>
      <w:r>
        <w:rPr/>
        <w:t>的计算公式如下</w:t>
      </w:r>
      <w:r>
        <w:rPr>
          <w:rFonts w:ascii="Arial" w:hAnsi="Arial" w:cs="Arial" w:eastAsia="Arial" w:hint="default"/>
        </w:rPr>
        <w:t>:</w:t>
      </w:r>
    </w:p>
    <w:p>
      <w:pPr>
        <w:spacing w:line="256" w:lineRule="exact" w:before="12"/>
        <w:ind w:left="570" w:right="4252" w:firstLine="3869"/>
        <w:jc w:val="left"/>
        <w:rPr>
          <w:rFonts w:ascii="宋体" w:hAnsi="宋体" w:cs="宋体" w:eastAsia="宋体" w:hint="default"/>
          <w:sz w:val="21"/>
          <w:szCs w:val="21"/>
        </w:rPr>
      </w:pPr>
      <w:r>
        <w:rPr>
          <w:rFonts w:ascii="Arial" w:hAnsi="Arial" w:cs="Arial" w:eastAsia="Arial" w:hint="default"/>
          <w:sz w:val="21"/>
          <w:szCs w:val="21"/>
        </w:rPr>
        <w:t>P ROE</w:t>
      </w:r>
      <w:r>
        <w:rPr>
          <w:rFonts w:ascii="Arial" w:hAnsi="Arial" w:cs="Arial" w:eastAsia="Arial" w:hint="default"/>
          <w:spacing w:val="-4"/>
          <w:sz w:val="21"/>
          <w:szCs w:val="21"/>
        </w:rPr>
        <w:t> </w:t>
      </w:r>
      <w:r>
        <w:rPr>
          <w:rFonts w:ascii="Arial" w:hAnsi="Arial" w:cs="Arial" w:eastAsia="Arial" w:hint="default"/>
          <w:sz w:val="21"/>
          <w:szCs w:val="21"/>
        </w:rPr>
        <w:t>=</w:t>
      </w:r>
      <w:r>
        <w:rPr>
          <w:rFonts w:ascii="宋体" w:hAnsi="宋体" w:cs="宋体" w:eastAsia="宋体" w:hint="default"/>
          <w:sz w:val="21"/>
          <w:szCs w:val="21"/>
        </w:rPr>
        <w:t>—————————————————</w:t>
      </w:r>
    </w:p>
    <w:p>
      <w:pPr>
        <w:spacing w:line="267" w:lineRule="exact" w:before="0"/>
        <w:ind w:left="1725" w:right="0" w:firstLine="0"/>
        <w:jc w:val="left"/>
        <w:rPr>
          <w:rFonts w:ascii="Arial" w:hAnsi="Arial" w:cs="Arial" w:eastAsia="Arial" w:hint="default"/>
          <w:sz w:val="21"/>
          <w:szCs w:val="21"/>
        </w:rPr>
      </w:pPr>
      <w:r>
        <w:rPr>
          <w:rFonts w:ascii="Arial" w:hAnsi="Arial" w:cs="Arial" w:eastAsia="Arial" w:hint="default"/>
          <w:sz w:val="21"/>
          <w:szCs w:val="21"/>
        </w:rPr>
        <w:t>E0+NP</w:t>
      </w:r>
      <w:r>
        <w:rPr>
          <w:rFonts w:ascii="宋体" w:hAnsi="宋体" w:cs="宋体" w:eastAsia="宋体" w:hint="default"/>
          <w:sz w:val="21"/>
          <w:szCs w:val="21"/>
        </w:rPr>
        <w:t>÷</w:t>
      </w:r>
      <w:r>
        <w:rPr>
          <w:rFonts w:ascii="Arial" w:hAnsi="Arial" w:cs="Arial" w:eastAsia="Arial" w:hint="default"/>
          <w:sz w:val="21"/>
          <w:szCs w:val="21"/>
        </w:rPr>
        <w:t>2+Ei</w:t>
      </w:r>
      <w:r>
        <w:rPr>
          <w:rFonts w:ascii="宋体" w:hAnsi="宋体" w:cs="宋体" w:eastAsia="宋体" w:hint="default"/>
          <w:sz w:val="21"/>
          <w:szCs w:val="21"/>
        </w:rPr>
        <w:t>×</w:t>
      </w:r>
      <w:r>
        <w:rPr>
          <w:rFonts w:ascii="Arial" w:hAnsi="Arial" w:cs="Arial" w:eastAsia="Arial" w:hint="default"/>
          <w:sz w:val="21"/>
          <w:szCs w:val="21"/>
        </w:rPr>
        <w:t>Mi</w:t>
      </w:r>
      <w:r>
        <w:rPr>
          <w:rFonts w:ascii="宋体" w:hAnsi="宋体" w:cs="宋体" w:eastAsia="宋体" w:hint="default"/>
          <w:sz w:val="21"/>
          <w:szCs w:val="21"/>
        </w:rPr>
        <w:t>÷</w:t>
      </w:r>
      <w:r>
        <w:rPr>
          <w:rFonts w:ascii="Arial" w:hAnsi="Arial" w:cs="Arial" w:eastAsia="Arial" w:hint="default"/>
          <w:sz w:val="21"/>
          <w:szCs w:val="21"/>
        </w:rPr>
        <w:t>M0-Ej</w:t>
      </w:r>
      <w:r>
        <w:rPr>
          <w:rFonts w:ascii="宋体" w:hAnsi="宋体" w:cs="宋体" w:eastAsia="宋体" w:hint="default"/>
          <w:sz w:val="21"/>
          <w:szCs w:val="21"/>
        </w:rPr>
        <w:t>×</w:t>
      </w:r>
      <w:r>
        <w:rPr>
          <w:rFonts w:ascii="Arial" w:hAnsi="Arial" w:cs="Arial" w:eastAsia="Arial" w:hint="default"/>
          <w:sz w:val="21"/>
          <w:szCs w:val="21"/>
        </w:rPr>
        <w:t>Mj</w:t>
      </w:r>
      <w:r>
        <w:rPr>
          <w:rFonts w:ascii="宋体" w:hAnsi="宋体" w:cs="宋体" w:eastAsia="宋体" w:hint="default"/>
          <w:sz w:val="21"/>
          <w:szCs w:val="21"/>
        </w:rPr>
        <w:t>÷</w:t>
      </w:r>
      <w:r>
        <w:rPr>
          <w:rFonts w:ascii="Arial" w:hAnsi="Arial" w:cs="Arial" w:eastAsia="Arial" w:hint="default"/>
          <w:sz w:val="21"/>
          <w:szCs w:val="21"/>
        </w:rPr>
        <w:t>M0</w:t>
      </w:r>
    </w:p>
    <w:p>
      <w:pPr>
        <w:spacing w:line="240" w:lineRule="auto" w:before="8"/>
        <w:rPr>
          <w:rFonts w:ascii="Arial" w:hAnsi="Arial" w:cs="Arial" w:eastAsia="Arial" w:hint="default"/>
          <w:sz w:val="24"/>
          <w:szCs w:val="24"/>
        </w:rPr>
      </w:pPr>
    </w:p>
    <w:p>
      <w:pPr>
        <w:pStyle w:val="BodyText"/>
        <w:spacing w:line="312" w:lineRule="exact"/>
        <w:ind w:left="149" w:right="154"/>
        <w:jc w:val="both"/>
      </w:pPr>
      <w:r>
        <w:rPr/>
        <w:t>其中</w:t>
      </w:r>
      <w:r>
        <w:rPr>
          <w:rFonts w:ascii="Arial" w:hAnsi="Arial" w:cs="Arial" w:eastAsia="Arial" w:hint="default"/>
        </w:rPr>
        <w:t>:P</w:t>
      </w:r>
      <w:r>
        <w:rPr>
          <w:rFonts w:ascii="Arial" w:hAnsi="Arial" w:cs="Arial" w:eastAsia="Arial" w:hint="default"/>
          <w:spacing w:val="43"/>
        </w:rPr>
        <w:t> </w:t>
      </w:r>
      <w:r>
        <w:rPr/>
        <w:t>为报告期归属于公司普通股股东的利润、扣除非经常性损益后归属于公司普 通股股东的净利润；</w:t>
      </w:r>
      <w:r>
        <w:rPr>
          <w:rFonts w:ascii="Arial" w:hAnsi="Arial" w:cs="Arial" w:eastAsia="Arial" w:hint="default"/>
        </w:rPr>
        <w:t>NP </w:t>
      </w:r>
      <w:r>
        <w:rPr/>
        <w:t>为报告期归属于公司普通股股东的净利润；</w:t>
      </w:r>
      <w:r>
        <w:rPr>
          <w:rFonts w:ascii="Arial" w:hAnsi="Arial" w:cs="Arial" w:eastAsia="Arial" w:hint="default"/>
        </w:rPr>
        <w:t>E0</w:t>
      </w:r>
      <w:r>
        <w:rPr>
          <w:rFonts w:ascii="Arial" w:hAnsi="Arial" w:cs="Arial" w:eastAsia="Arial" w:hint="default"/>
          <w:spacing w:val="55"/>
        </w:rPr>
        <w:t> </w:t>
      </w:r>
      <w:r>
        <w:rPr/>
        <w:t>为归属于公 司普通股股东的期初净资产；</w:t>
      </w:r>
      <w:r>
        <w:rPr>
          <w:rFonts w:ascii="Arial" w:hAnsi="Arial" w:cs="Arial" w:eastAsia="Arial" w:hint="default"/>
        </w:rPr>
        <w:t>Ei</w:t>
      </w:r>
      <w:r>
        <w:rPr>
          <w:rFonts w:ascii="Arial" w:hAnsi="Arial" w:cs="Arial" w:eastAsia="Arial" w:hint="default"/>
          <w:spacing w:val="52"/>
        </w:rPr>
        <w:t> </w:t>
      </w:r>
      <w:r>
        <w:rPr/>
        <w:t>为报告期发行新股或债转股等新增的、归属于公司 </w:t>
      </w:r>
      <w:r>
        <w:rPr>
          <w:spacing w:val="-4"/>
        </w:rPr>
        <w:t>普通股股东的净资产；</w:t>
      </w:r>
      <w:r>
        <w:rPr>
          <w:rFonts w:ascii="Arial" w:hAnsi="Arial" w:cs="Arial" w:eastAsia="Arial" w:hint="default"/>
          <w:spacing w:val="-4"/>
        </w:rPr>
        <w:t>Ej </w:t>
      </w:r>
      <w:r>
        <w:rPr>
          <w:spacing w:val="-3"/>
        </w:rPr>
        <w:t>为报告期回购或现金分红等减少净资产；</w:t>
      </w:r>
      <w:r>
        <w:rPr>
          <w:rFonts w:ascii="Arial" w:hAnsi="Arial" w:cs="Arial" w:eastAsia="Arial" w:hint="default"/>
          <w:spacing w:val="-3"/>
        </w:rPr>
        <w:t>M0</w:t>
      </w:r>
      <w:r>
        <w:rPr>
          <w:rFonts w:ascii="Arial" w:hAnsi="Arial" w:cs="Arial" w:eastAsia="Arial" w:hint="default"/>
          <w:spacing w:val="6"/>
        </w:rPr>
        <w:t> </w:t>
      </w:r>
      <w:r>
        <w:rPr/>
        <w:t>为报告期月份 </w:t>
      </w:r>
      <w:r>
        <w:rPr>
          <w:spacing w:val="-6"/>
        </w:rPr>
        <w:t>数；</w:t>
      </w:r>
      <w:r>
        <w:rPr>
          <w:rFonts w:ascii="Arial" w:hAnsi="Arial" w:cs="Arial" w:eastAsia="Arial" w:hint="default"/>
          <w:spacing w:val="-6"/>
        </w:rPr>
        <w:t>Mi </w:t>
      </w:r>
      <w:r>
        <w:rPr/>
        <w:t>为新增净资产下一月份起至报告期期末的月份数；</w:t>
      </w:r>
      <w:r>
        <w:rPr>
          <w:rFonts w:ascii="Arial" w:hAnsi="Arial" w:cs="Arial" w:eastAsia="Arial" w:hint="default"/>
        </w:rPr>
        <w:t>Mj</w:t>
      </w:r>
      <w:r>
        <w:rPr>
          <w:rFonts w:ascii="Arial" w:hAnsi="Arial" w:cs="Arial" w:eastAsia="Arial" w:hint="default"/>
          <w:spacing w:val="-38"/>
        </w:rPr>
        <w:t> </w:t>
      </w:r>
      <w:r>
        <w:rPr/>
        <w:t>为减少净资产下一月份</w:t>
      </w:r>
      <w:r>
        <w:rPr>
          <w:spacing w:val="-1"/>
        </w:rPr>
        <w:t> </w:t>
      </w:r>
      <w:r>
        <w:rPr/>
        <w:t>起至报告期期末的月份数。</w:t>
      </w:r>
    </w:p>
    <w:p>
      <w:pPr>
        <w:spacing w:line="240" w:lineRule="auto" w:before="10"/>
        <w:rPr>
          <w:rFonts w:ascii="宋体" w:hAnsi="宋体" w:cs="宋体" w:eastAsia="宋体" w:hint="default"/>
          <w:sz w:val="16"/>
          <w:szCs w:val="16"/>
        </w:rPr>
      </w:pPr>
    </w:p>
    <w:p>
      <w:pPr>
        <w:pStyle w:val="BodyText"/>
        <w:spacing w:line="240" w:lineRule="auto" w:before="26"/>
        <w:ind w:left="149" w:right="0"/>
        <w:jc w:val="left"/>
        <w:rPr>
          <w:rFonts w:ascii="Arial" w:hAnsi="Arial" w:cs="Arial" w:eastAsia="Arial" w:hint="default"/>
        </w:rPr>
      </w:pPr>
      <w:r>
        <w:rPr/>
        <w:t>加权平均每股收益</w:t>
      </w:r>
      <w:r>
        <w:rPr>
          <w:rFonts w:ascii="Arial" w:hAnsi="Arial" w:cs="Arial" w:eastAsia="Arial" w:hint="default"/>
        </w:rPr>
        <w:t>(EPS)</w:t>
      </w:r>
      <w:r>
        <w:rPr/>
        <w:t>的计算公式如下</w:t>
      </w:r>
      <w:r>
        <w:rPr>
          <w:rFonts w:ascii="Arial" w:hAnsi="Arial" w:cs="Arial" w:eastAsia="Arial" w:hint="default"/>
        </w:rPr>
        <w:t>:</w:t>
      </w:r>
    </w:p>
    <w:p>
      <w:pPr>
        <w:spacing w:line="224" w:lineRule="exact" w:before="19"/>
        <w:ind w:left="1927" w:right="1532" w:firstLine="0"/>
        <w:jc w:val="center"/>
        <w:rPr>
          <w:rFonts w:ascii="Arial" w:hAnsi="Arial" w:cs="Arial" w:eastAsia="Arial" w:hint="default"/>
          <w:sz w:val="21"/>
          <w:szCs w:val="21"/>
        </w:rPr>
      </w:pPr>
      <w:r>
        <w:rPr>
          <w:rFonts w:ascii="Arial"/>
          <w:sz w:val="21"/>
        </w:rPr>
        <w:t>P</w:t>
      </w:r>
    </w:p>
    <w:p>
      <w:pPr>
        <w:spacing w:line="273" w:lineRule="exact" w:before="0"/>
        <w:ind w:left="570" w:right="0" w:firstLine="0"/>
        <w:jc w:val="left"/>
        <w:rPr>
          <w:rFonts w:ascii="宋体" w:hAnsi="宋体" w:cs="宋体" w:eastAsia="宋体" w:hint="default"/>
          <w:sz w:val="21"/>
          <w:szCs w:val="21"/>
        </w:rPr>
      </w:pPr>
      <w:r>
        <w:rPr>
          <w:rFonts w:ascii="Arial" w:hAnsi="Arial" w:cs="Arial" w:eastAsia="Arial" w:hint="default"/>
          <w:sz w:val="21"/>
          <w:szCs w:val="21"/>
        </w:rPr>
        <w:t>EPS</w:t>
      </w:r>
      <w:r>
        <w:rPr>
          <w:rFonts w:ascii="Arial" w:hAnsi="Arial" w:cs="Arial" w:eastAsia="Arial" w:hint="default"/>
          <w:spacing w:val="-3"/>
          <w:sz w:val="21"/>
          <w:szCs w:val="21"/>
        </w:rPr>
        <w:t> </w:t>
      </w:r>
      <w:r>
        <w:rPr>
          <w:rFonts w:ascii="Arial" w:hAnsi="Arial" w:cs="Arial" w:eastAsia="Arial" w:hint="default"/>
          <w:sz w:val="21"/>
          <w:szCs w:val="21"/>
        </w:rPr>
        <w:t>=</w:t>
      </w:r>
      <w:r>
        <w:rPr>
          <w:rFonts w:ascii="宋体" w:hAnsi="宋体" w:cs="宋体" w:eastAsia="宋体" w:hint="default"/>
          <w:sz w:val="21"/>
          <w:szCs w:val="21"/>
        </w:rPr>
        <w:t>————————————————</w:t>
      </w:r>
    </w:p>
    <w:p>
      <w:pPr>
        <w:spacing w:line="274" w:lineRule="exact" w:before="0"/>
        <w:ind w:left="1829" w:right="0" w:firstLine="0"/>
        <w:jc w:val="left"/>
        <w:rPr>
          <w:rFonts w:ascii="Arial" w:hAnsi="Arial" w:cs="Arial" w:eastAsia="Arial" w:hint="default"/>
          <w:sz w:val="21"/>
          <w:szCs w:val="21"/>
        </w:rPr>
      </w:pPr>
      <w:r>
        <w:rPr>
          <w:rFonts w:ascii="Arial" w:hAnsi="Arial" w:cs="Arial" w:eastAsia="Arial" w:hint="default"/>
          <w:sz w:val="21"/>
          <w:szCs w:val="21"/>
        </w:rPr>
        <w:t>S0+S1+Si</w:t>
      </w:r>
      <w:r>
        <w:rPr>
          <w:rFonts w:ascii="宋体" w:hAnsi="宋体" w:cs="宋体" w:eastAsia="宋体" w:hint="default"/>
          <w:sz w:val="21"/>
          <w:szCs w:val="21"/>
        </w:rPr>
        <w:t>×</w:t>
      </w:r>
      <w:r>
        <w:rPr>
          <w:rFonts w:ascii="Arial" w:hAnsi="Arial" w:cs="Arial" w:eastAsia="Arial" w:hint="default"/>
          <w:sz w:val="21"/>
          <w:szCs w:val="21"/>
        </w:rPr>
        <w:t>Mi</w:t>
      </w:r>
      <w:r>
        <w:rPr>
          <w:rFonts w:ascii="宋体" w:hAnsi="宋体" w:cs="宋体" w:eastAsia="宋体" w:hint="default"/>
          <w:sz w:val="21"/>
          <w:szCs w:val="21"/>
        </w:rPr>
        <w:t>÷</w:t>
      </w:r>
      <w:r>
        <w:rPr>
          <w:rFonts w:ascii="Arial" w:hAnsi="Arial" w:cs="Arial" w:eastAsia="Arial" w:hint="default"/>
          <w:sz w:val="21"/>
          <w:szCs w:val="21"/>
        </w:rPr>
        <w:t>M0-Sj</w:t>
      </w:r>
      <w:r>
        <w:rPr>
          <w:rFonts w:ascii="宋体" w:hAnsi="宋体" w:cs="宋体" w:eastAsia="宋体" w:hint="default"/>
          <w:sz w:val="21"/>
          <w:szCs w:val="21"/>
        </w:rPr>
        <w:t>×</w:t>
      </w:r>
      <w:r>
        <w:rPr>
          <w:rFonts w:ascii="Arial" w:hAnsi="Arial" w:cs="Arial" w:eastAsia="Arial" w:hint="default"/>
          <w:sz w:val="21"/>
          <w:szCs w:val="21"/>
        </w:rPr>
        <w:t>Mj</w:t>
      </w:r>
      <w:r>
        <w:rPr>
          <w:rFonts w:ascii="宋体" w:hAnsi="宋体" w:cs="宋体" w:eastAsia="宋体" w:hint="default"/>
          <w:sz w:val="21"/>
          <w:szCs w:val="21"/>
        </w:rPr>
        <w:t>÷</w:t>
      </w:r>
      <w:r>
        <w:rPr>
          <w:rFonts w:ascii="Arial" w:hAnsi="Arial" w:cs="Arial" w:eastAsia="Arial" w:hint="default"/>
          <w:sz w:val="21"/>
          <w:szCs w:val="21"/>
        </w:rPr>
        <w:t>M0</w:t>
      </w:r>
    </w:p>
    <w:p>
      <w:pPr>
        <w:spacing w:line="240" w:lineRule="auto" w:before="8"/>
        <w:rPr>
          <w:rFonts w:ascii="Arial" w:hAnsi="Arial" w:cs="Arial" w:eastAsia="Arial" w:hint="default"/>
          <w:sz w:val="24"/>
          <w:szCs w:val="24"/>
        </w:rPr>
      </w:pPr>
    </w:p>
    <w:p>
      <w:pPr>
        <w:pStyle w:val="BodyText"/>
        <w:spacing w:line="312" w:lineRule="exact"/>
        <w:ind w:left="149" w:right="153"/>
        <w:jc w:val="both"/>
      </w:pPr>
      <w:r>
        <w:rPr/>
        <w:t>其中：</w:t>
      </w:r>
      <w:r>
        <w:rPr>
          <w:rFonts w:ascii="Arial" w:hAnsi="Arial" w:cs="Arial" w:eastAsia="Arial" w:hint="default"/>
        </w:rPr>
        <w:t>P </w:t>
      </w:r>
      <w:r>
        <w:rPr/>
        <w:t>为报告期归属于公司普通股股东的净利润或扣除非经常性损益后归属于普</w:t>
      </w:r>
      <w:r>
        <w:rPr>
          <w:spacing w:val="-97"/>
        </w:rPr>
        <w:t> </w:t>
      </w:r>
      <w:r>
        <w:rPr/>
        <w:t>通股股东的净利润；</w:t>
      </w:r>
      <w:r>
        <w:rPr>
          <w:rFonts w:ascii="Arial" w:hAnsi="Arial" w:cs="Arial" w:eastAsia="Arial" w:hint="default"/>
        </w:rPr>
        <w:t>S0 </w:t>
      </w:r>
      <w:r>
        <w:rPr/>
        <w:t>为期初股份总数；</w:t>
      </w:r>
      <w:r>
        <w:rPr>
          <w:rFonts w:ascii="Arial" w:hAnsi="Arial" w:cs="Arial" w:eastAsia="Arial" w:hint="default"/>
        </w:rPr>
        <w:t>S1</w:t>
      </w:r>
      <w:r>
        <w:rPr>
          <w:rFonts w:ascii="Arial" w:hAnsi="Arial" w:cs="Arial" w:eastAsia="Arial" w:hint="default"/>
          <w:spacing w:val="26"/>
        </w:rPr>
        <w:t> </w:t>
      </w:r>
      <w:r>
        <w:rPr/>
        <w:t>为报告期因公积金转增股本或股票股 利分配等增加股份数；</w:t>
      </w:r>
      <w:r>
        <w:rPr>
          <w:rFonts w:ascii="Arial" w:hAnsi="Arial" w:cs="Arial" w:eastAsia="Arial" w:hint="default"/>
        </w:rPr>
        <w:t>Si </w:t>
      </w:r>
      <w:r>
        <w:rPr/>
        <w:t>为报告期因发行新股或债转股等增加股份数；</w:t>
      </w:r>
      <w:r>
        <w:rPr>
          <w:rFonts w:ascii="Arial" w:hAnsi="Arial" w:cs="Arial" w:eastAsia="Arial" w:hint="default"/>
        </w:rPr>
        <w:t>Sj</w:t>
      </w:r>
      <w:r>
        <w:rPr>
          <w:rFonts w:ascii="Arial" w:hAnsi="Arial" w:cs="Arial" w:eastAsia="Arial" w:hint="default"/>
          <w:spacing w:val="14"/>
        </w:rPr>
        <w:t> </w:t>
      </w:r>
      <w:r>
        <w:rPr/>
        <w:t>为报告期 因回购或缩股等减少股份数；</w:t>
      </w:r>
      <w:r>
        <w:rPr>
          <w:rFonts w:ascii="Arial" w:hAnsi="Arial" w:cs="Arial" w:eastAsia="Arial" w:hint="default"/>
        </w:rPr>
        <w:t>M0 </w:t>
      </w:r>
      <w:r>
        <w:rPr/>
        <w:t>为报告期月份数；</w:t>
      </w:r>
      <w:r>
        <w:rPr>
          <w:rFonts w:ascii="Arial" w:hAnsi="Arial" w:cs="Arial" w:eastAsia="Arial" w:hint="default"/>
        </w:rPr>
        <w:t>Mi</w:t>
      </w:r>
      <w:r>
        <w:rPr>
          <w:rFonts w:ascii="Arial" w:hAnsi="Arial" w:cs="Arial" w:eastAsia="Arial" w:hint="default"/>
          <w:spacing w:val="28"/>
        </w:rPr>
        <w:t> </w:t>
      </w:r>
      <w:r>
        <w:rPr/>
        <w:t>为增加股份下一月份起至报 期期末的月份数；</w:t>
      </w:r>
      <w:r>
        <w:rPr>
          <w:rFonts w:ascii="Arial" w:hAnsi="Arial" w:cs="Arial" w:eastAsia="Arial" w:hint="default"/>
        </w:rPr>
        <w:t>Mj</w:t>
      </w:r>
      <w:r>
        <w:rPr>
          <w:rFonts w:ascii="Arial" w:hAnsi="Arial" w:cs="Arial" w:eastAsia="Arial" w:hint="default"/>
          <w:spacing w:val="-8"/>
        </w:rPr>
        <w:t> </w:t>
      </w:r>
      <w:r>
        <w:rPr/>
        <w:t>为减少股份下一月份起至报告期期末的月份数。</w:t>
      </w:r>
    </w:p>
    <w:p>
      <w:pPr>
        <w:spacing w:after="0" w:line="312" w:lineRule="exact"/>
        <w:jc w:val="both"/>
        <w:sectPr>
          <w:pgSz w:w="11910" w:h="16840"/>
          <w:pgMar w:header="748" w:footer="708" w:top="980" w:bottom="900" w:left="1580" w:right="1280"/>
        </w:sectPr>
      </w:pPr>
    </w:p>
    <w:p>
      <w:pPr>
        <w:spacing w:before="27"/>
        <w:ind w:left="0" w:right="458" w:firstLine="0"/>
        <w:jc w:val="righ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37.7pt;height:.75pt;mso-position-horizontal-relative:char;mso-position-vertical-relative:line" coordorigin="0,0" coordsize="14754,15">
            <v:group style="position:absolute;left:7;top:7;width:14740;height:2" coordorigin="7,7" coordsize="14740,2">
              <v:shape style="position:absolute;left:7;top:7;width:14740;height:2" coordorigin="7,7" coordsize="14740,0" path="m7,7l1474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673" w:val="left" w:leader="none"/>
        </w:tabs>
        <w:spacing w:line="240" w:lineRule="auto" w:before="26"/>
        <w:ind w:left="139" w:right="0"/>
        <w:jc w:val="left"/>
      </w:pPr>
      <w:r>
        <w:rPr>
          <w:rFonts w:ascii="Arial" w:hAnsi="Arial" w:cs="Arial" w:eastAsia="Arial" w:hint="default"/>
        </w:rPr>
        <w:t>(2)</w:t>
        <w:tab/>
        <w:t>2007</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日资产减值准备明细表</w:t>
      </w:r>
    </w:p>
    <w:p>
      <w:pPr>
        <w:spacing w:line="240" w:lineRule="auto" w:before="12"/>
        <w:rPr>
          <w:rFonts w:ascii="宋体" w:hAnsi="宋体" w:cs="宋体" w:eastAsia="宋体" w:hint="default"/>
          <w:sz w:val="23"/>
          <w:szCs w:val="23"/>
        </w:rPr>
      </w:pPr>
    </w:p>
    <w:p>
      <w:pPr>
        <w:spacing w:before="0"/>
        <w:ind w:left="139" w:right="0" w:firstLine="0"/>
        <w:jc w:val="left"/>
        <w:rPr>
          <w:rFonts w:ascii="宋体" w:hAnsi="宋体" w:cs="宋体" w:eastAsia="宋体" w:hint="default"/>
          <w:sz w:val="21"/>
          <w:szCs w:val="21"/>
        </w:rPr>
      </w:pPr>
      <w:r>
        <w:rPr/>
        <w:pict>
          <v:group style="position:absolute;margin-left:35.991001pt;margin-top:30.803368pt;width:751.35pt;height:.5pt;mso-position-horizontal-relative:page;mso-position-vertical-relative:paragraph;z-index:-575944" coordorigin="720,616" coordsize="15027,10">
            <v:group style="position:absolute;left:725;top:621;width:2118;height:2" coordorigin="725,621" coordsize="2118,2">
              <v:shape style="position:absolute;left:725;top:621;width:2118;height:2" coordorigin="725,621" coordsize="2118,0" path="m725,621l2843,621e" filled="false" stroked="true" strokeweight=".48pt" strokecolor="#000000">
                <v:path arrowok="t"/>
              </v:shape>
            </v:group>
            <v:group style="position:absolute;left:2852;top:621;width:982;height:2" coordorigin="2852,621" coordsize="982,2">
              <v:shape style="position:absolute;left:2852;top:621;width:982;height:2" coordorigin="2852,621" coordsize="982,0" path="m2852,621l3834,621e" filled="false" stroked="true" strokeweight=".48pt" strokecolor="#000000">
                <v:path arrowok="t"/>
              </v:shape>
            </v:group>
            <v:group style="position:absolute;left:3843;top:621;width:983;height:2" coordorigin="3843,621" coordsize="983,2">
              <v:shape style="position:absolute;left:3843;top:621;width:983;height:2" coordorigin="3843,621" coordsize="983,0" path="m3843,621l4826,621e" filled="false" stroked="true" strokeweight=".48pt" strokecolor="#000000">
                <v:path arrowok="t"/>
              </v:shape>
            </v:group>
            <v:group style="position:absolute;left:4836;top:621;width:842;height:2" coordorigin="4836,621" coordsize="842,2">
              <v:shape style="position:absolute;left:4836;top:621;width:842;height:2" coordorigin="4836,621" coordsize="842,0" path="m4836,621l5677,621e" filled="false" stroked="true" strokeweight=".48pt" strokecolor="#000000">
                <v:path arrowok="t"/>
              </v:shape>
            </v:group>
            <v:group style="position:absolute;left:5687;top:621;width:840;height:2" coordorigin="5687,621" coordsize="840,2">
              <v:shape style="position:absolute;left:5687;top:621;width:840;height:2" coordorigin="5687,621" coordsize="840,0" path="m5687,621l6527,621e" filled="false" stroked="true" strokeweight=".48pt" strokecolor="#000000">
                <v:path arrowok="t"/>
              </v:shape>
            </v:group>
            <v:group style="position:absolute;left:6536;top:621;width:3536;height:2" coordorigin="6536,621" coordsize="3536,2">
              <v:shape style="position:absolute;left:6536;top:621;width:3536;height:2" coordorigin="6536,621" coordsize="3536,0" path="m6536,621l10071,621e" filled="false" stroked="true" strokeweight=".48pt" strokecolor="#000000">
                <v:path arrowok="t"/>
              </v:shape>
            </v:group>
            <v:group style="position:absolute;left:10081;top:621;width:3818;height:2" coordorigin="10081,621" coordsize="3818,2">
              <v:shape style="position:absolute;left:10081;top:621;width:3818;height:2" coordorigin="10081,621" coordsize="3818,0" path="m10081,621l13898,621e" filled="false" stroked="true" strokeweight=".48pt" strokecolor="#000000">
                <v:path arrowok="t"/>
              </v:shape>
            </v:group>
            <v:group style="position:absolute;left:13908;top:621;width:842;height:2" coordorigin="13908,621" coordsize="842,2">
              <v:shape style="position:absolute;left:13908;top:621;width:842;height:2" coordorigin="13908,621" coordsize="842,0" path="m13908,621l14749,621e" filled="false" stroked="true" strokeweight=".48pt" strokecolor="#000000">
                <v:path arrowok="t"/>
              </v:shape>
            </v:group>
            <v:group style="position:absolute;left:14759;top:621;width:983;height:2" coordorigin="14759,621" coordsize="983,2">
              <v:shape style="position:absolute;left:14759;top:621;width:983;height:2" coordorigin="14759,621" coordsize="983,0" path="m14759,621l15741,621e" filled="false" stroked="true" strokeweight=".48pt" strokecolor="#000000">
                <v:path arrowok="t"/>
              </v:shape>
            </v:group>
            <w10:wrap type="none"/>
          </v:group>
        </w:pict>
      </w:r>
      <w:r>
        <w:rPr/>
        <w:pict>
          <v:group style="position:absolute;margin-left:35.991001pt;margin-top:46.043377pt;width:751.35pt;height:203.25pt;mso-position-horizontal-relative:page;mso-position-vertical-relative:paragraph;z-index:-575920" coordorigin="720,921" coordsize="15027,4065">
            <v:group style="position:absolute;left:6536;top:930;width:843;height:2" coordorigin="6536,930" coordsize="843,2">
              <v:shape style="position:absolute;left:6536;top:930;width:843;height:2" coordorigin="6536,930" coordsize="843,0" path="m6536,930l7379,930e" filled="false" stroked="true" strokeweight=".48pt" strokecolor="#000000">
                <v:path arrowok="t"/>
              </v:shape>
            </v:group>
            <v:group style="position:absolute;left:7388;top:930;width:699;height:2" coordorigin="7388,930" coordsize="699,2">
              <v:shape style="position:absolute;left:7388;top:930;width:699;height:2" coordorigin="7388,930" coordsize="699,0" path="m7388,930l8087,930e" filled="false" stroked="true" strokeweight=".48pt" strokecolor="#000000">
                <v:path arrowok="t"/>
              </v:shape>
            </v:group>
            <v:group style="position:absolute;left:8096;top:930;width:983;height:2" coordorigin="8096,930" coordsize="983,2">
              <v:shape style="position:absolute;left:8096;top:930;width:983;height:2" coordorigin="8096,930" coordsize="983,0" path="m8096,930l9079,930e" filled="false" stroked="true" strokeweight=".48pt" strokecolor="#000000">
                <v:path arrowok="t"/>
              </v:shape>
            </v:group>
            <v:group style="position:absolute;left:9089;top:930;width:983;height:2" coordorigin="9089,930" coordsize="983,2">
              <v:shape style="position:absolute;left:9089;top:930;width:983;height:2" coordorigin="9089,930" coordsize="983,0" path="m9089,930l10071,930e" filled="false" stroked="true" strokeweight=".48pt" strokecolor="#000000">
                <v:path arrowok="t"/>
              </v:shape>
            </v:group>
            <v:group style="position:absolute;left:10081;top:930;width:982;height:2" coordorigin="10081,930" coordsize="982,2">
              <v:shape style="position:absolute;left:10081;top:930;width:982;height:2" coordorigin="10081,930" coordsize="982,0" path="m10081,930l11063,930e" filled="false" stroked="true" strokeweight=".48pt" strokecolor="#000000">
                <v:path arrowok="t"/>
              </v:shape>
            </v:group>
            <v:group style="position:absolute;left:11072;top:930;width:700;height:2" coordorigin="11072,930" coordsize="700,2">
              <v:shape style="position:absolute;left:11072;top:930;width:700;height:2" coordorigin="11072,930" coordsize="700,0" path="m11072,930l11772,930e" filled="false" stroked="true" strokeweight=".48pt" strokecolor="#000000">
                <v:path arrowok="t"/>
              </v:shape>
            </v:group>
            <v:group style="position:absolute;left:11781;top:930;width:983;height:2" coordorigin="11781,930" coordsize="983,2">
              <v:shape style="position:absolute;left:11781;top:930;width:983;height:2" coordorigin="11781,930" coordsize="983,0" path="m11781,930l12764,930e" filled="false" stroked="true" strokeweight=".48pt" strokecolor="#000000">
                <v:path arrowok="t"/>
              </v:shape>
            </v:group>
            <v:group style="position:absolute;left:12774;top:930;width:1125;height:2" coordorigin="12774,930" coordsize="1125,2">
              <v:shape style="position:absolute;left:12774;top:930;width:1125;height:2" coordorigin="12774,930" coordsize="1125,0" path="m12774,930l13898,930e" filled="false" stroked="true" strokeweight=".48pt" strokecolor="#000000">
                <v:path arrowok="t"/>
              </v:shape>
            </v:group>
            <v:group style="position:absolute;left:725;top:1254;width:2118;height:2" coordorigin="725,1254" coordsize="2118,2">
              <v:shape style="position:absolute;left:725;top:1254;width:2118;height:2" coordorigin="725,1254" coordsize="2118,0" path="m725,1254l2843,1254e" filled="false" stroked="true" strokeweight=".48pt" strokecolor="#000000">
                <v:path arrowok="t"/>
              </v:shape>
            </v:group>
            <v:group style="position:absolute;left:2852;top:1254;width:982;height:2" coordorigin="2852,1254" coordsize="982,2">
              <v:shape style="position:absolute;left:2852;top:1254;width:982;height:2" coordorigin="2852,1254" coordsize="982,0" path="m2852,1254l3834,1254e" filled="false" stroked="true" strokeweight=".48pt" strokecolor="#000000">
                <v:path arrowok="t"/>
              </v:shape>
            </v:group>
            <v:group style="position:absolute;left:3843;top:1254;width:983;height:2" coordorigin="3843,1254" coordsize="983,2">
              <v:shape style="position:absolute;left:3843;top:1254;width:983;height:2" coordorigin="3843,1254" coordsize="983,0" path="m3843,1254l4826,1254e" filled="false" stroked="true" strokeweight=".48pt" strokecolor="#000000">
                <v:path arrowok="t"/>
              </v:shape>
            </v:group>
            <v:group style="position:absolute;left:4836;top:1254;width:842;height:2" coordorigin="4836,1254" coordsize="842,2">
              <v:shape style="position:absolute;left:4836;top:1254;width:842;height:2" coordorigin="4836,1254" coordsize="842,0" path="m4836,1254l5677,1254e" filled="false" stroked="true" strokeweight=".48pt" strokecolor="#000000">
                <v:path arrowok="t"/>
              </v:shape>
            </v:group>
            <v:group style="position:absolute;left:5687;top:1254;width:840;height:2" coordorigin="5687,1254" coordsize="840,2">
              <v:shape style="position:absolute;left:5687;top:1254;width:840;height:2" coordorigin="5687,1254" coordsize="840,0" path="m5687,1254l6527,1254e" filled="false" stroked="true" strokeweight=".48pt" strokecolor="#000000">
                <v:path arrowok="t"/>
              </v:shape>
            </v:group>
            <v:group style="position:absolute;left:6536;top:1254;width:843;height:2" coordorigin="6536,1254" coordsize="843,2">
              <v:shape style="position:absolute;left:6536;top:1254;width:843;height:2" coordorigin="6536,1254" coordsize="843,0" path="m6536,1254l7379,1254e" filled="false" stroked="true" strokeweight=".48pt" strokecolor="#000000">
                <v:path arrowok="t"/>
              </v:shape>
            </v:group>
            <v:group style="position:absolute;left:7388;top:1254;width:699;height:2" coordorigin="7388,1254" coordsize="699,2">
              <v:shape style="position:absolute;left:7388;top:1254;width:699;height:2" coordorigin="7388,1254" coordsize="699,0" path="m7388,1254l8087,1254e" filled="false" stroked="true" strokeweight=".48pt" strokecolor="#000000">
                <v:path arrowok="t"/>
              </v:shape>
            </v:group>
            <v:group style="position:absolute;left:8096;top:1254;width:983;height:2" coordorigin="8096,1254" coordsize="983,2">
              <v:shape style="position:absolute;left:8096;top:1254;width:983;height:2" coordorigin="8096,1254" coordsize="983,0" path="m8096,1254l9079,1254e" filled="false" stroked="true" strokeweight=".48pt" strokecolor="#000000">
                <v:path arrowok="t"/>
              </v:shape>
            </v:group>
            <v:group style="position:absolute;left:9089;top:1254;width:983;height:2" coordorigin="9089,1254" coordsize="983,2">
              <v:shape style="position:absolute;left:9089;top:1254;width:983;height:2" coordorigin="9089,1254" coordsize="983,0" path="m9089,1254l10071,1254e" filled="false" stroked="true" strokeweight=".48pt" strokecolor="#000000">
                <v:path arrowok="t"/>
              </v:shape>
            </v:group>
            <v:group style="position:absolute;left:10081;top:1254;width:982;height:2" coordorigin="10081,1254" coordsize="982,2">
              <v:shape style="position:absolute;left:10081;top:1254;width:982;height:2" coordorigin="10081,1254" coordsize="982,0" path="m10081,1254l11063,1254e" filled="false" stroked="true" strokeweight=".48pt" strokecolor="#000000">
                <v:path arrowok="t"/>
              </v:shape>
            </v:group>
            <v:group style="position:absolute;left:11072;top:1254;width:700;height:2" coordorigin="11072,1254" coordsize="700,2">
              <v:shape style="position:absolute;left:11072;top:1254;width:700;height:2" coordorigin="11072,1254" coordsize="700,0" path="m11072,1254l11772,1254e" filled="false" stroked="true" strokeweight=".48pt" strokecolor="#000000">
                <v:path arrowok="t"/>
              </v:shape>
            </v:group>
            <v:group style="position:absolute;left:11781;top:1254;width:983;height:2" coordorigin="11781,1254" coordsize="983,2">
              <v:shape style="position:absolute;left:11781;top:1254;width:983;height:2" coordorigin="11781,1254" coordsize="983,0" path="m11781,1254l12764,1254e" filled="false" stroked="true" strokeweight=".48pt" strokecolor="#000000">
                <v:path arrowok="t"/>
              </v:shape>
            </v:group>
            <v:group style="position:absolute;left:12774;top:1254;width:1125;height:2" coordorigin="12774,1254" coordsize="1125,2">
              <v:shape style="position:absolute;left:12774;top:1254;width:1125;height:2" coordorigin="12774,1254" coordsize="1125,0" path="m12774,1254l13898,1254e" filled="false" stroked="true" strokeweight=".48pt" strokecolor="#000000">
                <v:path arrowok="t"/>
              </v:shape>
            </v:group>
            <v:group style="position:absolute;left:13908;top:1254;width:842;height:2" coordorigin="13908,1254" coordsize="842,2">
              <v:shape style="position:absolute;left:13908;top:1254;width:842;height:2" coordorigin="13908,1254" coordsize="842,0" path="m13908,1254l14749,1254e" filled="false" stroked="true" strokeweight=".48pt" strokecolor="#000000">
                <v:path arrowok="t"/>
              </v:shape>
            </v:group>
            <v:group style="position:absolute;left:14759;top:1254;width:983;height:2" coordorigin="14759,1254" coordsize="983,2">
              <v:shape style="position:absolute;left:14759;top:1254;width:983;height:2" coordorigin="14759,1254" coordsize="983,0" path="m14759,1254l15741,1254e" filled="false" stroked="true" strokeweight=".48pt" strokecolor="#000000">
                <v:path arrowok="t"/>
              </v:shape>
            </v:group>
            <v:group style="position:absolute;left:8091;top:926;width:2;height:4055" coordorigin="8091,926" coordsize="2,4055">
              <v:shape style="position:absolute;left:8091;top:926;width:2;height:4055" coordorigin="8091,926" coordsize="0,4055" path="m8091,926l8091,4980e" filled="false" stroked="true" strokeweight=".47998pt" strokecolor="#000000">
                <v:path arrowok="t"/>
              </v:shape>
            </v:group>
            <v:group style="position:absolute;left:11777;top:926;width:2;height:4055" coordorigin="11777,926" coordsize="2,4055">
              <v:shape style="position:absolute;left:11777;top:926;width:2;height:4055" coordorigin="11777,926" coordsize="0,4055" path="m11777,926l11777,4980e" filled="false" stroked="true" strokeweight=".47998pt" strokecolor="#000000">
                <v:path arrowok="t"/>
              </v:shape>
            </v:group>
            <w10:wrap type="none"/>
          </v:group>
        </w:pict>
      </w:r>
      <w:r>
        <w:rPr>
          <w:rFonts w:ascii="宋体" w:hAnsi="宋体" w:cs="宋体" w:eastAsia="宋体" w:hint="default"/>
          <w:sz w:val="21"/>
          <w:szCs w:val="21"/>
        </w:rPr>
        <w:t>单位：人民币千元</w:t>
      </w:r>
    </w:p>
    <w:p>
      <w:pPr>
        <w:spacing w:line="240" w:lineRule="auto" w:before="10"/>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128"/>
        <w:gridCol w:w="991"/>
        <w:gridCol w:w="1031"/>
        <w:gridCol w:w="812"/>
        <w:gridCol w:w="850"/>
        <w:gridCol w:w="852"/>
        <w:gridCol w:w="1700"/>
        <w:gridCol w:w="992"/>
        <w:gridCol w:w="991"/>
        <w:gridCol w:w="1702"/>
        <w:gridCol w:w="1134"/>
        <w:gridCol w:w="851"/>
        <w:gridCol w:w="992"/>
      </w:tblGrid>
      <w:tr>
        <w:trPr>
          <w:trHeight w:val="12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1501" w:val="left" w:leader="none"/>
              </w:tabs>
              <w:spacing w:line="240" w:lineRule="auto" w:before="28"/>
              <w:ind w:left="459" w:right="0"/>
              <w:jc w:val="left"/>
              <w:rPr>
                <w:rFonts w:ascii="宋体" w:hAnsi="宋体" w:cs="宋体" w:eastAsia="宋体" w:hint="default"/>
                <w:sz w:val="16"/>
                <w:szCs w:val="16"/>
              </w:rPr>
            </w:pPr>
            <w:r>
              <w:rPr>
                <w:rFonts w:ascii="宋体" w:hAnsi="宋体" w:cs="宋体" w:eastAsia="宋体" w:hint="default"/>
                <w:w w:val="95"/>
                <w:sz w:val="16"/>
                <w:szCs w:val="16"/>
              </w:rPr>
              <w:t>项</w:t>
              <w:tab/>
            </w:r>
            <w:r>
              <w:rPr>
                <w:rFonts w:ascii="宋体" w:hAnsi="宋体" w:cs="宋体" w:eastAsia="宋体" w:hint="default"/>
                <w:sz w:val="16"/>
                <w:szCs w:val="16"/>
              </w:rPr>
              <w:t>目</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0" w:right="0"/>
              <w:jc w:val="left"/>
              <w:rPr>
                <w:rFonts w:ascii="黑体" w:hAnsi="黑体" w:cs="黑体" w:eastAsia="黑体" w:hint="default"/>
                <w:sz w:val="16"/>
                <w:szCs w:val="16"/>
              </w:rPr>
            </w:pPr>
            <w:r>
              <w:rPr>
                <w:rFonts w:ascii="黑体" w:hAnsi="黑体" w:cs="黑体" w:eastAsia="黑体" w:hint="default"/>
                <w:sz w:val="16"/>
                <w:szCs w:val="16"/>
              </w:rPr>
              <w:t>一、坏账准备合计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0" w:right="0"/>
              <w:jc w:val="left"/>
              <w:rPr>
                <w:rFonts w:ascii="Arial" w:hAnsi="Arial" w:cs="Arial" w:eastAsia="Arial" w:hint="default"/>
                <w:sz w:val="16"/>
                <w:szCs w:val="16"/>
              </w:rPr>
            </w:pPr>
            <w:r>
              <w:rPr>
                <w:rFonts w:ascii="Arial" w:hAnsi="Arial" w:cs="Arial" w:eastAsia="Arial" w:hint="default"/>
                <w:sz w:val="16"/>
                <w:szCs w:val="16"/>
              </w:rPr>
              <w:t>2006 </w:t>
            </w:r>
            <w:r>
              <w:rPr>
                <w:rFonts w:ascii="宋体" w:hAnsi="宋体" w:cs="宋体" w:eastAsia="宋体" w:hint="default"/>
                <w:sz w:val="16"/>
                <w:szCs w:val="16"/>
              </w:rPr>
              <w:t>年</w:t>
            </w:r>
            <w:r>
              <w:rPr>
                <w:rFonts w:ascii="宋体" w:hAnsi="宋体" w:cs="宋体" w:eastAsia="宋体" w:hint="default"/>
                <w:spacing w:val="-47"/>
                <w:sz w:val="16"/>
                <w:szCs w:val="16"/>
              </w:rPr>
              <w:t> </w:t>
            </w:r>
            <w:r>
              <w:rPr>
                <w:rFonts w:ascii="Arial" w:hAnsi="Arial" w:cs="Arial" w:eastAsia="Arial" w:hint="default"/>
                <w:sz w:val="16"/>
                <w:szCs w:val="16"/>
              </w:rPr>
              <w:t>1</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合并</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3" w:right="0"/>
              <w:jc w:val="center"/>
              <w:rPr>
                <w:rFonts w:ascii="Arial" w:hAnsi="Arial" w:cs="Arial" w:eastAsia="Arial" w:hint="default"/>
                <w:sz w:val="16"/>
                <w:szCs w:val="16"/>
              </w:rPr>
            </w:pPr>
            <w:r>
              <w:rPr>
                <w:rFonts w:ascii="Arial"/>
                <w:sz w:val="16"/>
              </w:rPr>
              <w:t>17,406</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 w:right="0"/>
              <w:jc w:val="left"/>
              <w:rPr>
                <w:rFonts w:ascii="宋体" w:hAnsi="宋体" w:cs="宋体" w:eastAsia="宋体" w:hint="default"/>
                <w:sz w:val="16"/>
                <w:szCs w:val="16"/>
              </w:rPr>
            </w:pP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16"/>
                <w:szCs w:val="16"/>
              </w:rPr>
            </w:pPr>
            <w:r>
              <w:rPr>
                <w:rFonts w:ascii="宋体" w:hAnsi="宋体" w:cs="宋体" w:eastAsia="宋体" w:hint="default"/>
                <w:sz w:val="16"/>
                <w:szCs w:val="16"/>
              </w:rPr>
              <w:t>母公司</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626" w:right="-5"/>
              <w:jc w:val="left"/>
              <w:rPr>
                <w:rFonts w:ascii="Arial" w:hAnsi="Arial" w:cs="Arial" w:eastAsia="Arial" w:hint="default"/>
                <w:sz w:val="16"/>
                <w:szCs w:val="16"/>
              </w:rPr>
            </w:pPr>
            <w:r>
              <w:rPr>
                <w:rFonts w:ascii="Arial"/>
                <w:sz w:val="16"/>
              </w:rPr>
              <w:t>30,17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525" w:lineRule="auto" w:before="28"/>
              <w:ind w:left="260" w:right="-42" w:firstLine="265"/>
              <w:jc w:val="left"/>
              <w:rPr>
                <w:rFonts w:ascii="宋体" w:hAnsi="宋体" w:cs="宋体" w:eastAsia="宋体" w:hint="default"/>
                <w:sz w:val="16"/>
                <w:szCs w:val="16"/>
              </w:rPr>
            </w:pPr>
            <w:r>
              <w:rPr>
                <w:rFonts w:ascii="宋体" w:hAnsi="宋体" w:cs="宋体" w:eastAsia="宋体" w:hint="default"/>
                <w:sz w:val="16"/>
                <w:szCs w:val="16"/>
              </w:rPr>
              <w:t>本年</w:t>
            </w:r>
            <w:r>
              <w:rPr>
                <w:rFonts w:ascii="宋体" w:hAnsi="宋体" w:cs="宋体" w:eastAsia="宋体" w:hint="default"/>
                <w:w w:val="99"/>
                <w:sz w:val="16"/>
                <w:szCs w:val="16"/>
              </w:rPr>
              <w:t> </w:t>
            </w:r>
            <w:r>
              <w:rPr>
                <w:rFonts w:ascii="宋体" w:hAnsi="宋体" w:cs="宋体" w:eastAsia="宋体" w:hint="default"/>
                <w:sz w:val="16"/>
                <w:szCs w:val="16"/>
              </w:rPr>
              <w:t>合并</w:t>
            </w: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0" w:right="-28"/>
              <w:jc w:val="left"/>
              <w:rPr>
                <w:rFonts w:ascii="Arial" w:hAnsi="Arial" w:cs="Arial" w:eastAsia="Arial" w:hint="default"/>
                <w:sz w:val="16"/>
                <w:szCs w:val="16"/>
              </w:rPr>
            </w:pPr>
            <w:r>
              <w:rPr>
                <w:rFonts w:ascii="Arial"/>
                <w:sz w:val="16"/>
              </w:rPr>
              <w:t>1,059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left"/>
              <w:rPr>
                <w:rFonts w:ascii="宋体" w:hAnsi="宋体" w:cs="宋体" w:eastAsia="宋体" w:hint="default"/>
                <w:sz w:val="16"/>
                <w:szCs w:val="16"/>
              </w:rPr>
            </w:pPr>
            <w:r>
              <w:rPr>
                <w:rFonts w:ascii="宋体" w:hAnsi="宋体" w:cs="宋体" w:eastAsia="宋体" w:hint="default"/>
                <w:sz w:val="16"/>
                <w:szCs w:val="16"/>
              </w:rPr>
              <w:t>增加</w:t>
            </w: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6"/>
                <w:szCs w:val="16"/>
              </w:rPr>
            </w:pPr>
            <w:r>
              <w:rPr>
                <w:rFonts w:ascii="宋体" w:hAnsi="宋体" w:cs="宋体" w:eastAsia="宋体" w:hint="default"/>
                <w:sz w:val="16"/>
                <w:szCs w:val="16"/>
              </w:rPr>
              <w:t>母公司</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81" w:right="0"/>
              <w:jc w:val="left"/>
              <w:rPr>
                <w:rFonts w:ascii="宋体" w:hAnsi="宋体" w:cs="宋体" w:eastAsia="宋体" w:hint="default"/>
                <w:sz w:val="16"/>
                <w:szCs w:val="16"/>
              </w:rPr>
            </w:pPr>
            <w:r>
              <w:rPr>
                <w:rFonts w:ascii="宋体" w:hAnsi="宋体" w:cs="宋体" w:eastAsia="宋体" w:hint="default"/>
                <w:sz w:val="16"/>
                <w:szCs w:val="16"/>
              </w:rPr>
              <w:t>转回数</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2" w:right="0"/>
              <w:jc w:val="left"/>
              <w:rPr>
                <w:rFonts w:ascii="Arial" w:hAnsi="Arial" w:cs="Arial" w:eastAsia="Arial" w:hint="default"/>
                <w:sz w:val="16"/>
                <w:szCs w:val="16"/>
              </w:rPr>
            </w:pPr>
            <w:r>
              <w:rPr>
                <w:rFonts w:ascii="Arial"/>
                <w:sz w:val="16"/>
              </w:rPr>
              <w:t>(899)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140" w:right="0"/>
              <w:jc w:val="center"/>
              <w:rPr>
                <w:rFonts w:ascii="宋体" w:hAnsi="宋体" w:cs="宋体" w:eastAsia="宋体" w:hint="default"/>
                <w:sz w:val="16"/>
                <w:szCs w:val="16"/>
              </w:rPr>
            </w:pPr>
            <w:r>
              <w:rPr>
                <w:rFonts w:ascii="宋体" w:hAnsi="宋体" w:cs="宋体" w:eastAsia="宋体" w:hint="default"/>
                <w:sz w:val="16"/>
                <w:szCs w:val="16"/>
              </w:rPr>
              <w:t>合并</w:t>
            </w:r>
          </w:p>
          <w:p>
            <w:pPr>
              <w:pStyle w:val="TableParagraph"/>
              <w:tabs>
                <w:tab w:pos="959" w:val="left" w:leader="none"/>
              </w:tabs>
              <w:spacing w:line="240" w:lineRule="auto" w:before="107"/>
              <w:ind w:left="109" w:right="0"/>
              <w:jc w:val="left"/>
              <w:rPr>
                <w:rFonts w:ascii="宋体" w:hAnsi="宋体" w:cs="宋体" w:eastAsia="宋体" w:hint="default"/>
                <w:sz w:val="16"/>
                <w:szCs w:val="16"/>
              </w:rPr>
            </w:pPr>
            <w:r>
              <w:rPr>
                <w:rFonts w:ascii="宋体" w:hAnsi="宋体" w:cs="宋体" w:eastAsia="宋体" w:hint="default"/>
                <w:w w:val="95"/>
                <w:sz w:val="16"/>
                <w:szCs w:val="16"/>
              </w:rPr>
              <w:t>转出数</w:t>
              <w:tab/>
            </w:r>
            <w:r>
              <w:rPr>
                <w:rFonts w:ascii="宋体" w:hAnsi="宋体" w:cs="宋体" w:eastAsia="宋体" w:hint="default"/>
                <w:sz w:val="16"/>
                <w:szCs w:val="16"/>
              </w:rPr>
              <w:t>转销数</w:t>
            </w:r>
          </w:p>
          <w:p>
            <w:pPr>
              <w:pStyle w:val="TableParagraph"/>
              <w:spacing w:line="240" w:lineRule="auto" w:before="10"/>
              <w:ind w:right="0"/>
              <w:jc w:val="left"/>
              <w:rPr>
                <w:rFonts w:ascii="宋体" w:hAnsi="宋体" w:cs="宋体" w:eastAsia="宋体" w:hint="default"/>
                <w:sz w:val="14"/>
                <w:szCs w:val="14"/>
              </w:rPr>
            </w:pPr>
          </w:p>
          <w:p>
            <w:pPr>
              <w:pStyle w:val="TableParagraph"/>
              <w:tabs>
                <w:tab w:pos="1133" w:val="left" w:leader="none"/>
              </w:tabs>
              <w:spacing w:line="240" w:lineRule="auto"/>
              <w:ind w:left="635" w:right="0"/>
              <w:jc w:val="left"/>
              <w:rPr>
                <w:rFonts w:ascii="Arial" w:hAnsi="Arial" w:cs="Arial" w:eastAsia="Arial" w:hint="default"/>
                <w:sz w:val="16"/>
                <w:szCs w:val="16"/>
              </w:rPr>
            </w:pPr>
            <w:r>
              <w:rPr>
                <w:rFonts w:ascii="Arial"/>
                <w:w w:val="95"/>
                <w:sz w:val="16"/>
              </w:rPr>
              <w:t>-</w:t>
              <w:tab/>
            </w:r>
            <w:r>
              <w:rPr>
                <w:rFonts w:ascii="Arial"/>
                <w:sz w:val="16"/>
              </w:rPr>
              <w:t>(3,855)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09" w:right="0"/>
              <w:jc w:val="left"/>
              <w:rPr>
                <w:rFonts w:ascii="宋体" w:hAnsi="宋体" w:cs="宋体" w:eastAsia="宋体" w:hint="default"/>
                <w:sz w:val="16"/>
                <w:szCs w:val="16"/>
              </w:rPr>
            </w:pPr>
            <w:r>
              <w:rPr>
                <w:rFonts w:ascii="宋体" w:hAnsi="宋体" w:cs="宋体" w:eastAsia="宋体" w:hint="default"/>
                <w:w w:val="99"/>
                <w:sz w:val="16"/>
                <w:szCs w:val="16"/>
              </w:rPr>
              <w:t>本</w:t>
            </w:r>
            <w:r>
              <w:rPr>
                <w:rFonts w:ascii="宋体" w:hAnsi="宋体" w:cs="宋体" w:eastAsia="宋体" w:hint="default"/>
                <w:sz w:val="16"/>
                <w:szCs w:val="16"/>
              </w:rPr>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合计</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67" w:right="0"/>
              <w:jc w:val="left"/>
              <w:rPr>
                <w:rFonts w:ascii="Arial" w:hAnsi="Arial" w:cs="Arial" w:eastAsia="Arial" w:hint="default"/>
                <w:sz w:val="16"/>
                <w:szCs w:val="16"/>
              </w:rPr>
            </w:pPr>
            <w:r>
              <w:rPr>
                <w:rFonts w:ascii="Arial"/>
                <w:sz w:val="16"/>
              </w:rPr>
              <w:t>(4,754)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16"/>
                <w:szCs w:val="16"/>
              </w:rPr>
            </w:pPr>
            <w:r>
              <w:rPr>
                <w:rFonts w:ascii="宋体" w:hAnsi="宋体" w:cs="宋体" w:eastAsia="宋体" w:hint="default"/>
                <w:sz w:val="16"/>
                <w:szCs w:val="16"/>
              </w:rPr>
              <w:t>年转回</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hAnsi="宋体" w:cs="宋体" w:eastAsia="宋体" w:hint="default"/>
                <w:sz w:val="16"/>
                <w:szCs w:val="16"/>
              </w:rPr>
              <w:t>转回数</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5" w:right="0"/>
              <w:jc w:val="left"/>
              <w:rPr>
                <w:rFonts w:ascii="Arial" w:hAnsi="Arial" w:cs="Arial" w:eastAsia="Arial" w:hint="default"/>
                <w:sz w:val="16"/>
                <w:szCs w:val="16"/>
              </w:rPr>
            </w:pPr>
            <w:r>
              <w:rPr>
                <w:rFonts w:ascii="Arial"/>
                <w:sz w:val="16"/>
              </w:rPr>
              <w:t>(22,636)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676" w:right="0"/>
              <w:jc w:val="left"/>
              <w:rPr>
                <w:rFonts w:ascii="宋体" w:hAnsi="宋体" w:cs="宋体" w:eastAsia="宋体" w:hint="default"/>
                <w:sz w:val="16"/>
                <w:szCs w:val="16"/>
              </w:rPr>
            </w:pPr>
            <w:r>
              <w:rPr>
                <w:rFonts w:ascii="宋体" w:hAnsi="宋体" w:cs="宋体" w:eastAsia="宋体" w:hint="default"/>
                <w:sz w:val="16"/>
                <w:szCs w:val="16"/>
              </w:rPr>
              <w:t>母公司</w:t>
            </w:r>
          </w:p>
          <w:p>
            <w:pPr>
              <w:pStyle w:val="TableParagraph"/>
              <w:tabs>
                <w:tab w:pos="961" w:val="left" w:leader="none"/>
              </w:tabs>
              <w:spacing w:line="240" w:lineRule="auto" w:before="107"/>
              <w:ind w:left="110" w:right="0"/>
              <w:jc w:val="left"/>
              <w:rPr>
                <w:rFonts w:ascii="宋体" w:hAnsi="宋体" w:cs="宋体" w:eastAsia="宋体" w:hint="default"/>
                <w:sz w:val="16"/>
                <w:szCs w:val="16"/>
              </w:rPr>
            </w:pPr>
            <w:r>
              <w:rPr>
                <w:rFonts w:ascii="宋体" w:hAnsi="宋体" w:cs="宋体" w:eastAsia="宋体" w:hint="default"/>
                <w:w w:val="95"/>
                <w:sz w:val="16"/>
                <w:szCs w:val="16"/>
              </w:rPr>
              <w:t>转出数</w:t>
              <w:tab/>
            </w:r>
            <w:r>
              <w:rPr>
                <w:rFonts w:ascii="宋体" w:hAnsi="宋体" w:cs="宋体" w:eastAsia="宋体" w:hint="default"/>
                <w:sz w:val="16"/>
                <w:szCs w:val="16"/>
              </w:rPr>
              <w:t>转销数</w:t>
            </w:r>
          </w:p>
          <w:p>
            <w:pPr>
              <w:pStyle w:val="TableParagraph"/>
              <w:spacing w:line="240" w:lineRule="auto" w:before="10"/>
              <w:ind w:right="0"/>
              <w:jc w:val="left"/>
              <w:rPr>
                <w:rFonts w:ascii="宋体" w:hAnsi="宋体" w:cs="宋体" w:eastAsia="宋体" w:hint="default"/>
                <w:sz w:val="14"/>
                <w:szCs w:val="14"/>
              </w:rPr>
            </w:pPr>
          </w:p>
          <w:p>
            <w:pPr>
              <w:pStyle w:val="TableParagraph"/>
              <w:tabs>
                <w:tab w:pos="1176" w:val="left" w:leader="none"/>
              </w:tabs>
              <w:spacing w:line="240" w:lineRule="auto"/>
              <w:ind w:left="633" w:right="0"/>
              <w:jc w:val="left"/>
              <w:rPr>
                <w:rFonts w:ascii="Arial" w:hAnsi="Arial" w:cs="Arial" w:eastAsia="Arial" w:hint="default"/>
                <w:sz w:val="16"/>
                <w:szCs w:val="16"/>
              </w:rPr>
            </w:pPr>
            <w:r>
              <w:rPr>
                <w:rFonts w:ascii="Arial"/>
                <w:w w:val="95"/>
                <w:sz w:val="16"/>
              </w:rPr>
              <w:t>-</w:t>
              <w:tab/>
            </w:r>
            <w:r>
              <w:rPr>
                <w:rFonts w:ascii="Arial"/>
                <w:sz w:val="16"/>
              </w:rPr>
              <w:t>(3,854)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合计</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85" w:right="0"/>
              <w:jc w:val="left"/>
              <w:rPr>
                <w:rFonts w:ascii="Arial" w:hAnsi="Arial" w:cs="Arial" w:eastAsia="Arial" w:hint="default"/>
                <w:sz w:val="16"/>
                <w:szCs w:val="16"/>
              </w:rPr>
            </w:pPr>
            <w:r>
              <w:rPr>
                <w:rFonts w:ascii="Arial"/>
                <w:sz w:val="16"/>
              </w:rPr>
              <w:t>(26,490)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6" w:right="0"/>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0" w:right="0"/>
              <w:jc w:val="left"/>
              <w:rPr>
                <w:rFonts w:ascii="宋体" w:hAnsi="宋体" w:cs="宋体" w:eastAsia="宋体" w:hint="default"/>
                <w:sz w:val="16"/>
                <w:szCs w:val="16"/>
              </w:rPr>
            </w:pPr>
            <w:r>
              <w:rPr>
                <w:rFonts w:ascii="宋体" w:hAnsi="宋体" w:cs="宋体" w:eastAsia="宋体" w:hint="default"/>
                <w:sz w:val="16"/>
                <w:szCs w:val="16"/>
              </w:rPr>
              <w:t>合并</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56" w:right="0"/>
              <w:jc w:val="left"/>
              <w:rPr>
                <w:rFonts w:ascii="Arial" w:hAnsi="Arial" w:cs="Arial" w:eastAsia="Arial" w:hint="default"/>
                <w:sz w:val="16"/>
                <w:szCs w:val="16"/>
              </w:rPr>
            </w:pPr>
            <w:r>
              <w:rPr>
                <w:rFonts w:ascii="Arial"/>
                <w:spacing w:val="-3"/>
                <w:sz w:val="16"/>
              </w:rPr>
              <w:t>13,711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16"/>
                <w:szCs w:val="16"/>
              </w:rPr>
            </w:pPr>
            <w:r>
              <w:rPr>
                <w:rFonts w:ascii="宋体" w:hAnsi="宋体" w:cs="宋体" w:eastAsia="宋体" w:hint="default"/>
                <w:sz w:val="16"/>
                <w:szCs w:val="16"/>
              </w:rPr>
              <w:t>母公司</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573" w:right="0"/>
              <w:jc w:val="left"/>
              <w:rPr>
                <w:rFonts w:ascii="Arial" w:hAnsi="Arial" w:cs="Arial" w:eastAsia="Arial" w:hint="default"/>
                <w:sz w:val="16"/>
                <w:szCs w:val="16"/>
              </w:rPr>
            </w:pPr>
            <w:r>
              <w:rPr>
                <w:rFonts w:ascii="Arial"/>
                <w:sz w:val="16"/>
              </w:rPr>
              <w:t>3,683</w:t>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其中：应收账款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5"/>
                <w:sz w:val="16"/>
              </w:rPr>
              <w:t>5,452</w:t>
            </w:r>
            <w:r>
              <w:rPr>
                <w:rFonts w:ascii="Arial"/>
                <w:sz w:val="16"/>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
              <w:jc w:val="right"/>
              <w:rPr>
                <w:rFonts w:ascii="Arial" w:hAnsi="Arial" w:cs="Arial" w:eastAsia="Arial" w:hint="default"/>
                <w:sz w:val="16"/>
                <w:szCs w:val="16"/>
              </w:rPr>
            </w:pPr>
            <w:r>
              <w:rPr>
                <w:rFonts w:ascii="Arial"/>
                <w:w w:val="95"/>
                <w:sz w:val="16"/>
              </w:rPr>
              <w:t>24,08</w:t>
            </w:r>
            <w:r>
              <w:rPr>
                <w:rFonts w:ascii="Arial"/>
                <w:sz w:val="16"/>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5"/>
                <w:sz w:val="16"/>
              </w:rPr>
              <w:t>1,059</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0" w:lineRule="auto" w:before="114"/>
              <w:ind w:right="102"/>
              <w:jc w:val="right"/>
              <w:rPr>
                <w:rFonts w:ascii="Arial" w:hAnsi="Arial" w:cs="Arial" w:eastAsia="Arial" w:hint="default"/>
                <w:sz w:val="16"/>
                <w:szCs w:val="16"/>
              </w:rPr>
            </w:pPr>
            <w:r>
              <w:rPr>
                <w:rFonts w:ascii="Arial"/>
                <w:w w:val="95"/>
                <w:sz w:val="16"/>
              </w:rPr>
              <w:t>-</w:t>
              <w:tab/>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Arial" w:hAnsi="Arial" w:cs="Arial" w:eastAsia="Arial" w:hint="default"/>
                <w:sz w:val="16"/>
                <w:szCs w:val="16"/>
              </w:rPr>
            </w:pPr>
            <w:r>
              <w:rPr>
                <w:rFonts w:ascii="Arial"/>
                <w:w w:val="95"/>
                <w:sz w:val="16"/>
              </w:rPr>
              <w:t>(22,265)</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14"/>
              <w:ind w:right="50"/>
              <w:jc w:val="right"/>
              <w:rPr>
                <w:rFonts w:ascii="Arial" w:hAnsi="Arial" w:cs="Arial" w:eastAsia="Arial" w:hint="default"/>
                <w:sz w:val="16"/>
                <w:szCs w:val="16"/>
              </w:rPr>
            </w:pPr>
            <w:r>
              <w:rPr>
                <w:rFonts w:ascii="Arial"/>
                <w:w w:val="95"/>
                <w:sz w:val="16"/>
              </w:rPr>
              <w:t>-</w:t>
              <w:tab/>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41"/>
              <w:jc w:val="right"/>
              <w:rPr>
                <w:rFonts w:ascii="Arial" w:hAnsi="Arial" w:cs="Arial" w:eastAsia="Arial" w:hint="default"/>
                <w:sz w:val="16"/>
                <w:szCs w:val="16"/>
              </w:rPr>
            </w:pPr>
            <w:r>
              <w:rPr>
                <w:rFonts w:ascii="Arial"/>
                <w:w w:val="95"/>
                <w:sz w:val="16"/>
              </w:rPr>
              <w:t>(22,265)</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spacing w:val="-3"/>
                <w:sz w:val="16"/>
              </w:rPr>
              <w:t>6,511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1,815</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12" w:right="0"/>
              <w:jc w:val="left"/>
              <w:rPr>
                <w:rFonts w:ascii="黑体" w:hAnsi="黑体" w:cs="黑体" w:eastAsia="黑体" w:hint="default"/>
                <w:sz w:val="16"/>
                <w:szCs w:val="16"/>
              </w:rPr>
            </w:pPr>
            <w:r>
              <w:rPr>
                <w:rFonts w:ascii="黑体" w:hAnsi="黑体" w:cs="黑体" w:eastAsia="黑体" w:hint="default"/>
                <w:sz w:val="16"/>
                <w:szCs w:val="16"/>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spacing w:val="-3"/>
                <w:sz w:val="16"/>
              </w:rPr>
              <w:t>11,954</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
              <w:jc w:val="right"/>
              <w:rPr>
                <w:rFonts w:ascii="Arial" w:hAnsi="Arial" w:cs="Arial" w:eastAsia="Arial" w:hint="default"/>
                <w:sz w:val="16"/>
                <w:szCs w:val="16"/>
              </w:rPr>
            </w:pPr>
            <w:r>
              <w:rPr>
                <w:rFonts w:ascii="Arial"/>
                <w:w w:val="95"/>
                <w:sz w:val="16"/>
              </w:rPr>
              <w:t>6,09</w:t>
            </w:r>
            <w:r>
              <w:rPr>
                <w:rFonts w:ascii="Arial"/>
                <w:sz w:val="16"/>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5"/>
              <w:jc w:val="right"/>
              <w:rPr>
                <w:rFonts w:ascii="Arial" w:hAnsi="Arial" w:cs="Arial" w:eastAsia="Arial" w:hint="default"/>
                <w:sz w:val="16"/>
                <w:szCs w:val="16"/>
              </w:rPr>
            </w:pPr>
            <w:r>
              <w:rPr>
                <w:rFonts w:ascii="Arial"/>
                <w:w w:val="95"/>
                <w:sz w:val="16"/>
              </w:rPr>
              <w:t>(899)</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497" w:val="left" w:leader="none"/>
              </w:tabs>
              <w:spacing w:line="240" w:lineRule="auto" w:before="114"/>
              <w:ind w:right="49"/>
              <w:jc w:val="right"/>
              <w:rPr>
                <w:rFonts w:ascii="Arial" w:hAnsi="Arial" w:cs="Arial" w:eastAsia="Arial" w:hint="default"/>
                <w:sz w:val="16"/>
                <w:szCs w:val="16"/>
              </w:rPr>
            </w:pPr>
            <w:r>
              <w:rPr>
                <w:rFonts w:ascii="Arial"/>
                <w:w w:val="95"/>
                <w:sz w:val="16"/>
              </w:rPr>
              <w:t>-</w:t>
              <w:tab/>
            </w:r>
            <w:r>
              <w:rPr>
                <w:rFonts w:ascii="Arial"/>
                <w:spacing w:val="-1"/>
                <w:w w:val="95"/>
                <w:sz w:val="16"/>
              </w:rPr>
              <w:t>(3,855)</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5"/>
                <w:sz w:val="16"/>
              </w:rPr>
              <w:t>(4,754)</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right"/>
              <w:rPr>
                <w:rFonts w:ascii="Arial" w:hAnsi="Arial" w:cs="Arial" w:eastAsia="Arial" w:hint="default"/>
                <w:sz w:val="16"/>
                <w:szCs w:val="16"/>
              </w:rPr>
            </w:pPr>
            <w:r>
              <w:rPr>
                <w:rFonts w:ascii="Arial"/>
                <w:w w:val="95"/>
                <w:sz w:val="16"/>
              </w:rPr>
              <w:t>(371)</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543" w:val="left" w:leader="none"/>
              </w:tabs>
              <w:spacing w:line="240" w:lineRule="auto" w:before="114"/>
              <w:ind w:right="7"/>
              <w:jc w:val="right"/>
              <w:rPr>
                <w:rFonts w:ascii="Arial" w:hAnsi="Arial" w:cs="Arial" w:eastAsia="Arial" w:hint="default"/>
                <w:sz w:val="16"/>
                <w:szCs w:val="16"/>
              </w:rPr>
            </w:pPr>
            <w:r>
              <w:rPr>
                <w:rFonts w:ascii="Arial"/>
                <w:w w:val="95"/>
                <w:sz w:val="16"/>
              </w:rPr>
              <w:t>-</w:t>
              <w:tab/>
            </w:r>
            <w:r>
              <w:rPr>
                <w:rFonts w:ascii="Arial"/>
                <w:spacing w:val="-1"/>
                <w:w w:val="95"/>
                <w:sz w:val="16"/>
              </w:rPr>
              <w:t>(3,854)</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40"/>
              <w:jc w:val="right"/>
              <w:rPr>
                <w:rFonts w:ascii="Arial" w:hAnsi="Arial" w:cs="Arial" w:eastAsia="Arial" w:hint="default"/>
                <w:sz w:val="16"/>
                <w:szCs w:val="16"/>
              </w:rPr>
            </w:pPr>
            <w:r>
              <w:rPr>
                <w:rFonts w:ascii="Arial"/>
                <w:w w:val="95"/>
                <w:sz w:val="16"/>
              </w:rPr>
              <w:t>(4,225)</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w w:val="95"/>
                <w:sz w:val="16"/>
              </w:rPr>
              <w:t>7,200</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spacing w:val="-1"/>
                <w:w w:val="95"/>
                <w:sz w:val="16"/>
              </w:rPr>
              <w:t>1,868</w:t>
            </w:r>
            <w:r>
              <w:rPr>
                <w:rFonts w:ascii="Arial"/>
                <w:sz w:val="16"/>
              </w:rPr>
            </w:r>
          </w:p>
        </w:tc>
      </w:tr>
      <w:tr>
        <w:trPr>
          <w:trHeight w:val="3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二、短期投资跌价准备合计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103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0" w:lineRule="auto" w:before="114"/>
              <w:ind w:right="102"/>
              <w:jc w:val="right"/>
              <w:rPr>
                <w:rFonts w:ascii="Arial" w:hAnsi="Arial" w:cs="Arial" w:eastAsia="Arial" w:hint="default"/>
                <w:sz w:val="16"/>
                <w:szCs w:val="16"/>
              </w:rPr>
            </w:pPr>
            <w:r>
              <w:rPr>
                <w:rFonts w:ascii="Arial"/>
                <w:w w:val="95"/>
                <w:sz w:val="16"/>
              </w:rPr>
              <w:t>-</w:t>
              <w:tab/>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14"/>
              <w:ind w:right="50"/>
              <w:jc w:val="right"/>
              <w:rPr>
                <w:rFonts w:ascii="Arial" w:hAnsi="Arial" w:cs="Arial" w:eastAsia="Arial" w:hint="default"/>
                <w:sz w:val="16"/>
                <w:szCs w:val="16"/>
              </w:rPr>
            </w:pPr>
            <w:r>
              <w:rPr>
                <w:rFonts w:ascii="Arial"/>
                <w:w w:val="95"/>
                <w:sz w:val="16"/>
              </w:rPr>
              <w:t>-</w:t>
              <w:tab/>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三、存货跌价准备合计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spacing w:val="-3"/>
                <w:sz w:val="16"/>
              </w:rPr>
              <w:t>12,211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
              <w:jc w:val="right"/>
              <w:rPr>
                <w:rFonts w:ascii="Arial" w:hAnsi="Arial" w:cs="Arial" w:eastAsia="Arial" w:hint="default"/>
                <w:sz w:val="16"/>
                <w:szCs w:val="16"/>
              </w:rPr>
            </w:pPr>
            <w:r>
              <w:rPr>
                <w:rFonts w:ascii="Arial"/>
                <w:w w:val="95"/>
                <w:sz w:val="16"/>
              </w:rPr>
              <w:t>8,29</w:t>
            </w:r>
            <w:r>
              <w:rPr>
                <w:rFonts w:ascii="Arial"/>
                <w:sz w:val="16"/>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5"/>
                <w:sz w:val="16"/>
              </w:rPr>
              <w:t>9,999</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3,602</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407" w:val="left" w:leader="none"/>
              </w:tabs>
              <w:spacing w:line="240" w:lineRule="auto" w:before="114"/>
              <w:ind w:right="49"/>
              <w:jc w:val="right"/>
              <w:rPr>
                <w:rFonts w:ascii="Arial" w:hAnsi="Arial" w:cs="Arial" w:eastAsia="Arial" w:hint="default"/>
                <w:sz w:val="16"/>
                <w:szCs w:val="16"/>
              </w:rPr>
            </w:pPr>
            <w:r>
              <w:rPr>
                <w:rFonts w:ascii="Arial"/>
                <w:w w:val="95"/>
                <w:sz w:val="16"/>
              </w:rPr>
              <w:t>-</w:t>
              <w:tab/>
              <w:t>(10,716)</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5"/>
                <w:sz w:val="16"/>
              </w:rPr>
              <w:t>(10,716)</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1"/>
              <w:jc w:val="right"/>
              <w:rPr>
                <w:rFonts w:ascii="Arial" w:hAnsi="Arial" w:cs="Arial" w:eastAsia="Arial" w:hint="default"/>
                <w:sz w:val="16"/>
                <w:szCs w:val="16"/>
              </w:rPr>
            </w:pPr>
            <w:r>
              <w:rPr>
                <w:rFonts w:ascii="Arial"/>
                <w:w w:val="99"/>
                <w:sz w:val="16"/>
              </w:rPr>
              <w:t>-</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543" w:val="left" w:leader="none"/>
              </w:tabs>
              <w:spacing w:line="240" w:lineRule="auto" w:before="114"/>
              <w:ind w:right="9"/>
              <w:jc w:val="right"/>
              <w:rPr>
                <w:rFonts w:ascii="Arial" w:hAnsi="Arial" w:cs="Arial" w:eastAsia="Arial" w:hint="default"/>
                <w:sz w:val="16"/>
                <w:szCs w:val="16"/>
              </w:rPr>
            </w:pPr>
            <w:r>
              <w:rPr>
                <w:rFonts w:ascii="Arial"/>
                <w:w w:val="95"/>
                <w:sz w:val="16"/>
              </w:rPr>
              <w:t>-</w:t>
              <w:tab/>
            </w:r>
            <w:r>
              <w:rPr>
                <w:rFonts w:ascii="Arial"/>
                <w:spacing w:val="-1"/>
                <w:sz w:val="16"/>
              </w:rPr>
              <w:t>(8,184)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41"/>
              <w:jc w:val="right"/>
              <w:rPr>
                <w:rFonts w:ascii="Arial" w:hAnsi="Arial" w:cs="Arial" w:eastAsia="Arial" w:hint="default"/>
                <w:sz w:val="16"/>
                <w:szCs w:val="16"/>
              </w:rPr>
            </w:pPr>
            <w:r>
              <w:rPr>
                <w:rFonts w:ascii="Arial"/>
                <w:w w:val="95"/>
                <w:sz w:val="16"/>
              </w:rPr>
              <w:t>(8,184)</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spacing w:val="-3"/>
                <w:sz w:val="16"/>
              </w:rPr>
              <w:t>11,494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spacing w:val="-1"/>
                <w:w w:val="95"/>
                <w:sz w:val="16"/>
              </w:rPr>
              <w:t>3,712</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四、长期投资减值准备合计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103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0" w:lineRule="auto" w:before="114"/>
              <w:ind w:right="102"/>
              <w:jc w:val="right"/>
              <w:rPr>
                <w:rFonts w:ascii="Arial" w:hAnsi="Arial" w:cs="Arial" w:eastAsia="Arial" w:hint="default"/>
                <w:sz w:val="16"/>
                <w:szCs w:val="16"/>
              </w:rPr>
            </w:pPr>
            <w:r>
              <w:rPr>
                <w:rFonts w:ascii="Arial"/>
                <w:w w:val="95"/>
                <w:sz w:val="16"/>
              </w:rPr>
              <w:t>-</w:t>
              <w:tab/>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14"/>
              <w:ind w:right="50"/>
              <w:jc w:val="right"/>
              <w:rPr>
                <w:rFonts w:ascii="Arial" w:hAnsi="Arial" w:cs="Arial" w:eastAsia="Arial" w:hint="default"/>
                <w:sz w:val="16"/>
                <w:szCs w:val="16"/>
              </w:rPr>
            </w:pPr>
            <w:r>
              <w:rPr>
                <w:rFonts w:ascii="Arial"/>
                <w:w w:val="95"/>
                <w:sz w:val="16"/>
              </w:rPr>
              <w:t>-</w:t>
              <w:tab/>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五、固定资产减值准备合计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103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0" w:lineRule="auto" w:before="114"/>
              <w:ind w:right="102"/>
              <w:jc w:val="right"/>
              <w:rPr>
                <w:rFonts w:ascii="Arial" w:hAnsi="Arial" w:cs="Arial" w:eastAsia="Arial" w:hint="default"/>
                <w:sz w:val="16"/>
                <w:szCs w:val="16"/>
              </w:rPr>
            </w:pPr>
            <w:r>
              <w:rPr>
                <w:rFonts w:ascii="Arial"/>
                <w:w w:val="95"/>
                <w:sz w:val="16"/>
              </w:rPr>
              <w:t>-</w:t>
              <w:tab/>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14"/>
              <w:ind w:right="50"/>
              <w:jc w:val="right"/>
              <w:rPr>
                <w:rFonts w:ascii="Arial" w:hAnsi="Arial" w:cs="Arial" w:eastAsia="Arial" w:hint="default"/>
                <w:sz w:val="16"/>
                <w:szCs w:val="16"/>
              </w:rPr>
            </w:pPr>
            <w:r>
              <w:rPr>
                <w:rFonts w:ascii="Arial"/>
                <w:w w:val="95"/>
                <w:sz w:val="16"/>
              </w:rPr>
              <w:t>-</w:t>
              <w:tab/>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其中：房屋、建筑物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103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0" w:lineRule="auto" w:before="114"/>
              <w:ind w:right="102"/>
              <w:jc w:val="right"/>
              <w:rPr>
                <w:rFonts w:ascii="Arial" w:hAnsi="Arial" w:cs="Arial" w:eastAsia="Arial" w:hint="default"/>
                <w:sz w:val="16"/>
                <w:szCs w:val="16"/>
              </w:rPr>
            </w:pPr>
            <w:r>
              <w:rPr>
                <w:rFonts w:ascii="Arial"/>
                <w:w w:val="95"/>
                <w:sz w:val="16"/>
              </w:rPr>
              <w:t>-</w:t>
              <w:tab/>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14"/>
              <w:ind w:right="50"/>
              <w:jc w:val="right"/>
              <w:rPr>
                <w:rFonts w:ascii="Arial" w:hAnsi="Arial" w:cs="Arial" w:eastAsia="Arial" w:hint="default"/>
                <w:sz w:val="16"/>
                <w:szCs w:val="16"/>
              </w:rPr>
            </w:pPr>
            <w:r>
              <w:rPr>
                <w:rFonts w:ascii="Arial"/>
                <w:w w:val="95"/>
                <w:sz w:val="16"/>
              </w:rPr>
              <w:t>-</w:t>
              <w:tab/>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六、无形资产减值准备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103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0" w:lineRule="auto" w:before="114"/>
              <w:ind w:right="102"/>
              <w:jc w:val="right"/>
              <w:rPr>
                <w:rFonts w:ascii="Arial" w:hAnsi="Arial" w:cs="Arial" w:eastAsia="Arial" w:hint="default"/>
                <w:sz w:val="16"/>
                <w:szCs w:val="16"/>
              </w:rPr>
            </w:pPr>
            <w:r>
              <w:rPr>
                <w:rFonts w:ascii="Arial"/>
                <w:w w:val="95"/>
                <w:sz w:val="16"/>
              </w:rPr>
              <w:t>-</w:t>
              <w:tab/>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14"/>
              <w:ind w:right="50"/>
              <w:jc w:val="right"/>
              <w:rPr>
                <w:rFonts w:ascii="Arial" w:hAnsi="Arial" w:cs="Arial" w:eastAsia="Arial" w:hint="default"/>
                <w:sz w:val="16"/>
                <w:szCs w:val="16"/>
              </w:rPr>
            </w:pPr>
            <w:r>
              <w:rPr>
                <w:rFonts w:ascii="Arial"/>
                <w:w w:val="95"/>
                <w:sz w:val="16"/>
              </w:rPr>
              <w:t>-</w:t>
              <w:tab/>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其中：土地使用权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103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0" w:lineRule="auto" w:before="114"/>
              <w:ind w:right="102"/>
              <w:jc w:val="right"/>
              <w:rPr>
                <w:rFonts w:ascii="Arial" w:hAnsi="Arial" w:cs="Arial" w:eastAsia="Arial" w:hint="default"/>
                <w:sz w:val="16"/>
                <w:szCs w:val="16"/>
              </w:rPr>
            </w:pPr>
            <w:r>
              <w:rPr>
                <w:rFonts w:ascii="Arial"/>
                <w:w w:val="95"/>
                <w:sz w:val="16"/>
              </w:rPr>
              <w:t>-</w:t>
              <w:tab/>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14"/>
              <w:ind w:right="50"/>
              <w:jc w:val="right"/>
              <w:rPr>
                <w:rFonts w:ascii="Arial" w:hAnsi="Arial" w:cs="Arial" w:eastAsia="Arial" w:hint="default"/>
                <w:sz w:val="16"/>
                <w:szCs w:val="16"/>
              </w:rPr>
            </w:pPr>
            <w:r>
              <w:rPr>
                <w:rFonts w:ascii="Arial"/>
                <w:w w:val="95"/>
                <w:sz w:val="16"/>
              </w:rPr>
              <w:t>-</w:t>
              <w:tab/>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七、在建工程减值准备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103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0" w:lineRule="auto" w:before="114"/>
              <w:ind w:right="102"/>
              <w:jc w:val="right"/>
              <w:rPr>
                <w:rFonts w:ascii="Arial" w:hAnsi="Arial" w:cs="Arial" w:eastAsia="Arial" w:hint="default"/>
                <w:sz w:val="16"/>
                <w:szCs w:val="16"/>
              </w:rPr>
            </w:pPr>
            <w:r>
              <w:rPr>
                <w:rFonts w:ascii="Arial"/>
                <w:w w:val="95"/>
                <w:sz w:val="16"/>
              </w:rPr>
              <w:t>-</w:t>
              <w:tab/>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14"/>
              <w:ind w:right="50"/>
              <w:jc w:val="right"/>
              <w:rPr>
                <w:rFonts w:ascii="Arial" w:hAnsi="Arial" w:cs="Arial" w:eastAsia="Arial" w:hint="default"/>
                <w:sz w:val="16"/>
                <w:szCs w:val="16"/>
              </w:rPr>
            </w:pPr>
            <w:r>
              <w:rPr>
                <w:rFonts w:ascii="Arial"/>
                <w:w w:val="95"/>
                <w:sz w:val="16"/>
              </w:rPr>
              <w:t>-</w:t>
              <w:tab/>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八、委托贷款减值准备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103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0" w:lineRule="auto" w:before="114"/>
              <w:ind w:right="102"/>
              <w:jc w:val="right"/>
              <w:rPr>
                <w:rFonts w:ascii="Arial" w:hAnsi="Arial" w:cs="Arial" w:eastAsia="Arial" w:hint="default"/>
                <w:sz w:val="16"/>
                <w:szCs w:val="16"/>
              </w:rPr>
            </w:pPr>
            <w:r>
              <w:rPr>
                <w:rFonts w:ascii="Arial"/>
                <w:w w:val="95"/>
                <w:sz w:val="16"/>
              </w:rPr>
              <w:t>-</w:t>
              <w:tab/>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14"/>
              <w:ind w:right="50"/>
              <w:jc w:val="right"/>
              <w:rPr>
                <w:rFonts w:ascii="Arial" w:hAnsi="Arial" w:cs="Arial" w:eastAsia="Arial" w:hint="default"/>
                <w:sz w:val="16"/>
                <w:szCs w:val="16"/>
              </w:rPr>
            </w:pPr>
            <w:r>
              <w:rPr>
                <w:rFonts w:ascii="Arial"/>
                <w:w w:val="95"/>
                <w:sz w:val="16"/>
              </w:rPr>
              <w:t>-</w:t>
              <w:tab/>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7326" w:right="7644" w:firstLine="0"/>
        <w:jc w:val="center"/>
        <w:rPr>
          <w:rFonts w:ascii="Times New Roman" w:hAnsi="Times New Roman" w:cs="Times New Roman" w:eastAsia="Times New Roman" w:hint="default"/>
          <w:sz w:val="18"/>
          <w:szCs w:val="18"/>
        </w:rPr>
      </w:pPr>
      <w:r>
        <w:rPr>
          <w:rFonts w:ascii="Times New Roman"/>
          <w:sz w:val="18"/>
        </w:rPr>
        <w:t>157</w:t>
      </w:r>
    </w:p>
    <w:p>
      <w:pPr>
        <w:spacing w:after="0"/>
        <w:jc w:val="center"/>
        <w:rPr>
          <w:rFonts w:ascii="Times New Roman" w:hAnsi="Times New Roman" w:cs="Times New Roman" w:eastAsia="Times New Roman" w:hint="default"/>
          <w:sz w:val="18"/>
          <w:szCs w:val="18"/>
        </w:rPr>
        <w:sectPr>
          <w:headerReference w:type="default" r:id="rId36"/>
          <w:footerReference w:type="default" r:id="rId37"/>
          <w:pgSz w:w="16840" w:h="11910" w:orient="landscape"/>
          <w:pgMar w:header="0" w:footer="0" w:top="660" w:bottom="280" w:left="5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683" w:val="left" w:leader="none"/>
        </w:tabs>
        <w:spacing w:line="240" w:lineRule="auto" w:before="193"/>
        <w:ind w:left="149" w:right="0"/>
        <w:jc w:val="left"/>
      </w:pPr>
      <w:r>
        <w:rPr>
          <w:rFonts w:ascii="Arial" w:hAnsi="Arial" w:cs="Arial" w:eastAsia="Arial" w:hint="default"/>
        </w:rPr>
        <w:t>(3)</w:t>
        <w:tab/>
      </w:r>
      <w:r>
        <w:rPr/>
        <w:t>新旧会计准则股东权益差异调节表对比披露表</w:t>
      </w:r>
    </w:p>
    <w:p>
      <w:pPr>
        <w:spacing w:line="240" w:lineRule="auto" w:before="8"/>
        <w:rPr>
          <w:rFonts w:ascii="宋体" w:hAnsi="宋体" w:cs="宋体" w:eastAsia="宋体" w:hint="default"/>
          <w:sz w:val="22"/>
          <w:szCs w:val="22"/>
        </w:rPr>
      </w:pPr>
    </w:p>
    <w:tbl>
      <w:tblPr>
        <w:tblW w:w="0" w:type="auto"/>
        <w:jc w:val="left"/>
        <w:tblInd w:w="144" w:type="dxa"/>
        <w:tblLayout w:type="fixed"/>
        <w:tblCellMar>
          <w:top w:w="0" w:type="dxa"/>
          <w:left w:w="0" w:type="dxa"/>
          <w:bottom w:w="0" w:type="dxa"/>
          <w:right w:w="0" w:type="dxa"/>
        </w:tblCellMar>
        <w:tblLook w:val="01E0"/>
      </w:tblPr>
      <w:tblGrid>
        <w:gridCol w:w="2660"/>
        <w:gridCol w:w="1451"/>
        <w:gridCol w:w="1559"/>
        <w:gridCol w:w="1271"/>
        <w:gridCol w:w="1706"/>
      </w:tblGrid>
      <w:tr>
        <w:trPr>
          <w:trHeight w:val="6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34"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年报</w:t>
            </w:r>
          </w:p>
          <w:p>
            <w:pPr>
              <w:pStyle w:val="TableParagraph"/>
              <w:spacing w:line="240" w:lineRule="auto" w:before="51"/>
              <w:ind w:left="797" w:right="0"/>
              <w:jc w:val="left"/>
              <w:rPr>
                <w:rFonts w:ascii="宋体" w:hAnsi="宋体" w:cs="宋体" w:eastAsia="宋体" w:hint="default"/>
                <w:sz w:val="18"/>
                <w:szCs w:val="18"/>
              </w:rPr>
            </w:pPr>
            <w:r>
              <w:rPr>
                <w:rFonts w:ascii="宋体" w:hAnsi="宋体" w:cs="宋体" w:eastAsia="宋体" w:hint="default"/>
                <w:sz w:val="18"/>
                <w:szCs w:val="18"/>
              </w:rPr>
              <w:t>披露数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37"/>
              <w:ind w:left="725" w:right="101" w:hanging="84"/>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宋体" w:hAnsi="宋体" w:cs="宋体" w:eastAsia="宋体" w:hint="default"/>
                <w:sz w:val="18"/>
                <w:szCs w:val="18"/>
              </w:rPr>
              <w:t>年报 原披露数</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差异</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原因说明</w:t>
            </w:r>
          </w:p>
        </w:tc>
      </w:tr>
      <w:tr>
        <w:trPr>
          <w:trHeight w:val="311"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42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37"/>
              <w:ind w:left="103" w:right="102"/>
              <w:jc w:val="left"/>
              <w:rPr>
                <w:rFonts w:ascii="宋体" w:hAnsi="宋体" w:cs="宋体" w:eastAsia="宋体" w:hint="default"/>
                <w:sz w:val="18"/>
                <w:szCs w:val="18"/>
              </w:rPr>
            </w:pPr>
            <w:r>
              <w:rPr>
                <w:rFonts w:ascii="Arial" w:hAnsi="Arial" w:cs="Arial" w:eastAsia="Arial" w:hint="default"/>
                <w:spacing w:val="-1"/>
                <w:sz w:val="18"/>
                <w:szCs w:val="18"/>
              </w:rPr>
              <w:t>2006</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Arial" w:hAnsi="Arial" w:cs="Arial" w:eastAsia="Arial" w:hint="default"/>
                <w:spacing w:val="-1"/>
                <w:sz w:val="18"/>
                <w:szCs w:val="18"/>
              </w:rPr>
              <w:t>12</w:t>
            </w:r>
            <w:r>
              <w:rPr>
                <w:rFonts w:ascii="Arial" w:hAnsi="Arial" w:cs="Arial" w:eastAsia="Arial"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31</w:t>
            </w:r>
            <w:r>
              <w:rPr>
                <w:rFonts w:ascii="Arial" w:hAnsi="Arial" w:cs="Arial" w:eastAsia="Arial" w:hint="default"/>
                <w:spacing w:val="-28"/>
                <w:sz w:val="18"/>
                <w:szCs w:val="18"/>
              </w:rPr>
              <w:t> </w:t>
            </w:r>
            <w:r>
              <w:rPr>
                <w:rFonts w:ascii="宋体" w:hAnsi="宋体" w:cs="宋体" w:eastAsia="宋体" w:hint="default"/>
                <w:spacing w:val="-13"/>
                <w:sz w:val="18"/>
                <w:szCs w:val="18"/>
              </w:rPr>
              <w:t>日股东权益（原</w:t>
            </w:r>
            <w:r>
              <w:rPr>
                <w:rFonts w:ascii="宋体" w:hAnsi="宋体" w:cs="宋体" w:eastAsia="宋体" w:hint="default"/>
                <w:sz w:val="18"/>
                <w:szCs w:val="18"/>
              </w:rPr>
              <w:t> 会计准则）</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2"/>
              <w:jc w:val="right"/>
              <w:rPr>
                <w:rFonts w:ascii="Arial" w:hAnsi="Arial" w:cs="Arial" w:eastAsia="Arial" w:hint="default"/>
                <w:sz w:val="18"/>
                <w:szCs w:val="18"/>
              </w:rPr>
            </w:pPr>
            <w:r>
              <w:rPr>
                <w:rFonts w:ascii="Arial"/>
                <w:spacing w:val="-1"/>
                <w:sz w:val="18"/>
              </w:rPr>
              <w:t>3,084,367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2"/>
              <w:jc w:val="right"/>
              <w:rPr>
                <w:rFonts w:ascii="Arial" w:hAnsi="Arial" w:cs="Arial" w:eastAsia="Arial" w:hint="default"/>
                <w:sz w:val="18"/>
                <w:szCs w:val="18"/>
              </w:rPr>
            </w:pPr>
            <w:r>
              <w:rPr>
                <w:rFonts w:ascii="Arial"/>
                <w:spacing w:val="-1"/>
                <w:sz w:val="18"/>
              </w:rPr>
              <w:t>3,084,367</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3"/>
              <w:jc w:val="right"/>
              <w:rPr>
                <w:rFonts w:ascii="Arial" w:hAnsi="Arial" w:cs="Arial" w:eastAsia="Arial" w:hint="default"/>
                <w:sz w:val="18"/>
                <w:szCs w:val="18"/>
              </w:rPr>
            </w:pPr>
            <w:r>
              <w:rPr>
                <w:rFonts w:ascii="Arial"/>
                <w:spacing w:val="-1"/>
                <w:sz w:val="18"/>
              </w:rPr>
              <w:t>(2,924)</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3"/>
              <w:jc w:val="right"/>
              <w:rPr>
                <w:rFonts w:ascii="Arial" w:hAnsi="Arial" w:cs="Arial" w:eastAsia="Arial" w:hint="default"/>
                <w:sz w:val="18"/>
                <w:szCs w:val="18"/>
              </w:rPr>
            </w:pPr>
            <w:r>
              <w:rPr>
                <w:rFonts w:ascii="Arial"/>
                <w:spacing w:val="-1"/>
                <w:sz w:val="18"/>
              </w:rPr>
              <w:t>(2,924)</w:t>
            </w:r>
            <w:r>
              <w:rPr>
                <w:rFonts w:ascii="Arial"/>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96" w:right="101" w:hanging="194"/>
              <w:jc w:val="left"/>
              <w:rPr>
                <w:rFonts w:ascii="宋体" w:hAnsi="宋体" w:cs="宋体" w:eastAsia="宋体" w:hint="default"/>
                <w:sz w:val="18"/>
                <w:szCs w:val="18"/>
              </w:rPr>
            </w:pPr>
            <w:r>
              <w:rPr>
                <w:rFonts w:ascii="宋体" w:hAnsi="宋体" w:cs="宋体" w:eastAsia="宋体" w:hint="default"/>
                <w:spacing w:val="-6"/>
                <w:sz w:val="18"/>
                <w:szCs w:val="18"/>
              </w:rPr>
              <w:t>其中：同一控制下企业合并形成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的长期股权投资差额</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13"/>
              <w:jc w:val="right"/>
              <w:rPr>
                <w:rFonts w:ascii="Arial" w:hAnsi="Arial" w:cs="Arial" w:eastAsia="Arial" w:hint="default"/>
                <w:sz w:val="18"/>
                <w:szCs w:val="18"/>
              </w:rPr>
            </w:pPr>
            <w:r>
              <w:rPr>
                <w:rFonts w:ascii="Arial"/>
                <w:spacing w:val="-1"/>
                <w:sz w:val="18"/>
              </w:rPr>
              <w:t>(2,924)</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13"/>
              <w:jc w:val="right"/>
              <w:rPr>
                <w:rFonts w:ascii="Arial" w:hAnsi="Arial" w:cs="Arial" w:eastAsia="Arial" w:hint="default"/>
                <w:sz w:val="18"/>
                <w:szCs w:val="18"/>
              </w:rPr>
            </w:pPr>
            <w:r>
              <w:rPr>
                <w:rFonts w:ascii="Arial"/>
                <w:spacing w:val="-1"/>
                <w:sz w:val="18"/>
              </w:rPr>
              <w:t>(2,924)</w:t>
            </w:r>
            <w:r>
              <w:rPr>
                <w:rFonts w:ascii="Arial"/>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96" w:right="102" w:hanging="194"/>
              <w:jc w:val="left"/>
              <w:rPr>
                <w:rFonts w:ascii="宋体" w:hAnsi="宋体" w:cs="宋体" w:eastAsia="宋体" w:hint="default"/>
                <w:sz w:val="18"/>
                <w:szCs w:val="18"/>
              </w:rPr>
            </w:pPr>
            <w:r>
              <w:rPr>
                <w:rFonts w:ascii="宋体" w:hAnsi="宋体" w:cs="宋体" w:eastAsia="宋体" w:hint="default"/>
                <w:spacing w:val="7"/>
                <w:sz w:val="18"/>
                <w:szCs w:val="18"/>
              </w:rPr>
              <w:t>其他采用权益法核算的长期股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权投资贷方差额</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70" w:right="102" w:hanging="167"/>
              <w:jc w:val="left"/>
              <w:rPr>
                <w:rFonts w:ascii="宋体" w:hAnsi="宋体" w:cs="宋体" w:eastAsia="宋体" w:hint="default"/>
                <w:sz w:val="18"/>
                <w:szCs w:val="18"/>
              </w:rPr>
            </w:pPr>
            <w:r>
              <w:rPr>
                <w:rFonts w:ascii="宋体" w:hAnsi="宋体" w:cs="宋体" w:eastAsia="宋体" w:hint="default"/>
                <w:spacing w:val="7"/>
                <w:sz w:val="18"/>
                <w:szCs w:val="18"/>
              </w:rPr>
              <w:t>拟以公允价值模式计量的投资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性房地产</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44" w:right="102" w:hanging="142"/>
              <w:jc w:val="left"/>
              <w:rPr>
                <w:rFonts w:ascii="宋体" w:hAnsi="宋体" w:cs="宋体" w:eastAsia="宋体" w:hint="default"/>
                <w:sz w:val="18"/>
                <w:szCs w:val="18"/>
              </w:rPr>
            </w:pPr>
            <w:r>
              <w:rPr>
                <w:rFonts w:ascii="宋体" w:hAnsi="宋体" w:cs="宋体" w:eastAsia="宋体" w:hint="default"/>
                <w:spacing w:val="7"/>
                <w:sz w:val="18"/>
                <w:szCs w:val="18"/>
              </w:rPr>
              <w:t>因预计资产弃置费用应补提的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以前年度折旧等</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44" w:right="102" w:hanging="142"/>
              <w:jc w:val="left"/>
              <w:rPr>
                <w:rFonts w:ascii="宋体" w:hAnsi="宋体" w:cs="宋体" w:eastAsia="宋体" w:hint="default"/>
                <w:sz w:val="18"/>
                <w:szCs w:val="18"/>
              </w:rPr>
            </w:pPr>
            <w:r>
              <w:rPr>
                <w:rFonts w:ascii="宋体" w:hAnsi="宋体" w:cs="宋体" w:eastAsia="宋体" w:hint="default"/>
                <w:spacing w:val="7"/>
                <w:sz w:val="18"/>
                <w:szCs w:val="18"/>
              </w:rPr>
              <w:t>符合预计负债确认条件的辞退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补偿</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61" w:right="102" w:hanging="159"/>
              <w:jc w:val="left"/>
              <w:rPr>
                <w:rFonts w:ascii="宋体" w:hAnsi="宋体" w:cs="宋体" w:eastAsia="宋体" w:hint="default"/>
                <w:sz w:val="18"/>
                <w:szCs w:val="18"/>
              </w:rPr>
            </w:pPr>
            <w:r>
              <w:rPr>
                <w:rFonts w:ascii="宋体" w:hAnsi="宋体" w:cs="宋体" w:eastAsia="宋体" w:hint="default"/>
                <w:spacing w:val="7"/>
                <w:sz w:val="18"/>
                <w:szCs w:val="18"/>
              </w:rPr>
              <w:t>符合预计负债确认条件的重组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义务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57" w:right="101" w:hanging="155"/>
              <w:jc w:val="left"/>
              <w:rPr>
                <w:rFonts w:ascii="宋体" w:hAnsi="宋体" w:cs="宋体" w:eastAsia="宋体" w:hint="default"/>
                <w:sz w:val="18"/>
                <w:szCs w:val="18"/>
              </w:rPr>
            </w:pPr>
            <w:r>
              <w:rPr>
                <w:rFonts w:ascii="宋体" w:hAnsi="宋体" w:cs="宋体" w:eastAsia="宋体" w:hint="default"/>
                <w:spacing w:val="-6"/>
                <w:sz w:val="18"/>
                <w:szCs w:val="18"/>
              </w:rPr>
              <w:t>其中：同一控制下企业合并商誉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的账面价值</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70" w:right="102" w:hanging="167"/>
              <w:jc w:val="left"/>
              <w:rPr>
                <w:rFonts w:ascii="宋体" w:hAnsi="宋体" w:cs="宋体" w:eastAsia="宋体" w:hint="default"/>
                <w:sz w:val="18"/>
                <w:szCs w:val="18"/>
              </w:rPr>
            </w:pPr>
            <w:r>
              <w:rPr>
                <w:rFonts w:ascii="宋体" w:hAnsi="宋体" w:cs="宋体" w:eastAsia="宋体" w:hint="default"/>
                <w:spacing w:val="7"/>
                <w:sz w:val="18"/>
                <w:szCs w:val="18"/>
              </w:rPr>
              <w:t>根据新准则计提的商誉减值准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9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57" w:right="87" w:hanging="155"/>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以公允价值计量且其变动计入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当期损益的金融资产以及可</w:t>
            </w:r>
            <w:r>
              <w:rPr>
                <w:rFonts w:ascii="宋体" w:hAnsi="宋体" w:cs="宋体" w:eastAsia="宋体" w:hint="default"/>
                <w:spacing w:val="12"/>
                <w:sz w:val="18"/>
                <w:szCs w:val="18"/>
              </w:rPr>
              <w:t> </w:t>
            </w:r>
            <w:r>
              <w:rPr>
                <w:rFonts w:ascii="宋体" w:hAnsi="宋体" w:cs="宋体" w:eastAsia="宋体" w:hint="default"/>
                <w:sz w:val="18"/>
                <w:szCs w:val="18"/>
              </w:rPr>
              <w:t>供出售金额资产</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232" w:right="102" w:hanging="13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当期损益的金融负债</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金融工具分拆增加的权益</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2"/>
              <w:jc w:val="right"/>
              <w:rPr>
                <w:rFonts w:ascii="Arial" w:hAnsi="Arial" w:cs="Arial" w:eastAsia="Arial" w:hint="default"/>
                <w:sz w:val="18"/>
                <w:szCs w:val="18"/>
              </w:rPr>
            </w:pPr>
            <w:r>
              <w:rPr>
                <w:rFonts w:ascii="Arial"/>
                <w:spacing w:val="-1"/>
                <w:sz w:val="18"/>
              </w:rPr>
              <w:t>67,512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3"/>
              <w:jc w:val="right"/>
              <w:rPr>
                <w:rFonts w:ascii="Arial" w:hAnsi="Arial" w:cs="Arial" w:eastAsia="Arial" w:hint="default"/>
                <w:sz w:val="18"/>
                <w:szCs w:val="18"/>
              </w:rPr>
            </w:pPr>
            <w:r>
              <w:rPr>
                <w:rFonts w:ascii="Arial"/>
                <w:spacing w:val="-1"/>
                <w:sz w:val="18"/>
              </w:rPr>
              <w:t>78,369</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4"/>
              <w:jc w:val="right"/>
              <w:rPr>
                <w:rFonts w:ascii="Arial" w:hAnsi="Arial" w:cs="Arial" w:eastAsia="Arial" w:hint="default"/>
                <w:sz w:val="18"/>
                <w:szCs w:val="18"/>
              </w:rPr>
            </w:pPr>
            <w:r>
              <w:rPr>
                <w:rFonts w:ascii="Arial"/>
                <w:spacing w:val="-1"/>
                <w:sz w:val="18"/>
              </w:rPr>
              <w:t>(10,857)</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因合并抵销内部往</w:t>
            </w:r>
            <w:r>
              <w:rPr>
                <w:rFonts w:ascii="宋体" w:hAnsi="宋体" w:cs="宋体" w:eastAsia="宋体" w:hint="default"/>
                <w:sz w:val="18"/>
                <w:szCs w:val="18"/>
              </w:rPr>
            </w:r>
          </w:p>
          <w:p>
            <w:pPr>
              <w:pStyle w:val="TableParagraph"/>
              <w:spacing w:line="240" w:lineRule="auto"/>
              <w:ind w:left="103" w:right="95"/>
              <w:jc w:val="both"/>
              <w:rPr>
                <w:rFonts w:ascii="宋体" w:hAnsi="宋体" w:cs="宋体" w:eastAsia="宋体" w:hint="default"/>
                <w:sz w:val="18"/>
                <w:szCs w:val="18"/>
              </w:rPr>
            </w:pPr>
            <w:r>
              <w:rPr>
                <w:rFonts w:ascii="宋体" w:hAnsi="宋体" w:cs="宋体" w:eastAsia="宋体" w:hint="default"/>
                <w:spacing w:val="7"/>
                <w:sz w:val="18"/>
                <w:szCs w:val="18"/>
              </w:rPr>
              <w:t>来的坏账准备，相 应调整递延所得税 </w:t>
            </w:r>
            <w:r>
              <w:rPr>
                <w:rFonts w:ascii="宋体" w:hAnsi="宋体" w:cs="宋体" w:eastAsia="宋体" w:hint="default"/>
                <w:sz w:val="18"/>
                <w:szCs w:val="18"/>
              </w:rPr>
              <w:t>资产</w:t>
            </w:r>
          </w:p>
        </w:tc>
      </w:tr>
      <w:tr>
        <w:trPr>
          <w:trHeight w:val="31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2"/>
              <w:jc w:val="right"/>
              <w:rPr>
                <w:rFonts w:ascii="Arial" w:hAnsi="Arial" w:cs="Arial" w:eastAsia="Arial" w:hint="default"/>
                <w:sz w:val="18"/>
                <w:szCs w:val="18"/>
              </w:rPr>
            </w:pPr>
            <w:r>
              <w:rPr>
                <w:rFonts w:ascii="Arial"/>
                <w:spacing w:val="-1"/>
                <w:sz w:val="18"/>
              </w:rPr>
              <w:t>127,726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4"/>
              <w:jc w:val="right"/>
              <w:rPr>
                <w:rFonts w:ascii="Arial" w:hAnsi="Arial" w:cs="Arial" w:eastAsia="Arial" w:hint="default"/>
                <w:sz w:val="18"/>
                <w:szCs w:val="18"/>
              </w:rPr>
            </w:pPr>
            <w:r>
              <w:rPr>
                <w:rFonts w:ascii="Arial"/>
                <w:spacing w:val="-1"/>
                <w:sz w:val="18"/>
              </w:rPr>
              <w:t>127,726</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Arial" w:hAnsi="Arial" w:cs="Arial" w:eastAsia="Arial" w:hint="default"/>
                <w:sz w:val="18"/>
                <w:szCs w:val="18"/>
              </w:rPr>
            </w:pPr>
            <w:r>
              <w:rPr>
                <w:rFonts w:ascii="Arial"/>
                <w:sz w:val="18"/>
              </w:rPr>
              <w:t>-</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3"/>
              <w:jc w:val="right"/>
              <w:rPr>
                <w:rFonts w:ascii="Arial" w:hAnsi="Arial" w:cs="Arial" w:eastAsia="Arial" w:hint="default"/>
                <w:sz w:val="18"/>
                <w:szCs w:val="18"/>
              </w:rPr>
            </w:pPr>
            <w:r>
              <w:rPr>
                <w:rFonts w:ascii="Arial"/>
                <w:spacing w:val="-1"/>
                <w:sz w:val="18"/>
              </w:rPr>
              <w:t>17,083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3"/>
              <w:jc w:val="right"/>
              <w:rPr>
                <w:rFonts w:ascii="Arial" w:hAnsi="Arial" w:cs="Arial" w:eastAsia="Arial" w:hint="default"/>
                <w:sz w:val="18"/>
                <w:szCs w:val="18"/>
              </w:rPr>
            </w:pPr>
            <w:r>
              <w:rPr>
                <w:rFonts w:ascii="Arial"/>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3"/>
              <w:jc w:val="right"/>
              <w:rPr>
                <w:rFonts w:ascii="Arial" w:hAnsi="Arial" w:cs="Arial" w:eastAsia="Arial" w:hint="default"/>
                <w:sz w:val="18"/>
                <w:szCs w:val="18"/>
              </w:rPr>
            </w:pPr>
            <w:r>
              <w:rPr>
                <w:rFonts w:ascii="Arial"/>
                <w:spacing w:val="-1"/>
                <w:sz w:val="18"/>
              </w:rPr>
              <w:t>17,083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前期会计调整对合</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并股东权益的影响</w:t>
            </w:r>
          </w:p>
        </w:tc>
      </w:tr>
      <w:tr>
        <w:trPr>
          <w:trHeight w:val="61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37"/>
              <w:ind w:left="103" w:right="101"/>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日股东权益（新 会计准则）</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2"/>
              <w:jc w:val="right"/>
              <w:rPr>
                <w:rFonts w:ascii="Arial" w:hAnsi="Arial" w:cs="Arial" w:eastAsia="Arial" w:hint="default"/>
                <w:sz w:val="18"/>
                <w:szCs w:val="18"/>
              </w:rPr>
            </w:pPr>
            <w:r>
              <w:rPr>
                <w:rFonts w:ascii="Arial"/>
                <w:spacing w:val="-1"/>
                <w:sz w:val="18"/>
              </w:rPr>
              <w:t>3,293,764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pacing w:val="-1"/>
                <w:sz w:val="18"/>
              </w:rPr>
              <w:t>3,287,538</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3"/>
              <w:jc w:val="right"/>
              <w:rPr>
                <w:rFonts w:ascii="Arial" w:hAnsi="Arial" w:cs="Arial" w:eastAsia="Arial" w:hint="default"/>
                <w:sz w:val="18"/>
                <w:szCs w:val="18"/>
              </w:rPr>
            </w:pPr>
            <w:r>
              <w:rPr>
                <w:rFonts w:ascii="Arial"/>
                <w:spacing w:val="-1"/>
                <w:w w:val="95"/>
                <w:sz w:val="18"/>
              </w:rPr>
              <w:t>6,226</w:t>
            </w:r>
            <w:r>
              <w:rPr>
                <w:rFonts w:ascii="Arial"/>
                <w:w w:val="95"/>
                <w:sz w:val="18"/>
              </w:rPr>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8"/>
          <w:pgSz w:w="11910" w:h="16840"/>
          <w:pgMar w:footer="708" w:header="0" w:top="980" w:bottom="900" w:left="1580" w:right="1280"/>
          <w:pgNumType w:start="158"/>
        </w:sectPr>
      </w:pPr>
    </w:p>
    <w:p>
      <w:pPr>
        <w:spacing w:line="240" w:lineRule="auto" w:before="7"/>
        <w:rPr>
          <w:rFonts w:ascii="宋体" w:hAnsi="宋体" w:cs="宋体" w:eastAsia="宋体" w:hint="default"/>
          <w:sz w:val="29"/>
          <w:szCs w:val="29"/>
        </w:rPr>
      </w:pPr>
    </w:p>
    <w:p>
      <w:pPr>
        <w:pStyle w:val="BodyText"/>
        <w:tabs>
          <w:tab w:pos="683" w:val="left" w:leader="none"/>
        </w:tabs>
        <w:spacing w:line="240" w:lineRule="auto" w:before="26"/>
        <w:ind w:left="149" w:right="0"/>
        <w:jc w:val="left"/>
      </w:pPr>
      <w:r>
        <w:rPr>
          <w:rFonts w:ascii="Arial" w:hAnsi="Arial" w:cs="Arial" w:eastAsia="Arial" w:hint="default"/>
        </w:rPr>
        <w:t>(4)</w:t>
        <w:tab/>
      </w:r>
      <w:r>
        <w:rPr/>
        <w:t>利润表调整项目表</w:t>
      </w:r>
    </w:p>
    <w:p>
      <w:pPr>
        <w:spacing w:line="240" w:lineRule="auto" w:before="8"/>
        <w:rPr>
          <w:rFonts w:ascii="宋体" w:hAnsi="宋体" w:cs="宋体" w:eastAsia="宋体" w:hint="default"/>
          <w:sz w:val="22"/>
          <w:szCs w:val="22"/>
        </w:rPr>
      </w:pPr>
    </w:p>
    <w:tbl>
      <w:tblPr>
        <w:tblW w:w="0" w:type="auto"/>
        <w:jc w:val="left"/>
        <w:tblInd w:w="144" w:type="dxa"/>
        <w:tblLayout w:type="fixed"/>
        <w:tblCellMar>
          <w:top w:w="0" w:type="dxa"/>
          <w:left w:w="0" w:type="dxa"/>
          <w:bottom w:w="0" w:type="dxa"/>
          <w:right w:w="0" w:type="dxa"/>
        </w:tblCellMar>
        <w:tblLook w:val="01E0"/>
      </w:tblPr>
      <w:tblGrid>
        <w:gridCol w:w="2410"/>
        <w:gridCol w:w="2411"/>
        <w:gridCol w:w="2551"/>
      </w:tblGrid>
      <w:tr>
        <w:trPr>
          <w:trHeight w:val="2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52"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22"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年度</w:t>
            </w:r>
          </w:p>
        </w:tc>
      </w:tr>
      <w:tr>
        <w:trPr>
          <w:trHeight w:val="270"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调整前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调整后</w:t>
            </w:r>
          </w:p>
        </w:tc>
      </w:tr>
      <w:tr>
        <w:trPr>
          <w:trHeight w:val="270"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4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0"/>
                <w:szCs w:val="20"/>
              </w:rPr>
              <w:t>人民币千元</w:t>
            </w:r>
            <w:r>
              <w:rPr>
                <w:rFonts w:ascii="Arial" w:hAnsi="Arial" w:cs="Arial" w:eastAsia="Arial" w:hint="default"/>
                <w:sz w:val="21"/>
                <w:szCs w:val="21"/>
              </w:rPr>
              <w:t>)</w:t>
            </w:r>
          </w:p>
        </w:tc>
      </w:tr>
      <w:tr>
        <w:trPr>
          <w:trHeight w:val="252"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77"/>
              <w:jc w:val="right"/>
              <w:rPr>
                <w:rFonts w:ascii="Arial" w:hAnsi="Arial" w:cs="Arial" w:eastAsia="Arial" w:hint="default"/>
                <w:sz w:val="20"/>
                <w:szCs w:val="20"/>
              </w:rPr>
            </w:pPr>
            <w:r>
              <w:rPr>
                <w:rFonts w:ascii="Arial"/>
                <w:spacing w:val="-1"/>
                <w:sz w:val="20"/>
              </w:rPr>
              <w:t>22,329,719</w:t>
            </w:r>
            <w:r>
              <w:rPr>
                <w:rFonts w:ascii="Arial"/>
                <w:sz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4"/>
              <w:jc w:val="right"/>
              <w:rPr>
                <w:rFonts w:ascii="Arial" w:hAnsi="Arial" w:cs="Arial" w:eastAsia="Arial" w:hint="default"/>
                <w:sz w:val="20"/>
                <w:szCs w:val="20"/>
              </w:rPr>
            </w:pPr>
            <w:r>
              <w:rPr>
                <w:rFonts w:ascii="Arial"/>
                <w:spacing w:val="-1"/>
                <w:sz w:val="20"/>
              </w:rPr>
              <w:t>22,268,806</w:t>
            </w:r>
            <w:r>
              <w:rPr>
                <w:rFonts w:ascii="Arial"/>
                <w:sz w:val="20"/>
              </w:rPr>
            </w:r>
          </w:p>
        </w:tc>
      </w:tr>
      <w:tr>
        <w:trPr>
          <w:trHeight w:val="3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77"/>
              <w:jc w:val="right"/>
              <w:rPr>
                <w:rFonts w:ascii="Arial" w:hAnsi="Arial" w:cs="Arial" w:eastAsia="Arial" w:hint="default"/>
                <w:sz w:val="20"/>
                <w:szCs w:val="20"/>
              </w:rPr>
            </w:pPr>
            <w:r>
              <w:rPr>
                <w:rFonts w:ascii="Arial"/>
                <w:spacing w:val="-1"/>
                <w:sz w:val="20"/>
              </w:rPr>
              <w:t>2,252,328</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4"/>
              <w:jc w:val="right"/>
              <w:rPr>
                <w:rFonts w:ascii="Arial" w:hAnsi="Arial" w:cs="Arial" w:eastAsia="Arial" w:hint="default"/>
                <w:sz w:val="20"/>
                <w:szCs w:val="20"/>
              </w:rPr>
            </w:pPr>
            <w:r>
              <w:rPr>
                <w:rFonts w:ascii="Arial"/>
                <w:spacing w:val="-1"/>
                <w:sz w:val="20"/>
              </w:rPr>
              <w:t>2,207,862</w:t>
            </w:r>
          </w:p>
        </w:tc>
      </w:tr>
      <w:tr>
        <w:trPr>
          <w:trHeight w:val="31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77"/>
              <w:jc w:val="right"/>
              <w:rPr>
                <w:rFonts w:ascii="Arial" w:hAnsi="Arial" w:cs="Arial" w:eastAsia="Arial" w:hint="default"/>
                <w:sz w:val="20"/>
                <w:szCs w:val="20"/>
              </w:rPr>
            </w:pPr>
            <w:r>
              <w:rPr>
                <w:rFonts w:ascii="Arial"/>
                <w:spacing w:val="-1"/>
                <w:sz w:val="20"/>
              </w:rPr>
              <w:t>395,044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4"/>
              <w:jc w:val="right"/>
              <w:rPr>
                <w:rFonts w:ascii="Arial" w:hAnsi="Arial" w:cs="Arial" w:eastAsia="Arial" w:hint="default"/>
                <w:sz w:val="20"/>
                <w:szCs w:val="20"/>
              </w:rPr>
            </w:pPr>
            <w:r>
              <w:rPr>
                <w:rFonts w:ascii="Arial"/>
                <w:spacing w:val="-1"/>
                <w:sz w:val="20"/>
              </w:rPr>
              <w:t>392,975</w:t>
            </w:r>
          </w:p>
        </w:tc>
      </w:tr>
      <w:tr>
        <w:trPr>
          <w:trHeight w:val="3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78"/>
              <w:jc w:val="right"/>
              <w:rPr>
                <w:rFonts w:ascii="Arial" w:hAnsi="Arial" w:cs="Arial" w:eastAsia="Arial" w:hint="default"/>
                <w:sz w:val="20"/>
                <w:szCs w:val="20"/>
              </w:rPr>
            </w:pPr>
            <w:r>
              <w:rPr>
                <w:rFonts w:ascii="Arial"/>
                <w:w w:val="100"/>
                <w:sz w:val="20"/>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5"/>
              <w:jc w:val="right"/>
              <w:rPr>
                <w:rFonts w:ascii="Arial" w:hAnsi="Arial" w:cs="Arial" w:eastAsia="Arial" w:hint="default"/>
                <w:sz w:val="20"/>
                <w:szCs w:val="20"/>
              </w:rPr>
            </w:pPr>
            <w:r>
              <w:rPr>
                <w:rFonts w:ascii="Arial"/>
                <w:w w:val="100"/>
                <w:sz w:val="20"/>
              </w:rPr>
              <w:t>-</w:t>
            </w:r>
          </w:p>
        </w:tc>
      </w:tr>
      <w:tr>
        <w:trPr>
          <w:trHeight w:val="3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0"/>
              <w:jc w:val="right"/>
              <w:rPr>
                <w:rFonts w:ascii="Arial" w:hAnsi="Arial" w:cs="Arial" w:eastAsia="Arial" w:hint="default"/>
                <w:sz w:val="20"/>
                <w:szCs w:val="20"/>
              </w:rPr>
            </w:pPr>
            <w:r>
              <w:rPr>
                <w:rFonts w:ascii="Arial"/>
                <w:spacing w:val="-1"/>
                <w:sz w:val="20"/>
              </w:rPr>
              <w:t>(1,099)</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20"/>
                <w:szCs w:val="20"/>
              </w:rPr>
            </w:pPr>
            <w:r>
              <w:rPr>
                <w:rFonts w:ascii="Arial"/>
                <w:sz w:val="20"/>
              </w:rPr>
              <w:t>(2)</w:t>
            </w:r>
          </w:p>
        </w:tc>
      </w:tr>
      <w:tr>
        <w:trPr>
          <w:trHeight w:val="31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77"/>
              <w:jc w:val="right"/>
              <w:rPr>
                <w:rFonts w:ascii="Arial" w:hAnsi="Arial" w:cs="Arial" w:eastAsia="Arial" w:hint="default"/>
                <w:sz w:val="20"/>
                <w:szCs w:val="20"/>
              </w:rPr>
            </w:pPr>
            <w:r>
              <w:rPr>
                <w:rFonts w:ascii="Arial"/>
                <w:spacing w:val="-1"/>
                <w:sz w:val="20"/>
              </w:rPr>
              <w:t>366,094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4"/>
              <w:jc w:val="right"/>
              <w:rPr>
                <w:rFonts w:ascii="Arial" w:hAnsi="Arial" w:cs="Arial" w:eastAsia="Arial" w:hint="default"/>
                <w:sz w:val="20"/>
                <w:szCs w:val="20"/>
              </w:rPr>
            </w:pPr>
            <w:r>
              <w:rPr>
                <w:rFonts w:ascii="Arial"/>
                <w:spacing w:val="-1"/>
                <w:sz w:val="20"/>
              </w:rPr>
              <w:t>349,942</w:t>
            </w:r>
          </w:p>
        </w:tc>
      </w:tr>
      <w:tr>
        <w:trPr>
          <w:trHeight w:val="3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归属于母公司净利润</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77"/>
              <w:jc w:val="right"/>
              <w:rPr>
                <w:rFonts w:ascii="Arial" w:hAnsi="Arial" w:cs="Arial" w:eastAsia="Arial" w:hint="default"/>
                <w:sz w:val="20"/>
                <w:szCs w:val="20"/>
              </w:rPr>
            </w:pPr>
            <w:r>
              <w:rPr>
                <w:rFonts w:ascii="Arial"/>
                <w:spacing w:val="-1"/>
                <w:sz w:val="20"/>
              </w:rPr>
              <w:t>720,300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4"/>
              <w:jc w:val="right"/>
              <w:rPr>
                <w:rFonts w:ascii="Arial" w:hAnsi="Arial" w:cs="Arial" w:eastAsia="Arial" w:hint="default"/>
                <w:sz w:val="20"/>
                <w:szCs w:val="20"/>
              </w:rPr>
            </w:pPr>
            <w:r>
              <w:rPr>
                <w:rFonts w:ascii="Arial"/>
                <w:spacing w:val="-1"/>
                <w:sz w:val="20"/>
              </w:rPr>
              <w:t>757,636</w:t>
            </w:r>
          </w:p>
        </w:tc>
      </w:tr>
    </w:tbl>
    <w:p>
      <w:pPr>
        <w:spacing w:line="240" w:lineRule="auto" w:before="2"/>
        <w:rPr>
          <w:rFonts w:ascii="宋体" w:hAnsi="宋体" w:cs="宋体" w:eastAsia="宋体" w:hint="default"/>
          <w:sz w:val="16"/>
          <w:szCs w:val="16"/>
        </w:rPr>
      </w:pPr>
    </w:p>
    <w:p>
      <w:pPr>
        <w:pStyle w:val="BodyText"/>
        <w:spacing w:line="240" w:lineRule="auto" w:before="26"/>
        <w:ind w:left="149" w:right="0"/>
        <w:jc w:val="left"/>
      </w:pPr>
      <w:r>
        <w:rPr>
          <w:rFonts w:ascii="Arial" w:hAnsi="Arial" w:cs="Arial" w:eastAsia="Arial" w:hint="default"/>
        </w:rPr>
        <w:t>(5) </w:t>
      </w:r>
      <w:r>
        <w:rPr>
          <w:rFonts w:ascii="Arial" w:hAnsi="Arial" w:cs="Arial" w:eastAsia="Arial" w:hint="default"/>
          <w:spacing w:val="51"/>
        </w:rPr>
        <w:t> </w:t>
      </w:r>
      <w:r>
        <w:rPr/>
        <w:t>净利润差异调节表</w:t>
      </w:r>
    </w:p>
    <w:p>
      <w:pPr>
        <w:spacing w:line="240" w:lineRule="auto" w:before="8"/>
        <w:rPr>
          <w:rFonts w:ascii="宋体" w:hAnsi="宋体" w:cs="宋体" w:eastAsia="宋体" w:hint="default"/>
          <w:sz w:val="22"/>
          <w:szCs w:val="22"/>
        </w:rPr>
      </w:pPr>
    </w:p>
    <w:tbl>
      <w:tblPr>
        <w:tblW w:w="0" w:type="auto"/>
        <w:jc w:val="left"/>
        <w:tblInd w:w="144" w:type="dxa"/>
        <w:tblLayout w:type="fixed"/>
        <w:tblCellMar>
          <w:top w:w="0" w:type="dxa"/>
          <w:left w:w="0" w:type="dxa"/>
          <w:bottom w:w="0" w:type="dxa"/>
          <w:right w:w="0" w:type="dxa"/>
        </w:tblCellMar>
        <w:tblLook w:val="01E0"/>
      </w:tblPr>
      <w:tblGrid>
        <w:gridCol w:w="5245"/>
        <w:gridCol w:w="2411"/>
      </w:tblGrid>
      <w:tr>
        <w:trPr>
          <w:trHeight w:val="28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30"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年度</w:t>
            </w:r>
          </w:p>
        </w:tc>
      </w:tr>
      <w:tr>
        <w:trPr>
          <w:trHeight w:val="283" w:hRule="exact"/>
        </w:trPr>
        <w:tc>
          <w:tcPr>
            <w:tcW w:w="5245"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4"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r>
      <w:tr>
        <w:trPr>
          <w:trHeight w:val="252" w:hRule="exact"/>
        </w:trPr>
        <w:tc>
          <w:tcPr>
            <w:tcW w:w="5245"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年度净利润</w:t>
            </w:r>
            <w:r>
              <w:rPr>
                <w:rFonts w:ascii="Arial" w:hAnsi="Arial" w:cs="Arial" w:eastAsia="Arial" w:hint="default"/>
                <w:sz w:val="21"/>
                <w:szCs w:val="21"/>
              </w:rPr>
              <w:t>(</w:t>
            </w:r>
            <w:r>
              <w:rPr>
                <w:rFonts w:ascii="宋体" w:hAnsi="宋体" w:cs="宋体" w:eastAsia="宋体" w:hint="default"/>
                <w:sz w:val="21"/>
                <w:szCs w:val="21"/>
              </w:rPr>
              <w:t>原会计准则</w:t>
            </w:r>
            <w:r>
              <w:rPr>
                <w:rFonts w:ascii="Arial" w:hAnsi="Arial" w:cs="Arial" w:eastAsia="Arial" w:hint="default"/>
                <w:sz w:val="21"/>
                <w:szCs w:val="21"/>
              </w:rPr>
              <w:t>)</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73"/>
              <w:jc w:val="right"/>
              <w:rPr>
                <w:rFonts w:ascii="Arial" w:hAnsi="Arial" w:cs="Arial" w:eastAsia="Arial" w:hint="default"/>
                <w:sz w:val="21"/>
                <w:szCs w:val="21"/>
              </w:rPr>
            </w:pPr>
            <w:r>
              <w:rPr>
                <w:rFonts w:ascii="Arial"/>
                <w:spacing w:val="-1"/>
                <w:sz w:val="21"/>
              </w:rPr>
              <w:t>720,300</w:t>
            </w:r>
            <w:r>
              <w:rPr>
                <w:rFonts w:ascii="Arial"/>
                <w:sz w:val="21"/>
              </w:rPr>
            </w:r>
          </w:p>
        </w:tc>
      </w:tr>
      <w:tr>
        <w:trPr>
          <w:trHeight w:val="31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加：追溯调整项目影响合计数</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3"/>
              <w:jc w:val="right"/>
              <w:rPr>
                <w:rFonts w:ascii="Arial" w:hAnsi="Arial" w:cs="Arial" w:eastAsia="Arial" w:hint="default"/>
                <w:sz w:val="21"/>
                <w:szCs w:val="21"/>
              </w:rPr>
            </w:pPr>
            <w:r>
              <w:rPr>
                <w:rFonts w:ascii="Arial"/>
                <w:spacing w:val="-1"/>
                <w:sz w:val="21"/>
              </w:rPr>
              <w:t>41,684</w:t>
            </w:r>
            <w:r>
              <w:rPr>
                <w:rFonts w:ascii="Arial"/>
                <w:sz w:val="21"/>
              </w:rPr>
            </w: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2"/>
              <w:jc w:val="right"/>
              <w:rPr>
                <w:rFonts w:ascii="Arial" w:hAnsi="Arial" w:cs="Arial" w:eastAsia="Arial" w:hint="default"/>
                <w:sz w:val="21"/>
                <w:szCs w:val="21"/>
              </w:rPr>
            </w:pPr>
            <w:r>
              <w:rPr>
                <w:rFonts w:ascii="Arial"/>
                <w:sz w:val="21"/>
              </w:rPr>
              <w:t>-</w:t>
            </w: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2"/>
              <w:jc w:val="right"/>
              <w:rPr>
                <w:rFonts w:ascii="Arial" w:hAnsi="Arial" w:cs="Arial" w:eastAsia="Arial" w:hint="default"/>
                <w:sz w:val="21"/>
                <w:szCs w:val="21"/>
              </w:rPr>
            </w:pPr>
            <w:r>
              <w:rPr>
                <w:rFonts w:ascii="Arial"/>
                <w:sz w:val="21"/>
              </w:rPr>
              <w:t>-</w:t>
            </w:r>
          </w:p>
        </w:tc>
      </w:tr>
      <w:tr>
        <w:trPr>
          <w:trHeight w:val="31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2"/>
              <w:jc w:val="right"/>
              <w:rPr>
                <w:rFonts w:ascii="Arial" w:hAnsi="Arial" w:cs="Arial" w:eastAsia="Arial" w:hint="default"/>
                <w:sz w:val="21"/>
                <w:szCs w:val="21"/>
              </w:rPr>
            </w:pPr>
            <w:r>
              <w:rPr>
                <w:rFonts w:ascii="Arial"/>
                <w:sz w:val="21"/>
              </w:rPr>
              <w:t>-</w:t>
            </w: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2"/>
              <w:jc w:val="right"/>
              <w:rPr>
                <w:rFonts w:ascii="Arial" w:hAnsi="Arial" w:cs="Arial" w:eastAsia="Arial" w:hint="default"/>
                <w:sz w:val="21"/>
                <w:szCs w:val="21"/>
              </w:rPr>
            </w:pPr>
            <w:r>
              <w:rPr>
                <w:rFonts w:ascii="Arial"/>
                <w:sz w:val="21"/>
              </w:rPr>
              <w:t>-</w:t>
            </w: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3"/>
              <w:jc w:val="right"/>
              <w:rPr>
                <w:rFonts w:ascii="Arial" w:hAnsi="Arial" w:cs="Arial" w:eastAsia="Arial" w:hint="default"/>
                <w:sz w:val="21"/>
                <w:szCs w:val="21"/>
              </w:rPr>
            </w:pPr>
            <w:r>
              <w:rPr>
                <w:rFonts w:ascii="Arial"/>
                <w:spacing w:val="-1"/>
                <w:w w:val="95"/>
                <w:sz w:val="21"/>
              </w:rPr>
              <w:t>1,096</w:t>
            </w:r>
            <w:r>
              <w:rPr>
                <w:rFonts w:ascii="Arial"/>
                <w:w w:val="95"/>
                <w:sz w:val="21"/>
              </w:rPr>
            </w:r>
          </w:p>
        </w:tc>
      </w:tr>
      <w:tr>
        <w:trPr>
          <w:trHeight w:val="31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3"/>
              <w:jc w:val="right"/>
              <w:rPr>
                <w:rFonts w:ascii="Arial" w:hAnsi="Arial" w:cs="Arial" w:eastAsia="Arial" w:hint="default"/>
                <w:sz w:val="21"/>
                <w:szCs w:val="21"/>
              </w:rPr>
            </w:pPr>
            <w:r>
              <w:rPr>
                <w:rFonts w:ascii="Arial"/>
                <w:spacing w:val="-1"/>
                <w:sz w:val="21"/>
              </w:rPr>
              <w:t>23,505</w:t>
            </w:r>
            <w:r>
              <w:rPr>
                <w:rFonts w:ascii="Arial"/>
                <w:sz w:val="21"/>
              </w:rPr>
            </w: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3"/>
              <w:jc w:val="right"/>
              <w:rPr>
                <w:rFonts w:ascii="Arial" w:hAnsi="Arial" w:cs="Arial" w:eastAsia="Arial" w:hint="default"/>
                <w:sz w:val="21"/>
                <w:szCs w:val="21"/>
              </w:rPr>
            </w:pPr>
            <w:r>
              <w:rPr>
                <w:rFonts w:ascii="Arial"/>
                <w:spacing w:val="-1"/>
                <w:sz w:val="21"/>
              </w:rPr>
              <w:t>17,083</w:t>
            </w:r>
            <w:r>
              <w:rPr>
                <w:rFonts w:ascii="Arial"/>
                <w:sz w:val="21"/>
              </w:rPr>
            </w: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减：追溯调整项目影响少数股东损益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3"/>
              <w:jc w:val="right"/>
              <w:rPr>
                <w:rFonts w:ascii="Arial" w:hAnsi="Arial" w:cs="Arial" w:eastAsia="Arial" w:hint="default"/>
                <w:sz w:val="21"/>
                <w:szCs w:val="21"/>
              </w:rPr>
            </w:pPr>
            <w:r>
              <w:rPr>
                <w:rFonts w:ascii="Arial"/>
                <w:spacing w:val="-1"/>
                <w:w w:val="95"/>
                <w:sz w:val="21"/>
              </w:rPr>
              <w:t>4,348</w:t>
            </w:r>
            <w:r>
              <w:rPr>
                <w:rFonts w:ascii="Arial"/>
                <w:w w:val="95"/>
                <w:sz w:val="21"/>
              </w:rPr>
            </w:r>
          </w:p>
        </w:tc>
      </w:tr>
      <w:tr>
        <w:trPr>
          <w:trHeight w:val="31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年度归属于母公司所有者的净利润</w:t>
            </w:r>
            <w:r>
              <w:rPr>
                <w:rFonts w:ascii="Arial" w:hAnsi="Arial" w:cs="Arial" w:eastAsia="Arial" w:hint="default"/>
                <w:sz w:val="21"/>
                <w:szCs w:val="21"/>
              </w:rPr>
              <w:t>(</w:t>
            </w:r>
            <w:r>
              <w:rPr>
                <w:rFonts w:ascii="宋体" w:hAnsi="宋体" w:cs="宋体" w:eastAsia="宋体" w:hint="default"/>
                <w:sz w:val="21"/>
                <w:szCs w:val="21"/>
              </w:rPr>
              <w:t>新会计准则</w:t>
            </w:r>
            <w:r>
              <w:rPr>
                <w:rFonts w:ascii="Arial" w:hAnsi="Arial" w:cs="Arial" w:eastAsia="Arial" w:hint="default"/>
                <w:sz w:val="21"/>
                <w:szCs w:val="21"/>
              </w:rPr>
              <w:t>)</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3"/>
              <w:jc w:val="right"/>
              <w:rPr>
                <w:rFonts w:ascii="Arial" w:hAnsi="Arial" w:cs="Arial" w:eastAsia="Arial" w:hint="default"/>
                <w:sz w:val="21"/>
                <w:szCs w:val="21"/>
              </w:rPr>
            </w:pPr>
            <w:r>
              <w:rPr>
                <w:rFonts w:ascii="Arial"/>
                <w:spacing w:val="-1"/>
                <w:sz w:val="21"/>
              </w:rPr>
              <w:t>757,636</w:t>
            </w:r>
            <w:r>
              <w:rPr>
                <w:rFonts w:ascii="Arial"/>
                <w:sz w:val="21"/>
              </w:rPr>
            </w: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一、加：其他项目影响合计数</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其中：开发费用</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二、加：追溯调整项目影响少数股东损益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3"/>
              <w:jc w:val="right"/>
              <w:rPr>
                <w:rFonts w:ascii="Arial" w:hAnsi="Arial" w:cs="Arial" w:eastAsia="Arial" w:hint="default"/>
                <w:sz w:val="21"/>
                <w:szCs w:val="21"/>
              </w:rPr>
            </w:pPr>
            <w:r>
              <w:rPr>
                <w:rFonts w:ascii="Arial"/>
                <w:spacing w:val="-1"/>
                <w:w w:val="95"/>
                <w:sz w:val="21"/>
              </w:rPr>
              <w:t>4,348</w:t>
            </w:r>
            <w:r>
              <w:rPr>
                <w:rFonts w:ascii="Arial"/>
                <w:w w:val="95"/>
                <w:sz w:val="21"/>
              </w:rPr>
            </w:r>
          </w:p>
        </w:tc>
      </w:tr>
      <w:tr>
        <w:trPr>
          <w:trHeight w:val="31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三、加：原年度财务报表列示的少数股东损益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3"/>
              <w:jc w:val="right"/>
              <w:rPr>
                <w:rFonts w:ascii="Arial" w:hAnsi="Arial" w:cs="Arial" w:eastAsia="Arial" w:hint="default"/>
                <w:sz w:val="21"/>
                <w:szCs w:val="21"/>
              </w:rPr>
            </w:pPr>
            <w:r>
              <w:rPr>
                <w:rFonts w:ascii="Arial"/>
                <w:spacing w:val="-1"/>
                <w:sz w:val="21"/>
              </w:rPr>
              <w:t>35,552</w:t>
            </w:r>
            <w:r>
              <w:rPr>
                <w:rFonts w:ascii="Arial"/>
                <w:sz w:val="21"/>
              </w:rPr>
            </w:r>
          </w:p>
        </w:tc>
      </w:tr>
      <w:tr>
        <w:trPr>
          <w:trHeight w:val="31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年度拟净利润</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3"/>
              <w:jc w:val="right"/>
              <w:rPr>
                <w:rFonts w:ascii="Arial" w:hAnsi="Arial" w:cs="Arial" w:eastAsia="Arial" w:hint="default"/>
                <w:sz w:val="21"/>
                <w:szCs w:val="21"/>
              </w:rPr>
            </w:pPr>
            <w:r>
              <w:rPr>
                <w:rFonts w:ascii="Arial"/>
                <w:spacing w:val="-1"/>
                <w:sz w:val="21"/>
              </w:rPr>
              <w:t>797,536</w:t>
            </w:r>
            <w:r>
              <w:rPr>
                <w:rFonts w:ascii="Arial"/>
                <w:sz w:val="21"/>
              </w:rPr>
            </w:r>
          </w:p>
        </w:tc>
      </w:tr>
    </w:tbl>
    <w:p>
      <w:pPr>
        <w:spacing w:after="0" w:line="240" w:lineRule="auto"/>
        <w:jc w:val="right"/>
        <w:rPr>
          <w:rFonts w:ascii="Arial" w:hAnsi="Arial" w:cs="Arial" w:eastAsia="Arial" w:hint="default"/>
          <w:sz w:val="21"/>
          <w:szCs w:val="21"/>
        </w:rPr>
        <w:sectPr>
          <w:pgSz w:w="11910" w:h="16840"/>
          <w:pgMar w:header="0" w:footer="708" w:top="980" w:bottom="900" w:left="1580" w:right="1280"/>
        </w:sectPr>
      </w:pPr>
    </w:p>
    <w:p>
      <w:pPr>
        <w:spacing w:line="240" w:lineRule="auto" w:before="0"/>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65pt;height:.75pt;mso-position-horizontal-relative:char;mso-position-vertical-relative:line" coordorigin="0,0" coordsize="8693,15">
            <v:group style="position:absolute;left:7;top:7;width:8679;height:2" coordorigin="7,7" coordsize="8679,2">
              <v:shape style="position:absolute;left:7;top:7;width:8679;height:2" coordorigin="7,7" coordsize="8679,0" path="m7,7l868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tabs>
          <w:tab w:pos="677" w:val="left" w:leader="none"/>
        </w:tabs>
        <w:spacing w:line="312" w:lineRule="exact" w:before="190"/>
        <w:ind w:right="918"/>
        <w:jc w:val="left"/>
      </w:pPr>
      <w:r>
        <w:rPr>
          <w:rFonts w:ascii="Arial" w:hAnsi="Arial" w:cs="Arial" w:eastAsia="Arial" w:hint="default"/>
        </w:rPr>
        <w:t>(6)</w:t>
        <w:tab/>
      </w:r>
      <w:r>
        <w:rPr>
          <w:spacing w:val="-1"/>
        </w:rPr>
        <w:t>会计报表数据变动幅度达</w:t>
      </w:r>
      <w:r>
        <w:rPr>
          <w:spacing w:val="-61"/>
        </w:rPr>
        <w:t> </w:t>
      </w:r>
      <w:r>
        <w:rPr>
          <w:rFonts w:ascii="Arial" w:hAnsi="Arial" w:cs="Arial" w:eastAsia="Arial" w:hint="default"/>
        </w:rPr>
        <w:t>30%(</w:t>
      </w:r>
      <w:r>
        <w:rPr/>
        <w:t>含</w:t>
      </w:r>
      <w:r>
        <w:rPr>
          <w:spacing w:val="-61"/>
        </w:rPr>
        <w:t> </w:t>
      </w:r>
      <w:r>
        <w:rPr>
          <w:rFonts w:ascii="Arial" w:hAnsi="Arial" w:cs="Arial" w:eastAsia="Arial" w:hint="default"/>
          <w:spacing w:val="-7"/>
        </w:rPr>
        <w:t>30%)</w:t>
      </w:r>
      <w:r>
        <w:rPr>
          <w:spacing w:val="-7"/>
        </w:rPr>
        <w:t>以上，且占公司报表日资产总额</w:t>
      </w:r>
      <w:r>
        <w:rPr>
          <w:spacing w:val="-61"/>
        </w:rPr>
        <w:t> </w:t>
      </w:r>
      <w:r>
        <w:rPr>
          <w:rFonts w:ascii="Arial" w:hAnsi="Arial" w:cs="Arial" w:eastAsia="Arial" w:hint="default"/>
        </w:rPr>
        <w:t>5%(</w:t>
      </w:r>
      <w:r>
        <w:rPr/>
        <w:t>含 </w:t>
      </w:r>
      <w:r>
        <w:rPr>
          <w:rFonts w:ascii="Arial" w:hAnsi="Arial" w:cs="Arial" w:eastAsia="Arial" w:hint="default"/>
        </w:rPr>
        <w:t>5%)</w:t>
      </w:r>
      <w:r>
        <w:rPr/>
        <w:t>或报告期利润总额</w:t>
      </w:r>
      <w:r>
        <w:rPr>
          <w:spacing w:val="-64"/>
        </w:rPr>
        <w:t> </w:t>
      </w:r>
      <w:r>
        <w:rPr>
          <w:rFonts w:ascii="Arial" w:hAnsi="Arial" w:cs="Arial" w:eastAsia="Arial" w:hint="default"/>
        </w:rPr>
        <w:t>10%(</w:t>
      </w:r>
      <w:r>
        <w:rPr/>
        <w:t>含</w:t>
      </w:r>
      <w:r>
        <w:rPr>
          <w:spacing w:val="-64"/>
        </w:rPr>
        <w:t> </w:t>
      </w:r>
      <w:r>
        <w:rPr>
          <w:rFonts w:ascii="Arial" w:hAnsi="Arial" w:cs="Arial" w:eastAsia="Arial" w:hint="default"/>
        </w:rPr>
        <w:t>10%)</w:t>
      </w:r>
      <w:r>
        <w:rPr/>
        <w:t>以上的项目分析</w:t>
      </w:r>
    </w:p>
    <w:p>
      <w:pPr>
        <w:spacing w:line="240" w:lineRule="auto" w:before="3"/>
        <w:rPr>
          <w:rFonts w:ascii="宋体" w:hAnsi="宋体" w:cs="宋体" w:eastAsia="宋体" w:hint="default"/>
          <w:sz w:val="19"/>
          <w:szCs w:val="19"/>
        </w:rPr>
      </w:pPr>
    </w:p>
    <w:tbl>
      <w:tblPr>
        <w:tblW w:w="0" w:type="auto"/>
        <w:jc w:val="left"/>
        <w:tblInd w:w="216" w:type="dxa"/>
        <w:tblLayout w:type="fixed"/>
        <w:tblCellMar>
          <w:top w:w="0" w:type="dxa"/>
          <w:left w:w="0" w:type="dxa"/>
          <w:bottom w:w="0" w:type="dxa"/>
          <w:right w:w="0" w:type="dxa"/>
        </w:tblCellMar>
        <w:tblLook w:val="01E0"/>
      </w:tblPr>
      <w:tblGrid>
        <w:gridCol w:w="1365"/>
        <w:gridCol w:w="1158"/>
        <w:gridCol w:w="1686"/>
        <w:gridCol w:w="2066"/>
        <w:gridCol w:w="1912"/>
        <w:gridCol w:w="1169"/>
      </w:tblGrid>
      <w:tr>
        <w:trPr>
          <w:trHeight w:val="708" w:hRule="exact"/>
        </w:trPr>
        <w:tc>
          <w:tcPr>
            <w:tcW w:w="42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2097"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w:t>
            </w:r>
          </w:p>
          <w:p>
            <w:pPr>
              <w:pStyle w:val="TableParagraph"/>
              <w:spacing w:line="240" w:lineRule="auto" w:before="20"/>
              <w:ind w:left="2098"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9"/>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w:t>
            </w:r>
          </w:p>
          <w:p>
            <w:pPr>
              <w:pStyle w:val="TableParagraph"/>
              <w:spacing w:line="240" w:lineRule="auto" w:before="20"/>
              <w:ind w:right="18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081" w:type="dxa"/>
            <w:gridSpan w:val="2"/>
            <w:tcBorders>
              <w:top w:val="nil" w:sz="6" w:space="0" w:color="auto"/>
              <w:left w:val="nil" w:sz="6" w:space="0" w:color="auto"/>
              <w:bottom w:val="nil" w:sz="6" w:space="0" w:color="auto"/>
              <w:right w:val="nil" w:sz="6" w:space="0" w:color="auto"/>
            </w:tcBorders>
          </w:tcPr>
          <w:p>
            <w:pPr>
              <w:pStyle w:val="TableParagraph"/>
              <w:tabs>
                <w:tab w:pos="2404" w:val="left" w:leader="none"/>
              </w:tabs>
              <w:spacing w:line="271" w:lineRule="auto" w:before="35"/>
              <w:ind w:left="618" w:right="488" w:firstLine="40"/>
              <w:jc w:val="left"/>
              <w:rPr>
                <w:rFonts w:ascii="Arial" w:hAnsi="Arial" w:cs="Arial" w:eastAsia="Arial" w:hint="default"/>
                <w:sz w:val="21"/>
                <w:szCs w:val="21"/>
              </w:rPr>
            </w:pPr>
            <w:r>
              <w:rPr>
                <w:rFonts w:ascii="宋体" w:hAnsi="宋体" w:cs="宋体" w:eastAsia="宋体" w:hint="default"/>
                <w:sz w:val="21"/>
                <w:szCs w:val="21"/>
              </w:rPr>
              <w:t>差异变动金额及幅度 金额</w:t>
              <w:tab/>
            </w:r>
            <w:r>
              <w:rPr>
                <w:rFonts w:ascii="Arial" w:hAnsi="Arial" w:cs="Arial" w:eastAsia="Arial" w:hint="default"/>
                <w:sz w:val="21"/>
                <w:szCs w:val="21"/>
              </w:rPr>
              <w:t>%</w:t>
            </w:r>
          </w:p>
        </w:tc>
      </w:tr>
      <w:tr>
        <w:trPr>
          <w:trHeight w:val="324" w:hRule="exact"/>
        </w:trPr>
        <w:tc>
          <w:tcPr>
            <w:tcW w:w="42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2558"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6"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c>
          <w:tcPr>
            <w:tcW w:w="30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289"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r>
      <w:tr>
        <w:trPr>
          <w:trHeight w:val="287"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58" w:type="dxa"/>
            <w:tcBorders>
              <w:top w:val="nil" w:sz="6" w:space="0" w:color="auto"/>
              <w:left w:val="nil" w:sz="6" w:space="0" w:color="auto"/>
              <w:bottom w:val="nil" w:sz="6" w:space="0" w:color="auto"/>
              <w:right w:val="nil" w:sz="6" w:space="0" w:color="auto"/>
            </w:tcBorders>
          </w:tcPr>
          <w:p>
            <w:pPr>
              <w:pStyle w:val="TableParagraph"/>
              <w:spacing w:line="251"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1</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4"/>
              <w:jc w:val="right"/>
              <w:rPr>
                <w:rFonts w:ascii="Arial" w:hAnsi="Arial" w:cs="Arial" w:eastAsia="Arial" w:hint="default"/>
                <w:sz w:val="21"/>
                <w:szCs w:val="21"/>
              </w:rPr>
            </w:pPr>
            <w:r>
              <w:rPr>
                <w:rFonts w:ascii="Arial"/>
                <w:spacing w:val="-1"/>
                <w:sz w:val="21"/>
              </w:rPr>
              <w:t>7,465,293</w:t>
            </w:r>
            <w:r>
              <w:rPr>
                <w:rFonts w:ascii="Arial"/>
                <w:sz w:val="21"/>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7"/>
              <w:jc w:val="right"/>
              <w:rPr>
                <w:rFonts w:ascii="Arial" w:hAnsi="Arial" w:cs="Arial" w:eastAsia="Arial" w:hint="default"/>
                <w:sz w:val="21"/>
                <w:szCs w:val="21"/>
              </w:rPr>
            </w:pPr>
            <w:r>
              <w:rPr>
                <w:rFonts w:ascii="Arial"/>
                <w:spacing w:val="-1"/>
                <w:sz w:val="21"/>
              </w:rPr>
              <w:t>3,339,781</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04"/>
              <w:jc w:val="right"/>
              <w:rPr>
                <w:rFonts w:ascii="Arial" w:hAnsi="Arial" w:cs="Arial" w:eastAsia="Arial" w:hint="default"/>
                <w:sz w:val="21"/>
                <w:szCs w:val="21"/>
              </w:rPr>
            </w:pPr>
            <w:r>
              <w:rPr>
                <w:rFonts w:ascii="Arial"/>
                <w:spacing w:val="-1"/>
                <w:sz w:val="21"/>
              </w:rPr>
              <w:t>4,125,512</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sz w:val="21"/>
              </w:rPr>
              <w:t>123.53%</w:t>
            </w:r>
            <w:r>
              <w:rPr>
                <w:rFonts w:ascii="Arial"/>
                <w:sz w:val="21"/>
              </w:rPr>
            </w:r>
          </w:p>
        </w:tc>
      </w:tr>
      <w:tr>
        <w:trPr>
          <w:trHeight w:val="538"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1"/>
                <w:szCs w:val="21"/>
              </w:rPr>
            </w:pPr>
            <w:r>
              <w:rPr>
                <w:rFonts w:ascii="宋体" w:hAnsi="宋体" w:cs="宋体" w:eastAsia="宋体" w:hint="default"/>
                <w:sz w:val="21"/>
                <w:szCs w:val="21"/>
              </w:rPr>
              <w:t>存货</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pacing w:val="30"/>
                <w:sz w:val="21"/>
                <w:szCs w:val="21"/>
              </w:rPr>
              <w:t>其他流动资</w:t>
            </w:r>
            <w:r>
              <w:rPr>
                <w:rFonts w:ascii="宋体" w:hAnsi="宋体" w:cs="宋体" w:eastAsia="宋体" w:hint="default"/>
                <w:spacing w:val="-67"/>
                <w:sz w:val="21"/>
                <w:szCs w:val="21"/>
              </w:rPr>
              <w:t> </w:t>
            </w:r>
            <w:r>
              <w:rPr>
                <w:rFonts w:ascii="宋体" w:hAnsi="宋体" w:cs="宋体" w:eastAsia="宋体" w:hint="default"/>
                <w:sz w:val="21"/>
                <w:szCs w:val="21"/>
              </w:rPr>
            </w:r>
          </w:p>
        </w:tc>
        <w:tc>
          <w:tcPr>
            <w:tcW w:w="1158" w:type="dxa"/>
            <w:tcBorders>
              <w:top w:val="nil" w:sz="6" w:space="0" w:color="auto"/>
              <w:left w:val="nil" w:sz="6" w:space="0" w:color="auto"/>
              <w:bottom w:val="nil" w:sz="6" w:space="0" w:color="auto"/>
              <w:right w:val="nil" w:sz="6" w:space="0" w:color="auto"/>
            </w:tcBorders>
          </w:tcPr>
          <w:p>
            <w:pPr>
              <w:pStyle w:val="TableParagraph"/>
              <w:spacing w:line="235"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2</w:t>
            </w:r>
          </w:p>
          <w:p>
            <w:pPr>
              <w:pStyle w:val="TableParagraph"/>
              <w:spacing w:line="281"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3</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4"/>
              <w:jc w:val="right"/>
              <w:rPr>
                <w:rFonts w:ascii="Arial" w:hAnsi="Arial" w:cs="Arial" w:eastAsia="Arial" w:hint="default"/>
                <w:sz w:val="21"/>
                <w:szCs w:val="21"/>
              </w:rPr>
            </w:pPr>
            <w:r>
              <w:rPr>
                <w:rFonts w:ascii="Arial"/>
                <w:spacing w:val="-1"/>
                <w:sz w:val="21"/>
              </w:rPr>
              <w:t>4,552,543</w:t>
            </w:r>
            <w:r>
              <w:rPr>
                <w:rFonts w:ascii="Arial"/>
                <w:sz w:val="21"/>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7"/>
              <w:jc w:val="right"/>
              <w:rPr>
                <w:rFonts w:ascii="Arial" w:hAnsi="Arial" w:cs="Arial" w:eastAsia="Arial" w:hint="default"/>
                <w:sz w:val="21"/>
                <w:szCs w:val="21"/>
              </w:rPr>
            </w:pPr>
            <w:r>
              <w:rPr>
                <w:rFonts w:ascii="Arial"/>
                <w:spacing w:val="-1"/>
                <w:sz w:val="21"/>
              </w:rPr>
              <w:t>3,407,269</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4"/>
              <w:jc w:val="right"/>
              <w:rPr>
                <w:rFonts w:ascii="Arial" w:hAnsi="Arial" w:cs="Arial" w:eastAsia="Arial" w:hint="default"/>
                <w:sz w:val="21"/>
                <w:szCs w:val="21"/>
              </w:rPr>
            </w:pPr>
            <w:r>
              <w:rPr>
                <w:rFonts w:ascii="Arial"/>
                <w:spacing w:val="-1"/>
                <w:sz w:val="21"/>
              </w:rPr>
              <w:t>1,145,274</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1"/>
                <w:szCs w:val="21"/>
              </w:rPr>
            </w:pPr>
            <w:r>
              <w:rPr>
                <w:rFonts w:ascii="Arial"/>
                <w:spacing w:val="-1"/>
                <w:sz w:val="21"/>
              </w:rPr>
              <w:t>33.61%</w:t>
            </w:r>
            <w:r>
              <w:rPr>
                <w:rFonts w:ascii="Arial"/>
                <w:sz w:val="21"/>
              </w:rPr>
            </w:r>
          </w:p>
        </w:tc>
      </w:tr>
      <w:tr>
        <w:trPr>
          <w:trHeight w:val="281"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158"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4"/>
              <w:jc w:val="right"/>
              <w:rPr>
                <w:rFonts w:ascii="Arial" w:hAnsi="Arial" w:cs="Arial" w:eastAsia="Arial" w:hint="default"/>
                <w:sz w:val="21"/>
                <w:szCs w:val="21"/>
              </w:rPr>
            </w:pPr>
            <w:r>
              <w:rPr>
                <w:rFonts w:ascii="Arial"/>
                <w:spacing w:val="-1"/>
                <w:sz w:val="21"/>
              </w:rPr>
              <w:t>331,194</w:t>
            </w:r>
            <w:r>
              <w:rPr>
                <w:rFonts w:ascii="Arial"/>
                <w:sz w:val="21"/>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7"/>
              <w:jc w:val="right"/>
              <w:rPr>
                <w:rFonts w:ascii="Arial" w:hAnsi="Arial" w:cs="Arial" w:eastAsia="Arial" w:hint="default"/>
                <w:sz w:val="21"/>
                <w:szCs w:val="21"/>
              </w:rPr>
            </w:pPr>
            <w:r>
              <w:rPr>
                <w:rFonts w:ascii="Arial"/>
                <w:spacing w:val="-1"/>
                <w:sz w:val="21"/>
              </w:rPr>
              <w:t>148,916</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04"/>
              <w:jc w:val="right"/>
              <w:rPr>
                <w:rFonts w:ascii="Arial" w:hAnsi="Arial" w:cs="Arial" w:eastAsia="Arial" w:hint="default"/>
                <w:sz w:val="21"/>
                <w:szCs w:val="21"/>
              </w:rPr>
            </w:pPr>
            <w:r>
              <w:rPr>
                <w:rFonts w:ascii="Arial"/>
                <w:spacing w:val="-1"/>
                <w:sz w:val="21"/>
              </w:rPr>
              <w:t>182,278</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1"/>
                <w:szCs w:val="21"/>
              </w:rPr>
            </w:pPr>
            <w:r>
              <w:rPr>
                <w:rFonts w:ascii="Arial"/>
                <w:spacing w:val="-1"/>
                <w:sz w:val="21"/>
              </w:rPr>
              <w:t>122.40%</w:t>
            </w:r>
            <w:r>
              <w:rPr>
                <w:rFonts w:ascii="Arial"/>
                <w:sz w:val="21"/>
              </w:rPr>
            </w:r>
          </w:p>
        </w:tc>
      </w:tr>
      <w:tr>
        <w:trPr>
          <w:trHeight w:val="275"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58" w:type="dxa"/>
            <w:tcBorders>
              <w:top w:val="nil" w:sz="6" w:space="0" w:color="auto"/>
              <w:left w:val="nil" w:sz="6" w:space="0" w:color="auto"/>
              <w:bottom w:val="nil" w:sz="6" w:space="0" w:color="auto"/>
              <w:right w:val="nil" w:sz="6" w:space="0" w:color="auto"/>
            </w:tcBorders>
          </w:tcPr>
          <w:p>
            <w:pPr>
              <w:pStyle w:val="TableParagraph"/>
              <w:spacing w:line="243"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4</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4"/>
              <w:jc w:val="right"/>
              <w:rPr>
                <w:rFonts w:ascii="Arial" w:hAnsi="Arial" w:cs="Arial" w:eastAsia="Arial" w:hint="default"/>
                <w:sz w:val="21"/>
                <w:szCs w:val="21"/>
              </w:rPr>
            </w:pPr>
            <w:r>
              <w:rPr>
                <w:rFonts w:ascii="Arial"/>
                <w:spacing w:val="-1"/>
                <w:sz w:val="21"/>
              </w:rPr>
              <w:t>2,055,654</w:t>
            </w:r>
            <w:r>
              <w:rPr>
                <w:rFonts w:ascii="Arial"/>
                <w:sz w:val="21"/>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7"/>
              <w:jc w:val="right"/>
              <w:rPr>
                <w:rFonts w:ascii="Arial" w:hAnsi="Arial" w:cs="Arial" w:eastAsia="Arial" w:hint="default"/>
                <w:sz w:val="21"/>
                <w:szCs w:val="21"/>
              </w:rPr>
            </w:pPr>
            <w:r>
              <w:rPr>
                <w:rFonts w:ascii="Arial"/>
                <w:spacing w:val="-1"/>
                <w:sz w:val="21"/>
              </w:rPr>
              <w:t>496,916</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4"/>
              <w:jc w:val="right"/>
              <w:rPr>
                <w:rFonts w:ascii="Arial" w:hAnsi="Arial" w:cs="Arial" w:eastAsia="Arial" w:hint="default"/>
                <w:sz w:val="21"/>
                <w:szCs w:val="21"/>
              </w:rPr>
            </w:pPr>
            <w:r>
              <w:rPr>
                <w:rFonts w:ascii="Arial"/>
                <w:spacing w:val="-1"/>
                <w:sz w:val="21"/>
              </w:rPr>
              <w:t>1,558,738</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1"/>
                <w:szCs w:val="21"/>
              </w:rPr>
            </w:pPr>
            <w:r>
              <w:rPr>
                <w:rFonts w:ascii="Arial"/>
                <w:spacing w:val="-1"/>
                <w:sz w:val="21"/>
              </w:rPr>
              <w:t>313.68%</w:t>
            </w:r>
            <w:r>
              <w:rPr>
                <w:rFonts w:ascii="Arial"/>
                <w:sz w:val="21"/>
              </w:rPr>
            </w:r>
          </w:p>
        </w:tc>
      </w:tr>
      <w:tr>
        <w:trPr>
          <w:trHeight w:val="34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58" w:type="dxa"/>
            <w:tcBorders>
              <w:top w:val="nil" w:sz="6" w:space="0" w:color="auto"/>
              <w:left w:val="nil" w:sz="6" w:space="0" w:color="auto"/>
              <w:bottom w:val="nil" w:sz="6" w:space="0" w:color="auto"/>
              <w:right w:val="nil" w:sz="6" w:space="0" w:color="auto"/>
            </w:tcBorders>
          </w:tcPr>
          <w:p>
            <w:pPr>
              <w:pStyle w:val="TableParagraph"/>
              <w:spacing w:line="243"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5</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4"/>
              <w:jc w:val="right"/>
              <w:rPr>
                <w:rFonts w:ascii="Arial" w:hAnsi="Arial" w:cs="Arial" w:eastAsia="Arial" w:hint="default"/>
                <w:sz w:val="21"/>
                <w:szCs w:val="21"/>
              </w:rPr>
            </w:pPr>
            <w:r>
              <w:rPr>
                <w:rFonts w:ascii="Arial"/>
                <w:spacing w:val="-3"/>
                <w:sz w:val="21"/>
              </w:rPr>
              <w:t>387,011</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7"/>
              <w:jc w:val="right"/>
              <w:rPr>
                <w:rFonts w:ascii="Arial" w:hAnsi="Arial" w:cs="Arial" w:eastAsia="Arial" w:hint="default"/>
                <w:sz w:val="21"/>
                <w:szCs w:val="21"/>
              </w:rPr>
            </w:pPr>
            <w:r>
              <w:rPr>
                <w:rFonts w:ascii="Arial"/>
                <w:spacing w:val="-1"/>
                <w:sz w:val="21"/>
              </w:rPr>
              <w:t>88,394</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4"/>
              <w:jc w:val="right"/>
              <w:rPr>
                <w:rFonts w:ascii="Arial" w:hAnsi="Arial" w:cs="Arial" w:eastAsia="Arial" w:hint="default"/>
                <w:sz w:val="21"/>
                <w:szCs w:val="21"/>
              </w:rPr>
            </w:pPr>
            <w:r>
              <w:rPr>
                <w:rFonts w:ascii="Arial"/>
                <w:spacing w:val="-1"/>
                <w:sz w:val="21"/>
              </w:rPr>
              <w:t>298,617</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Arial" w:hAnsi="Arial" w:cs="Arial" w:eastAsia="Arial" w:hint="default"/>
                <w:sz w:val="21"/>
                <w:szCs w:val="21"/>
              </w:rPr>
            </w:pPr>
            <w:r>
              <w:rPr>
                <w:rFonts w:ascii="Arial"/>
                <w:spacing w:val="-1"/>
                <w:sz w:val="21"/>
              </w:rPr>
              <w:t>337.82%</w:t>
            </w:r>
            <w:r>
              <w:rPr>
                <w:rFonts w:ascii="Arial"/>
                <w:sz w:val="21"/>
              </w:rPr>
            </w:r>
          </w:p>
        </w:tc>
      </w:tr>
      <w:tr>
        <w:trPr>
          <w:trHeight w:val="278"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58" w:type="dxa"/>
            <w:tcBorders>
              <w:top w:val="nil" w:sz="6" w:space="0" w:color="auto"/>
              <w:left w:val="nil" w:sz="6" w:space="0" w:color="auto"/>
              <w:bottom w:val="nil" w:sz="6" w:space="0" w:color="auto"/>
              <w:right w:val="nil" w:sz="6" w:space="0" w:color="auto"/>
            </w:tcBorders>
          </w:tcPr>
          <w:p>
            <w:pPr>
              <w:pStyle w:val="TableParagraph"/>
              <w:spacing w:line="209"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6</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4"/>
              <w:jc w:val="right"/>
              <w:rPr>
                <w:rFonts w:ascii="Arial" w:hAnsi="Arial" w:cs="Arial" w:eastAsia="Arial" w:hint="default"/>
                <w:sz w:val="21"/>
                <w:szCs w:val="21"/>
              </w:rPr>
            </w:pPr>
            <w:r>
              <w:rPr>
                <w:rFonts w:ascii="Arial"/>
                <w:spacing w:val="-1"/>
                <w:sz w:val="21"/>
              </w:rPr>
              <w:t>6,582,678</w:t>
            </w:r>
            <w:r>
              <w:rPr>
                <w:rFonts w:ascii="Arial"/>
                <w:sz w:val="21"/>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7"/>
              <w:jc w:val="right"/>
              <w:rPr>
                <w:rFonts w:ascii="Arial" w:hAnsi="Arial" w:cs="Arial" w:eastAsia="Arial" w:hint="default"/>
                <w:sz w:val="21"/>
                <w:szCs w:val="21"/>
              </w:rPr>
            </w:pPr>
            <w:r>
              <w:rPr>
                <w:rFonts w:ascii="Arial"/>
                <w:spacing w:val="-1"/>
                <w:sz w:val="21"/>
              </w:rPr>
              <w:t>3,182,959</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04"/>
              <w:jc w:val="right"/>
              <w:rPr>
                <w:rFonts w:ascii="Arial" w:hAnsi="Arial" w:cs="Arial" w:eastAsia="Arial" w:hint="default"/>
                <w:sz w:val="21"/>
                <w:szCs w:val="21"/>
              </w:rPr>
            </w:pPr>
            <w:r>
              <w:rPr>
                <w:rFonts w:ascii="Arial"/>
                <w:spacing w:val="-1"/>
                <w:sz w:val="21"/>
              </w:rPr>
              <w:t>3,399,719</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21"/>
                <w:szCs w:val="21"/>
              </w:rPr>
            </w:pPr>
            <w:r>
              <w:rPr>
                <w:rFonts w:ascii="Arial"/>
                <w:spacing w:val="-1"/>
                <w:sz w:val="21"/>
              </w:rPr>
              <w:t>106.81%</w:t>
            </w:r>
            <w:r>
              <w:rPr>
                <w:rFonts w:ascii="Arial"/>
                <w:sz w:val="21"/>
              </w:rPr>
            </w:r>
          </w:p>
        </w:tc>
      </w:tr>
      <w:tr>
        <w:trPr>
          <w:trHeight w:val="338"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58" w:type="dxa"/>
            <w:tcBorders>
              <w:top w:val="nil" w:sz="6" w:space="0" w:color="auto"/>
              <w:left w:val="nil" w:sz="6" w:space="0" w:color="auto"/>
              <w:bottom w:val="nil" w:sz="6" w:space="0" w:color="auto"/>
              <w:right w:val="nil" w:sz="6" w:space="0" w:color="auto"/>
            </w:tcBorders>
          </w:tcPr>
          <w:p>
            <w:pPr>
              <w:pStyle w:val="TableParagraph"/>
              <w:spacing w:line="243"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7</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4"/>
              <w:jc w:val="right"/>
              <w:rPr>
                <w:rFonts w:ascii="Arial" w:hAnsi="Arial" w:cs="Arial" w:eastAsia="Arial" w:hint="default"/>
                <w:sz w:val="21"/>
                <w:szCs w:val="21"/>
              </w:rPr>
            </w:pPr>
            <w:r>
              <w:rPr>
                <w:rFonts w:ascii="Arial"/>
                <w:spacing w:val="-1"/>
                <w:sz w:val="21"/>
              </w:rPr>
              <w:t>3,146,318</w:t>
            </w:r>
            <w:r>
              <w:rPr>
                <w:rFonts w:ascii="Arial"/>
                <w:sz w:val="21"/>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7"/>
              <w:jc w:val="right"/>
              <w:rPr>
                <w:rFonts w:ascii="Arial" w:hAnsi="Arial" w:cs="Arial" w:eastAsia="Arial" w:hint="default"/>
                <w:sz w:val="21"/>
                <w:szCs w:val="21"/>
              </w:rPr>
            </w:pPr>
            <w:r>
              <w:rPr>
                <w:rFonts w:ascii="Arial"/>
                <w:spacing w:val="-1"/>
                <w:sz w:val="21"/>
              </w:rPr>
              <w:t>1,686,242</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04"/>
              <w:jc w:val="right"/>
              <w:rPr>
                <w:rFonts w:ascii="Arial" w:hAnsi="Arial" w:cs="Arial" w:eastAsia="Arial" w:hint="default"/>
                <w:sz w:val="21"/>
                <w:szCs w:val="21"/>
              </w:rPr>
            </w:pPr>
            <w:r>
              <w:rPr>
                <w:rFonts w:ascii="Arial"/>
                <w:spacing w:val="-1"/>
                <w:sz w:val="21"/>
              </w:rPr>
              <w:t>1,460,076</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21"/>
                <w:szCs w:val="21"/>
              </w:rPr>
            </w:pPr>
            <w:r>
              <w:rPr>
                <w:rFonts w:ascii="Arial"/>
                <w:spacing w:val="-1"/>
                <w:sz w:val="21"/>
              </w:rPr>
              <w:t>86.59%</w:t>
            </w:r>
            <w:r>
              <w:rPr>
                <w:rFonts w:ascii="Arial"/>
                <w:sz w:val="21"/>
              </w:rPr>
            </w:r>
          </w:p>
        </w:tc>
      </w:tr>
      <w:tr>
        <w:trPr>
          <w:trHeight w:val="282"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58" w:type="dxa"/>
            <w:tcBorders>
              <w:top w:val="nil" w:sz="6" w:space="0" w:color="auto"/>
              <w:left w:val="nil" w:sz="6" w:space="0" w:color="auto"/>
              <w:bottom w:val="nil" w:sz="6" w:space="0" w:color="auto"/>
              <w:right w:val="nil" w:sz="6" w:space="0" w:color="auto"/>
            </w:tcBorders>
          </w:tcPr>
          <w:p>
            <w:pPr>
              <w:pStyle w:val="TableParagraph"/>
              <w:spacing w:line="205"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8</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4"/>
              <w:jc w:val="right"/>
              <w:rPr>
                <w:rFonts w:ascii="Arial" w:hAnsi="Arial" w:cs="Arial" w:eastAsia="Arial" w:hint="default"/>
                <w:sz w:val="21"/>
                <w:szCs w:val="21"/>
              </w:rPr>
            </w:pPr>
            <w:r>
              <w:rPr>
                <w:rFonts w:ascii="Arial"/>
                <w:spacing w:val="-1"/>
                <w:sz w:val="21"/>
              </w:rPr>
              <w:t>702,946</w:t>
            </w:r>
            <w:r>
              <w:rPr>
                <w:rFonts w:ascii="Arial"/>
                <w:sz w:val="21"/>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7"/>
              <w:jc w:val="right"/>
              <w:rPr>
                <w:rFonts w:ascii="Arial" w:hAnsi="Arial" w:cs="Arial" w:eastAsia="Arial" w:hint="default"/>
                <w:sz w:val="21"/>
                <w:szCs w:val="21"/>
              </w:rPr>
            </w:pPr>
            <w:r>
              <w:rPr>
                <w:rFonts w:ascii="Arial"/>
                <w:spacing w:val="-1"/>
                <w:sz w:val="21"/>
              </w:rPr>
              <w:t>164,563</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04"/>
              <w:jc w:val="right"/>
              <w:rPr>
                <w:rFonts w:ascii="Arial" w:hAnsi="Arial" w:cs="Arial" w:eastAsia="Arial" w:hint="default"/>
                <w:sz w:val="21"/>
                <w:szCs w:val="21"/>
              </w:rPr>
            </w:pPr>
            <w:r>
              <w:rPr>
                <w:rFonts w:ascii="Arial"/>
                <w:spacing w:val="-1"/>
                <w:sz w:val="21"/>
              </w:rPr>
              <w:t>538,383</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1"/>
                <w:szCs w:val="21"/>
              </w:rPr>
            </w:pPr>
            <w:r>
              <w:rPr>
                <w:rFonts w:ascii="Arial"/>
                <w:spacing w:val="-1"/>
                <w:sz w:val="21"/>
              </w:rPr>
              <w:t>327.16%</w:t>
            </w:r>
            <w:r>
              <w:rPr>
                <w:rFonts w:ascii="Arial"/>
                <w:sz w:val="21"/>
              </w:rPr>
            </w:r>
          </w:p>
        </w:tc>
      </w:tr>
      <w:tr>
        <w:trPr>
          <w:trHeight w:val="276"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8" w:type="dxa"/>
            <w:tcBorders>
              <w:top w:val="nil" w:sz="6" w:space="0" w:color="auto"/>
              <w:left w:val="nil" w:sz="6" w:space="0" w:color="auto"/>
              <w:bottom w:val="nil" w:sz="6" w:space="0" w:color="auto"/>
              <w:right w:val="nil" w:sz="6" w:space="0" w:color="auto"/>
            </w:tcBorders>
          </w:tcPr>
          <w:p>
            <w:pPr>
              <w:pStyle w:val="TableParagraph"/>
              <w:spacing w:line="243"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9</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5"/>
              <w:jc w:val="right"/>
              <w:rPr>
                <w:rFonts w:ascii="Arial" w:hAnsi="Arial" w:cs="Arial" w:eastAsia="Arial" w:hint="default"/>
                <w:sz w:val="21"/>
                <w:szCs w:val="21"/>
              </w:rPr>
            </w:pPr>
            <w:r>
              <w:rPr>
                <w:rFonts w:ascii="Arial"/>
                <w:spacing w:val="-1"/>
                <w:sz w:val="21"/>
              </w:rPr>
              <w:t>40,152,371</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8"/>
              <w:jc w:val="right"/>
              <w:rPr>
                <w:rFonts w:ascii="Arial" w:hAnsi="Arial" w:cs="Arial" w:eastAsia="Arial" w:hint="default"/>
                <w:sz w:val="21"/>
                <w:szCs w:val="21"/>
              </w:rPr>
            </w:pPr>
            <w:r>
              <w:rPr>
                <w:rFonts w:ascii="Arial"/>
                <w:spacing w:val="-1"/>
                <w:sz w:val="21"/>
              </w:rPr>
              <w:t>26,161,252</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3"/>
              <w:jc w:val="right"/>
              <w:rPr>
                <w:rFonts w:ascii="Arial" w:hAnsi="Arial" w:cs="Arial" w:eastAsia="Arial" w:hint="default"/>
                <w:sz w:val="21"/>
                <w:szCs w:val="21"/>
              </w:rPr>
            </w:pPr>
            <w:r>
              <w:rPr>
                <w:rFonts w:ascii="Arial"/>
                <w:spacing w:val="-3"/>
                <w:sz w:val="21"/>
              </w:rPr>
              <w:t>13,991,119</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21"/>
                <w:szCs w:val="21"/>
              </w:rPr>
            </w:pPr>
            <w:r>
              <w:rPr>
                <w:rFonts w:ascii="Arial"/>
                <w:spacing w:val="-1"/>
                <w:sz w:val="21"/>
              </w:rPr>
              <w:t>53.48%</w:t>
            </w:r>
            <w:r>
              <w:rPr>
                <w:rFonts w:ascii="Arial"/>
                <w:sz w:val="21"/>
              </w:rPr>
            </w:r>
          </w:p>
        </w:tc>
      </w:tr>
      <w:tr>
        <w:trPr>
          <w:trHeight w:val="311"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58" w:type="dxa"/>
            <w:tcBorders>
              <w:top w:val="nil" w:sz="6" w:space="0" w:color="auto"/>
              <w:left w:val="nil" w:sz="6" w:space="0" w:color="auto"/>
              <w:bottom w:val="nil" w:sz="6" w:space="0" w:color="auto"/>
              <w:right w:val="nil" w:sz="6" w:space="0" w:color="auto"/>
            </w:tcBorders>
          </w:tcPr>
          <w:p>
            <w:pPr>
              <w:pStyle w:val="TableParagraph"/>
              <w:spacing w:line="243"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z w:val="21"/>
                <w:szCs w:val="21"/>
              </w:rPr>
              <w:t>9</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5"/>
              <w:jc w:val="right"/>
              <w:rPr>
                <w:rFonts w:ascii="Arial" w:hAnsi="Arial" w:cs="Arial" w:eastAsia="Arial" w:hint="default"/>
                <w:sz w:val="21"/>
                <w:szCs w:val="21"/>
              </w:rPr>
            </w:pPr>
            <w:r>
              <w:rPr>
                <w:rFonts w:ascii="Arial"/>
                <w:spacing w:val="-1"/>
                <w:sz w:val="21"/>
              </w:rPr>
              <w:t>34,346,740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8"/>
              <w:jc w:val="right"/>
              <w:rPr>
                <w:rFonts w:ascii="Arial" w:hAnsi="Arial" w:cs="Arial" w:eastAsia="Arial" w:hint="default"/>
                <w:sz w:val="21"/>
                <w:szCs w:val="21"/>
              </w:rPr>
            </w:pPr>
            <w:r>
              <w:rPr>
                <w:rFonts w:ascii="Arial"/>
                <w:spacing w:val="-1"/>
                <w:sz w:val="21"/>
              </w:rPr>
              <w:t>22,268,806</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4"/>
              <w:jc w:val="right"/>
              <w:rPr>
                <w:rFonts w:ascii="Arial" w:hAnsi="Arial" w:cs="Arial" w:eastAsia="Arial" w:hint="default"/>
                <w:sz w:val="21"/>
                <w:szCs w:val="21"/>
              </w:rPr>
            </w:pPr>
            <w:r>
              <w:rPr>
                <w:rFonts w:ascii="Arial"/>
                <w:spacing w:val="-1"/>
                <w:sz w:val="21"/>
              </w:rPr>
              <w:t>12,077,934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21"/>
                <w:szCs w:val="21"/>
              </w:rPr>
            </w:pPr>
            <w:r>
              <w:rPr>
                <w:rFonts w:ascii="Arial"/>
                <w:spacing w:val="-1"/>
                <w:sz w:val="21"/>
              </w:rPr>
              <w:t>54.24%</w:t>
            </w:r>
            <w:r>
              <w:rPr>
                <w:rFonts w:ascii="Arial"/>
                <w:sz w:val="21"/>
              </w:rPr>
            </w:r>
          </w:p>
        </w:tc>
      </w:tr>
      <w:tr>
        <w:trPr>
          <w:trHeight w:val="280"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58" w:type="dxa"/>
            <w:tcBorders>
              <w:top w:val="nil" w:sz="6" w:space="0" w:color="auto"/>
              <w:left w:val="nil" w:sz="6" w:space="0" w:color="auto"/>
              <w:bottom w:val="nil" w:sz="6" w:space="0" w:color="auto"/>
              <w:right w:val="nil" w:sz="6" w:space="0" w:color="auto"/>
            </w:tcBorders>
          </w:tcPr>
          <w:p>
            <w:pPr>
              <w:pStyle w:val="TableParagraph"/>
              <w:spacing w:line="208"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5"/>
                <w:sz w:val="21"/>
                <w:szCs w:val="21"/>
              </w:rPr>
              <w:t> </w:t>
            </w:r>
            <w:r>
              <w:rPr>
                <w:rFonts w:ascii="Arial" w:hAnsi="Arial" w:cs="Arial" w:eastAsia="Arial" w:hint="default"/>
                <w:sz w:val="21"/>
                <w:szCs w:val="21"/>
              </w:rPr>
              <w:t>10</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4"/>
              <w:jc w:val="right"/>
              <w:rPr>
                <w:rFonts w:ascii="Arial" w:hAnsi="Arial" w:cs="Arial" w:eastAsia="Arial" w:hint="default"/>
                <w:sz w:val="21"/>
                <w:szCs w:val="21"/>
              </w:rPr>
            </w:pPr>
            <w:r>
              <w:rPr>
                <w:rFonts w:ascii="Arial"/>
                <w:spacing w:val="-1"/>
                <w:sz w:val="21"/>
              </w:rPr>
              <w:t>2,985,538</w:t>
            </w:r>
            <w:r>
              <w:rPr>
                <w:rFonts w:ascii="Arial"/>
                <w:sz w:val="21"/>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7"/>
              <w:jc w:val="right"/>
              <w:rPr>
                <w:rFonts w:ascii="Arial" w:hAnsi="Arial" w:cs="Arial" w:eastAsia="Arial" w:hint="default"/>
                <w:sz w:val="21"/>
                <w:szCs w:val="21"/>
              </w:rPr>
            </w:pPr>
            <w:r>
              <w:rPr>
                <w:rFonts w:ascii="Arial"/>
                <w:spacing w:val="-1"/>
                <w:sz w:val="21"/>
              </w:rPr>
              <w:t>2,207,862</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04"/>
              <w:jc w:val="right"/>
              <w:rPr>
                <w:rFonts w:ascii="Arial" w:hAnsi="Arial" w:cs="Arial" w:eastAsia="Arial" w:hint="default"/>
                <w:sz w:val="21"/>
                <w:szCs w:val="21"/>
              </w:rPr>
            </w:pPr>
            <w:r>
              <w:rPr>
                <w:rFonts w:ascii="Arial"/>
                <w:spacing w:val="-1"/>
                <w:sz w:val="21"/>
              </w:rPr>
              <w:t>777,676</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21"/>
                <w:szCs w:val="21"/>
              </w:rPr>
            </w:pPr>
            <w:r>
              <w:rPr>
                <w:rFonts w:ascii="Arial"/>
                <w:spacing w:val="-1"/>
                <w:sz w:val="21"/>
              </w:rPr>
              <w:t>35.22%</w:t>
            </w:r>
            <w:r>
              <w:rPr>
                <w:rFonts w:ascii="Arial"/>
                <w:sz w:val="21"/>
              </w:rPr>
            </w:r>
          </w:p>
        </w:tc>
      </w:tr>
      <w:tr>
        <w:trPr>
          <w:trHeight w:val="288"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58" w:type="dxa"/>
            <w:tcBorders>
              <w:top w:val="nil" w:sz="6" w:space="0" w:color="auto"/>
              <w:left w:val="nil" w:sz="6" w:space="0" w:color="auto"/>
              <w:bottom w:val="nil" w:sz="6" w:space="0" w:color="auto"/>
              <w:right w:val="nil" w:sz="6" w:space="0" w:color="auto"/>
            </w:tcBorders>
          </w:tcPr>
          <w:p>
            <w:pPr>
              <w:pStyle w:val="TableParagraph"/>
              <w:spacing w:line="243" w:lineRule="exact"/>
              <w:ind w:left="88" w:right="0"/>
              <w:jc w:val="lef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w:hAnsi="Arial" w:cs="Arial" w:eastAsia="Arial" w:hint="default"/>
                <w:spacing w:val="-17"/>
                <w:sz w:val="21"/>
                <w:szCs w:val="21"/>
              </w:rPr>
              <w:t>11</w:t>
            </w:r>
            <w:r>
              <w:rPr>
                <w:rFonts w:ascii="Arial" w:hAnsi="Arial" w:cs="Arial" w:eastAsia="Arial" w:hint="default"/>
                <w:sz w:val="21"/>
                <w:szCs w:val="21"/>
              </w:rPr>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4"/>
              <w:jc w:val="right"/>
              <w:rPr>
                <w:rFonts w:ascii="Arial" w:hAnsi="Arial" w:cs="Arial" w:eastAsia="Arial" w:hint="default"/>
                <w:sz w:val="21"/>
                <w:szCs w:val="21"/>
              </w:rPr>
            </w:pPr>
            <w:r>
              <w:rPr>
                <w:rFonts w:ascii="Arial"/>
                <w:spacing w:val="-1"/>
                <w:sz w:val="21"/>
              </w:rPr>
              <w:t>493,581</w:t>
            </w:r>
            <w:r>
              <w:rPr>
                <w:rFonts w:ascii="Arial"/>
                <w:sz w:val="21"/>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7"/>
              <w:jc w:val="right"/>
              <w:rPr>
                <w:rFonts w:ascii="Arial" w:hAnsi="Arial" w:cs="Arial" w:eastAsia="Arial" w:hint="default"/>
                <w:sz w:val="21"/>
                <w:szCs w:val="21"/>
              </w:rPr>
            </w:pPr>
            <w:r>
              <w:rPr>
                <w:rFonts w:ascii="Arial"/>
                <w:spacing w:val="-1"/>
                <w:sz w:val="21"/>
              </w:rPr>
              <w:t>392,975</w:t>
            </w:r>
            <w:r>
              <w:rPr>
                <w:rFonts w:ascii="Arial"/>
                <w:sz w:val="21"/>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3"/>
              <w:jc w:val="right"/>
              <w:rPr>
                <w:rFonts w:ascii="Arial" w:hAnsi="Arial" w:cs="Arial" w:eastAsia="Arial" w:hint="default"/>
                <w:sz w:val="21"/>
                <w:szCs w:val="21"/>
              </w:rPr>
            </w:pPr>
            <w:r>
              <w:rPr>
                <w:rFonts w:ascii="Arial"/>
                <w:spacing w:val="-1"/>
                <w:sz w:val="21"/>
              </w:rPr>
              <w:t>100,606</w:t>
            </w:r>
            <w:r>
              <w:rPr>
                <w:rFonts w:ascii="Arial"/>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Arial" w:hAnsi="Arial" w:cs="Arial" w:eastAsia="Arial" w:hint="default"/>
                <w:sz w:val="21"/>
                <w:szCs w:val="21"/>
              </w:rPr>
            </w:pPr>
            <w:r>
              <w:rPr>
                <w:rFonts w:ascii="Arial"/>
                <w:spacing w:val="-1"/>
                <w:sz w:val="21"/>
              </w:rPr>
              <w:t>25.60%</w:t>
            </w:r>
            <w:r>
              <w:rPr>
                <w:rFonts w:ascii="Arial"/>
                <w:sz w:val="21"/>
              </w:rPr>
            </w:r>
          </w:p>
        </w:tc>
      </w:tr>
    </w:tbl>
    <w:p>
      <w:pPr>
        <w:tabs>
          <w:tab w:pos="1670" w:val="left" w:leader="none"/>
          <w:tab w:pos="3329" w:val="left" w:leader="none"/>
          <w:tab w:pos="5561" w:val="left" w:leader="none"/>
          <w:tab w:pos="7280" w:val="left" w:leader="none"/>
          <w:tab w:pos="8641" w:val="left" w:leader="none"/>
        </w:tabs>
        <w:spacing w:line="315" w:lineRule="exact" w:before="0"/>
        <w:ind w:left="251" w:right="0" w:firstLine="0"/>
        <w:jc w:val="left"/>
        <w:rPr>
          <w:rFonts w:ascii="Arial" w:hAnsi="Arial" w:cs="Arial" w:eastAsia="Arial" w:hint="default"/>
          <w:sz w:val="21"/>
          <w:szCs w:val="21"/>
        </w:rPr>
      </w:pPr>
      <w:r>
        <w:rPr>
          <w:rFonts w:ascii="宋体" w:hAnsi="宋体" w:cs="宋体" w:eastAsia="宋体" w:hint="default"/>
          <w:position w:val="6"/>
          <w:sz w:val="21"/>
          <w:szCs w:val="21"/>
        </w:rPr>
        <w:t>财务费用</w:t>
        <w:tab/>
        <w:t>注释</w:t>
      </w:r>
      <w:r>
        <w:rPr>
          <w:rFonts w:ascii="宋体" w:hAnsi="宋体" w:cs="宋体" w:eastAsia="宋体" w:hint="default"/>
          <w:spacing w:val="-52"/>
          <w:position w:val="6"/>
          <w:sz w:val="21"/>
          <w:szCs w:val="21"/>
        </w:rPr>
        <w:t> </w:t>
      </w:r>
      <w:r>
        <w:rPr>
          <w:rFonts w:ascii="Arial" w:hAnsi="Arial" w:cs="Arial" w:eastAsia="Arial" w:hint="default"/>
          <w:spacing w:val="-1"/>
          <w:position w:val="6"/>
          <w:sz w:val="21"/>
          <w:szCs w:val="21"/>
        </w:rPr>
        <w:t>12</w:t>
        <w:tab/>
      </w:r>
      <w:r>
        <w:rPr>
          <w:rFonts w:ascii="Arial" w:hAnsi="Arial" w:cs="Arial" w:eastAsia="Arial" w:hint="default"/>
          <w:spacing w:val="-1"/>
          <w:sz w:val="21"/>
          <w:szCs w:val="21"/>
        </w:rPr>
        <w:t>(88,162)</w:t>
        <w:tab/>
        <w:t>23,581</w:t>
        <w:tab/>
      </w:r>
      <w:r>
        <w:rPr>
          <w:rFonts w:ascii="Arial" w:hAnsi="Arial" w:cs="Arial" w:eastAsia="Arial" w:hint="default"/>
          <w:spacing w:val="-5"/>
          <w:sz w:val="21"/>
          <w:szCs w:val="21"/>
        </w:rPr>
        <w:t>(111,743)</w:t>
        <w:tab/>
      </w:r>
      <w:r>
        <w:rPr>
          <w:rFonts w:ascii="Arial" w:hAnsi="Arial" w:cs="Arial" w:eastAsia="Arial" w:hint="default"/>
          <w:spacing w:val="-1"/>
          <w:sz w:val="21"/>
          <w:szCs w:val="21"/>
        </w:rPr>
        <w:t>-473.87%</w:t>
      </w:r>
      <w:r>
        <w:rPr>
          <w:rFonts w:ascii="Arial" w:hAnsi="Arial" w:cs="Arial" w:eastAsia="Arial" w:hint="default"/>
          <w:sz w:val="21"/>
          <w:szCs w:val="21"/>
        </w:rPr>
      </w:r>
    </w:p>
    <w:p>
      <w:pPr>
        <w:spacing w:line="240" w:lineRule="auto" w:before="7"/>
        <w:rPr>
          <w:rFonts w:ascii="Arial" w:hAnsi="Arial" w:cs="Arial" w:eastAsia="Arial" w:hint="default"/>
          <w:sz w:val="30"/>
          <w:szCs w:val="30"/>
        </w:rPr>
      </w:pPr>
    </w:p>
    <w:p>
      <w:pPr>
        <w:pStyle w:val="BodyText"/>
        <w:spacing w:line="338" w:lineRule="auto"/>
        <w:ind w:right="837"/>
        <w:jc w:val="both"/>
      </w:pPr>
      <w:r>
        <w:rPr/>
        <w:t>注释 </w:t>
      </w:r>
      <w:r>
        <w:rPr>
          <w:rFonts w:ascii="Arial" w:hAnsi="Arial" w:cs="Arial" w:eastAsia="Arial" w:hint="default"/>
        </w:rPr>
        <w:t>1</w:t>
      </w:r>
      <w:r>
        <w:rPr/>
        <w:t>：货币资金期末数比年初数增长</w:t>
      </w:r>
      <w:r>
        <w:rPr>
          <w:spacing w:val="-65"/>
        </w:rPr>
        <w:t> </w:t>
      </w:r>
      <w:r>
        <w:rPr>
          <w:rFonts w:ascii="Arial" w:hAnsi="Arial" w:cs="Arial" w:eastAsia="Arial" w:hint="default"/>
        </w:rPr>
        <w:t>123.53%</w:t>
      </w:r>
      <w:r>
        <w:rPr/>
        <w:t>，主要为本期经营活动所产生的现 金流量净额增加。</w:t>
      </w:r>
    </w:p>
    <w:p>
      <w:pPr>
        <w:spacing w:line="240" w:lineRule="auto" w:before="0"/>
        <w:rPr>
          <w:rFonts w:ascii="宋体" w:hAnsi="宋体" w:cs="宋体" w:eastAsia="宋体" w:hint="default"/>
          <w:sz w:val="24"/>
          <w:szCs w:val="24"/>
        </w:rPr>
      </w:pPr>
    </w:p>
    <w:p>
      <w:pPr>
        <w:pStyle w:val="BodyText"/>
        <w:spacing w:line="338" w:lineRule="auto" w:before="209"/>
        <w:ind w:right="834"/>
        <w:jc w:val="both"/>
      </w:pPr>
      <w:r>
        <w:rPr/>
        <w:t>注释</w:t>
      </w:r>
      <w:r>
        <w:rPr>
          <w:spacing w:val="-83"/>
        </w:rPr>
        <w:t> </w:t>
      </w:r>
      <w:r>
        <w:rPr>
          <w:rFonts w:ascii="Arial" w:hAnsi="Arial" w:cs="Arial" w:eastAsia="Arial" w:hint="default"/>
        </w:rPr>
        <w:t>2</w:t>
      </w:r>
      <w:r>
        <w:rPr/>
        <w:t>：存货期末数比年初数增长</w:t>
      </w:r>
      <w:r>
        <w:rPr>
          <w:spacing w:val="-83"/>
        </w:rPr>
        <w:t> </w:t>
      </w:r>
      <w:r>
        <w:rPr>
          <w:rFonts w:ascii="Arial" w:hAnsi="Arial" w:cs="Arial" w:eastAsia="Arial" w:hint="default"/>
        </w:rPr>
        <w:t>33.61%</w:t>
      </w:r>
      <w:r>
        <w:rPr/>
        <w:t>，主要为随着连锁店数量的增加、连锁网 络规模的扩大，为了保证存货的正常周转，存货库存也相应增加。</w:t>
      </w:r>
    </w:p>
    <w:p>
      <w:pPr>
        <w:spacing w:line="240" w:lineRule="auto" w:before="0"/>
        <w:rPr>
          <w:rFonts w:ascii="宋体" w:hAnsi="宋体" w:cs="宋体" w:eastAsia="宋体" w:hint="default"/>
          <w:sz w:val="24"/>
          <w:szCs w:val="24"/>
        </w:rPr>
      </w:pPr>
    </w:p>
    <w:p>
      <w:pPr>
        <w:pStyle w:val="BodyText"/>
        <w:spacing w:line="338" w:lineRule="auto" w:before="209"/>
        <w:ind w:right="801"/>
        <w:jc w:val="both"/>
      </w:pPr>
      <w:r>
        <w:rPr/>
        <w:t>注释 </w:t>
      </w:r>
      <w:r>
        <w:rPr>
          <w:rFonts w:ascii="Arial" w:hAnsi="Arial" w:cs="Arial" w:eastAsia="Arial" w:hint="default"/>
          <w:spacing w:val="-6"/>
        </w:rPr>
        <w:t>3</w:t>
      </w:r>
      <w:r>
        <w:rPr>
          <w:spacing w:val="-6"/>
        </w:rPr>
        <w:t>：其他流动资产期末数比年初数增长</w:t>
      </w:r>
      <w:r>
        <w:rPr>
          <w:spacing w:val="-43"/>
        </w:rPr>
        <w:t> </w:t>
      </w:r>
      <w:r>
        <w:rPr>
          <w:rFonts w:ascii="Arial" w:hAnsi="Arial" w:cs="Arial" w:eastAsia="Arial" w:hint="default"/>
          <w:spacing w:val="-6"/>
        </w:rPr>
        <w:t>122.40%</w:t>
      </w:r>
      <w:r>
        <w:rPr>
          <w:spacing w:val="-6"/>
        </w:rPr>
        <w:t>，主要为随着连锁店数量增加，</w:t>
      </w:r>
      <w:r>
        <w:rPr/>
        <w:t> 在摊销期内的房屋租赁费也随之增加。</w:t>
      </w:r>
    </w:p>
    <w:p>
      <w:pPr>
        <w:spacing w:line="240" w:lineRule="auto" w:before="0"/>
        <w:rPr>
          <w:rFonts w:ascii="宋体" w:hAnsi="宋体" w:cs="宋体" w:eastAsia="宋体" w:hint="default"/>
          <w:sz w:val="24"/>
          <w:szCs w:val="24"/>
        </w:rPr>
      </w:pPr>
    </w:p>
    <w:p>
      <w:pPr>
        <w:pStyle w:val="BodyText"/>
        <w:spacing w:line="355" w:lineRule="auto" w:before="209"/>
        <w:ind w:right="834"/>
        <w:jc w:val="both"/>
      </w:pPr>
      <w:r>
        <w:rPr/>
        <w:t>注释</w:t>
      </w:r>
      <w:r>
        <w:rPr>
          <w:spacing w:val="-71"/>
        </w:rPr>
        <w:t> </w:t>
      </w:r>
      <w:r>
        <w:rPr>
          <w:rFonts w:ascii="Arial" w:hAnsi="Arial" w:cs="Arial" w:eastAsia="Arial" w:hint="default"/>
        </w:rPr>
        <w:t>4</w:t>
      </w:r>
      <w:r>
        <w:rPr/>
        <w:t>：固定资产原价期末数比年初数增长</w:t>
      </w:r>
      <w:r>
        <w:rPr>
          <w:spacing w:val="-71"/>
        </w:rPr>
        <w:t> </w:t>
      </w:r>
      <w:r>
        <w:rPr>
          <w:rFonts w:ascii="Arial" w:hAnsi="Arial" w:cs="Arial" w:eastAsia="Arial" w:hint="default"/>
        </w:rPr>
        <w:t>313.68%</w:t>
      </w:r>
      <w:r>
        <w:rPr/>
        <w:t>，主要为本公司子公司</w:t>
      </w:r>
      <w:r>
        <w:rPr>
          <w:rFonts w:ascii="Arial" w:hAnsi="Arial" w:cs="Arial" w:eastAsia="Arial" w:hint="default"/>
        </w:rPr>
        <w:t>-</w:t>
      </w:r>
      <w:r>
        <w:rPr/>
        <w:t>上海长 宁苏宁电器有限公司、常州苏宁电器有限公司、郴州苏宁电器有限公司、武汉苏宁</w:t>
      </w:r>
      <w:r>
        <w:rPr>
          <w:spacing w:val="-82"/>
        </w:rPr>
        <w:t> </w:t>
      </w:r>
      <w:r>
        <w:rPr>
          <w:spacing w:val="-82"/>
        </w:rPr>
      </w:r>
      <w:r>
        <w:rPr/>
        <w:t>电器有限公司、河南苏宁电器有限公司、马鞍山苏宁电器有限公司及四川苏宁电器</w:t>
      </w:r>
      <w:r>
        <w:rPr>
          <w:spacing w:val="-82"/>
        </w:rPr>
        <w:t> </w:t>
      </w:r>
      <w:r>
        <w:rPr>
          <w:spacing w:val="-82"/>
        </w:rPr>
      </w:r>
      <w:r>
        <w:rPr/>
        <w:t>有限公司本期采取了在核心商圈购置经营用房、以扩大在核心商圈的营业面积；北</w:t>
      </w:r>
      <w:r>
        <w:rPr>
          <w:spacing w:val="-82"/>
        </w:rPr>
        <w:t> </w:t>
      </w:r>
      <w:r>
        <w:rPr>
          <w:spacing w:val="-82"/>
        </w:rPr>
      </w:r>
      <w:r>
        <w:rPr/>
        <w:t>京物流中心本期已完工、投入使用；江苏物流中心部分已完工、投入使用；为了保</w:t>
      </w:r>
      <w:r>
        <w:rPr>
          <w:spacing w:val="-82"/>
        </w:rPr>
        <w:t> </w:t>
      </w:r>
      <w:r>
        <w:rPr>
          <w:spacing w:val="-82"/>
        </w:rPr>
      </w:r>
      <w:r>
        <w:rPr/>
        <w:t>证连锁网络的高效运行继续加大了信息系统的投资建设。另外，随着经营规模的扩</w:t>
      </w:r>
      <w:r>
        <w:rPr>
          <w:spacing w:val="-82"/>
        </w:rPr>
        <w:t> </w:t>
      </w:r>
      <w:r>
        <w:rPr>
          <w:spacing w:val="-82"/>
        </w:rPr>
      </w:r>
      <w:r>
        <w:rPr/>
        <w:t>大，相应的固定资产投入也在增加。</w:t>
      </w:r>
    </w:p>
    <w:p>
      <w:pPr>
        <w:spacing w:after="0" w:line="355" w:lineRule="auto"/>
        <w:jc w:val="both"/>
        <w:sectPr>
          <w:headerReference w:type="default" r:id="rId39"/>
          <w:footerReference w:type="default" r:id="rId40"/>
          <w:pgSz w:w="11910" w:h="16840"/>
          <w:pgMar w:header="0" w:footer="982" w:top="1000" w:bottom="1180" w:left="1500" w:right="720"/>
          <w:pgNumType w:start="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48" w:lineRule="auto" w:before="26"/>
        <w:ind w:right="237"/>
        <w:jc w:val="both"/>
      </w:pPr>
      <w:r>
        <w:rPr/>
        <w:t>注释 </w:t>
      </w:r>
      <w:r>
        <w:rPr>
          <w:rFonts w:ascii="Arial" w:hAnsi="Arial" w:cs="Arial" w:eastAsia="Arial" w:hint="default"/>
        </w:rPr>
        <w:t>5</w:t>
      </w:r>
      <w:r>
        <w:rPr/>
        <w:t>：无形资产期末数比年初数增长</w:t>
      </w:r>
      <w:r>
        <w:rPr>
          <w:spacing w:val="-65"/>
        </w:rPr>
        <w:t> </w:t>
      </w:r>
      <w:r>
        <w:rPr>
          <w:rFonts w:ascii="Arial" w:hAnsi="Arial" w:cs="Arial" w:eastAsia="Arial" w:hint="default"/>
        </w:rPr>
        <w:t>337.82%</w:t>
      </w:r>
      <w:r>
        <w:rPr/>
        <w:t>，主要为本期受让加盟公司连锁店 面之业务合并而取得的优惠承租权；另外，为了进一步提升公司的管理水平，继续</w:t>
      </w:r>
      <w:r>
        <w:rPr>
          <w:spacing w:val="-82"/>
        </w:rPr>
        <w:t> </w:t>
      </w:r>
      <w:r>
        <w:rPr>
          <w:spacing w:val="-82"/>
        </w:rPr>
      </w:r>
      <w:r>
        <w:rPr/>
        <w:t>加大了信息系统软件项目的投资建设。</w:t>
      </w:r>
    </w:p>
    <w:p>
      <w:pPr>
        <w:spacing w:line="240" w:lineRule="auto" w:before="0"/>
        <w:rPr>
          <w:rFonts w:ascii="宋体" w:hAnsi="宋体" w:cs="宋体" w:eastAsia="宋体" w:hint="default"/>
          <w:sz w:val="24"/>
          <w:szCs w:val="24"/>
        </w:rPr>
      </w:pPr>
    </w:p>
    <w:p>
      <w:pPr>
        <w:pStyle w:val="BodyText"/>
        <w:spacing w:line="338" w:lineRule="auto" w:before="200"/>
        <w:ind w:right="237"/>
        <w:jc w:val="both"/>
      </w:pPr>
      <w:r>
        <w:rPr/>
        <w:t>注释 </w:t>
      </w:r>
      <w:r>
        <w:rPr>
          <w:rFonts w:ascii="Arial" w:hAnsi="Arial" w:cs="Arial" w:eastAsia="Arial" w:hint="default"/>
        </w:rPr>
        <w:t>6</w:t>
      </w:r>
      <w:r>
        <w:rPr/>
        <w:t>：应付票据期末数比年初数增长</w:t>
      </w:r>
      <w:r>
        <w:rPr>
          <w:spacing w:val="-65"/>
        </w:rPr>
        <w:t> </w:t>
      </w:r>
      <w:r>
        <w:rPr>
          <w:rFonts w:ascii="Arial" w:hAnsi="Arial" w:cs="Arial" w:eastAsia="Arial" w:hint="default"/>
        </w:rPr>
        <w:t>106.81%</w:t>
      </w:r>
      <w:r>
        <w:rPr/>
        <w:t>，主要为本期较多地采用了以银行 承兑汇票的方式与供应商结算货款。</w:t>
      </w:r>
    </w:p>
    <w:p>
      <w:pPr>
        <w:spacing w:line="240" w:lineRule="auto" w:before="0"/>
        <w:rPr>
          <w:rFonts w:ascii="宋体" w:hAnsi="宋体" w:cs="宋体" w:eastAsia="宋体" w:hint="default"/>
          <w:sz w:val="24"/>
          <w:szCs w:val="24"/>
        </w:rPr>
      </w:pPr>
    </w:p>
    <w:p>
      <w:pPr>
        <w:pStyle w:val="BodyText"/>
        <w:spacing w:line="338" w:lineRule="auto" w:before="209"/>
        <w:ind w:right="111"/>
        <w:jc w:val="left"/>
      </w:pPr>
      <w:r>
        <w:rPr/>
        <w:t>注释</w:t>
      </w:r>
      <w:r>
        <w:rPr>
          <w:spacing w:val="-51"/>
        </w:rPr>
        <w:t> </w:t>
      </w:r>
      <w:r>
        <w:rPr>
          <w:rFonts w:ascii="Arial" w:hAnsi="Arial" w:cs="Arial" w:eastAsia="Arial" w:hint="default"/>
          <w:spacing w:val="-4"/>
        </w:rPr>
        <w:t>7</w:t>
      </w:r>
      <w:r>
        <w:rPr>
          <w:spacing w:val="-4"/>
        </w:rPr>
        <w:t>：应付帐款期末数比年初数增长了</w:t>
      </w:r>
      <w:r>
        <w:rPr>
          <w:spacing w:val="-51"/>
        </w:rPr>
        <w:t> </w:t>
      </w:r>
      <w:r>
        <w:rPr>
          <w:rFonts w:ascii="Arial" w:hAnsi="Arial" w:cs="Arial" w:eastAsia="Arial" w:hint="default"/>
          <w:spacing w:val="-6"/>
        </w:rPr>
        <w:t>86.59%</w:t>
      </w:r>
      <w:r>
        <w:rPr>
          <w:spacing w:val="-6"/>
        </w:rPr>
        <w:t>，主要原因为：连锁店数量的增加、</w:t>
      </w:r>
      <w:r>
        <w:rPr>
          <w:spacing w:val="-117"/>
        </w:rPr>
        <w:t> </w:t>
      </w:r>
      <w:r>
        <w:rPr>
          <w:spacing w:val="-117"/>
        </w:rPr>
      </w:r>
      <w:r>
        <w:rPr/>
        <w:t>连锁网络规模的扩大，应付供应商货款也在相应增加。</w:t>
      </w:r>
    </w:p>
    <w:p>
      <w:pPr>
        <w:spacing w:line="240" w:lineRule="auto" w:before="0"/>
        <w:rPr>
          <w:rFonts w:ascii="宋体" w:hAnsi="宋体" w:cs="宋体" w:eastAsia="宋体" w:hint="default"/>
          <w:sz w:val="24"/>
          <w:szCs w:val="24"/>
        </w:rPr>
      </w:pPr>
    </w:p>
    <w:p>
      <w:pPr>
        <w:pStyle w:val="BodyText"/>
        <w:spacing w:line="338" w:lineRule="auto" w:before="209"/>
        <w:ind w:right="306"/>
        <w:jc w:val="left"/>
      </w:pPr>
      <w:r>
        <w:rPr/>
        <w:t>注释</w:t>
      </w:r>
      <w:r>
        <w:rPr>
          <w:spacing w:val="-73"/>
        </w:rPr>
        <w:t> </w:t>
      </w:r>
      <w:r>
        <w:rPr>
          <w:rFonts w:ascii="Arial" w:hAnsi="Arial" w:cs="Arial" w:eastAsia="Arial" w:hint="default"/>
        </w:rPr>
        <w:t>8</w:t>
      </w:r>
      <w:r>
        <w:rPr/>
        <w:t>：其他应付款期末数比年初数增长了</w:t>
      </w:r>
      <w:r>
        <w:rPr>
          <w:spacing w:val="-73"/>
        </w:rPr>
        <w:t> </w:t>
      </w:r>
      <w:r>
        <w:rPr>
          <w:rFonts w:ascii="Arial" w:hAnsi="Arial" w:cs="Arial" w:eastAsia="Arial" w:hint="default"/>
        </w:rPr>
        <w:t>327.16%</w:t>
      </w:r>
      <w:r>
        <w:rPr/>
        <w:t>，主要为本期受让加盟公司连 锁店面应支付的对价款尚未到期支付。</w:t>
      </w:r>
    </w:p>
    <w:p>
      <w:pPr>
        <w:spacing w:line="240" w:lineRule="auto" w:before="0"/>
        <w:rPr>
          <w:rFonts w:ascii="宋体" w:hAnsi="宋体" w:cs="宋体" w:eastAsia="宋体" w:hint="default"/>
          <w:sz w:val="24"/>
          <w:szCs w:val="24"/>
        </w:rPr>
      </w:pPr>
    </w:p>
    <w:p>
      <w:pPr>
        <w:pStyle w:val="BodyText"/>
        <w:spacing w:line="350" w:lineRule="auto" w:before="209"/>
        <w:ind w:right="105"/>
        <w:jc w:val="left"/>
      </w:pPr>
      <w:r>
        <w:rPr/>
        <w:t>注释</w:t>
      </w:r>
      <w:r>
        <w:rPr>
          <w:spacing w:val="-73"/>
        </w:rPr>
        <w:t> </w:t>
      </w:r>
      <w:r>
        <w:rPr>
          <w:rFonts w:ascii="Arial" w:hAnsi="Arial" w:cs="Arial" w:eastAsia="Arial" w:hint="default"/>
        </w:rPr>
        <w:t>9</w:t>
      </w:r>
      <w:r>
        <w:rPr/>
        <w:t>：营业收入、营业成本本年实际数分别比上年同期数增长</w:t>
      </w:r>
      <w:r>
        <w:rPr>
          <w:spacing w:val="-73"/>
        </w:rPr>
        <w:t> </w:t>
      </w:r>
      <w:r>
        <w:rPr>
          <w:rFonts w:ascii="Arial" w:hAnsi="Arial" w:cs="Arial" w:eastAsia="Arial" w:hint="default"/>
        </w:rPr>
        <w:t>53.48%</w:t>
      </w:r>
      <w:r>
        <w:rPr/>
        <w:t>、</w:t>
      </w:r>
      <w:r>
        <w:rPr>
          <w:rFonts w:ascii="Arial" w:hAnsi="Arial" w:cs="Arial" w:eastAsia="Arial" w:hint="default"/>
        </w:rPr>
        <w:t>54.24%</w:t>
      </w:r>
      <w:r>
        <w:rPr/>
        <w:t>， 其中：主营业务收入、主营业务成本本年实际数分别比上年同期数增长 </w:t>
      </w:r>
      <w:r>
        <w:rPr>
          <w:rFonts w:ascii="Arial" w:hAnsi="Arial" w:cs="Arial" w:eastAsia="Arial" w:hint="default"/>
        </w:rPr>
        <w:t>55.17%</w:t>
      </w:r>
      <w:r>
        <w:rPr/>
        <w:t>、</w:t>
      </w:r>
      <w:r>
        <w:rPr>
          <w:spacing w:val="-63"/>
        </w:rPr>
        <w:t> </w:t>
      </w:r>
      <w:r>
        <w:rPr>
          <w:rFonts w:ascii="Arial" w:hAnsi="Arial" w:cs="Arial" w:eastAsia="Arial" w:hint="default"/>
        </w:rPr>
        <w:t>54.17%</w:t>
      </w:r>
      <w:r>
        <w:rPr/>
        <w:t>，主要为在连锁店数量不断增加、市场布局逐步深入的同时，通过对信息系 统的投入和优化、物流平台的建设和发展，整合供应链资源，连锁网络体系日趋完</w:t>
      </w:r>
      <w:r>
        <w:rPr>
          <w:spacing w:val="-82"/>
        </w:rPr>
        <w:t> </w:t>
      </w:r>
      <w:r>
        <w:rPr>
          <w:spacing w:val="-82"/>
        </w:rPr>
      </w:r>
      <w:r>
        <w:rPr/>
        <w:t>善，这是本公司经营规模增长的基础。创新营销，大力进入核心商圈，巩固、提高</w:t>
      </w:r>
      <w:r>
        <w:rPr>
          <w:spacing w:val="-82"/>
        </w:rPr>
        <w:t> </w:t>
      </w:r>
      <w:r>
        <w:rPr>
          <w:spacing w:val="-82"/>
        </w:rPr>
      </w:r>
      <w:r>
        <w:rPr/>
        <w:t>在核心商圈的市场地位，此外，已有连锁店逐步趋于成熟、家用电器市场的变化、</w:t>
      </w:r>
      <w:r>
        <w:rPr>
          <w:spacing w:val="-82"/>
        </w:rPr>
        <w:t> </w:t>
      </w:r>
      <w:r>
        <w:rPr>
          <w:spacing w:val="-82"/>
        </w:rPr>
      </w:r>
      <w:r>
        <w:rPr/>
        <w:t>家用电器商品的销售结构发生了变动和服务功能进一步完善，这对主营业务收入和</w:t>
      </w:r>
      <w:r>
        <w:rPr>
          <w:spacing w:val="-82"/>
        </w:rPr>
        <w:t> </w:t>
      </w:r>
      <w:r>
        <w:rPr>
          <w:spacing w:val="-82"/>
        </w:rPr>
      </w:r>
      <w:r>
        <w:rPr/>
        <w:t>主营业务成本的不同步增长产生了一定的影响。其他业务收入本年实际数比上年同</w:t>
      </w:r>
      <w:r>
        <w:rPr>
          <w:spacing w:val="-82"/>
        </w:rPr>
        <w:t> </w:t>
      </w:r>
      <w:r>
        <w:rPr>
          <w:spacing w:val="-82"/>
        </w:rPr>
      </w:r>
      <w:r>
        <w:rPr/>
        <w:t>期数增长</w:t>
      </w:r>
      <w:r>
        <w:rPr>
          <w:spacing w:val="-57"/>
        </w:rPr>
        <w:t> </w:t>
      </w:r>
      <w:r>
        <w:rPr>
          <w:rFonts w:ascii="Arial" w:hAnsi="Arial" w:cs="Arial" w:eastAsia="Arial" w:hint="default"/>
          <w:spacing w:val="-3"/>
        </w:rPr>
        <w:t>19.48%</w:t>
      </w:r>
      <w:r>
        <w:rPr>
          <w:spacing w:val="-3"/>
        </w:rPr>
        <w:t>，主要为随着连锁店数量的增加、连锁网络规模的扩大和完善，为</w:t>
      </w:r>
      <w:r>
        <w:rPr>
          <w:spacing w:val="-114"/>
        </w:rPr>
        <w:t> </w:t>
      </w:r>
      <w:r>
        <w:rPr>
          <w:spacing w:val="-114"/>
        </w:rPr>
      </w:r>
      <w:r>
        <w:rPr/>
        <w:t>供应商提供综合服务的能力在逐步增强，包括为供应商举办促销活动、提供产品现</w:t>
      </w:r>
      <w:r>
        <w:rPr>
          <w:spacing w:val="-82"/>
        </w:rPr>
        <w:t> </w:t>
      </w:r>
      <w:r>
        <w:rPr>
          <w:spacing w:val="-82"/>
        </w:rPr>
      </w:r>
      <w:r>
        <w:rPr/>
        <w:t>场展示、进行产品的市场推广等。本期供应商支付的连锁店服务收入有一定幅度的</w:t>
      </w:r>
      <w:r>
        <w:rPr>
          <w:spacing w:val="-82"/>
        </w:rPr>
        <w:t> </w:t>
      </w:r>
      <w:r>
        <w:rPr>
          <w:spacing w:val="-82"/>
        </w:rPr>
      </w:r>
      <w:r>
        <w:rPr/>
        <w:t>增加。</w:t>
      </w:r>
    </w:p>
    <w:p>
      <w:pPr>
        <w:spacing w:line="240" w:lineRule="auto" w:before="0"/>
        <w:rPr>
          <w:rFonts w:ascii="宋体" w:hAnsi="宋体" w:cs="宋体" w:eastAsia="宋体" w:hint="default"/>
          <w:sz w:val="24"/>
          <w:szCs w:val="24"/>
        </w:rPr>
      </w:pPr>
    </w:p>
    <w:p>
      <w:pPr>
        <w:pStyle w:val="BodyText"/>
        <w:spacing w:line="338" w:lineRule="auto" w:before="197"/>
        <w:ind w:right="204"/>
        <w:jc w:val="both"/>
      </w:pPr>
      <w:r>
        <w:rPr/>
        <w:t>注释 </w:t>
      </w:r>
      <w:r>
        <w:rPr>
          <w:rFonts w:ascii="Arial" w:hAnsi="Arial" w:cs="Arial" w:eastAsia="Arial" w:hint="default"/>
          <w:spacing w:val="4"/>
        </w:rPr>
        <w:t>10</w:t>
      </w:r>
      <w:r>
        <w:rPr>
          <w:spacing w:val="4"/>
        </w:rPr>
        <w:t>：销售费用本年实际数约为人民币 </w:t>
      </w:r>
      <w:r>
        <w:rPr>
          <w:rFonts w:ascii="Arial" w:hAnsi="Arial" w:cs="Arial" w:eastAsia="Arial" w:hint="default"/>
        </w:rPr>
        <w:t>298,553.75</w:t>
      </w:r>
      <w:r>
        <w:rPr>
          <w:rFonts w:ascii="Arial" w:hAnsi="Arial" w:cs="Arial" w:eastAsia="Arial" w:hint="default"/>
          <w:spacing w:val="4"/>
        </w:rPr>
        <w:t> </w:t>
      </w:r>
      <w:r>
        <w:rPr>
          <w:spacing w:val="5"/>
        </w:rPr>
        <w:t>万元，比上年同期数增长 </w:t>
      </w:r>
      <w:r>
        <w:rPr>
          <w:rFonts w:ascii="Arial" w:hAnsi="Arial" w:cs="Arial" w:eastAsia="Arial" w:hint="default"/>
        </w:rPr>
        <w:t>35.22%</w:t>
      </w:r>
      <w:r>
        <w:rPr/>
        <w:t>，主要原因为：经营规模和经营场所的扩大，相关的人员费用、租赁费用、 广告费及装修费等支出均大幅度增长。</w:t>
      </w:r>
    </w:p>
    <w:p>
      <w:pPr>
        <w:spacing w:after="0" w:line="338" w:lineRule="auto"/>
        <w:jc w:val="both"/>
        <w:sectPr>
          <w:headerReference w:type="default" r:id="rId41"/>
          <w:pgSz w:w="11910" w:h="16840"/>
          <w:pgMar w:header="879" w:footer="982" w:top="1100" w:bottom="1180" w:left="150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48" w:lineRule="auto" w:before="26"/>
        <w:ind w:right="101"/>
        <w:jc w:val="left"/>
      </w:pPr>
      <w:r>
        <w:rPr/>
        <w:t>注释</w:t>
      </w:r>
      <w:r>
        <w:rPr>
          <w:spacing w:val="-65"/>
        </w:rPr>
        <w:t> </w:t>
      </w:r>
      <w:r>
        <w:rPr>
          <w:rFonts w:ascii="Arial" w:hAnsi="Arial" w:cs="Arial" w:eastAsia="Arial" w:hint="default"/>
          <w:spacing w:val="-9"/>
        </w:rPr>
        <w:t>11</w:t>
      </w:r>
      <w:r>
        <w:rPr>
          <w:spacing w:val="-9"/>
        </w:rPr>
        <w:t>：管理费用本年实际数约为人民币</w:t>
      </w:r>
      <w:r>
        <w:rPr>
          <w:spacing w:val="-65"/>
        </w:rPr>
        <w:t> </w:t>
      </w:r>
      <w:r>
        <w:rPr>
          <w:rFonts w:ascii="Arial" w:hAnsi="Arial" w:cs="Arial" w:eastAsia="Arial" w:hint="default"/>
          <w:spacing w:val="-1"/>
        </w:rPr>
        <w:t>49,358.15</w:t>
      </w:r>
      <w:r>
        <w:rPr>
          <w:rFonts w:ascii="Arial" w:hAnsi="Arial" w:cs="Arial" w:eastAsia="Arial" w:hint="default"/>
          <w:spacing w:val="-11"/>
        </w:rPr>
        <w:t> </w:t>
      </w:r>
      <w:r>
        <w:rPr>
          <w:spacing w:val="-12"/>
        </w:rPr>
        <w:t>元，比上年同期数增长</w:t>
      </w:r>
      <w:r>
        <w:rPr>
          <w:spacing w:val="-65"/>
        </w:rPr>
        <w:t> </w:t>
      </w:r>
      <w:r>
        <w:rPr>
          <w:rFonts w:ascii="Arial" w:hAnsi="Arial" w:cs="Arial" w:eastAsia="Arial" w:hint="default"/>
          <w:spacing w:val="-1"/>
        </w:rPr>
        <w:t>25.60%</w:t>
      </w:r>
      <w:r>
        <w:rPr>
          <w:spacing w:val="-1"/>
        </w:rPr>
        <w:t>，</w:t>
      </w:r>
      <w:r>
        <w:rPr/>
        <w:t> 主要原因为：经营规模和经营场所的扩大，相关的人员费用及办公费用等支出相应</w:t>
      </w:r>
      <w:r>
        <w:rPr>
          <w:spacing w:val="-82"/>
        </w:rPr>
        <w:t> </w:t>
      </w:r>
      <w:r>
        <w:rPr>
          <w:spacing w:val="-82"/>
        </w:rPr>
      </w:r>
      <w:r>
        <w:rPr/>
        <w:t>增加。</w:t>
      </w:r>
    </w:p>
    <w:p>
      <w:pPr>
        <w:spacing w:line="240" w:lineRule="auto" w:before="0"/>
        <w:rPr>
          <w:rFonts w:ascii="宋体" w:hAnsi="宋体" w:cs="宋体" w:eastAsia="宋体" w:hint="default"/>
          <w:sz w:val="24"/>
          <w:szCs w:val="24"/>
        </w:rPr>
      </w:pPr>
    </w:p>
    <w:p>
      <w:pPr>
        <w:pStyle w:val="BodyText"/>
        <w:spacing w:line="338" w:lineRule="auto" w:before="200"/>
        <w:ind w:right="237"/>
        <w:jc w:val="both"/>
      </w:pPr>
      <w:r>
        <w:rPr/>
        <w:t>注释</w:t>
      </w:r>
      <w:r>
        <w:rPr>
          <w:spacing w:val="-70"/>
        </w:rPr>
        <w:t> </w:t>
      </w:r>
      <w:r>
        <w:rPr>
          <w:rFonts w:ascii="Arial" w:hAnsi="Arial" w:cs="Arial" w:eastAsia="Arial" w:hint="default"/>
        </w:rPr>
        <w:t>12</w:t>
      </w:r>
      <w:r>
        <w:rPr/>
        <w:t>：财务收入本年实际数约为人民币</w:t>
      </w:r>
      <w:r>
        <w:rPr>
          <w:spacing w:val="-70"/>
        </w:rPr>
        <w:t> </w:t>
      </w:r>
      <w:r>
        <w:rPr>
          <w:rFonts w:ascii="Arial" w:hAnsi="Arial" w:cs="Arial" w:eastAsia="Arial" w:hint="default"/>
        </w:rPr>
        <w:t>8,816</w:t>
      </w:r>
      <w:r>
        <w:rPr>
          <w:rFonts w:ascii="Arial" w:hAnsi="Arial" w:cs="Arial" w:eastAsia="Arial" w:hint="default"/>
          <w:spacing w:val="-17"/>
        </w:rPr>
        <w:t> </w:t>
      </w:r>
      <w:r>
        <w:rPr/>
        <w:t>万元，而去年为财务费用约人民币 </w:t>
      </w:r>
      <w:r>
        <w:rPr>
          <w:rFonts w:ascii="Arial" w:hAnsi="Arial" w:cs="Arial" w:eastAsia="Arial" w:hint="default"/>
        </w:rPr>
        <w:t>2,358 </w:t>
      </w:r>
      <w:r>
        <w:rPr>
          <w:spacing w:val="-4"/>
        </w:rPr>
        <w:t>万元，主要原因为供应商给予本公司投款现金折扣的增加，以及承兑保证利息</w:t>
      </w:r>
      <w:r>
        <w:rPr>
          <w:spacing w:val="-113"/>
        </w:rPr>
        <w:t> </w:t>
      </w:r>
      <w:r>
        <w:rPr>
          <w:spacing w:val="-113"/>
        </w:rPr>
      </w:r>
      <w:r>
        <w:rPr/>
        <w:t>的增加。</w:t>
      </w:r>
    </w:p>
    <w:p>
      <w:pPr>
        <w:spacing w:after="0" w:line="338" w:lineRule="auto"/>
        <w:jc w:val="both"/>
        <w:sectPr>
          <w:pgSz w:w="11910" w:h="16840"/>
          <w:pgMar w:header="879" w:footer="982" w:top="1100" w:bottom="1180" w:left="1500" w:right="13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1"/>
        <w:tabs>
          <w:tab w:pos="4612" w:val="left" w:leader="none"/>
        </w:tabs>
        <w:spacing w:line="240" w:lineRule="auto"/>
        <w:ind w:left="3010" w:right="0"/>
        <w:jc w:val="left"/>
        <w:rPr>
          <w:b w:val="0"/>
          <w:bCs w:val="0"/>
        </w:rPr>
      </w:pPr>
      <w:bookmarkStart w:name="_TOC_250000" w:id="11"/>
      <w:r>
        <w:rPr>
          <w:w w:val="95"/>
        </w:rPr>
        <w:t>第十一节</w:t>
        <w:tab/>
      </w:r>
      <w:r>
        <w:rPr/>
        <w:t>备查文件目录</w:t>
      </w:r>
      <w:bookmarkEnd w:id="11"/>
      <w:r>
        <w:rPr>
          <w:b w:val="0"/>
          <w:bCs w:val="0"/>
        </w:rPr>
      </w:r>
    </w:p>
    <w:p>
      <w:pPr>
        <w:pStyle w:val="BodyText"/>
        <w:spacing w:line="240" w:lineRule="auto" w:before="193"/>
        <w:ind w:left="624" w:right="0"/>
        <w:jc w:val="left"/>
      </w:pPr>
      <w:r>
        <w:rPr/>
        <w:t>公司在办公地点备置有完整、齐备的下列文件：</w:t>
      </w:r>
    </w:p>
    <w:p>
      <w:pPr>
        <w:pStyle w:val="BodyText"/>
        <w:spacing w:line="338" w:lineRule="auto" w:before="154"/>
        <w:ind w:right="0" w:firstLine="480"/>
        <w:jc w:val="left"/>
      </w:pPr>
      <w:r>
        <w:rPr>
          <w:rFonts w:ascii="Times New Roman" w:hAnsi="Times New Roman" w:cs="Times New Roman" w:eastAsia="Times New Roman" w:hint="default"/>
          <w:spacing w:val="2"/>
        </w:rPr>
        <w:t>1</w:t>
      </w:r>
      <w:r>
        <w:rPr>
          <w:spacing w:val="2"/>
        </w:rPr>
        <w:t>、载有公司法定代表人、主管会计工作负责人、会计机构负责人签名并盖章</w:t>
      </w:r>
      <w:r>
        <w:rPr>
          <w:spacing w:val="3"/>
        </w:rPr>
        <w:t> </w:t>
      </w:r>
      <w:r>
        <w:rPr/>
        <w:t>的会计报表。</w:t>
      </w:r>
    </w:p>
    <w:p>
      <w:pPr>
        <w:pStyle w:val="BodyText"/>
        <w:spacing w:line="338" w:lineRule="auto" w:before="55"/>
        <w:ind w:right="0" w:firstLine="480"/>
        <w:jc w:val="left"/>
      </w:pPr>
      <w:r>
        <w:rPr>
          <w:rFonts w:ascii="Times New Roman" w:hAnsi="Times New Roman" w:cs="Times New Roman" w:eastAsia="Times New Roman" w:hint="default"/>
          <w:spacing w:val="2"/>
        </w:rPr>
        <w:t>2</w:t>
      </w:r>
      <w:r>
        <w:rPr>
          <w:spacing w:val="2"/>
        </w:rPr>
        <w:t>、载有普华永道中天会计师事务所有限公司盖章、注册会计师签名并盖章的</w:t>
      </w:r>
      <w:r>
        <w:rPr>
          <w:spacing w:val="3"/>
        </w:rPr>
        <w:t> </w:t>
      </w:r>
      <w:r>
        <w:rPr/>
        <w:t>审计报告原件。</w:t>
      </w:r>
    </w:p>
    <w:p>
      <w:pPr>
        <w:pStyle w:val="BodyText"/>
        <w:spacing w:line="338" w:lineRule="auto" w:before="55"/>
        <w:ind w:left="144" w:right="0" w:firstLine="480"/>
        <w:jc w:val="left"/>
      </w:pPr>
      <w:r>
        <w:rPr>
          <w:rFonts w:ascii="Times New Roman" w:hAnsi="Times New Roman" w:cs="Times New Roman" w:eastAsia="Times New Roman" w:hint="default"/>
          <w:spacing w:val="-18"/>
        </w:rPr>
        <w:t>3</w:t>
      </w:r>
      <w:r>
        <w:rPr>
          <w:spacing w:val="-18"/>
        </w:rPr>
        <w:t>、报告期内在《证券时报》、《中国证券报》、《上海证券报》、《证券日报》上</w:t>
      </w:r>
      <w:r>
        <w:rPr>
          <w:spacing w:val="2"/>
        </w:rPr>
        <w:t> </w:t>
      </w:r>
      <w:r>
        <w:rPr/>
        <w:t>公开披露过的所有公司文件的正本及公告的原稿。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57" w:lineRule="auto" w:before="203"/>
        <w:ind w:left="5525" w:right="699"/>
        <w:jc w:val="center"/>
      </w:pPr>
      <w:r>
        <w:rPr/>
        <w:t>苏宁电器股份有限公司 董事长： 张近东</w:t>
      </w:r>
    </w:p>
    <w:p>
      <w:pPr>
        <w:pStyle w:val="BodyText"/>
        <w:spacing w:line="240" w:lineRule="auto" w:before="36"/>
        <w:ind w:left="5525" w:right="715"/>
        <w:jc w:val="center"/>
      </w:pPr>
      <w:r>
        <w:rPr/>
        <w:t>二</w:t>
      </w:r>
      <w:r>
        <w:rPr>
          <w:spacing w:val="-61"/>
        </w:rPr>
        <w:t> </w:t>
      </w:r>
      <w:r>
        <w:rPr>
          <w:rFonts w:ascii="Times New Roman" w:hAnsi="Times New Roman" w:cs="Times New Roman" w:eastAsia="Times New Roman" w:hint="default"/>
        </w:rPr>
        <w:t>OO</w:t>
      </w:r>
      <w:r>
        <w:rPr>
          <w:rFonts w:ascii="Times New Roman" w:hAnsi="Times New Roman" w:cs="Times New Roman" w:eastAsia="Times New Roman" w:hint="default"/>
          <w:spacing w:val="-2"/>
        </w:rPr>
        <w:t> </w:t>
      </w:r>
      <w:r>
        <w:rPr/>
        <w:t>八年二月二十八日</w:t>
      </w:r>
    </w:p>
    <w:sectPr>
      <w:pgSz w:w="11910" w:h="16840"/>
      <w:pgMar w:header="879" w:footer="982" w:top="1100" w:bottom="1180" w:left="150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78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140015pt;margin-top:795.577637pt;width:17.5pt;height:11pt;mso-position-horizontal-relative:page;mso-position-vertical-relative:page;z-index:-578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140015pt;margin-top:795.577637pt;width:17.5pt;height:11pt;mso-position-horizontal-relative:page;mso-position-vertical-relative:page;z-index:-578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1pt;mso-position-horizontal-relative:page;mso-position-vertical-relative:page;z-index:-578416" type="#_x0000_t202" filled="false" stroked="false">
          <v:textbox inset="0,0,0,0">
            <w:txbxContent>
              <w:p>
                <w:pPr>
                  <w:spacing w:line="205"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78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78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78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578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20013pt;margin-top:795.577637pt;width:13pt;height:11pt;mso-position-horizontal-relative:page;mso-position-vertical-relative:page;z-index:-578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140015pt;margin-top:795.577637pt;width:15.5pt;height:11pt;mso-position-horizontal-relative:page;mso-position-vertical-relative:page;z-index:-5786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140015pt;margin-top:795.577637pt;width:17.5pt;height:11pt;mso-position-horizontal-relative:page;mso-position-vertical-relative:page;z-index:-578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9.490509pt;margin-top:548.977966pt;width:17.5pt;height:11pt;mso-position-horizontal-relative:page;mso-position-vertical-relative:page;z-index:-578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699997pt;margin-top:55.619984pt;width:435pt;height:.1pt;mso-position-horizontal-relative:page;mso-position-vertical-relative:page;z-index:-578848" coordorigin="1614,1112" coordsize="8700,2">
          <v:shape style="position:absolute;left:1614;top:1112;width:8700;height:2" coordorigin="1614,1112" coordsize="8700,0" path="m1614,1112l10314,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5.700012pt;margin-top:42.925323pt;width:159.5pt;height:11.5pt;mso-position-horizontal-relative:page;mso-position-vertical-relative:page;z-index:-578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880005pt;margin-top:72.385323pt;width:159.5pt;height:11.5pt;mso-position-horizontal-relative:page;mso-position-vertical-relative:page;z-index:-578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0996pt;margin-top:85.080002pt;width:686.6pt;height:.1pt;mso-position-horizontal-relative:page;mso-position-vertical-relative:page;z-index:-578584" coordorigin="1699,1702" coordsize="13732,2">
          <v:shape style="position:absolute;left:1699;top:1702;width:13732;height:2" coordorigin="1699,1702" coordsize="13732,0" path="m1699,1702l15431,1702e" filled="false" stroked="true" strokeweight=".72pt" strokecolor="#000000">
            <v:path arrowok="t"/>
          </v:shape>
          <w10:wrap type="none"/>
        </v:group>
      </w:pict>
    </w:r>
    <w:r>
      <w:rPr/>
      <w:pict>
        <v:shape style="position:absolute;margin-left:611.530518pt;margin-top:72.385628pt;width:159.5pt;height:11.5pt;mso-position-horizontal-relative:page;mso-position-vertical-relative:page;z-index:-578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49.080013pt;width:439.95pt;height:.1pt;mso-position-horizontal-relative:page;mso-position-vertical-relative:page;z-index:-578512" coordorigin="1699,982" coordsize="8799,2">
          <v:shape style="position:absolute;left:1699;top:982;width:8799;height:2" coordorigin="1699,982" coordsize="8799,0" path="m1699,982l10498,982e" filled="false" stroked="true" strokeweight=".71997pt" strokecolor="#000000">
            <v:path arrowok="t"/>
          </v:shape>
          <w10:wrap type="none"/>
        </v:group>
      </w:pict>
    </w:r>
    <w:r>
      <w:rPr/>
      <w:pict>
        <v:shape style="position:absolute;margin-left:364.880005pt;margin-top:36.385326pt;width:159.5pt;height:11.5pt;mso-position-horizontal-relative:page;mso-position-vertical-relative:page;z-index:-578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699997pt;margin-top:55.619984pt;width:433.95pt;height:.1pt;mso-position-horizontal-relative:page;mso-position-vertical-relative:page;z-index:-578392" coordorigin="1614,1112" coordsize="8679,2">
          <v:shape style="position:absolute;left:1614;top:1112;width:8679;height:2" coordorigin="1614,1112" coordsize="8679,0" path="m1614,1112l10292,1112e" filled="false" stroked="true" strokeweight=".72003pt" strokecolor="#000000">
            <v:path arrowok="t"/>
          </v:shape>
          <w10:wrap type="none"/>
        </v:group>
      </w:pict>
    </w:r>
    <w:r>
      <w:rPr/>
      <w:pict>
        <v:shape style="position:absolute;margin-left:354.619995pt;margin-top:42.925323pt;width:159.5pt;height:11.5pt;mso-position-horizontal-relative:page;mso-position-vertical-relative:page;z-index:-578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1464" w:hanging="420"/>
      </w:pPr>
      <w:rPr>
        <w:rFonts w:hint="default" w:ascii="Wingdings" w:hAnsi="Wingdings" w:eastAsia="Wingdings"/>
        <w:w w:val="99"/>
        <w:sz w:val="24"/>
        <w:szCs w:val="24"/>
      </w:rPr>
    </w:lvl>
    <w:lvl w:ilvl="1">
      <w:start w:val="1"/>
      <w:numFmt w:val="bullet"/>
      <w:lvlText w:val="•"/>
      <w:lvlJc w:val="left"/>
      <w:pPr>
        <w:ind w:left="2212" w:hanging="420"/>
      </w:pPr>
      <w:rPr>
        <w:rFonts w:hint="default"/>
      </w:rPr>
    </w:lvl>
    <w:lvl w:ilvl="2">
      <w:start w:val="1"/>
      <w:numFmt w:val="bullet"/>
      <w:lvlText w:val="•"/>
      <w:lvlJc w:val="left"/>
      <w:pPr>
        <w:ind w:left="2964" w:hanging="420"/>
      </w:pPr>
      <w:rPr>
        <w:rFonts w:hint="default"/>
      </w:rPr>
    </w:lvl>
    <w:lvl w:ilvl="3">
      <w:start w:val="1"/>
      <w:numFmt w:val="bullet"/>
      <w:lvlText w:val="•"/>
      <w:lvlJc w:val="left"/>
      <w:pPr>
        <w:ind w:left="3717" w:hanging="420"/>
      </w:pPr>
      <w:rPr>
        <w:rFonts w:hint="default"/>
      </w:rPr>
    </w:lvl>
    <w:lvl w:ilvl="4">
      <w:start w:val="1"/>
      <w:numFmt w:val="bullet"/>
      <w:lvlText w:val="•"/>
      <w:lvlJc w:val="left"/>
      <w:pPr>
        <w:ind w:left="4469" w:hanging="420"/>
      </w:pPr>
      <w:rPr>
        <w:rFonts w:hint="default"/>
      </w:rPr>
    </w:lvl>
    <w:lvl w:ilvl="5">
      <w:start w:val="1"/>
      <w:numFmt w:val="bullet"/>
      <w:lvlText w:val="•"/>
      <w:lvlJc w:val="left"/>
      <w:pPr>
        <w:ind w:left="5222" w:hanging="420"/>
      </w:pPr>
      <w:rPr>
        <w:rFonts w:hint="default"/>
      </w:rPr>
    </w:lvl>
    <w:lvl w:ilvl="6">
      <w:start w:val="1"/>
      <w:numFmt w:val="bullet"/>
      <w:lvlText w:val="•"/>
      <w:lvlJc w:val="left"/>
      <w:pPr>
        <w:ind w:left="5974" w:hanging="420"/>
      </w:pPr>
      <w:rPr>
        <w:rFonts w:hint="default"/>
      </w:rPr>
    </w:lvl>
    <w:lvl w:ilvl="7">
      <w:start w:val="1"/>
      <w:numFmt w:val="bullet"/>
      <w:lvlText w:val="•"/>
      <w:lvlJc w:val="left"/>
      <w:pPr>
        <w:ind w:left="6727" w:hanging="420"/>
      </w:pPr>
      <w:rPr>
        <w:rFonts w:hint="default"/>
      </w:rPr>
    </w:lvl>
    <w:lvl w:ilvl="8">
      <w:start w:val="1"/>
      <w:numFmt w:val="bullet"/>
      <w:lvlText w:val="•"/>
      <w:lvlJc w:val="left"/>
      <w:pPr>
        <w:ind w:left="7479"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76"/>
      <w:ind w:left="119"/>
    </w:pPr>
    <w:rPr>
      <w:rFonts w:ascii="宋体" w:hAnsi="宋体" w:eastAsia="宋体"/>
      <w:b/>
      <w:bCs/>
      <w:sz w:val="28"/>
      <w:szCs w:val="28"/>
    </w:rPr>
  </w:style>
  <w:style w:styleId="BodyText" w:type="paragraph">
    <w:name w:val="Body Text"/>
    <w:basedOn w:val="Normal"/>
    <w:uiPriority w:val="1"/>
    <w:qFormat/>
    <w:pPr>
      <w:ind w:left="143"/>
    </w:pPr>
    <w:rPr>
      <w:rFonts w:ascii="宋体" w:hAnsi="宋体" w:eastAsia="宋体"/>
      <w:sz w:val="24"/>
      <w:szCs w:val="24"/>
    </w:rPr>
  </w:style>
  <w:style w:styleId="Heading1" w:type="paragraph">
    <w:name w:val="Heading 1"/>
    <w:basedOn w:val="Normal"/>
    <w:uiPriority w:val="1"/>
    <w:qFormat/>
    <w:pPr>
      <w:spacing w:before="1"/>
      <w:ind w:left="561"/>
      <w:outlineLvl w:val="1"/>
    </w:pPr>
    <w:rPr>
      <w:rFonts w:ascii="宋体" w:hAnsi="宋体" w:eastAsia="宋体"/>
      <w:b/>
      <w:bCs/>
      <w:sz w:val="32"/>
      <w:szCs w:val="32"/>
    </w:rPr>
  </w:style>
  <w:style w:styleId="Heading2" w:type="paragraph">
    <w:name w:val="Heading 2"/>
    <w:basedOn w:val="Normal"/>
    <w:uiPriority w:val="1"/>
    <w:qFormat/>
    <w:pPr>
      <w:spacing w:before="26"/>
      <w:ind w:left="107"/>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tock@cnsuning.com" TargetMode="External"/><Relationship Id="rId9" Type="http://schemas.openxmlformats.org/officeDocument/2006/relationships/hyperlink" Target="http://www.cnsuning.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eader" Target="header2.xml"/><Relationship Id="rId28" Type="http://schemas.openxmlformats.org/officeDocument/2006/relationships/footer" Target="footer6.xml"/><Relationship Id="rId29" Type="http://schemas.openxmlformats.org/officeDocument/2006/relationships/image" Target="media/image14.png"/><Relationship Id="rId30" Type="http://schemas.openxmlformats.org/officeDocument/2006/relationships/footer" Target="footer7.xml"/><Relationship Id="rId31" Type="http://schemas.openxmlformats.org/officeDocument/2006/relationships/footer" Target="footer8.xml"/><Relationship Id="rId32" Type="http://schemas.openxmlformats.org/officeDocument/2006/relationships/header" Target="header3.xml"/><Relationship Id="rId33" Type="http://schemas.openxmlformats.org/officeDocument/2006/relationships/footer" Target="footer9.xml"/><Relationship Id="rId34" Type="http://schemas.openxmlformats.org/officeDocument/2006/relationships/header" Target="header4.xml"/><Relationship Id="rId35" Type="http://schemas.openxmlformats.org/officeDocument/2006/relationships/footer" Target="footer10.xml"/><Relationship Id="rId36" Type="http://schemas.openxmlformats.org/officeDocument/2006/relationships/header" Target="header5.xml"/><Relationship Id="rId37" Type="http://schemas.openxmlformats.org/officeDocument/2006/relationships/footer" Target="footer11.xml"/><Relationship Id="rId38" Type="http://schemas.openxmlformats.org/officeDocument/2006/relationships/footer" Target="footer12.xml"/><Relationship Id="rId39" Type="http://schemas.openxmlformats.org/officeDocument/2006/relationships/header" Target="header6.xml"/><Relationship Id="rId40" Type="http://schemas.openxmlformats.org/officeDocument/2006/relationships/footer" Target="footer13.xml"/><Relationship Id="rId41" Type="http://schemas.openxmlformats.org/officeDocument/2006/relationships/header" Target="header7.xm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master04</dc:creator>
  <dc:title>Microsoft Word - 2007年年度报告080227（H）.DOC</dc:title>
  <dcterms:created xsi:type="dcterms:W3CDTF">2020-05-07T12:09:34Z</dcterms:created>
  <dcterms:modified xsi:type="dcterms:W3CDTF">2020-05-07T12:09:34Z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2008-03-03T00:00:00Z</vt:filetime>
  </property>
  <property fmtid="{D5CDD505-2E9C-101B-9397-08002B2CF9AE}" pid="3" name="Creator">
    <vt:lpwstr>PScript5.dll Version 5.2.2</vt:lpwstr>
  </property>
  <property fmtid="{D5CDD505-2E9C-101B-9397-08002B2CF9AE}" pid="4" name="LastSaved">
    <vt:filetime>2020-05-07T00:00:00Z</vt:filetime>
  </property>
</Properties>
</file>